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560E2" w14:textId="77777777" w:rsidR="003E4EF7" w:rsidRPr="003B1453" w:rsidRDefault="003E4EF7" w:rsidP="003E4EF7">
      <w:pPr>
        <w:pStyle w:val="SectionSubheading"/>
        <w:numPr>
          <w:ilvl w:val="0"/>
          <w:numId w:val="0"/>
        </w:numPr>
        <w:rPr>
          <w:rFonts w:ascii="Arial" w:hAnsi="Arial" w:cs="Arial"/>
        </w:rPr>
      </w:pPr>
      <w:bookmarkStart w:id="0" w:name="_Toc44906322"/>
      <w:bookmarkStart w:id="1" w:name="_Toc75585051"/>
      <w:bookmarkStart w:id="2" w:name="_GoBack"/>
      <w:bookmarkEnd w:id="2"/>
      <w:r>
        <w:rPr>
          <w:rStyle w:val="Heading2Char"/>
        </w:rPr>
        <w:t>Community First Choice (CFC)</w:t>
      </w:r>
    </w:p>
    <w:p w14:paraId="4EF27FBD" w14:textId="77777777" w:rsidR="003E4EF7" w:rsidRPr="00F67F82" w:rsidRDefault="003E4EF7" w:rsidP="003E4EF7">
      <w:pPr>
        <w:pStyle w:val="SectionSubheading"/>
        <w:numPr>
          <w:ilvl w:val="0"/>
          <w:numId w:val="0"/>
        </w:numPr>
        <w:rPr>
          <w:rFonts w:ascii="Arial" w:hAnsi="Arial" w:cs="Arial"/>
        </w:rPr>
      </w:pPr>
    </w:p>
    <w:p w14:paraId="481B53FF" w14:textId="77777777" w:rsidR="003E4EF7" w:rsidRPr="00F67F82" w:rsidRDefault="003E4EF7" w:rsidP="003E4EF7">
      <w:pPr>
        <w:pStyle w:val="SectionSubheading"/>
        <w:numPr>
          <w:ilvl w:val="0"/>
          <w:numId w:val="0"/>
        </w:numPr>
        <w:rPr>
          <w:rFonts w:ascii="Arial" w:hAnsi="Arial" w:cs="Arial"/>
        </w:rPr>
      </w:pPr>
      <w:bookmarkStart w:id="3" w:name="Purpose"/>
      <w:bookmarkEnd w:id="3"/>
      <w:r w:rsidRPr="00F67F82">
        <w:rPr>
          <w:rFonts w:ascii="Arial" w:hAnsi="Arial" w:cs="Arial"/>
        </w:rPr>
        <w:t>P</w:t>
      </w:r>
      <w:bookmarkEnd w:id="0"/>
      <w:r w:rsidRPr="00F67F82">
        <w:rPr>
          <w:rFonts w:ascii="Arial" w:hAnsi="Arial" w:cs="Arial"/>
        </w:rPr>
        <w:t>urpose</w:t>
      </w:r>
      <w:bookmarkEnd w:id="1"/>
    </w:p>
    <w:p w14:paraId="5B72426A" w14:textId="77777777" w:rsidR="003E4EF7" w:rsidRDefault="003E4EF7" w:rsidP="003E4EF7">
      <w:pPr>
        <w:rPr>
          <w:rFonts w:cs="Arial"/>
        </w:rPr>
      </w:pPr>
      <w:r>
        <w:rPr>
          <w:rFonts w:cs="Arial"/>
        </w:rPr>
        <w:t>The purpose of this</w:t>
      </w:r>
      <w:r w:rsidRPr="00F67F82">
        <w:rPr>
          <w:rFonts w:cs="Arial"/>
        </w:rPr>
        <w:t xml:space="preserve"> chapter </w:t>
      </w:r>
      <w:r>
        <w:rPr>
          <w:rFonts w:cs="Arial"/>
        </w:rPr>
        <w:t>is to</w:t>
      </w:r>
      <w:r w:rsidRPr="00F67F82">
        <w:rPr>
          <w:rFonts w:cs="Arial"/>
        </w:rPr>
        <w:t xml:space="preserve"> define the </w:t>
      </w:r>
      <w:r w:rsidR="00F65D45">
        <w:rPr>
          <w:rFonts w:cs="Arial"/>
        </w:rPr>
        <w:t>Community First Choice (</w:t>
      </w:r>
      <w:r>
        <w:rPr>
          <w:rFonts w:cs="Arial"/>
        </w:rPr>
        <w:t>CFC</w:t>
      </w:r>
      <w:r w:rsidR="00F65D45">
        <w:rPr>
          <w:rFonts w:cs="Arial"/>
        </w:rPr>
        <w:t>)</w:t>
      </w:r>
      <w:r>
        <w:rPr>
          <w:rFonts w:cs="Arial"/>
        </w:rPr>
        <w:t xml:space="preserve"> program;</w:t>
      </w:r>
      <w:r w:rsidRPr="00F67F82">
        <w:rPr>
          <w:rFonts w:cs="Arial"/>
        </w:rPr>
        <w:t xml:space="preserve"> </w:t>
      </w:r>
      <w:r>
        <w:rPr>
          <w:rFonts w:cs="Arial"/>
        </w:rPr>
        <w:t>which</w:t>
      </w:r>
      <w:r w:rsidRPr="00F67F82">
        <w:rPr>
          <w:rFonts w:cs="Arial"/>
        </w:rPr>
        <w:t xml:space="preserve"> provide</w:t>
      </w:r>
      <w:r>
        <w:rPr>
          <w:rFonts w:cs="Arial"/>
        </w:rPr>
        <w:t>s</w:t>
      </w:r>
      <w:r w:rsidRPr="00F67F82">
        <w:rPr>
          <w:rFonts w:cs="Arial"/>
        </w:rPr>
        <w:t xml:space="preserve"> assistance with personal care</w:t>
      </w:r>
      <w:r w:rsidR="00EE5467">
        <w:rPr>
          <w:rFonts w:cs="Arial"/>
        </w:rPr>
        <w:t xml:space="preserve"> and other</w:t>
      </w:r>
      <w:r w:rsidRPr="00F67F82">
        <w:rPr>
          <w:rFonts w:cs="Arial"/>
        </w:rPr>
        <w:t xml:space="preserve"> services that enable individuals to remain in</w:t>
      </w:r>
      <w:r w:rsidR="00EE5467">
        <w:rPr>
          <w:rFonts w:cs="Arial"/>
        </w:rPr>
        <w:t>,</w:t>
      </w:r>
      <w:r w:rsidRPr="00F67F82">
        <w:rPr>
          <w:rFonts w:cs="Arial"/>
        </w:rPr>
        <w:t xml:space="preserve"> or return to</w:t>
      </w:r>
      <w:r w:rsidR="00EE5467">
        <w:rPr>
          <w:rFonts w:cs="Arial"/>
        </w:rPr>
        <w:t>,</w:t>
      </w:r>
      <w:r w:rsidRPr="00F67F82">
        <w:rPr>
          <w:rFonts w:cs="Arial"/>
        </w:rPr>
        <w:t xml:space="preserve"> their own communities through the provision of coordinated</w:t>
      </w:r>
      <w:r>
        <w:rPr>
          <w:rFonts w:cs="Arial"/>
        </w:rPr>
        <w:t>,</w:t>
      </w:r>
      <w:r w:rsidRPr="00F67F82">
        <w:rPr>
          <w:rFonts w:cs="Arial"/>
        </w:rPr>
        <w:t xml:space="preserve"> comprehensive </w:t>
      </w:r>
      <w:r>
        <w:rPr>
          <w:rFonts w:cs="Arial"/>
        </w:rPr>
        <w:t>and economical home &amp; community-</w:t>
      </w:r>
      <w:r w:rsidRPr="00F67F82">
        <w:rPr>
          <w:rFonts w:cs="Arial"/>
        </w:rPr>
        <w:t>based services.</w:t>
      </w:r>
    </w:p>
    <w:p w14:paraId="496AC21C" w14:textId="77777777" w:rsidR="003E4EF7" w:rsidRDefault="003E4EF7" w:rsidP="003E4EF7">
      <w:pPr>
        <w:pStyle w:val="Header"/>
        <w:ind w:left="360" w:hanging="360"/>
        <w:rPr>
          <w:rFonts w:cs="Arial"/>
        </w:rPr>
      </w:pPr>
    </w:p>
    <w:p w14:paraId="1FA591B4" w14:textId="77777777" w:rsidR="00EE5467" w:rsidRPr="00F67F82" w:rsidRDefault="00EE5467" w:rsidP="00EE5467">
      <w:pPr>
        <w:pStyle w:val="SectionSubheading"/>
        <w:numPr>
          <w:ilvl w:val="0"/>
          <w:numId w:val="0"/>
        </w:numPr>
        <w:rPr>
          <w:rFonts w:ascii="Arial" w:hAnsi="Arial" w:cs="Arial"/>
        </w:rPr>
      </w:pPr>
      <w:r>
        <w:rPr>
          <w:rFonts w:ascii="Arial" w:hAnsi="Arial" w:cs="Arial"/>
        </w:rPr>
        <w:t>Section Summary</w:t>
      </w:r>
    </w:p>
    <w:p w14:paraId="2DD35E97" w14:textId="5E9C29C7" w:rsidR="00EE5467" w:rsidRDefault="009515CA" w:rsidP="00EE5467">
      <w:pPr>
        <w:pStyle w:val="Header"/>
        <w:numPr>
          <w:ilvl w:val="0"/>
          <w:numId w:val="3"/>
        </w:numPr>
        <w:rPr>
          <w:rFonts w:cs="Arial"/>
        </w:rPr>
      </w:pPr>
      <w:hyperlink w:anchor="What_is_Community_First_Choice" w:history="1">
        <w:r w:rsidR="00EE5467" w:rsidRPr="004C536B">
          <w:rPr>
            <w:rStyle w:val="Hyperlink"/>
            <w:rFonts w:cs="Arial"/>
          </w:rPr>
          <w:t xml:space="preserve">What is </w:t>
        </w:r>
        <w:r w:rsidR="00D83A97" w:rsidRPr="004C536B">
          <w:rPr>
            <w:rStyle w:val="Hyperlink"/>
            <w:rFonts w:cs="Arial"/>
          </w:rPr>
          <w:t>Community First Choice</w:t>
        </w:r>
        <w:r w:rsidR="00EE5467" w:rsidRPr="004C536B">
          <w:rPr>
            <w:rStyle w:val="Hyperlink"/>
            <w:rFonts w:cs="Arial"/>
          </w:rPr>
          <w:t>?</w:t>
        </w:r>
      </w:hyperlink>
    </w:p>
    <w:p w14:paraId="20E0832D" w14:textId="77777777" w:rsidR="00EE5467" w:rsidRDefault="00EE5467" w:rsidP="00EE5467">
      <w:pPr>
        <w:pStyle w:val="Header"/>
        <w:ind w:left="720"/>
        <w:rPr>
          <w:rFonts w:cs="Arial"/>
        </w:rPr>
      </w:pPr>
    </w:p>
    <w:p w14:paraId="6015114A" w14:textId="6E89D7D5" w:rsidR="00EE5467" w:rsidRDefault="009515CA" w:rsidP="00EE5467">
      <w:pPr>
        <w:pStyle w:val="Header"/>
        <w:numPr>
          <w:ilvl w:val="0"/>
          <w:numId w:val="3"/>
        </w:numPr>
        <w:rPr>
          <w:rFonts w:cs="Arial"/>
        </w:rPr>
      </w:pPr>
      <w:hyperlink w:anchor="Who_is_eligible" w:history="1">
        <w:r w:rsidR="00EE5467" w:rsidRPr="00074173">
          <w:rPr>
            <w:rStyle w:val="Hyperlink"/>
            <w:rFonts w:cs="Arial"/>
          </w:rPr>
          <w:t>Who is eligible?</w:t>
        </w:r>
      </w:hyperlink>
    </w:p>
    <w:p w14:paraId="78C4F97A" w14:textId="77777777" w:rsidR="004C536B" w:rsidRDefault="004C536B" w:rsidP="00083918">
      <w:pPr>
        <w:pStyle w:val="ListParagraph"/>
        <w:rPr>
          <w:rFonts w:cs="Arial"/>
        </w:rPr>
      </w:pPr>
    </w:p>
    <w:p w14:paraId="27FB8FB6" w14:textId="4B33E38E" w:rsidR="004C536B" w:rsidRDefault="00074173" w:rsidP="00EE5467">
      <w:pPr>
        <w:pStyle w:val="Header"/>
        <w:numPr>
          <w:ilvl w:val="0"/>
          <w:numId w:val="3"/>
        </w:numPr>
        <w:rPr>
          <w:rFonts w:cs="Arial"/>
        </w:rPr>
      </w:pPr>
      <w:hyperlink w:anchor="Qualified_Providers" w:history="1">
        <w:r w:rsidR="004C536B" w:rsidRPr="00074173">
          <w:rPr>
            <w:rStyle w:val="Hyperlink"/>
            <w:rFonts w:cs="Arial"/>
          </w:rPr>
          <w:t>Qualified providers of personal care by setting</w:t>
        </w:r>
      </w:hyperlink>
    </w:p>
    <w:p w14:paraId="234529B6" w14:textId="77777777" w:rsidR="00EE5467" w:rsidRDefault="00EE5467" w:rsidP="00EE5467">
      <w:pPr>
        <w:pStyle w:val="Header"/>
        <w:ind w:left="720"/>
        <w:rPr>
          <w:rFonts w:cs="Arial"/>
        </w:rPr>
      </w:pPr>
    </w:p>
    <w:p w14:paraId="2F5DFF30" w14:textId="065BE6E9" w:rsidR="00873325" w:rsidRDefault="00074173" w:rsidP="00873325">
      <w:pPr>
        <w:pStyle w:val="Header"/>
        <w:numPr>
          <w:ilvl w:val="0"/>
          <w:numId w:val="3"/>
        </w:numPr>
        <w:rPr>
          <w:rFonts w:cs="Arial"/>
        </w:rPr>
      </w:pPr>
      <w:hyperlink w:anchor="Moving_between_CFC_and_CFC_plus_COPES" w:history="1">
        <w:r w:rsidR="00873325" w:rsidRPr="00074173">
          <w:rPr>
            <w:rStyle w:val="Hyperlink"/>
            <w:rFonts w:cs="Arial"/>
          </w:rPr>
          <w:t>Moving between CFC and CFC + COPES</w:t>
        </w:r>
      </w:hyperlink>
    </w:p>
    <w:p w14:paraId="4413A6A2" w14:textId="77777777" w:rsidR="00873325" w:rsidRDefault="00873325" w:rsidP="00B90211">
      <w:pPr>
        <w:pStyle w:val="Header"/>
        <w:ind w:left="720"/>
        <w:rPr>
          <w:rFonts w:cs="Arial"/>
        </w:rPr>
      </w:pPr>
    </w:p>
    <w:p w14:paraId="40EC78A8" w14:textId="03709888" w:rsidR="00EE5467" w:rsidRDefault="00074173" w:rsidP="00EE5467">
      <w:pPr>
        <w:pStyle w:val="Header"/>
        <w:numPr>
          <w:ilvl w:val="0"/>
          <w:numId w:val="3"/>
        </w:numPr>
        <w:rPr>
          <w:rFonts w:cs="Arial"/>
        </w:rPr>
      </w:pPr>
      <w:hyperlink w:anchor="Services_available_through_CFC" w:history="1">
        <w:r w:rsidR="00D83A97" w:rsidRPr="00074173">
          <w:rPr>
            <w:rStyle w:val="Hyperlink"/>
            <w:rFonts w:cs="Arial"/>
          </w:rPr>
          <w:t>Services available through the CFC program</w:t>
        </w:r>
      </w:hyperlink>
    </w:p>
    <w:p w14:paraId="4ADD9CC6" w14:textId="33DD4D61" w:rsidR="00EE5467" w:rsidRDefault="00074173" w:rsidP="00EE5467">
      <w:pPr>
        <w:pStyle w:val="Header"/>
        <w:numPr>
          <w:ilvl w:val="1"/>
          <w:numId w:val="3"/>
        </w:numPr>
        <w:rPr>
          <w:rFonts w:cs="Arial"/>
        </w:rPr>
      </w:pPr>
      <w:hyperlink w:anchor="personal_care" w:history="1">
        <w:r w:rsidR="00EE5467" w:rsidRPr="00074173">
          <w:rPr>
            <w:rStyle w:val="Hyperlink"/>
            <w:rFonts w:cs="Arial"/>
          </w:rPr>
          <w:t>Personal and Relief Care</w:t>
        </w:r>
      </w:hyperlink>
    </w:p>
    <w:p w14:paraId="32D4264E" w14:textId="2F2D7D24" w:rsidR="00EE5467" w:rsidRDefault="00074173" w:rsidP="00EE5467">
      <w:pPr>
        <w:pStyle w:val="Header"/>
        <w:numPr>
          <w:ilvl w:val="1"/>
          <w:numId w:val="3"/>
        </w:numPr>
        <w:rPr>
          <w:rFonts w:cs="Arial"/>
        </w:rPr>
      </w:pPr>
      <w:hyperlink w:anchor="Nurse_Delegation" w:history="1">
        <w:r w:rsidR="00EE5467" w:rsidRPr="00074173">
          <w:rPr>
            <w:rStyle w:val="Hyperlink"/>
            <w:rFonts w:cs="Arial"/>
          </w:rPr>
          <w:t>Nurse Delegation</w:t>
        </w:r>
      </w:hyperlink>
    </w:p>
    <w:p w14:paraId="0FCE5807" w14:textId="29BF00C8" w:rsidR="00EE5467" w:rsidRDefault="00074173" w:rsidP="00EE5467">
      <w:pPr>
        <w:pStyle w:val="Header"/>
        <w:numPr>
          <w:ilvl w:val="1"/>
          <w:numId w:val="3"/>
        </w:numPr>
        <w:rPr>
          <w:rFonts w:cs="Arial"/>
        </w:rPr>
      </w:pPr>
      <w:hyperlink w:anchor="Skills_Acquisition_Training" w:history="1">
        <w:r w:rsidR="00EE5467" w:rsidRPr="00074173">
          <w:rPr>
            <w:rStyle w:val="Hyperlink"/>
            <w:rFonts w:cs="Arial"/>
          </w:rPr>
          <w:t>Skills Acquisition Training</w:t>
        </w:r>
      </w:hyperlink>
    </w:p>
    <w:p w14:paraId="7A13C846" w14:textId="240BDA4C" w:rsidR="00EE5467" w:rsidRDefault="00074173" w:rsidP="00EE5467">
      <w:pPr>
        <w:pStyle w:val="Header"/>
        <w:numPr>
          <w:ilvl w:val="1"/>
          <w:numId w:val="3"/>
        </w:numPr>
        <w:rPr>
          <w:rFonts w:cs="Arial"/>
        </w:rPr>
      </w:pPr>
      <w:hyperlink w:anchor="PERS" w:history="1">
        <w:r w:rsidR="00EE5467" w:rsidRPr="00074173">
          <w:rPr>
            <w:rStyle w:val="Hyperlink"/>
            <w:rFonts w:cs="Arial"/>
          </w:rPr>
          <w:t>Personal Emergency Response Systems (PERS)</w:t>
        </w:r>
      </w:hyperlink>
    </w:p>
    <w:p w14:paraId="63F72D6C" w14:textId="0D5AC62A" w:rsidR="00EE5467" w:rsidRDefault="00074173" w:rsidP="00EE5467">
      <w:pPr>
        <w:pStyle w:val="Header"/>
        <w:numPr>
          <w:ilvl w:val="1"/>
          <w:numId w:val="3"/>
        </w:numPr>
        <w:rPr>
          <w:rFonts w:cs="Arial"/>
        </w:rPr>
      </w:pPr>
      <w:hyperlink w:anchor="Assistive_Technology" w:history="1">
        <w:r w:rsidR="00EE5467" w:rsidRPr="00074173">
          <w:rPr>
            <w:rStyle w:val="Hyperlink"/>
            <w:rFonts w:cs="Arial"/>
          </w:rPr>
          <w:t>Assistive Technology</w:t>
        </w:r>
      </w:hyperlink>
      <w:r w:rsidR="00EE5467">
        <w:rPr>
          <w:rFonts w:cs="Arial"/>
        </w:rPr>
        <w:t xml:space="preserve"> </w:t>
      </w:r>
    </w:p>
    <w:p w14:paraId="1C967C27" w14:textId="7BA10D6E" w:rsidR="00EE5467" w:rsidRDefault="00074173" w:rsidP="00EE5467">
      <w:pPr>
        <w:pStyle w:val="Header"/>
        <w:numPr>
          <w:ilvl w:val="1"/>
          <w:numId w:val="3"/>
        </w:numPr>
        <w:rPr>
          <w:rFonts w:cs="Arial"/>
        </w:rPr>
      </w:pPr>
      <w:hyperlink w:anchor="Community_transition_services" w:history="1">
        <w:r w:rsidR="00EE5467" w:rsidRPr="00074173">
          <w:rPr>
            <w:rStyle w:val="Hyperlink"/>
            <w:rFonts w:cs="Arial"/>
          </w:rPr>
          <w:t>Community Transition Services</w:t>
        </w:r>
      </w:hyperlink>
    </w:p>
    <w:p w14:paraId="54259791" w14:textId="6BF7FDD8" w:rsidR="00EE5467" w:rsidRDefault="00074173" w:rsidP="00EE5467">
      <w:pPr>
        <w:pStyle w:val="Header"/>
        <w:numPr>
          <w:ilvl w:val="1"/>
          <w:numId w:val="3"/>
        </w:numPr>
        <w:rPr>
          <w:rFonts w:cs="Arial"/>
        </w:rPr>
      </w:pPr>
      <w:hyperlink w:anchor="Caregiver_Management" w:history="1">
        <w:r w:rsidR="00F65D45" w:rsidRPr="00074173">
          <w:rPr>
            <w:rStyle w:val="Hyperlink"/>
            <w:rFonts w:cs="Arial"/>
          </w:rPr>
          <w:t>Caregiver Management Training</w:t>
        </w:r>
      </w:hyperlink>
      <w:r w:rsidR="00F65D45">
        <w:rPr>
          <w:rFonts w:cs="Arial"/>
        </w:rPr>
        <w:t xml:space="preserve"> </w:t>
      </w:r>
    </w:p>
    <w:p w14:paraId="413486BE" w14:textId="7931725C" w:rsidR="00B90211" w:rsidRDefault="00074173" w:rsidP="00EE5467">
      <w:pPr>
        <w:pStyle w:val="Header"/>
        <w:numPr>
          <w:ilvl w:val="1"/>
          <w:numId w:val="3"/>
        </w:numPr>
        <w:rPr>
          <w:rFonts w:cs="Arial"/>
        </w:rPr>
      </w:pPr>
      <w:hyperlink w:anchor="Annual_Limit" w:history="1">
        <w:r w:rsidR="00B90211" w:rsidRPr="00074173">
          <w:rPr>
            <w:rStyle w:val="Hyperlink"/>
            <w:rFonts w:cs="Arial"/>
          </w:rPr>
          <w:t>Annual Limit</w:t>
        </w:r>
      </w:hyperlink>
      <w:r w:rsidR="00B90211">
        <w:rPr>
          <w:rFonts w:cs="Arial"/>
        </w:rPr>
        <w:t xml:space="preserve"> </w:t>
      </w:r>
    </w:p>
    <w:p w14:paraId="081F015C" w14:textId="77777777" w:rsidR="00074173" w:rsidRDefault="00074173" w:rsidP="00083918">
      <w:pPr>
        <w:pStyle w:val="Header"/>
        <w:ind w:left="1440"/>
        <w:rPr>
          <w:rFonts w:cs="Arial"/>
        </w:rPr>
      </w:pPr>
    </w:p>
    <w:p w14:paraId="428E54C2" w14:textId="3A51AF7E" w:rsidR="00074173" w:rsidRDefault="00074173" w:rsidP="00083918">
      <w:pPr>
        <w:pStyle w:val="Header"/>
        <w:numPr>
          <w:ilvl w:val="0"/>
          <w:numId w:val="3"/>
        </w:numPr>
        <w:rPr>
          <w:rFonts w:cs="Arial"/>
        </w:rPr>
      </w:pPr>
      <w:hyperlink w:anchor="Can_Clients_Switch_Programs" w:history="1">
        <w:r w:rsidRPr="00074173">
          <w:rPr>
            <w:rStyle w:val="Hyperlink"/>
            <w:rFonts w:cs="Arial"/>
          </w:rPr>
          <w:t>Can clients switch between programs?</w:t>
        </w:r>
      </w:hyperlink>
    </w:p>
    <w:p w14:paraId="569F9119" w14:textId="29CF907F" w:rsidR="00074173" w:rsidRPr="00083918" w:rsidRDefault="00074173" w:rsidP="00083918">
      <w:pPr>
        <w:numPr>
          <w:ilvl w:val="1"/>
          <w:numId w:val="3"/>
        </w:numPr>
        <w:rPr>
          <w:rFonts w:cs="Arial"/>
        </w:rPr>
      </w:pPr>
      <w:hyperlink w:anchor="MPC_who_want_CFC" w:history="1">
        <w:r w:rsidRPr="00083918">
          <w:rPr>
            <w:rStyle w:val="Hyperlink"/>
            <w:rFonts w:cs="Arial"/>
          </w:rPr>
          <w:t>Clients on MPC who want to enroll in CFC:</w:t>
        </w:r>
      </w:hyperlink>
    </w:p>
    <w:p w14:paraId="4F870C84" w14:textId="24871DF6" w:rsidR="00074173" w:rsidRPr="00083918" w:rsidRDefault="00074173" w:rsidP="00083918">
      <w:pPr>
        <w:numPr>
          <w:ilvl w:val="1"/>
          <w:numId w:val="3"/>
        </w:numPr>
        <w:rPr>
          <w:rFonts w:cs="Arial"/>
        </w:rPr>
      </w:pPr>
      <w:hyperlink w:anchor="MPC_who_want_CFC_COPES" w:history="1">
        <w:r w:rsidRPr="00083918">
          <w:rPr>
            <w:rStyle w:val="Hyperlink"/>
            <w:rFonts w:cs="Arial"/>
          </w:rPr>
          <w:t>Clients on MPC who want to enroll in CFC + COPES:</w:t>
        </w:r>
      </w:hyperlink>
    </w:p>
    <w:p w14:paraId="7E8F747A" w14:textId="2F374A5B" w:rsidR="00074173" w:rsidRPr="00083918" w:rsidRDefault="00074173" w:rsidP="00083918">
      <w:pPr>
        <w:numPr>
          <w:ilvl w:val="1"/>
          <w:numId w:val="3"/>
        </w:numPr>
        <w:rPr>
          <w:rFonts w:cs="Arial"/>
        </w:rPr>
      </w:pPr>
      <w:hyperlink w:anchor="MAGI_ABP_MPC_who_want_CFC_COPES" w:history="1">
        <w:r w:rsidRPr="00083918">
          <w:rPr>
            <w:rStyle w:val="Hyperlink"/>
            <w:rFonts w:cs="Arial"/>
          </w:rPr>
          <w:t>MAGI-based Clients on ABP MPC who want to enroll in CFC + COPES:</w:t>
        </w:r>
      </w:hyperlink>
    </w:p>
    <w:p w14:paraId="00FC08D8" w14:textId="5E00ECE6" w:rsidR="00074173" w:rsidRDefault="00074173" w:rsidP="00083918">
      <w:pPr>
        <w:pStyle w:val="Header"/>
        <w:numPr>
          <w:ilvl w:val="1"/>
          <w:numId w:val="3"/>
        </w:numPr>
        <w:rPr>
          <w:rFonts w:cs="Arial"/>
        </w:rPr>
      </w:pPr>
      <w:hyperlink w:anchor="Clients_on_CFC_who_want_CFC_COPES" w:history="1">
        <w:r w:rsidRPr="00074173">
          <w:rPr>
            <w:rStyle w:val="Hyperlink"/>
            <w:rFonts w:cs="Arial"/>
          </w:rPr>
          <w:t>Clients on CFC who want to enroll in CFC + COPES</w:t>
        </w:r>
      </w:hyperlink>
    </w:p>
    <w:p w14:paraId="5FEBFFA3" w14:textId="77777777" w:rsidR="00074173" w:rsidRDefault="00074173" w:rsidP="00083918">
      <w:pPr>
        <w:pStyle w:val="Header"/>
        <w:ind w:left="720"/>
        <w:rPr>
          <w:rFonts w:cs="Arial"/>
        </w:rPr>
      </w:pPr>
    </w:p>
    <w:p w14:paraId="0F14C9A0" w14:textId="12CAF364" w:rsidR="00EE5467" w:rsidRDefault="00074173" w:rsidP="00EE5467">
      <w:pPr>
        <w:pStyle w:val="Header"/>
        <w:numPr>
          <w:ilvl w:val="0"/>
          <w:numId w:val="3"/>
        </w:numPr>
        <w:rPr>
          <w:rFonts w:cs="Arial"/>
        </w:rPr>
      </w:pPr>
      <w:hyperlink w:anchor="Where_can_individuals_receive_CFC" w:history="1">
        <w:r w:rsidR="00EE5467" w:rsidRPr="00074173">
          <w:rPr>
            <w:rStyle w:val="Hyperlink"/>
            <w:rFonts w:cs="Arial"/>
          </w:rPr>
          <w:t>Where can individuals receive</w:t>
        </w:r>
        <w:r w:rsidR="00453CB2" w:rsidRPr="00074173">
          <w:rPr>
            <w:rStyle w:val="Hyperlink"/>
            <w:rFonts w:cs="Arial"/>
          </w:rPr>
          <w:t xml:space="preserve"> CFC</w:t>
        </w:r>
        <w:r w:rsidR="00EE5467" w:rsidRPr="00074173">
          <w:rPr>
            <w:rStyle w:val="Hyperlink"/>
            <w:rFonts w:cs="Arial"/>
          </w:rPr>
          <w:t xml:space="preserve"> services?</w:t>
        </w:r>
      </w:hyperlink>
    </w:p>
    <w:p w14:paraId="2B87A80A" w14:textId="7B7635D4" w:rsidR="00453CB2" w:rsidRDefault="00453CB2" w:rsidP="00453CB2">
      <w:pPr>
        <w:pStyle w:val="ListParagraph"/>
        <w:rPr>
          <w:rFonts w:cs="Arial"/>
        </w:rPr>
      </w:pPr>
    </w:p>
    <w:p w14:paraId="0E4641DB" w14:textId="279B756B" w:rsidR="00453CB2" w:rsidRDefault="00074173" w:rsidP="00EE5467">
      <w:pPr>
        <w:pStyle w:val="Header"/>
        <w:numPr>
          <w:ilvl w:val="0"/>
          <w:numId w:val="3"/>
        </w:numPr>
        <w:rPr>
          <w:rFonts w:cs="Arial"/>
        </w:rPr>
      </w:pPr>
      <w:hyperlink w:anchor="Use_of_Acknowledgement_of_Services_Form" w:history="1">
        <w:r w:rsidR="00453CB2" w:rsidRPr="00074173">
          <w:rPr>
            <w:rStyle w:val="Hyperlink"/>
          </w:rPr>
          <w:t>Use of the Acknowledgement of Services Form</w:t>
        </w:r>
      </w:hyperlink>
    </w:p>
    <w:p w14:paraId="38592735" w14:textId="77777777" w:rsidR="00EE5467" w:rsidRDefault="00EE5467" w:rsidP="00EE5467">
      <w:pPr>
        <w:pStyle w:val="Header"/>
        <w:ind w:left="720"/>
        <w:rPr>
          <w:rFonts w:cs="Arial"/>
        </w:rPr>
      </w:pPr>
    </w:p>
    <w:p w14:paraId="4F41DC04" w14:textId="40EC7594" w:rsidR="00EE5467" w:rsidRDefault="00074173" w:rsidP="00EE5467">
      <w:pPr>
        <w:pStyle w:val="Header"/>
        <w:numPr>
          <w:ilvl w:val="0"/>
          <w:numId w:val="3"/>
        </w:numPr>
        <w:rPr>
          <w:rFonts w:cs="Arial"/>
        </w:rPr>
      </w:pPr>
      <w:hyperlink w:anchor="RSN_Clients" w:history="1">
        <w:r w:rsidR="000F6C1D" w:rsidRPr="00074173">
          <w:rPr>
            <w:rStyle w:val="Hyperlink"/>
            <w:rFonts w:cs="Arial"/>
          </w:rPr>
          <w:t>CFC for Regional Support Network (RSN) clients</w:t>
        </w:r>
      </w:hyperlink>
    </w:p>
    <w:p w14:paraId="2CA27566" w14:textId="77777777" w:rsidR="00EE5467" w:rsidRDefault="00EE5467">
      <w:pPr>
        <w:rPr>
          <w:rFonts w:cs="Arial"/>
        </w:rPr>
      </w:pPr>
    </w:p>
    <w:p w14:paraId="6F7E8BC4" w14:textId="77777777" w:rsidR="00223083" w:rsidRDefault="00223083">
      <w:pPr>
        <w:rPr>
          <w:b/>
          <w:sz w:val="28"/>
          <w:szCs w:val="28"/>
        </w:rPr>
      </w:pPr>
      <w:r>
        <w:rPr>
          <w:b/>
          <w:sz w:val="28"/>
          <w:szCs w:val="28"/>
        </w:rPr>
        <w:br w:type="page"/>
      </w:r>
    </w:p>
    <w:p w14:paraId="64C4C381" w14:textId="77777777" w:rsidR="00857A0D" w:rsidRDefault="00774053" w:rsidP="00857A0D">
      <w:pPr>
        <w:rPr>
          <w:rFonts w:cs="Arial"/>
        </w:rPr>
      </w:pPr>
      <w:bookmarkStart w:id="4" w:name="What_is_Community_First_Choice"/>
      <w:r>
        <w:rPr>
          <w:b/>
          <w:sz w:val="28"/>
          <w:szCs w:val="28"/>
        </w:rPr>
        <w:lastRenderedPageBreak/>
        <w:t xml:space="preserve">What is </w:t>
      </w:r>
      <w:r w:rsidR="00857A0D">
        <w:rPr>
          <w:b/>
          <w:sz w:val="28"/>
          <w:szCs w:val="28"/>
        </w:rPr>
        <w:t>Community First Choice</w:t>
      </w:r>
      <w:r>
        <w:rPr>
          <w:b/>
          <w:sz w:val="28"/>
          <w:szCs w:val="28"/>
        </w:rPr>
        <w:t xml:space="preserve"> (CFC)?</w:t>
      </w:r>
    </w:p>
    <w:p w14:paraId="6B8D1BE1" w14:textId="77777777" w:rsidR="00203DB3" w:rsidRDefault="00203DB3">
      <w:pPr>
        <w:rPr>
          <w:rFonts w:cs="Arial"/>
        </w:rPr>
      </w:pPr>
      <w:bookmarkStart w:id="5" w:name="MPC"/>
      <w:bookmarkEnd w:id="5"/>
      <w:bookmarkEnd w:id="4"/>
    </w:p>
    <w:p w14:paraId="1F7375C9" w14:textId="77777777" w:rsidR="00883A00" w:rsidRDefault="00857A0D">
      <w:pPr>
        <w:rPr>
          <w:rFonts w:cs="Arial"/>
        </w:rPr>
      </w:pPr>
      <w:r>
        <w:rPr>
          <w:rFonts w:cs="Arial"/>
        </w:rPr>
        <w:t>CFC</w:t>
      </w:r>
      <w:r w:rsidRPr="00F67F82">
        <w:rPr>
          <w:rFonts w:cs="Arial"/>
        </w:rPr>
        <w:t xml:space="preserve"> </w:t>
      </w:r>
      <w:r w:rsidR="00A7787F">
        <w:rPr>
          <w:rFonts w:cs="Arial"/>
        </w:rPr>
        <w:t xml:space="preserve">is </w:t>
      </w:r>
      <w:r w:rsidR="00883A00">
        <w:rPr>
          <w:rFonts w:cs="Arial"/>
        </w:rPr>
        <w:t xml:space="preserve">a Medicaid State Plan program. CFC eligibility includes clients who, </w:t>
      </w:r>
      <w:r w:rsidR="00883A00" w:rsidRPr="00252DD5">
        <w:rPr>
          <w:rFonts w:eastAsiaTheme="minorHAnsi" w:cs="Arial"/>
        </w:rPr>
        <w:t>in the absence of the</w:t>
      </w:r>
      <w:r w:rsidR="00883A00">
        <w:rPr>
          <w:rFonts w:eastAsiaTheme="minorHAnsi" w:cs="Arial"/>
        </w:rPr>
        <w:t xml:space="preserve"> </w:t>
      </w:r>
      <w:r w:rsidR="00883A00" w:rsidRPr="00252DD5">
        <w:rPr>
          <w:rFonts w:eastAsiaTheme="minorHAnsi" w:cs="Arial"/>
        </w:rPr>
        <w:t xml:space="preserve">home and community-based attendant services and supports provided under </w:t>
      </w:r>
      <w:r w:rsidR="00883A00">
        <w:rPr>
          <w:rFonts w:eastAsiaTheme="minorHAnsi" w:cs="Arial"/>
        </w:rPr>
        <w:t>CFC</w:t>
      </w:r>
      <w:r w:rsidR="00883A00" w:rsidRPr="00252DD5">
        <w:rPr>
          <w:rFonts w:eastAsiaTheme="minorHAnsi" w:cs="Arial"/>
        </w:rPr>
        <w:t>, would otherwise require the level of care furnished in a</w:t>
      </w:r>
      <w:r w:rsidR="00883A00">
        <w:rPr>
          <w:rFonts w:eastAsiaTheme="minorHAnsi" w:cs="Arial"/>
        </w:rPr>
        <w:t xml:space="preserve"> </w:t>
      </w:r>
      <w:r w:rsidR="00883A00" w:rsidRPr="00252DD5">
        <w:rPr>
          <w:rFonts w:eastAsiaTheme="minorHAnsi" w:cs="Arial"/>
        </w:rPr>
        <w:t>hospital, a nursing facility, an intermediate care facility for individuals with</w:t>
      </w:r>
      <w:r w:rsidR="00883A00">
        <w:rPr>
          <w:rFonts w:eastAsiaTheme="minorHAnsi" w:cs="Arial"/>
        </w:rPr>
        <w:t xml:space="preserve"> </w:t>
      </w:r>
      <w:r w:rsidR="00883A00" w:rsidRPr="00252DD5">
        <w:rPr>
          <w:rFonts w:eastAsiaTheme="minorHAnsi" w:cs="Arial"/>
        </w:rPr>
        <w:t>intellectual disabilities, an institution providing psychiatric services for individuals</w:t>
      </w:r>
      <w:r w:rsidR="00883A00">
        <w:rPr>
          <w:rFonts w:eastAsiaTheme="minorHAnsi" w:cs="Arial"/>
        </w:rPr>
        <w:t xml:space="preserve"> </w:t>
      </w:r>
      <w:r w:rsidR="00883A00" w:rsidRPr="00252DD5">
        <w:rPr>
          <w:rFonts w:eastAsiaTheme="minorHAnsi" w:cs="Arial"/>
        </w:rPr>
        <w:t>under age 21, or an institution for mental diseases for individuals age 65 or over,</w:t>
      </w:r>
      <w:r w:rsidR="00883A00">
        <w:rPr>
          <w:rFonts w:eastAsiaTheme="minorHAnsi" w:cs="Arial"/>
        </w:rPr>
        <w:t xml:space="preserve"> </w:t>
      </w:r>
      <w:r w:rsidR="00883A00" w:rsidRPr="00252DD5">
        <w:rPr>
          <w:rFonts w:eastAsiaTheme="minorHAnsi" w:cs="Arial"/>
        </w:rPr>
        <w:t>if the cost could be reimbursed under the State Plan</w:t>
      </w:r>
      <w:r w:rsidR="00203DB3">
        <w:rPr>
          <w:rFonts w:eastAsiaTheme="minorHAnsi" w:cs="Arial"/>
        </w:rPr>
        <w:t>.</w:t>
      </w:r>
    </w:p>
    <w:p w14:paraId="2B7A5AFD" w14:textId="77777777" w:rsidR="00883A00" w:rsidRDefault="00883A00">
      <w:pPr>
        <w:rPr>
          <w:rFonts w:cs="Arial"/>
        </w:rPr>
      </w:pPr>
    </w:p>
    <w:p w14:paraId="100173E1" w14:textId="77777777" w:rsidR="00857A0D" w:rsidRDefault="00183F86" w:rsidP="00857A0D">
      <w:pPr>
        <w:rPr>
          <w:rFonts w:cs="Arial"/>
        </w:rPr>
      </w:pPr>
      <w:r>
        <w:rPr>
          <w:rFonts w:cs="Arial"/>
        </w:rPr>
        <w:t>Medicaid Personal Care (</w:t>
      </w:r>
      <w:r w:rsidR="00A7787F">
        <w:rPr>
          <w:rFonts w:cs="Arial"/>
        </w:rPr>
        <w:t>MPC</w:t>
      </w:r>
      <w:r>
        <w:rPr>
          <w:rFonts w:cs="Arial"/>
        </w:rPr>
        <w:t>)</w:t>
      </w:r>
      <w:r w:rsidR="00A7787F">
        <w:rPr>
          <w:rFonts w:cs="Arial"/>
        </w:rPr>
        <w:t xml:space="preserve"> </w:t>
      </w:r>
      <w:r w:rsidR="00883A00">
        <w:rPr>
          <w:rFonts w:cs="Arial"/>
        </w:rPr>
        <w:t xml:space="preserve">is also a Medicaid State Plan program.  MPC is available </w:t>
      </w:r>
      <w:r w:rsidR="00A7787F">
        <w:rPr>
          <w:rFonts w:cs="Arial"/>
        </w:rPr>
        <w:t xml:space="preserve">to those clients who do not meet </w:t>
      </w:r>
      <w:r w:rsidR="00520839">
        <w:rPr>
          <w:rFonts w:cs="Arial"/>
        </w:rPr>
        <w:t>institutional level of care</w:t>
      </w:r>
      <w:r w:rsidR="00883A00">
        <w:rPr>
          <w:rFonts w:cs="Arial"/>
        </w:rPr>
        <w:t>.  I</w:t>
      </w:r>
      <w:r w:rsidR="00C830A0">
        <w:rPr>
          <w:rFonts w:cs="Arial"/>
        </w:rPr>
        <w:t xml:space="preserve">n Home and Community Services (HCS) </w:t>
      </w:r>
      <w:r w:rsidR="00883A00">
        <w:rPr>
          <w:rFonts w:cs="Arial"/>
        </w:rPr>
        <w:t xml:space="preserve">institutional level of </w:t>
      </w:r>
      <w:r w:rsidR="00203DB3">
        <w:rPr>
          <w:rFonts w:cs="Arial"/>
        </w:rPr>
        <w:t>care is nursing</w:t>
      </w:r>
      <w:r w:rsidR="00C830A0">
        <w:rPr>
          <w:rFonts w:cs="Arial"/>
        </w:rPr>
        <w:t xml:space="preserve"> facility level of care (NFLOC)</w:t>
      </w:r>
      <w:r w:rsidR="00D0607F">
        <w:rPr>
          <w:rFonts w:cs="Arial"/>
        </w:rPr>
        <w:t xml:space="preserve"> and in DDA it is Intermediate Care Facility for</w:t>
      </w:r>
      <w:r w:rsidR="00203DB3">
        <w:rPr>
          <w:rFonts w:cs="Arial"/>
        </w:rPr>
        <w:t xml:space="preserve"> individuals with</w:t>
      </w:r>
      <w:r w:rsidR="00D0607F">
        <w:rPr>
          <w:rFonts w:cs="Arial"/>
        </w:rPr>
        <w:t xml:space="preserve"> Intellectual Disabilities (ICF/ID) level of care</w:t>
      </w:r>
      <w:r w:rsidR="00520839">
        <w:rPr>
          <w:rFonts w:cs="Arial"/>
        </w:rPr>
        <w:t>.</w:t>
      </w:r>
      <w:r w:rsidR="00A7787F">
        <w:rPr>
          <w:rFonts w:cs="Arial"/>
        </w:rPr>
        <w:t xml:space="preserve"> </w:t>
      </w:r>
    </w:p>
    <w:p w14:paraId="22C73BA8" w14:textId="77777777" w:rsidR="00391C70" w:rsidRDefault="00391C70" w:rsidP="00857A0D">
      <w:pPr>
        <w:rPr>
          <w:rFonts w:cs="Arial"/>
        </w:rPr>
      </w:pPr>
    </w:p>
    <w:p w14:paraId="5048695B" w14:textId="77777777" w:rsidR="00857A0D" w:rsidRPr="00F67F82" w:rsidRDefault="00857A0D" w:rsidP="00857A0D">
      <w:pPr>
        <w:rPr>
          <w:rFonts w:cs="Arial"/>
        </w:rPr>
      </w:pPr>
      <w:r>
        <w:rPr>
          <w:rFonts w:cs="Arial"/>
        </w:rPr>
        <w:t>CF</w:t>
      </w:r>
      <w:r w:rsidRPr="00F67F82">
        <w:rPr>
          <w:rFonts w:cs="Arial"/>
        </w:rPr>
        <w:t>C pays for personal care</w:t>
      </w:r>
      <w:r>
        <w:rPr>
          <w:rFonts w:cs="Arial"/>
        </w:rPr>
        <w:t>;</w:t>
      </w:r>
      <w:r w:rsidRPr="00F67F82">
        <w:rPr>
          <w:rFonts w:cs="Arial"/>
        </w:rPr>
        <w:t xml:space="preserve"> which is assistance with the following Activities of Daily Living (ADLs)</w:t>
      </w:r>
      <w:r w:rsidR="00774053">
        <w:rPr>
          <w:rFonts w:cs="Arial"/>
        </w:rPr>
        <w:t>,</w:t>
      </w:r>
      <w:r w:rsidRPr="00F67F82">
        <w:rPr>
          <w:rFonts w:cs="Arial"/>
        </w:rPr>
        <w:t xml:space="preserve"> Instrumental Activities of Daily Living (IADLs)</w:t>
      </w:r>
      <w:r w:rsidR="00520839">
        <w:rPr>
          <w:rFonts w:cs="Arial"/>
        </w:rPr>
        <w:t>,</w:t>
      </w:r>
      <w:r w:rsidR="00774053">
        <w:rPr>
          <w:rFonts w:cs="Arial"/>
        </w:rPr>
        <w:t xml:space="preserve"> and health related tasks</w:t>
      </w:r>
      <w:r w:rsidRPr="00F67F82">
        <w:rPr>
          <w:rFonts w:cs="Arial"/>
        </w:rPr>
        <w:t>.  Assistance for IADLs is available only when the client also needs assistance with ADLs.</w:t>
      </w:r>
    </w:p>
    <w:p w14:paraId="04FEB349" w14:textId="77777777" w:rsidR="00EE5467" w:rsidRPr="00F67F82" w:rsidRDefault="00EE5467" w:rsidP="00857A0D">
      <w:pPr>
        <w:ind w:left="144"/>
        <w:rPr>
          <w:rFonts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3733"/>
      </w:tblGrid>
      <w:tr w:rsidR="00857A0D" w:rsidRPr="00F67F82" w14:paraId="68DD3313" w14:textId="77777777" w:rsidTr="00066B87">
        <w:trPr>
          <w:trHeight w:val="806"/>
        </w:trPr>
        <w:tc>
          <w:tcPr>
            <w:tcW w:w="5040" w:type="dxa"/>
            <w:shd w:val="clear" w:color="auto" w:fill="E5B8B7"/>
            <w:vAlign w:val="center"/>
          </w:tcPr>
          <w:p w14:paraId="3A30A839" w14:textId="77777777" w:rsidR="00857A0D" w:rsidRPr="00F67F82" w:rsidRDefault="00857A0D" w:rsidP="00A26CA5">
            <w:pPr>
              <w:jc w:val="center"/>
              <w:rPr>
                <w:rFonts w:cs="Arial"/>
                <w:b/>
              </w:rPr>
            </w:pPr>
            <w:r w:rsidRPr="00F67F82">
              <w:rPr>
                <w:rFonts w:cs="Arial"/>
                <w:b/>
              </w:rPr>
              <w:t>ADLs</w:t>
            </w:r>
          </w:p>
        </w:tc>
        <w:tc>
          <w:tcPr>
            <w:tcW w:w="3733" w:type="dxa"/>
            <w:shd w:val="clear" w:color="auto" w:fill="E5B8B7"/>
            <w:vAlign w:val="center"/>
          </w:tcPr>
          <w:p w14:paraId="77B26F17" w14:textId="77777777" w:rsidR="00857A0D" w:rsidRPr="00F67F82" w:rsidRDefault="00857A0D" w:rsidP="00A26CA5">
            <w:pPr>
              <w:jc w:val="center"/>
              <w:rPr>
                <w:rFonts w:cs="Arial"/>
                <w:b/>
              </w:rPr>
            </w:pPr>
            <w:r w:rsidRPr="00F67F82">
              <w:rPr>
                <w:rFonts w:cs="Arial"/>
                <w:b/>
              </w:rPr>
              <w:t>IADLs</w:t>
            </w:r>
          </w:p>
          <w:p w14:paraId="135CC423" w14:textId="77777777" w:rsidR="00857A0D" w:rsidRPr="00F67F82" w:rsidRDefault="00857A0D" w:rsidP="00A26CA5">
            <w:pPr>
              <w:jc w:val="center"/>
              <w:rPr>
                <w:rFonts w:cs="Arial"/>
              </w:rPr>
            </w:pPr>
            <w:r w:rsidRPr="00F67F82">
              <w:rPr>
                <w:rFonts w:cs="Arial"/>
              </w:rPr>
              <w:t>IADLs must be incidental to the personal care need.</w:t>
            </w:r>
          </w:p>
        </w:tc>
      </w:tr>
      <w:tr w:rsidR="00857A0D" w:rsidRPr="00F67F82" w14:paraId="307C8B3E" w14:textId="77777777" w:rsidTr="00066B87">
        <w:trPr>
          <w:trHeight w:val="3226"/>
        </w:trPr>
        <w:tc>
          <w:tcPr>
            <w:tcW w:w="5040" w:type="dxa"/>
          </w:tcPr>
          <w:p w14:paraId="08FD613B" w14:textId="77777777" w:rsidR="00857A0D" w:rsidRPr="00F67F82" w:rsidRDefault="00857A0D" w:rsidP="00066B87">
            <w:pPr>
              <w:numPr>
                <w:ilvl w:val="0"/>
                <w:numId w:val="65"/>
              </w:numPr>
              <w:rPr>
                <w:rFonts w:cs="Arial"/>
              </w:rPr>
            </w:pPr>
            <w:r w:rsidRPr="00F67F82">
              <w:rPr>
                <w:rFonts w:cs="Arial"/>
              </w:rPr>
              <w:t>Bathing</w:t>
            </w:r>
          </w:p>
          <w:p w14:paraId="7B87DB8A" w14:textId="77777777" w:rsidR="00857A0D" w:rsidRPr="00F67F82" w:rsidRDefault="00857A0D" w:rsidP="00066B87">
            <w:pPr>
              <w:numPr>
                <w:ilvl w:val="0"/>
                <w:numId w:val="65"/>
              </w:numPr>
              <w:rPr>
                <w:rFonts w:cs="Arial"/>
              </w:rPr>
            </w:pPr>
            <w:r w:rsidRPr="00F67F82">
              <w:rPr>
                <w:rFonts w:cs="Arial"/>
              </w:rPr>
              <w:t>Bed Mobility</w:t>
            </w:r>
          </w:p>
          <w:p w14:paraId="25FE256F" w14:textId="1E021D88" w:rsidR="00857A0D" w:rsidRPr="00F67F82" w:rsidRDefault="00857A0D" w:rsidP="00066B87">
            <w:pPr>
              <w:numPr>
                <w:ilvl w:val="0"/>
                <w:numId w:val="65"/>
              </w:numPr>
              <w:rPr>
                <w:rFonts w:cs="Arial"/>
              </w:rPr>
            </w:pPr>
            <w:r w:rsidRPr="00F67F82">
              <w:rPr>
                <w:rFonts w:cs="Arial"/>
              </w:rPr>
              <w:t>Body Care (appl</w:t>
            </w:r>
            <w:r w:rsidR="00066B87">
              <w:rPr>
                <w:rFonts w:cs="Arial"/>
              </w:rPr>
              <w:t>ication</w:t>
            </w:r>
            <w:r w:rsidRPr="00F67F82">
              <w:rPr>
                <w:rFonts w:cs="Arial"/>
              </w:rPr>
              <w:t xml:space="preserve"> of dressings/lotions, foot care, etc.)  </w:t>
            </w:r>
          </w:p>
          <w:p w14:paraId="21EEE72C" w14:textId="77777777" w:rsidR="00857A0D" w:rsidRPr="00F67F82" w:rsidRDefault="00857A0D" w:rsidP="00066B87">
            <w:pPr>
              <w:numPr>
                <w:ilvl w:val="0"/>
                <w:numId w:val="65"/>
              </w:numPr>
              <w:rPr>
                <w:rFonts w:cs="Arial"/>
              </w:rPr>
            </w:pPr>
            <w:r w:rsidRPr="00F67F82">
              <w:rPr>
                <w:rFonts w:cs="Arial"/>
              </w:rPr>
              <w:t>Dressing</w:t>
            </w:r>
          </w:p>
          <w:p w14:paraId="65274046" w14:textId="77777777" w:rsidR="00857A0D" w:rsidRPr="00F67F82" w:rsidRDefault="00857A0D" w:rsidP="00066B87">
            <w:pPr>
              <w:numPr>
                <w:ilvl w:val="0"/>
                <w:numId w:val="65"/>
              </w:numPr>
              <w:rPr>
                <w:rFonts w:cs="Arial"/>
              </w:rPr>
            </w:pPr>
            <w:r w:rsidRPr="00F67F82">
              <w:rPr>
                <w:rFonts w:cs="Arial"/>
              </w:rPr>
              <w:t>Eating</w:t>
            </w:r>
          </w:p>
          <w:p w14:paraId="2DD9AD99" w14:textId="77777777" w:rsidR="00857A0D" w:rsidRPr="00F67F82" w:rsidRDefault="00857A0D" w:rsidP="00066B87">
            <w:pPr>
              <w:numPr>
                <w:ilvl w:val="0"/>
                <w:numId w:val="65"/>
              </w:numPr>
              <w:rPr>
                <w:rFonts w:cs="Arial"/>
              </w:rPr>
            </w:pPr>
            <w:r w:rsidRPr="00F67F82">
              <w:rPr>
                <w:rFonts w:cs="Arial"/>
              </w:rPr>
              <w:t>Locomotion</w:t>
            </w:r>
          </w:p>
          <w:p w14:paraId="12E59D34" w14:textId="77777777" w:rsidR="00857A0D" w:rsidRPr="00F67F82" w:rsidRDefault="00857A0D" w:rsidP="00066B87">
            <w:pPr>
              <w:numPr>
                <w:ilvl w:val="0"/>
                <w:numId w:val="65"/>
              </w:numPr>
              <w:rPr>
                <w:rFonts w:cs="Arial"/>
              </w:rPr>
            </w:pPr>
            <w:r w:rsidRPr="00F67F82">
              <w:rPr>
                <w:rFonts w:cs="Arial"/>
              </w:rPr>
              <w:t>Medication Management</w:t>
            </w:r>
          </w:p>
          <w:p w14:paraId="0DCC8678" w14:textId="77777777" w:rsidR="00857A0D" w:rsidRPr="00F67F82" w:rsidRDefault="00857A0D" w:rsidP="00066B87">
            <w:pPr>
              <w:numPr>
                <w:ilvl w:val="0"/>
                <w:numId w:val="65"/>
              </w:numPr>
              <w:rPr>
                <w:rFonts w:cs="Arial"/>
              </w:rPr>
            </w:pPr>
            <w:r w:rsidRPr="00F67F82">
              <w:rPr>
                <w:rFonts w:cs="Arial"/>
              </w:rPr>
              <w:t>Toilet Use</w:t>
            </w:r>
          </w:p>
          <w:p w14:paraId="7A4F745E" w14:textId="77777777" w:rsidR="00857A0D" w:rsidRPr="00F67F82" w:rsidRDefault="00857A0D" w:rsidP="00066B87">
            <w:pPr>
              <w:numPr>
                <w:ilvl w:val="0"/>
                <w:numId w:val="65"/>
              </w:numPr>
              <w:rPr>
                <w:rFonts w:cs="Arial"/>
              </w:rPr>
            </w:pPr>
            <w:r w:rsidRPr="00F67F82">
              <w:rPr>
                <w:rFonts w:cs="Arial"/>
              </w:rPr>
              <w:t>Transfer</w:t>
            </w:r>
          </w:p>
          <w:p w14:paraId="553044FD" w14:textId="77777777" w:rsidR="00857A0D" w:rsidRPr="003C0CCA" w:rsidRDefault="00857A0D" w:rsidP="00066B87">
            <w:pPr>
              <w:numPr>
                <w:ilvl w:val="0"/>
                <w:numId w:val="65"/>
              </w:numPr>
              <w:rPr>
                <w:rFonts w:cs="Arial"/>
              </w:rPr>
            </w:pPr>
            <w:r w:rsidRPr="00F67F82">
              <w:rPr>
                <w:rFonts w:cs="Arial"/>
              </w:rPr>
              <w:t>Personal Hygiene</w:t>
            </w:r>
          </w:p>
        </w:tc>
        <w:tc>
          <w:tcPr>
            <w:tcW w:w="3733" w:type="dxa"/>
          </w:tcPr>
          <w:p w14:paraId="37D38E14" w14:textId="77777777" w:rsidR="00857A0D" w:rsidRPr="00F67F82" w:rsidRDefault="00857A0D" w:rsidP="00066B87">
            <w:pPr>
              <w:numPr>
                <w:ilvl w:val="0"/>
                <w:numId w:val="65"/>
              </w:numPr>
              <w:rPr>
                <w:rFonts w:cs="Arial"/>
              </w:rPr>
            </w:pPr>
            <w:r w:rsidRPr="00F67F82">
              <w:rPr>
                <w:rFonts w:cs="Arial"/>
              </w:rPr>
              <w:t xml:space="preserve">Meal prep </w:t>
            </w:r>
          </w:p>
          <w:p w14:paraId="49FE6BE2" w14:textId="77777777" w:rsidR="00857A0D" w:rsidRPr="00F67F82" w:rsidRDefault="00857A0D" w:rsidP="00066B87">
            <w:pPr>
              <w:numPr>
                <w:ilvl w:val="0"/>
                <w:numId w:val="65"/>
              </w:numPr>
              <w:rPr>
                <w:rFonts w:cs="Arial"/>
              </w:rPr>
            </w:pPr>
            <w:r w:rsidRPr="00F67F82">
              <w:rPr>
                <w:rFonts w:cs="Arial"/>
              </w:rPr>
              <w:t xml:space="preserve">Ordinary housework </w:t>
            </w:r>
          </w:p>
          <w:p w14:paraId="407D960B" w14:textId="77777777" w:rsidR="00857A0D" w:rsidRPr="00F67F82" w:rsidRDefault="00857A0D" w:rsidP="00066B87">
            <w:pPr>
              <w:numPr>
                <w:ilvl w:val="0"/>
                <w:numId w:val="65"/>
              </w:numPr>
              <w:rPr>
                <w:rFonts w:cs="Arial"/>
              </w:rPr>
            </w:pPr>
            <w:r w:rsidRPr="00F67F82">
              <w:rPr>
                <w:rFonts w:cs="Arial"/>
              </w:rPr>
              <w:t xml:space="preserve">Essential shopping </w:t>
            </w:r>
          </w:p>
          <w:p w14:paraId="2CF1EEC7" w14:textId="77777777" w:rsidR="00857A0D" w:rsidRPr="00F67F82" w:rsidRDefault="00857A0D" w:rsidP="00066B87">
            <w:pPr>
              <w:numPr>
                <w:ilvl w:val="0"/>
                <w:numId w:val="65"/>
              </w:numPr>
              <w:rPr>
                <w:rFonts w:cs="Arial"/>
              </w:rPr>
            </w:pPr>
            <w:r w:rsidRPr="00F67F82">
              <w:rPr>
                <w:rFonts w:cs="Arial"/>
              </w:rPr>
              <w:t xml:space="preserve">Wood supply </w:t>
            </w:r>
          </w:p>
          <w:p w14:paraId="58620668" w14:textId="77777777" w:rsidR="00857A0D" w:rsidRPr="00F67F82" w:rsidRDefault="00857A0D" w:rsidP="00066B87">
            <w:pPr>
              <w:numPr>
                <w:ilvl w:val="0"/>
                <w:numId w:val="65"/>
              </w:numPr>
              <w:rPr>
                <w:rFonts w:cs="Arial"/>
              </w:rPr>
            </w:pPr>
            <w:r w:rsidRPr="00F67F82">
              <w:rPr>
                <w:rFonts w:cs="Arial"/>
              </w:rPr>
              <w:t xml:space="preserve">Travel to medical </w:t>
            </w:r>
          </w:p>
          <w:p w14:paraId="439CB3E0" w14:textId="77777777" w:rsidR="00857A0D" w:rsidRPr="00F67F82" w:rsidRDefault="00857A0D" w:rsidP="00066B87">
            <w:pPr>
              <w:numPr>
                <w:ilvl w:val="0"/>
                <w:numId w:val="65"/>
              </w:numPr>
              <w:rPr>
                <w:rFonts w:cs="Arial"/>
              </w:rPr>
            </w:pPr>
            <w:r w:rsidRPr="00F67F82">
              <w:rPr>
                <w:rFonts w:cs="Arial"/>
              </w:rPr>
              <w:t>Telephone use</w:t>
            </w:r>
          </w:p>
          <w:p w14:paraId="6DAD6805" w14:textId="77777777" w:rsidR="00857A0D" w:rsidRPr="00F67F82" w:rsidRDefault="00857A0D" w:rsidP="00A26CA5">
            <w:pPr>
              <w:ind w:left="360"/>
              <w:rPr>
                <w:rFonts w:cs="Arial"/>
              </w:rPr>
            </w:pPr>
          </w:p>
        </w:tc>
      </w:tr>
    </w:tbl>
    <w:p w14:paraId="34F69414" w14:textId="77777777" w:rsidR="00A7787F" w:rsidRDefault="00A7787F">
      <w:pPr>
        <w:rPr>
          <w:rFonts w:cs="Arial"/>
        </w:rPr>
      </w:pPr>
    </w:p>
    <w:p w14:paraId="729B92D6" w14:textId="77777777" w:rsidR="00DC4AA3" w:rsidRDefault="00D36B26">
      <w:pPr>
        <w:rPr>
          <w:rFonts w:cs="Arial"/>
        </w:rPr>
      </w:pPr>
      <w:r>
        <w:rPr>
          <w:rFonts w:cs="Arial"/>
        </w:rPr>
        <w:t xml:space="preserve">In addition to personal care services, clients </w:t>
      </w:r>
      <w:r w:rsidR="003B2826">
        <w:rPr>
          <w:rFonts w:cs="Arial"/>
        </w:rPr>
        <w:t xml:space="preserve">may </w:t>
      </w:r>
      <w:r>
        <w:rPr>
          <w:rFonts w:cs="Arial"/>
        </w:rPr>
        <w:t>receive other services available through the CFC program</w:t>
      </w:r>
      <w:r w:rsidR="003B2826">
        <w:rPr>
          <w:rFonts w:cs="Arial"/>
        </w:rPr>
        <w:t xml:space="preserve"> </w:t>
      </w:r>
      <w:r w:rsidR="00883A00">
        <w:rPr>
          <w:rFonts w:cs="Arial"/>
        </w:rPr>
        <w:t>when they</w:t>
      </w:r>
      <w:r w:rsidR="003B2826">
        <w:rPr>
          <w:rFonts w:cs="Arial"/>
        </w:rPr>
        <w:t xml:space="preserve"> meet all of the eligibility and sub-eligibility requirements</w:t>
      </w:r>
      <w:r>
        <w:rPr>
          <w:rFonts w:cs="Arial"/>
        </w:rPr>
        <w:t xml:space="preserve">. </w:t>
      </w:r>
    </w:p>
    <w:p w14:paraId="555D1832" w14:textId="77777777" w:rsidR="00DC4AA3" w:rsidRDefault="00DC4AA3">
      <w:pPr>
        <w:rPr>
          <w:rFonts w:cs="Arial"/>
        </w:rPr>
      </w:pPr>
    </w:p>
    <w:p w14:paraId="6F762B20" w14:textId="77777777" w:rsidR="00D36B26" w:rsidRDefault="00440044">
      <w:pPr>
        <w:rPr>
          <w:rFonts w:cs="Arial"/>
        </w:rPr>
      </w:pPr>
      <w:r>
        <w:rPr>
          <w:rFonts w:cs="Arial"/>
        </w:rPr>
        <w:t>Other s</w:t>
      </w:r>
      <w:r w:rsidR="00D36B26">
        <w:rPr>
          <w:rFonts w:cs="Arial"/>
        </w:rPr>
        <w:t>ervices available through CFC include:</w:t>
      </w:r>
    </w:p>
    <w:p w14:paraId="23615939" w14:textId="77777777" w:rsidR="000B08E3" w:rsidRPr="00520839" w:rsidRDefault="000B08E3" w:rsidP="00F30DC9">
      <w:pPr>
        <w:numPr>
          <w:ilvl w:val="0"/>
          <w:numId w:val="7"/>
        </w:numPr>
        <w:ind w:left="720"/>
        <w:rPr>
          <w:rFonts w:cs="Arial"/>
        </w:rPr>
      </w:pPr>
      <w:r w:rsidRPr="00520839">
        <w:rPr>
          <w:rFonts w:cs="Arial"/>
        </w:rPr>
        <w:t>Relief Care</w:t>
      </w:r>
    </w:p>
    <w:p w14:paraId="68A89714" w14:textId="77777777" w:rsidR="00D36B26" w:rsidRDefault="00D36B26" w:rsidP="00F30DC9">
      <w:pPr>
        <w:numPr>
          <w:ilvl w:val="0"/>
          <w:numId w:val="7"/>
        </w:numPr>
        <w:ind w:left="720"/>
        <w:rPr>
          <w:rFonts w:cs="Arial"/>
        </w:rPr>
      </w:pPr>
      <w:r>
        <w:rPr>
          <w:rFonts w:cs="Arial"/>
        </w:rPr>
        <w:t>Nurse Delegation</w:t>
      </w:r>
    </w:p>
    <w:p w14:paraId="26B8BD06" w14:textId="77777777" w:rsidR="00D36B26" w:rsidRDefault="00D36B26" w:rsidP="00F30DC9">
      <w:pPr>
        <w:numPr>
          <w:ilvl w:val="0"/>
          <w:numId w:val="7"/>
        </w:numPr>
        <w:ind w:left="720"/>
        <w:rPr>
          <w:rFonts w:cs="Arial"/>
        </w:rPr>
      </w:pPr>
      <w:r>
        <w:rPr>
          <w:rFonts w:cs="Arial"/>
        </w:rPr>
        <w:t>Skills Acquisition Training</w:t>
      </w:r>
    </w:p>
    <w:p w14:paraId="18385218" w14:textId="77777777" w:rsidR="00D36B26" w:rsidRDefault="00D36B26" w:rsidP="00F30DC9">
      <w:pPr>
        <w:numPr>
          <w:ilvl w:val="0"/>
          <w:numId w:val="7"/>
        </w:numPr>
        <w:ind w:left="720"/>
        <w:rPr>
          <w:rFonts w:cs="Arial"/>
        </w:rPr>
      </w:pPr>
      <w:r>
        <w:rPr>
          <w:rFonts w:cs="Arial"/>
        </w:rPr>
        <w:t xml:space="preserve">Personal Emergency Response Systems (PERS) </w:t>
      </w:r>
    </w:p>
    <w:p w14:paraId="43B21E10" w14:textId="77777777" w:rsidR="00D36B26" w:rsidRDefault="00D36B26" w:rsidP="00F30DC9">
      <w:pPr>
        <w:numPr>
          <w:ilvl w:val="0"/>
          <w:numId w:val="7"/>
        </w:numPr>
        <w:ind w:left="720"/>
        <w:rPr>
          <w:rFonts w:cs="Arial"/>
        </w:rPr>
      </w:pPr>
      <w:r w:rsidRPr="00EE5467">
        <w:rPr>
          <w:rFonts w:cs="Arial"/>
        </w:rPr>
        <w:t>Assistive Technology</w:t>
      </w:r>
      <w:r w:rsidR="00EE5467" w:rsidRPr="00EE5467">
        <w:rPr>
          <w:rFonts w:cs="Arial"/>
        </w:rPr>
        <w:t xml:space="preserve"> </w:t>
      </w:r>
    </w:p>
    <w:p w14:paraId="23382042" w14:textId="77777777" w:rsidR="00520839" w:rsidRPr="00EE5467" w:rsidRDefault="00520839" w:rsidP="00F30DC9">
      <w:pPr>
        <w:numPr>
          <w:ilvl w:val="0"/>
          <w:numId w:val="7"/>
        </w:numPr>
        <w:ind w:left="720"/>
        <w:rPr>
          <w:rFonts w:cs="Arial"/>
        </w:rPr>
      </w:pPr>
      <w:r>
        <w:rPr>
          <w:rFonts w:cs="Arial"/>
        </w:rPr>
        <w:lastRenderedPageBreak/>
        <w:t>Community Transition Services</w:t>
      </w:r>
    </w:p>
    <w:p w14:paraId="3B3A52A7" w14:textId="77777777" w:rsidR="00D36B26" w:rsidRDefault="00520839" w:rsidP="00D36B26">
      <w:pPr>
        <w:pStyle w:val="Header"/>
        <w:numPr>
          <w:ilvl w:val="0"/>
          <w:numId w:val="3"/>
        </w:numPr>
        <w:rPr>
          <w:rFonts w:cs="Arial"/>
        </w:rPr>
      </w:pPr>
      <w:r>
        <w:rPr>
          <w:rFonts w:cs="Arial"/>
        </w:rPr>
        <w:t>Caregiver Management Training</w:t>
      </w:r>
      <w:r w:rsidR="00004DFF">
        <w:rPr>
          <w:rFonts w:cs="Arial"/>
        </w:rPr>
        <w:t xml:space="preserve"> (how to select, manage, and dismiss personal care providers).</w:t>
      </w:r>
    </w:p>
    <w:p w14:paraId="47819FDE" w14:textId="77777777" w:rsidR="00004DFF" w:rsidRPr="00004DFF" w:rsidRDefault="00004DFF" w:rsidP="00004DFF">
      <w:pPr>
        <w:pStyle w:val="Header"/>
        <w:ind w:left="720"/>
        <w:rPr>
          <w:rFonts w:cs="Arial"/>
        </w:rPr>
      </w:pPr>
    </w:p>
    <w:p w14:paraId="52DEE143" w14:textId="77777777" w:rsidR="006856D5" w:rsidRDefault="00D36B26" w:rsidP="00D36B26">
      <w:pPr>
        <w:rPr>
          <w:rFonts w:cs="Arial"/>
        </w:rPr>
      </w:pPr>
      <w:r>
        <w:rPr>
          <w:rFonts w:cs="Arial"/>
        </w:rPr>
        <w:t>Clients may need other services</w:t>
      </w:r>
      <w:r w:rsidR="006856D5">
        <w:rPr>
          <w:rFonts w:cs="Arial"/>
        </w:rPr>
        <w:t xml:space="preserve"> which are</w:t>
      </w:r>
      <w:r>
        <w:rPr>
          <w:rFonts w:cs="Arial"/>
        </w:rPr>
        <w:t xml:space="preserve"> available </w:t>
      </w:r>
      <w:r w:rsidR="00223083">
        <w:rPr>
          <w:rFonts w:cs="Arial"/>
        </w:rPr>
        <w:t>from the waiver (COPES)</w:t>
      </w:r>
      <w:r w:rsidR="001410DC">
        <w:rPr>
          <w:rFonts w:cs="Arial"/>
        </w:rPr>
        <w:t xml:space="preserve"> in addition to their CFC services</w:t>
      </w:r>
      <w:r>
        <w:rPr>
          <w:rFonts w:cs="Arial"/>
        </w:rPr>
        <w:t xml:space="preserve">.  </w:t>
      </w:r>
      <w:r w:rsidR="001410DC">
        <w:rPr>
          <w:rFonts w:cs="Arial"/>
        </w:rPr>
        <w:t xml:space="preserve">If they qualify for CFC, and are both functionally and financially eligible for </w:t>
      </w:r>
      <w:r w:rsidR="001B2A85">
        <w:rPr>
          <w:rFonts w:cs="Arial"/>
        </w:rPr>
        <w:t>waiver services</w:t>
      </w:r>
      <w:r w:rsidR="001410DC">
        <w:rPr>
          <w:rFonts w:cs="Arial"/>
        </w:rPr>
        <w:t xml:space="preserve">, they can be on both programs simultaneously in order to access additional needed </w:t>
      </w:r>
      <w:r w:rsidR="0052483D">
        <w:rPr>
          <w:rFonts w:cs="Arial"/>
        </w:rPr>
        <w:t xml:space="preserve">COPES </w:t>
      </w:r>
      <w:r w:rsidR="001410DC">
        <w:rPr>
          <w:rFonts w:cs="Arial"/>
        </w:rPr>
        <w:t xml:space="preserve">services. </w:t>
      </w:r>
      <w:r w:rsidR="0095466C">
        <w:rPr>
          <w:rFonts w:cs="Arial"/>
        </w:rPr>
        <w:t xml:space="preserve">The program </w:t>
      </w:r>
      <w:r w:rsidR="00EE5467">
        <w:rPr>
          <w:rFonts w:cs="Arial"/>
        </w:rPr>
        <w:t>option</w:t>
      </w:r>
      <w:r w:rsidR="0095466C">
        <w:rPr>
          <w:rFonts w:cs="Arial"/>
        </w:rPr>
        <w:t xml:space="preserve"> would be CFC + COPES in </w:t>
      </w:r>
      <w:r w:rsidR="0052483D">
        <w:rPr>
          <w:rFonts w:cs="Arial"/>
        </w:rPr>
        <w:t xml:space="preserve">the </w:t>
      </w:r>
      <w:r w:rsidR="0095466C">
        <w:rPr>
          <w:rFonts w:cs="Arial"/>
        </w:rPr>
        <w:t>CARE</w:t>
      </w:r>
      <w:r w:rsidR="0052483D">
        <w:rPr>
          <w:rFonts w:cs="Arial"/>
        </w:rPr>
        <w:t xml:space="preserve"> dropdown menu</w:t>
      </w:r>
      <w:r w:rsidR="0095466C">
        <w:rPr>
          <w:rFonts w:cs="Arial"/>
        </w:rPr>
        <w:t>.</w:t>
      </w:r>
      <w:r w:rsidR="00EE5467">
        <w:rPr>
          <w:rFonts w:cs="Arial"/>
        </w:rPr>
        <w:t xml:space="preserve">  </w:t>
      </w:r>
      <w:r w:rsidR="006856D5" w:rsidRPr="006856D5">
        <w:rPr>
          <w:rFonts w:cs="Arial"/>
        </w:rPr>
        <w:t xml:space="preserve">Please note that the “+” means “and”. </w:t>
      </w:r>
      <w:r w:rsidR="006856D5">
        <w:rPr>
          <w:rFonts w:cs="Arial"/>
        </w:rPr>
        <w:t xml:space="preserve"> </w:t>
      </w:r>
      <w:r w:rsidR="006856D5" w:rsidRPr="006856D5">
        <w:rPr>
          <w:rFonts w:cs="Arial"/>
        </w:rPr>
        <w:t xml:space="preserve">When a client is on CFC + COPES, they are </w:t>
      </w:r>
      <w:r w:rsidR="00883A00">
        <w:rPr>
          <w:rFonts w:cs="Arial"/>
        </w:rPr>
        <w:t>enrolled in</w:t>
      </w:r>
      <w:r w:rsidR="00883A00" w:rsidRPr="006856D5">
        <w:rPr>
          <w:rFonts w:cs="Arial"/>
        </w:rPr>
        <w:t xml:space="preserve"> </w:t>
      </w:r>
      <w:r w:rsidR="006856D5" w:rsidRPr="006856D5">
        <w:rPr>
          <w:rFonts w:cs="Arial"/>
        </w:rPr>
        <w:t xml:space="preserve">both </w:t>
      </w:r>
      <w:r w:rsidR="00440044">
        <w:rPr>
          <w:rFonts w:cs="Arial"/>
        </w:rPr>
        <w:t xml:space="preserve">the </w:t>
      </w:r>
      <w:r w:rsidR="006856D5" w:rsidRPr="006856D5">
        <w:rPr>
          <w:rFonts w:cs="Arial"/>
        </w:rPr>
        <w:t xml:space="preserve">CFC </w:t>
      </w:r>
      <w:r w:rsidR="00440044">
        <w:rPr>
          <w:rFonts w:cs="Arial"/>
        </w:rPr>
        <w:t xml:space="preserve">program </w:t>
      </w:r>
      <w:r w:rsidR="006856D5" w:rsidRPr="006856D5">
        <w:rPr>
          <w:rFonts w:cs="Arial"/>
        </w:rPr>
        <w:t>and in the COPES waiver.</w:t>
      </w:r>
    </w:p>
    <w:p w14:paraId="5BC4514B" w14:textId="77777777" w:rsidR="000A7178" w:rsidRDefault="000A7178" w:rsidP="00D36B26">
      <w:pPr>
        <w:rPr>
          <w:rFonts w:cs="Arial"/>
        </w:rPr>
      </w:pPr>
    </w:p>
    <w:p w14:paraId="156F97CB" w14:textId="02C14F78" w:rsidR="000A7178" w:rsidRPr="006856D5" w:rsidRDefault="000A7178" w:rsidP="00D36B26">
      <w:pPr>
        <w:rPr>
          <w:rFonts w:cs="Arial"/>
        </w:rPr>
      </w:pPr>
      <w:r>
        <w:rPr>
          <w:rFonts w:cs="Arial"/>
        </w:rPr>
        <w:t>DDA clients may also receive services through CFC and either the Basic Plus, Core, CIIBS, or IFS waivers.  Clients must receive prior approval from DDA Headquarters to enroll on a waiver program.</w:t>
      </w:r>
    </w:p>
    <w:p w14:paraId="4B74AA78" w14:textId="77777777" w:rsidR="00873325" w:rsidRDefault="00873325" w:rsidP="00D36B26">
      <w:pPr>
        <w:rPr>
          <w:rFonts w:cs="Arial"/>
          <w:i/>
        </w:rPr>
      </w:pPr>
    </w:p>
    <w:p w14:paraId="55BCA358" w14:textId="77777777" w:rsidR="00EE5467" w:rsidRDefault="00EE5467" w:rsidP="00EE5467">
      <w:pPr>
        <w:rPr>
          <w:rFonts w:cs="Arial"/>
        </w:rPr>
      </w:pPr>
      <w:bookmarkStart w:id="6" w:name="Who_is_eligible"/>
      <w:r>
        <w:rPr>
          <w:b/>
          <w:sz w:val="28"/>
          <w:szCs w:val="28"/>
        </w:rPr>
        <w:t>Who is eligible?</w:t>
      </w:r>
    </w:p>
    <w:bookmarkEnd w:id="6"/>
    <w:p w14:paraId="40D35A6F" w14:textId="77777777" w:rsidR="00203DB3" w:rsidRDefault="00203DB3" w:rsidP="00EE5467">
      <w:pPr>
        <w:pStyle w:val="TextunderSubheadingCharCharCharCharChar"/>
        <w:tabs>
          <w:tab w:val="left" w:pos="360"/>
        </w:tabs>
        <w:spacing w:before="0" w:after="0"/>
        <w:ind w:left="0"/>
        <w:rPr>
          <w:rFonts w:cs="Arial"/>
          <w:szCs w:val="24"/>
        </w:rPr>
      </w:pPr>
    </w:p>
    <w:p w14:paraId="07412AA5" w14:textId="77777777" w:rsidR="00EE5467" w:rsidRDefault="00EE5467" w:rsidP="00EE5467">
      <w:pPr>
        <w:pStyle w:val="TextunderSubheadingCharCharCharCharChar"/>
        <w:tabs>
          <w:tab w:val="left" w:pos="360"/>
        </w:tabs>
        <w:spacing w:before="0" w:after="0"/>
        <w:ind w:left="0"/>
        <w:rPr>
          <w:rFonts w:cs="Arial"/>
          <w:szCs w:val="24"/>
        </w:rPr>
      </w:pPr>
      <w:r w:rsidRPr="00F67F82">
        <w:rPr>
          <w:rFonts w:cs="Arial"/>
          <w:szCs w:val="24"/>
        </w:rPr>
        <w:t xml:space="preserve">To be </w:t>
      </w:r>
      <w:r w:rsidR="00DC5D78">
        <w:rPr>
          <w:rFonts w:cs="Arial"/>
          <w:szCs w:val="24"/>
        </w:rPr>
        <w:t xml:space="preserve">functionally </w:t>
      </w:r>
      <w:r w:rsidRPr="00F67F82">
        <w:rPr>
          <w:rFonts w:cs="Arial"/>
          <w:szCs w:val="24"/>
        </w:rPr>
        <w:t xml:space="preserve">eligible for </w:t>
      </w:r>
      <w:r w:rsidR="00D14B22">
        <w:rPr>
          <w:rFonts w:cs="Arial"/>
          <w:szCs w:val="24"/>
        </w:rPr>
        <w:t xml:space="preserve">only the </w:t>
      </w:r>
      <w:r w:rsidR="003604D2">
        <w:rPr>
          <w:rFonts w:cs="Arial"/>
          <w:szCs w:val="24"/>
        </w:rPr>
        <w:t>CFC</w:t>
      </w:r>
      <w:r w:rsidRPr="00F67F82">
        <w:rPr>
          <w:rFonts w:cs="Arial"/>
          <w:szCs w:val="24"/>
        </w:rPr>
        <w:t xml:space="preserve"> </w:t>
      </w:r>
      <w:r w:rsidR="001B2A85">
        <w:rPr>
          <w:rFonts w:cs="Arial"/>
          <w:szCs w:val="24"/>
        </w:rPr>
        <w:t>program,</w:t>
      </w:r>
      <w:r w:rsidR="00D14B22">
        <w:rPr>
          <w:rFonts w:cs="Arial"/>
          <w:szCs w:val="24"/>
        </w:rPr>
        <w:t xml:space="preserve"> </w:t>
      </w:r>
      <w:r w:rsidRPr="00F67F82">
        <w:rPr>
          <w:rFonts w:cs="Arial"/>
          <w:szCs w:val="24"/>
        </w:rPr>
        <w:t>and before services can be authorized</w:t>
      </w:r>
      <w:r w:rsidR="001B2A85">
        <w:rPr>
          <w:rFonts w:cs="Arial"/>
          <w:szCs w:val="24"/>
        </w:rPr>
        <w:t>,</w:t>
      </w:r>
      <w:r w:rsidRPr="00F67F82">
        <w:rPr>
          <w:rFonts w:cs="Arial"/>
          <w:szCs w:val="24"/>
        </w:rPr>
        <w:t xml:space="preserve"> the client must meet </w:t>
      </w:r>
      <w:r w:rsidRPr="00F67F82">
        <w:rPr>
          <w:rFonts w:cs="Arial"/>
          <w:b/>
          <w:szCs w:val="24"/>
          <w:u w:val="single"/>
        </w:rPr>
        <w:t xml:space="preserve">ALL </w:t>
      </w:r>
      <w:r w:rsidRPr="00F67F82">
        <w:rPr>
          <w:rFonts w:cs="Arial"/>
          <w:szCs w:val="24"/>
        </w:rPr>
        <w:t>the following eligibility criteria:</w:t>
      </w:r>
    </w:p>
    <w:p w14:paraId="6A0DB901" w14:textId="77777777" w:rsidR="00EE5467" w:rsidRPr="008B0AF7" w:rsidRDefault="00EE5467" w:rsidP="00EE5467">
      <w:pPr>
        <w:pStyle w:val="BlockText"/>
      </w:pPr>
    </w:p>
    <w:p w14:paraId="2B7F5CFE" w14:textId="77777777" w:rsidR="003C0395" w:rsidRDefault="003C0395" w:rsidP="003C0395">
      <w:pPr>
        <w:numPr>
          <w:ilvl w:val="0"/>
          <w:numId w:val="59"/>
        </w:numPr>
        <w:ind w:left="1080"/>
      </w:pPr>
      <w:r>
        <w:rPr>
          <w:b/>
          <w:bCs/>
        </w:rPr>
        <w:t>AGE</w:t>
      </w:r>
    </w:p>
    <w:p w14:paraId="501F38E4" w14:textId="77777777" w:rsidR="003C0395" w:rsidRDefault="003C0395" w:rsidP="003C0395">
      <w:pPr>
        <w:numPr>
          <w:ilvl w:val="1"/>
          <w:numId w:val="60"/>
        </w:numPr>
      </w:pPr>
      <w:r>
        <w:t>If services are authorized by HCS/AAA, clients must be eighteen years of age or older</w:t>
      </w:r>
    </w:p>
    <w:p w14:paraId="58D65AA5" w14:textId="77777777" w:rsidR="003C0395" w:rsidRDefault="003C0395" w:rsidP="003C0395">
      <w:pPr>
        <w:numPr>
          <w:ilvl w:val="1"/>
          <w:numId w:val="60"/>
        </w:numPr>
      </w:pPr>
      <w:r>
        <w:t>If services are authorized by DDA</w:t>
      </w:r>
      <w:r>
        <w:rPr>
          <w:color w:val="1F497D"/>
        </w:rPr>
        <w:t xml:space="preserve">: </w:t>
      </w:r>
    </w:p>
    <w:p w14:paraId="32604149" w14:textId="40F16CB5" w:rsidR="003C0395" w:rsidRPr="003C0395" w:rsidRDefault="003C0395" w:rsidP="003C0395">
      <w:pPr>
        <w:numPr>
          <w:ilvl w:val="2"/>
          <w:numId w:val="60"/>
        </w:numPr>
      </w:pPr>
      <w:r>
        <w:t xml:space="preserve">Clients </w:t>
      </w:r>
      <w:r w:rsidRPr="00203DB3">
        <w:t>who meet DDA’s determination of a developmental disability</w:t>
      </w:r>
      <w:r w:rsidRPr="005B3DC9">
        <w:t xml:space="preserve"> may be any age</w:t>
      </w:r>
      <w:r w:rsidR="000A7178">
        <w:t xml:space="preserve"> </w:t>
      </w:r>
    </w:p>
    <w:p w14:paraId="31B56317" w14:textId="77777777" w:rsidR="003C0395" w:rsidRPr="005B3DC9" w:rsidRDefault="003C0395" w:rsidP="003C0395">
      <w:pPr>
        <w:numPr>
          <w:ilvl w:val="2"/>
          <w:numId w:val="60"/>
        </w:numPr>
      </w:pPr>
      <w:r w:rsidRPr="003C0395">
        <w:t xml:space="preserve">Children with functional disabilities who do not meet DDA’s determination of a developmental disability </w:t>
      </w:r>
      <w:r w:rsidRPr="005B3DC9">
        <w:t xml:space="preserve">may be served </w:t>
      </w:r>
      <w:r w:rsidRPr="00203DB3">
        <w:t xml:space="preserve">by DDA until </w:t>
      </w:r>
      <w:r w:rsidRPr="005B3DC9">
        <w:t xml:space="preserve">age </w:t>
      </w:r>
      <w:r w:rsidRPr="00203DB3">
        <w:t xml:space="preserve">18 (DDA will refer young adults age 18 and over to </w:t>
      </w:r>
      <w:r w:rsidR="00883A00">
        <w:t>HCS</w:t>
      </w:r>
      <w:r w:rsidRPr="00203DB3">
        <w:t>)</w:t>
      </w:r>
    </w:p>
    <w:p w14:paraId="16A72D78" w14:textId="77777777" w:rsidR="003604D2" w:rsidRDefault="003604D2" w:rsidP="003604D2">
      <w:pPr>
        <w:ind w:left="2160"/>
        <w:rPr>
          <w:rFonts w:cs="Arial"/>
        </w:rPr>
      </w:pPr>
    </w:p>
    <w:p w14:paraId="26880C58" w14:textId="77777777" w:rsidR="003604D2" w:rsidRPr="003604D2" w:rsidRDefault="00EE5467" w:rsidP="003604D2">
      <w:pPr>
        <w:numPr>
          <w:ilvl w:val="0"/>
          <w:numId w:val="6"/>
        </w:numPr>
        <w:ind w:left="1080"/>
        <w:rPr>
          <w:rFonts w:cs="Arial"/>
        </w:rPr>
      </w:pPr>
      <w:r w:rsidRPr="003604D2">
        <w:rPr>
          <w:rFonts w:cs="Arial"/>
          <w:b/>
        </w:rPr>
        <w:t>FUNCTIONAL ELIGIBILITY</w:t>
      </w:r>
      <w:r w:rsidRPr="003604D2">
        <w:rPr>
          <w:rFonts w:cs="Arial"/>
        </w:rPr>
        <w:t xml:space="preserve"> –</w:t>
      </w:r>
      <w:r w:rsidRPr="003604D2">
        <w:rPr>
          <w:rFonts w:cs="Arial"/>
          <w:color w:val="000000"/>
        </w:rPr>
        <w:t xml:space="preserve"> </w:t>
      </w:r>
      <w:r w:rsidR="003604D2">
        <w:rPr>
          <w:rStyle w:val="Heading2Char"/>
        </w:rPr>
        <w:t xml:space="preserve">Meets </w:t>
      </w:r>
      <w:r w:rsidR="003604D2" w:rsidRPr="003604D2">
        <w:t>Functional Eligibility</w:t>
      </w:r>
      <w:r w:rsidR="003604D2">
        <w:rPr>
          <w:rStyle w:val="Heading2Char"/>
        </w:rPr>
        <w:t xml:space="preserve"> as determined by CARE</w:t>
      </w:r>
      <w:r w:rsidR="003604D2" w:rsidRPr="007D5D23">
        <w:t>:</w:t>
      </w:r>
      <w:r w:rsidR="003604D2" w:rsidRPr="00F67F82">
        <w:t xml:space="preserve"> </w:t>
      </w:r>
    </w:p>
    <w:p w14:paraId="4C4E44D7" w14:textId="1916CB3A" w:rsidR="003604D2" w:rsidRPr="00FB184F" w:rsidRDefault="009F5D68" w:rsidP="009862C2">
      <w:pPr>
        <w:numPr>
          <w:ilvl w:val="1"/>
          <w:numId w:val="10"/>
        </w:numPr>
        <w:ind w:left="2160"/>
        <w:rPr>
          <w:rFonts w:cs="Arial"/>
        </w:rPr>
      </w:pPr>
      <w:r>
        <w:rPr>
          <w:rFonts w:cs="Arial"/>
        </w:rPr>
        <w:t xml:space="preserve">The </w:t>
      </w:r>
      <w:r w:rsidR="003604D2" w:rsidRPr="00FB184F">
        <w:rPr>
          <w:rFonts w:cs="Arial"/>
        </w:rPr>
        <w:t xml:space="preserve"> individual meets </w:t>
      </w:r>
      <w:r w:rsidR="001E0509">
        <w:rPr>
          <w:rFonts w:cs="Arial"/>
        </w:rPr>
        <w:t xml:space="preserve">nursing </w:t>
      </w:r>
      <w:r w:rsidR="003604D2" w:rsidRPr="00FB184F">
        <w:rPr>
          <w:rFonts w:cs="Arial"/>
        </w:rPr>
        <w:t xml:space="preserve">facility level of care as outlined in </w:t>
      </w:r>
      <w:hyperlink r:id="rId9" w:history="1">
        <w:r w:rsidR="003604D2" w:rsidRPr="00FB184F">
          <w:rPr>
            <w:rStyle w:val="Hyperlink"/>
            <w:rFonts w:cs="Arial"/>
          </w:rPr>
          <w:t>WAC 388-</w:t>
        </w:r>
        <w:r w:rsidR="001B2A85">
          <w:rPr>
            <w:rStyle w:val="Hyperlink"/>
            <w:rFonts w:cs="Arial"/>
          </w:rPr>
          <w:t>1</w:t>
        </w:r>
        <w:r w:rsidR="003604D2" w:rsidRPr="00FB184F">
          <w:rPr>
            <w:rStyle w:val="Hyperlink"/>
            <w:rFonts w:cs="Arial"/>
          </w:rPr>
          <w:t>06-0355(1)</w:t>
        </w:r>
      </w:hyperlink>
      <w:r w:rsidR="003C0395">
        <w:rPr>
          <w:rFonts w:cs="Arial"/>
        </w:rPr>
        <w:t xml:space="preserve"> or ICF/ID as outlined in WAC and WAC </w:t>
      </w:r>
      <w:hyperlink r:id="rId10" w:history="1">
        <w:r w:rsidR="000A7178" w:rsidRPr="00C52234">
          <w:rPr>
            <w:rStyle w:val="Hyperlink"/>
            <w:rFonts w:cs="Arial"/>
          </w:rPr>
          <w:t>388-828-3080</w:t>
        </w:r>
      </w:hyperlink>
      <w:r w:rsidR="000A7178">
        <w:rPr>
          <w:rFonts w:cs="Arial"/>
        </w:rPr>
        <w:t xml:space="preserve"> and </w:t>
      </w:r>
      <w:hyperlink r:id="rId11" w:history="1">
        <w:r w:rsidR="000A7178" w:rsidRPr="00C52234">
          <w:rPr>
            <w:rStyle w:val="Hyperlink"/>
            <w:rFonts w:cs="Arial"/>
          </w:rPr>
          <w:t>388-828-4400</w:t>
        </w:r>
      </w:hyperlink>
      <w:r w:rsidR="003C0395">
        <w:rPr>
          <w:rFonts w:cs="Arial"/>
        </w:rPr>
        <w:t>, o</w:t>
      </w:r>
      <w:r w:rsidR="003604D2" w:rsidRPr="00FB184F">
        <w:rPr>
          <w:rFonts w:cs="Arial"/>
        </w:rPr>
        <w:t xml:space="preserve">r </w:t>
      </w:r>
    </w:p>
    <w:p w14:paraId="71B3C0C6" w14:textId="77777777" w:rsidR="003604D2" w:rsidRPr="00F67F82" w:rsidRDefault="003604D2" w:rsidP="009862C2">
      <w:pPr>
        <w:numPr>
          <w:ilvl w:val="1"/>
          <w:numId w:val="10"/>
        </w:numPr>
        <w:ind w:left="2160"/>
        <w:rPr>
          <w:rFonts w:cs="Arial"/>
        </w:rPr>
      </w:pPr>
      <w:r>
        <w:rPr>
          <w:rFonts w:cs="Arial"/>
        </w:rPr>
        <w:t>W</w:t>
      </w:r>
      <w:r w:rsidRPr="00F67F82">
        <w:rPr>
          <w:rFonts w:cs="Arial"/>
        </w:rPr>
        <w:t xml:space="preserve">ill likely need </w:t>
      </w:r>
      <w:r w:rsidR="00004DFF">
        <w:rPr>
          <w:rFonts w:cs="Arial"/>
        </w:rPr>
        <w:t>that</w:t>
      </w:r>
      <w:r w:rsidRPr="00F67F82">
        <w:rPr>
          <w:rFonts w:cs="Arial"/>
        </w:rPr>
        <w:t xml:space="preserve"> level of care within 30 days unless services are provided; </w:t>
      </w:r>
      <w:r>
        <w:rPr>
          <w:rFonts w:cs="Arial"/>
        </w:rPr>
        <w:t>and</w:t>
      </w:r>
    </w:p>
    <w:p w14:paraId="17F74F83" w14:textId="77777777" w:rsidR="003604D2" w:rsidRPr="00F67F82" w:rsidRDefault="003604D2" w:rsidP="009862C2">
      <w:pPr>
        <w:numPr>
          <w:ilvl w:val="1"/>
          <w:numId w:val="10"/>
        </w:numPr>
        <w:ind w:left="2160"/>
        <w:rPr>
          <w:rFonts w:cs="Arial"/>
        </w:rPr>
      </w:pPr>
      <w:r>
        <w:rPr>
          <w:rFonts w:cs="Arial"/>
        </w:rPr>
        <w:t>Chooses</w:t>
      </w:r>
      <w:r w:rsidRPr="00F67F82">
        <w:rPr>
          <w:rFonts w:cs="Arial"/>
        </w:rPr>
        <w:t xml:space="preserve"> to live at home with community support services provided by a qualified provider, or</w:t>
      </w:r>
      <w:r>
        <w:rPr>
          <w:rFonts w:cs="Arial"/>
        </w:rPr>
        <w:t xml:space="preserve"> live in </w:t>
      </w:r>
      <w:r w:rsidR="00787DEC">
        <w:rPr>
          <w:rFonts w:cs="Arial"/>
        </w:rPr>
        <w:t xml:space="preserve">one of the following </w:t>
      </w:r>
      <w:r>
        <w:rPr>
          <w:rFonts w:cs="Arial"/>
        </w:rPr>
        <w:t>department-</w:t>
      </w:r>
      <w:r w:rsidRPr="00F67F82">
        <w:rPr>
          <w:rFonts w:cs="Arial"/>
        </w:rPr>
        <w:t>contracted residential setting</w:t>
      </w:r>
      <w:r w:rsidR="00787DEC">
        <w:rPr>
          <w:rFonts w:cs="Arial"/>
        </w:rPr>
        <w:t>s</w:t>
      </w:r>
      <w:r w:rsidRPr="00F67F82">
        <w:rPr>
          <w:rFonts w:cs="Arial"/>
        </w:rPr>
        <w:t>:</w:t>
      </w:r>
    </w:p>
    <w:p w14:paraId="05B21781" w14:textId="77777777" w:rsidR="001E0509" w:rsidRPr="00F67F82" w:rsidRDefault="001E0509" w:rsidP="009862C2">
      <w:pPr>
        <w:numPr>
          <w:ilvl w:val="2"/>
          <w:numId w:val="10"/>
        </w:numPr>
        <w:ind w:left="2880"/>
        <w:rPr>
          <w:rFonts w:cs="Arial"/>
        </w:rPr>
      </w:pPr>
      <w:r w:rsidRPr="00F67F82">
        <w:rPr>
          <w:rFonts w:cs="Arial"/>
        </w:rPr>
        <w:t>Adult Family Home (AFH), or</w:t>
      </w:r>
    </w:p>
    <w:p w14:paraId="1C3C6B36" w14:textId="1A7F3D2D" w:rsidR="001E0509" w:rsidRPr="00F67F82" w:rsidRDefault="00C52234" w:rsidP="009862C2">
      <w:pPr>
        <w:numPr>
          <w:ilvl w:val="2"/>
          <w:numId w:val="10"/>
        </w:numPr>
        <w:ind w:left="2880"/>
        <w:rPr>
          <w:rFonts w:cs="Arial"/>
        </w:rPr>
      </w:pPr>
      <w:r w:rsidRPr="00083918">
        <w:rPr>
          <w:rFonts w:cs="Arial"/>
        </w:rPr>
        <w:t>Assisted Living</w:t>
      </w:r>
      <w:r w:rsidR="001E0509">
        <w:rPr>
          <w:rStyle w:val="Hyperlink"/>
          <w:rFonts w:cs="Arial"/>
        </w:rPr>
        <w:t xml:space="preserve">  Facility </w:t>
      </w:r>
      <w:r w:rsidR="00BC13E9">
        <w:rPr>
          <w:rStyle w:val="Hyperlink"/>
          <w:rFonts w:cs="Arial"/>
        </w:rPr>
        <w:t>(ALF), which includes</w:t>
      </w:r>
      <w:r w:rsidR="00821004">
        <w:rPr>
          <w:rStyle w:val="Hyperlink"/>
          <w:rFonts w:cs="Arial"/>
        </w:rPr>
        <w:t xml:space="preserve"> contracted</w:t>
      </w:r>
      <w:r w:rsidR="00BC13E9">
        <w:rPr>
          <w:rStyle w:val="Hyperlink"/>
          <w:rFonts w:cs="Arial"/>
        </w:rPr>
        <w:t>:</w:t>
      </w:r>
    </w:p>
    <w:p w14:paraId="54E9A4B2" w14:textId="77777777" w:rsidR="001E0509" w:rsidRDefault="001E0509" w:rsidP="009862C2">
      <w:pPr>
        <w:numPr>
          <w:ilvl w:val="3"/>
          <w:numId w:val="10"/>
        </w:numPr>
        <w:rPr>
          <w:rFonts w:cs="Arial"/>
        </w:rPr>
      </w:pPr>
      <w:r>
        <w:rPr>
          <w:rFonts w:cs="Arial"/>
        </w:rPr>
        <w:t>Assisted Living Facility (AL)</w:t>
      </w:r>
    </w:p>
    <w:p w14:paraId="226035B4" w14:textId="77777777" w:rsidR="00CB0475" w:rsidRPr="00CB0475" w:rsidRDefault="00CB0475" w:rsidP="009862C2">
      <w:pPr>
        <w:numPr>
          <w:ilvl w:val="3"/>
          <w:numId w:val="10"/>
        </w:numPr>
        <w:rPr>
          <w:rFonts w:cs="Arial"/>
        </w:rPr>
      </w:pPr>
      <w:r>
        <w:rPr>
          <w:rFonts w:cs="Arial"/>
        </w:rPr>
        <w:t>Adult Residential Care</w:t>
      </w:r>
      <w:r w:rsidR="001E0509">
        <w:rPr>
          <w:rFonts w:cs="Arial"/>
        </w:rPr>
        <w:t xml:space="preserve"> Facility</w:t>
      </w:r>
      <w:r>
        <w:rPr>
          <w:rFonts w:cs="Arial"/>
        </w:rPr>
        <w:t xml:space="preserve"> (ARC)</w:t>
      </w:r>
    </w:p>
    <w:p w14:paraId="5FF90997" w14:textId="1E5A974E" w:rsidR="003604D2" w:rsidRPr="00F67F82" w:rsidRDefault="00C52234" w:rsidP="009862C2">
      <w:pPr>
        <w:numPr>
          <w:ilvl w:val="3"/>
          <w:numId w:val="10"/>
        </w:numPr>
        <w:rPr>
          <w:rFonts w:cs="Arial"/>
        </w:rPr>
      </w:pPr>
      <w:r w:rsidRPr="00083918">
        <w:rPr>
          <w:rFonts w:cs="Arial"/>
        </w:rPr>
        <w:lastRenderedPageBreak/>
        <w:t>Enhanced Adult Residential Care</w:t>
      </w:r>
      <w:r w:rsidR="001E0509">
        <w:rPr>
          <w:rStyle w:val="Hyperlink"/>
          <w:rFonts w:cs="Arial"/>
        </w:rPr>
        <w:t xml:space="preserve"> Facility</w:t>
      </w:r>
      <w:r w:rsidR="003604D2">
        <w:rPr>
          <w:rFonts w:cs="Arial"/>
        </w:rPr>
        <w:t xml:space="preserve"> </w:t>
      </w:r>
      <w:r w:rsidR="003604D2" w:rsidRPr="00F67F82">
        <w:rPr>
          <w:rFonts w:cs="Arial"/>
        </w:rPr>
        <w:t>(EARC),</w:t>
      </w:r>
    </w:p>
    <w:p w14:paraId="6FF1BF78" w14:textId="77777777" w:rsidR="00EE5467" w:rsidRPr="003604D2" w:rsidRDefault="00EE5467" w:rsidP="003604D2">
      <w:pPr>
        <w:rPr>
          <w:rFonts w:cs="Arial"/>
        </w:rPr>
      </w:pPr>
    </w:p>
    <w:p w14:paraId="024BA58D" w14:textId="77777777" w:rsidR="00F7597E" w:rsidRDefault="00F7597E" w:rsidP="00083918">
      <w:bookmarkStart w:id="7" w:name="qual_prov"/>
      <w:bookmarkEnd w:id="7"/>
    </w:p>
    <w:p w14:paraId="317CF957" w14:textId="77777777" w:rsidR="00EE5467" w:rsidRPr="00F67F82" w:rsidRDefault="00EE5467" w:rsidP="00083918">
      <w:pPr>
        <w:rPr>
          <w:color w:val="FF0000"/>
        </w:rPr>
      </w:pPr>
      <w:r w:rsidRPr="00F67F82">
        <w:t xml:space="preserve">Qualified Providers </w:t>
      </w:r>
    </w:p>
    <w:p w14:paraId="227650CE" w14:textId="77777777" w:rsidR="00EE5467" w:rsidRPr="00F67F82" w:rsidRDefault="00EE5467" w:rsidP="00EE5467">
      <w:pPr>
        <w:ind w:left="1944"/>
        <w:rPr>
          <w:rFonts w:cs="Arial"/>
        </w:rPr>
      </w:pPr>
    </w:p>
    <w:p w14:paraId="3006AC47" w14:textId="77777777" w:rsidR="00EE5467" w:rsidRDefault="00787DEC" w:rsidP="00EE5467">
      <w:pPr>
        <w:ind w:left="360"/>
        <w:rPr>
          <w:rFonts w:cs="Arial"/>
          <w:b/>
        </w:rPr>
      </w:pPr>
      <w:bookmarkStart w:id="8" w:name="Qualified_Providers"/>
      <w:r w:rsidRPr="00203DB3">
        <w:rPr>
          <w:rFonts w:cs="Arial"/>
          <w:b/>
        </w:rPr>
        <w:t>Qualified providers of personal care by setting</w:t>
      </w:r>
    </w:p>
    <w:bookmarkEnd w:id="8"/>
    <w:p w14:paraId="1790EEB5" w14:textId="77777777" w:rsidR="00641052" w:rsidRDefault="00641052" w:rsidP="00EE5467">
      <w:pPr>
        <w:ind w:left="360"/>
        <w:rPr>
          <w:rFonts w:cs="Arial"/>
          <w:b/>
        </w:rPr>
      </w:pPr>
    </w:p>
    <w:p w14:paraId="2E22439D" w14:textId="738897CD" w:rsidR="00641052" w:rsidRPr="00203DB3" w:rsidRDefault="00641052" w:rsidP="00EE5467">
      <w:pPr>
        <w:ind w:left="360"/>
        <w:rPr>
          <w:rFonts w:cs="Arial"/>
          <w:b/>
        </w:rPr>
      </w:pPr>
      <w:r>
        <w:rPr>
          <w:rFonts w:cs="Arial"/>
          <w:b/>
        </w:rPr>
        <w:t>IN HOME:</w:t>
      </w:r>
    </w:p>
    <w:tbl>
      <w:tblPr>
        <w:tblStyle w:val="LightShading-Accent4"/>
        <w:tblW w:w="6309" w:type="dxa"/>
        <w:tblInd w:w="468" w:type="dxa"/>
        <w:tblLook w:val="04A0" w:firstRow="1" w:lastRow="0" w:firstColumn="1" w:lastColumn="0" w:noHBand="0" w:noVBand="1"/>
      </w:tblPr>
      <w:tblGrid>
        <w:gridCol w:w="3499"/>
        <w:gridCol w:w="644"/>
        <w:gridCol w:w="1083"/>
        <w:gridCol w:w="1083"/>
      </w:tblGrid>
      <w:tr w:rsidR="00641052" w:rsidRPr="00F67F82" w14:paraId="4510AAE1" w14:textId="77777777" w:rsidTr="001D2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tcPr>
          <w:p w14:paraId="649CE616" w14:textId="5939C03E" w:rsidR="00641052" w:rsidRPr="001D2C9F" w:rsidRDefault="00641052" w:rsidP="007257F8">
            <w:pPr>
              <w:rPr>
                <w:rFonts w:cs="Arial"/>
                <w:color w:val="auto"/>
              </w:rPr>
            </w:pPr>
            <w:r w:rsidRPr="001D2C9F">
              <w:rPr>
                <w:rFonts w:cs="Arial"/>
                <w:color w:val="auto"/>
              </w:rPr>
              <w:t>PROGRAM</w:t>
            </w:r>
          </w:p>
        </w:tc>
        <w:tc>
          <w:tcPr>
            <w:tcW w:w="644" w:type="dxa"/>
          </w:tcPr>
          <w:p w14:paraId="7233BB9F" w14:textId="77777777" w:rsidR="00641052" w:rsidRPr="001D2C9F" w:rsidRDefault="00641052" w:rsidP="00A26CA5">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IP</w:t>
            </w:r>
          </w:p>
        </w:tc>
        <w:tc>
          <w:tcPr>
            <w:tcW w:w="1083" w:type="dxa"/>
          </w:tcPr>
          <w:p w14:paraId="45B1B69A" w14:textId="77777777" w:rsidR="00641052" w:rsidRPr="001D2C9F" w:rsidRDefault="00641052" w:rsidP="00A26CA5">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Agency</w:t>
            </w:r>
          </w:p>
        </w:tc>
        <w:tc>
          <w:tcPr>
            <w:tcW w:w="1083" w:type="dxa"/>
          </w:tcPr>
          <w:p w14:paraId="4DB704E4" w14:textId="77777777" w:rsidR="00641052" w:rsidRPr="001D2C9F" w:rsidRDefault="00641052" w:rsidP="00A26CA5">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Spouse</w:t>
            </w:r>
          </w:p>
        </w:tc>
      </w:tr>
      <w:tr w:rsidR="00641052" w:rsidRPr="00F67F82" w14:paraId="0F6B2A62" w14:textId="77777777" w:rsidTr="001D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tcPr>
          <w:p w14:paraId="2B785ED1" w14:textId="77777777" w:rsidR="00641052" w:rsidRPr="001D2C9F" w:rsidRDefault="00641052" w:rsidP="005B3DC9">
            <w:pPr>
              <w:rPr>
                <w:rFonts w:cs="Arial"/>
                <w:b w:val="0"/>
                <w:color w:val="auto"/>
              </w:rPr>
            </w:pPr>
            <w:r w:rsidRPr="001D2C9F">
              <w:rPr>
                <w:rFonts w:cs="Arial"/>
                <w:b w:val="0"/>
                <w:color w:val="auto"/>
              </w:rPr>
              <w:t xml:space="preserve">MPC </w:t>
            </w:r>
          </w:p>
        </w:tc>
        <w:tc>
          <w:tcPr>
            <w:tcW w:w="644" w:type="dxa"/>
          </w:tcPr>
          <w:p w14:paraId="43DA530A"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1083" w:type="dxa"/>
          </w:tcPr>
          <w:p w14:paraId="29B07BAE"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1083" w:type="dxa"/>
          </w:tcPr>
          <w:p w14:paraId="72857BE7"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r>
      <w:tr w:rsidR="00641052" w:rsidRPr="00F67F82" w14:paraId="25A8AEA4" w14:textId="77777777" w:rsidTr="001D2C9F">
        <w:tc>
          <w:tcPr>
            <w:cnfStyle w:val="001000000000" w:firstRow="0" w:lastRow="0" w:firstColumn="1" w:lastColumn="0" w:oddVBand="0" w:evenVBand="0" w:oddHBand="0" w:evenHBand="0" w:firstRowFirstColumn="0" w:firstRowLastColumn="0" w:lastRowFirstColumn="0" w:lastRowLastColumn="0"/>
            <w:tcW w:w="3499" w:type="dxa"/>
          </w:tcPr>
          <w:p w14:paraId="1D45AAC6" w14:textId="77777777" w:rsidR="00641052" w:rsidRPr="001D2C9F" w:rsidRDefault="00641052" w:rsidP="005B3DC9">
            <w:pPr>
              <w:rPr>
                <w:rFonts w:cs="Arial"/>
                <w:b w:val="0"/>
                <w:color w:val="auto"/>
              </w:rPr>
            </w:pPr>
            <w:r w:rsidRPr="001D2C9F">
              <w:rPr>
                <w:rFonts w:cs="Arial"/>
                <w:b w:val="0"/>
                <w:color w:val="auto"/>
              </w:rPr>
              <w:t xml:space="preserve">CFC </w:t>
            </w:r>
          </w:p>
        </w:tc>
        <w:tc>
          <w:tcPr>
            <w:tcW w:w="644" w:type="dxa"/>
          </w:tcPr>
          <w:p w14:paraId="14B5381D" w14:textId="77777777" w:rsidR="00641052" w:rsidRPr="001D2C9F" w:rsidRDefault="00641052" w:rsidP="00A26CA5">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c>
          <w:tcPr>
            <w:tcW w:w="1083" w:type="dxa"/>
          </w:tcPr>
          <w:p w14:paraId="07365D45" w14:textId="77777777" w:rsidR="00641052" w:rsidRPr="001D2C9F" w:rsidRDefault="00641052" w:rsidP="00A26CA5">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c>
          <w:tcPr>
            <w:tcW w:w="1083" w:type="dxa"/>
          </w:tcPr>
          <w:p w14:paraId="4BA4E467" w14:textId="77777777" w:rsidR="00641052" w:rsidRPr="001D2C9F" w:rsidRDefault="00641052" w:rsidP="00A26CA5">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No</w:t>
            </w:r>
          </w:p>
        </w:tc>
      </w:tr>
      <w:tr w:rsidR="00641052" w:rsidRPr="00F67F82" w14:paraId="268D52A4" w14:textId="77777777" w:rsidTr="001D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tcPr>
          <w:p w14:paraId="53408392" w14:textId="77777777" w:rsidR="00641052" w:rsidRPr="001D2C9F" w:rsidRDefault="00641052" w:rsidP="00A26CA5">
            <w:pPr>
              <w:rPr>
                <w:rFonts w:cs="Arial"/>
                <w:b w:val="0"/>
                <w:color w:val="auto"/>
              </w:rPr>
            </w:pPr>
            <w:r w:rsidRPr="001D2C9F">
              <w:rPr>
                <w:rFonts w:cs="Arial"/>
                <w:b w:val="0"/>
                <w:color w:val="auto"/>
              </w:rPr>
              <w:t>New Freedom</w:t>
            </w:r>
          </w:p>
        </w:tc>
        <w:tc>
          <w:tcPr>
            <w:tcW w:w="644" w:type="dxa"/>
          </w:tcPr>
          <w:p w14:paraId="6D046881"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1083" w:type="dxa"/>
          </w:tcPr>
          <w:p w14:paraId="5D2A0F5A"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1083" w:type="dxa"/>
          </w:tcPr>
          <w:p w14:paraId="319BDE84"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r>
      <w:tr w:rsidR="00641052" w:rsidRPr="00F67F82" w14:paraId="4E3CC9E1" w14:textId="77777777" w:rsidTr="001D2C9F">
        <w:tc>
          <w:tcPr>
            <w:cnfStyle w:val="001000000000" w:firstRow="0" w:lastRow="0" w:firstColumn="1" w:lastColumn="0" w:oddVBand="0" w:evenVBand="0" w:oddHBand="0" w:evenHBand="0" w:firstRowFirstColumn="0" w:firstRowLastColumn="0" w:lastRowFirstColumn="0" w:lastRowLastColumn="0"/>
            <w:tcW w:w="3499" w:type="dxa"/>
          </w:tcPr>
          <w:p w14:paraId="16A831E0" w14:textId="77777777" w:rsidR="00641052" w:rsidRPr="001D2C9F" w:rsidRDefault="00641052" w:rsidP="00A26CA5">
            <w:pPr>
              <w:rPr>
                <w:rFonts w:cs="Arial"/>
                <w:b w:val="0"/>
                <w:color w:val="auto"/>
              </w:rPr>
            </w:pPr>
            <w:r w:rsidRPr="001D2C9F">
              <w:rPr>
                <w:rFonts w:cs="Arial"/>
                <w:b w:val="0"/>
                <w:color w:val="auto"/>
              </w:rPr>
              <w:t xml:space="preserve">Chore </w:t>
            </w:r>
          </w:p>
        </w:tc>
        <w:tc>
          <w:tcPr>
            <w:tcW w:w="644" w:type="dxa"/>
          </w:tcPr>
          <w:p w14:paraId="4D8E1F1D" w14:textId="77777777" w:rsidR="00641052" w:rsidRPr="001D2C9F" w:rsidRDefault="00641052" w:rsidP="00A26CA5">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c>
          <w:tcPr>
            <w:tcW w:w="1083" w:type="dxa"/>
          </w:tcPr>
          <w:p w14:paraId="604C72FA" w14:textId="77777777" w:rsidR="00641052" w:rsidRPr="001D2C9F" w:rsidRDefault="00641052" w:rsidP="00A26CA5">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c>
          <w:tcPr>
            <w:tcW w:w="1083" w:type="dxa"/>
          </w:tcPr>
          <w:p w14:paraId="6FE3B9AF" w14:textId="77777777" w:rsidR="00641052" w:rsidRPr="001D2C9F" w:rsidRDefault="00641052" w:rsidP="00A26CA5">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r>
      <w:tr w:rsidR="00641052" w:rsidRPr="00F67F82" w14:paraId="4C8D6432" w14:textId="77777777" w:rsidTr="001D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tcPr>
          <w:p w14:paraId="0D19A81D" w14:textId="77777777" w:rsidR="00641052" w:rsidRPr="001D2C9F" w:rsidRDefault="00641052" w:rsidP="00A26CA5">
            <w:pPr>
              <w:rPr>
                <w:rFonts w:cs="Arial"/>
                <w:b w:val="0"/>
                <w:color w:val="auto"/>
              </w:rPr>
            </w:pPr>
            <w:r w:rsidRPr="001D2C9F">
              <w:rPr>
                <w:rFonts w:cs="Arial"/>
                <w:b w:val="0"/>
                <w:color w:val="auto"/>
              </w:rPr>
              <w:t>State- Funded ABD Cash Only</w:t>
            </w:r>
          </w:p>
        </w:tc>
        <w:tc>
          <w:tcPr>
            <w:tcW w:w="644" w:type="dxa"/>
          </w:tcPr>
          <w:p w14:paraId="2C531F2D"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c>
          <w:tcPr>
            <w:tcW w:w="1083" w:type="dxa"/>
          </w:tcPr>
          <w:p w14:paraId="0BDFD57F"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c>
          <w:tcPr>
            <w:tcW w:w="1083" w:type="dxa"/>
          </w:tcPr>
          <w:p w14:paraId="250E1BF1" w14:textId="77777777" w:rsidR="00641052" w:rsidRPr="001D2C9F" w:rsidRDefault="00641052" w:rsidP="00A26CA5">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r>
    </w:tbl>
    <w:p w14:paraId="6749A243" w14:textId="77777777" w:rsidR="00EE5467" w:rsidRDefault="00EE5467" w:rsidP="00EE5467">
      <w:pPr>
        <w:ind w:left="360"/>
        <w:rPr>
          <w:rFonts w:cs="Arial"/>
        </w:rPr>
      </w:pPr>
    </w:p>
    <w:p w14:paraId="5786499F" w14:textId="77777777" w:rsidR="00641052" w:rsidRPr="00393A1A" w:rsidRDefault="00641052" w:rsidP="00641052">
      <w:pPr>
        <w:ind w:left="360"/>
        <w:rPr>
          <w:rFonts w:cs="Arial"/>
          <w:i/>
        </w:rPr>
      </w:pPr>
      <w:r w:rsidRPr="00393A1A">
        <w:rPr>
          <w:rFonts w:cs="Arial"/>
          <w:i/>
        </w:rPr>
        <w:t>Use the Home Care Referral Registry to help clients locate in-home providers.</w:t>
      </w:r>
    </w:p>
    <w:p w14:paraId="55C33765" w14:textId="77777777" w:rsidR="00641052" w:rsidRDefault="009515CA" w:rsidP="00641052">
      <w:pPr>
        <w:ind w:left="720"/>
        <w:rPr>
          <w:rFonts w:cs="Arial"/>
        </w:rPr>
      </w:pPr>
      <w:hyperlink r:id="rId12" w:history="1">
        <w:r w:rsidR="00641052" w:rsidRPr="007D7215">
          <w:rPr>
            <w:rStyle w:val="Hyperlink"/>
            <w:rFonts w:cs="Arial"/>
          </w:rPr>
          <w:t>http://www.hcrr.wa.gov/</w:t>
        </w:r>
      </w:hyperlink>
    </w:p>
    <w:p w14:paraId="28924E6D" w14:textId="77777777" w:rsidR="00641052" w:rsidRDefault="00641052" w:rsidP="00EE5467">
      <w:pPr>
        <w:ind w:left="360"/>
        <w:rPr>
          <w:rFonts w:cs="Arial"/>
        </w:rPr>
      </w:pPr>
    </w:p>
    <w:p w14:paraId="0FD773E8" w14:textId="77777777" w:rsidR="00641052" w:rsidRDefault="00641052" w:rsidP="00EE5467">
      <w:pPr>
        <w:ind w:left="360"/>
        <w:rPr>
          <w:rFonts w:cs="Arial"/>
        </w:rPr>
      </w:pPr>
    </w:p>
    <w:p w14:paraId="04F2AC25" w14:textId="5A349566" w:rsidR="00641052" w:rsidRPr="00641052" w:rsidRDefault="00641052" w:rsidP="00EE5467">
      <w:pPr>
        <w:ind w:left="360"/>
        <w:rPr>
          <w:rFonts w:cs="Arial"/>
          <w:b/>
        </w:rPr>
      </w:pPr>
      <w:r w:rsidRPr="00641052">
        <w:rPr>
          <w:rFonts w:cs="Arial"/>
          <w:b/>
        </w:rPr>
        <w:t>RESIDENTIAL:</w:t>
      </w:r>
    </w:p>
    <w:tbl>
      <w:tblPr>
        <w:tblStyle w:val="LightShading-Accent2"/>
        <w:tblW w:w="7525" w:type="dxa"/>
        <w:tblInd w:w="468" w:type="dxa"/>
        <w:tblLook w:val="04A0" w:firstRow="1" w:lastRow="0" w:firstColumn="1" w:lastColumn="0" w:noHBand="0" w:noVBand="1"/>
      </w:tblPr>
      <w:tblGrid>
        <w:gridCol w:w="3599"/>
        <w:gridCol w:w="1200"/>
        <w:gridCol w:w="736"/>
        <w:gridCol w:w="897"/>
        <w:gridCol w:w="1093"/>
      </w:tblGrid>
      <w:tr w:rsidR="00641052" w:rsidRPr="00F67F82" w14:paraId="625EF99D" w14:textId="77777777" w:rsidTr="001D2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276F9B23" w14:textId="16DDE227" w:rsidR="00641052" w:rsidRPr="001D2C9F" w:rsidRDefault="00641052" w:rsidP="00300996">
            <w:pPr>
              <w:rPr>
                <w:rFonts w:cs="Arial"/>
                <w:color w:val="auto"/>
              </w:rPr>
            </w:pPr>
            <w:r w:rsidRPr="001D2C9F">
              <w:rPr>
                <w:rFonts w:cs="Arial"/>
                <w:color w:val="auto"/>
              </w:rPr>
              <w:t>PROGRAM</w:t>
            </w:r>
          </w:p>
        </w:tc>
        <w:tc>
          <w:tcPr>
            <w:tcW w:w="1200" w:type="dxa"/>
          </w:tcPr>
          <w:p w14:paraId="4D80106A" w14:textId="77777777" w:rsidR="00641052" w:rsidRPr="001D2C9F" w:rsidRDefault="00641052" w:rsidP="0088012B">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AFH*</w:t>
            </w:r>
          </w:p>
        </w:tc>
        <w:tc>
          <w:tcPr>
            <w:tcW w:w="736" w:type="dxa"/>
          </w:tcPr>
          <w:p w14:paraId="450291E5" w14:textId="77777777" w:rsidR="00641052" w:rsidRPr="001D2C9F" w:rsidRDefault="00641052" w:rsidP="0088012B">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ARC</w:t>
            </w:r>
          </w:p>
        </w:tc>
        <w:tc>
          <w:tcPr>
            <w:tcW w:w="897" w:type="dxa"/>
          </w:tcPr>
          <w:p w14:paraId="0EA3C5E7" w14:textId="77777777" w:rsidR="00641052" w:rsidRPr="001D2C9F" w:rsidRDefault="00641052" w:rsidP="0088012B">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EARC</w:t>
            </w:r>
          </w:p>
        </w:tc>
        <w:tc>
          <w:tcPr>
            <w:tcW w:w="1093" w:type="dxa"/>
          </w:tcPr>
          <w:p w14:paraId="3BEBDBE0" w14:textId="77777777" w:rsidR="00641052" w:rsidRPr="001D2C9F" w:rsidRDefault="00641052" w:rsidP="0088012B">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AL</w:t>
            </w:r>
          </w:p>
        </w:tc>
      </w:tr>
      <w:tr w:rsidR="00641052" w:rsidRPr="00F67F82" w14:paraId="5E4BE124" w14:textId="77777777" w:rsidTr="001D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709AE2AF" w14:textId="77777777" w:rsidR="00641052" w:rsidRPr="001D2C9F" w:rsidRDefault="00641052" w:rsidP="0088012B">
            <w:pPr>
              <w:rPr>
                <w:rFonts w:cs="Arial"/>
                <w:b w:val="0"/>
                <w:color w:val="auto"/>
              </w:rPr>
            </w:pPr>
            <w:r w:rsidRPr="001D2C9F">
              <w:rPr>
                <w:rFonts w:cs="Arial"/>
                <w:b w:val="0"/>
                <w:color w:val="auto"/>
              </w:rPr>
              <w:t xml:space="preserve">MPC </w:t>
            </w:r>
          </w:p>
        </w:tc>
        <w:tc>
          <w:tcPr>
            <w:tcW w:w="1200" w:type="dxa"/>
          </w:tcPr>
          <w:p w14:paraId="62805C10" w14:textId="2DA58122" w:rsidR="00641052" w:rsidRPr="001D2C9F" w:rsidRDefault="00ED3988"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736" w:type="dxa"/>
          </w:tcPr>
          <w:p w14:paraId="7158B2D8"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897" w:type="dxa"/>
          </w:tcPr>
          <w:p w14:paraId="72D1EAEC"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c>
          <w:tcPr>
            <w:tcW w:w="1093" w:type="dxa"/>
          </w:tcPr>
          <w:p w14:paraId="7A2E53A5"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r>
      <w:tr w:rsidR="00641052" w:rsidRPr="00F67F82" w14:paraId="248D218B" w14:textId="77777777" w:rsidTr="001D2C9F">
        <w:tc>
          <w:tcPr>
            <w:cnfStyle w:val="001000000000" w:firstRow="0" w:lastRow="0" w:firstColumn="1" w:lastColumn="0" w:oddVBand="0" w:evenVBand="0" w:oddHBand="0" w:evenHBand="0" w:firstRowFirstColumn="0" w:firstRowLastColumn="0" w:lastRowFirstColumn="0" w:lastRowLastColumn="0"/>
            <w:tcW w:w="3599" w:type="dxa"/>
          </w:tcPr>
          <w:p w14:paraId="20091A31" w14:textId="77777777" w:rsidR="00641052" w:rsidRPr="001D2C9F" w:rsidRDefault="00641052" w:rsidP="0088012B">
            <w:pPr>
              <w:rPr>
                <w:rFonts w:cs="Arial"/>
                <w:b w:val="0"/>
                <w:color w:val="auto"/>
              </w:rPr>
            </w:pPr>
            <w:r w:rsidRPr="001D2C9F">
              <w:rPr>
                <w:rFonts w:cs="Arial"/>
                <w:b w:val="0"/>
                <w:color w:val="auto"/>
              </w:rPr>
              <w:t xml:space="preserve">CFC </w:t>
            </w:r>
          </w:p>
        </w:tc>
        <w:tc>
          <w:tcPr>
            <w:tcW w:w="1200" w:type="dxa"/>
          </w:tcPr>
          <w:p w14:paraId="55B967A0"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c>
          <w:tcPr>
            <w:tcW w:w="736" w:type="dxa"/>
          </w:tcPr>
          <w:p w14:paraId="44C957C4"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Yes</w:t>
            </w:r>
          </w:p>
        </w:tc>
        <w:tc>
          <w:tcPr>
            <w:tcW w:w="897" w:type="dxa"/>
          </w:tcPr>
          <w:p w14:paraId="7B38D098"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c>
          <w:tcPr>
            <w:tcW w:w="1093" w:type="dxa"/>
          </w:tcPr>
          <w:p w14:paraId="4DA7419E"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b/>
                <w:color w:val="auto"/>
              </w:rPr>
              <w:t>Yes</w:t>
            </w:r>
          </w:p>
        </w:tc>
      </w:tr>
      <w:tr w:rsidR="00641052" w:rsidRPr="00F67F82" w14:paraId="1B037D59" w14:textId="77777777" w:rsidTr="001D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554C8E7D" w14:textId="77777777" w:rsidR="00641052" w:rsidRPr="001D2C9F" w:rsidRDefault="00641052" w:rsidP="0088012B">
            <w:pPr>
              <w:rPr>
                <w:rFonts w:cs="Arial"/>
                <w:b w:val="0"/>
                <w:color w:val="auto"/>
              </w:rPr>
            </w:pPr>
            <w:r w:rsidRPr="001D2C9F">
              <w:rPr>
                <w:rFonts w:cs="Arial"/>
                <w:b w:val="0"/>
                <w:color w:val="auto"/>
              </w:rPr>
              <w:t>New Freedom</w:t>
            </w:r>
          </w:p>
        </w:tc>
        <w:tc>
          <w:tcPr>
            <w:tcW w:w="1200" w:type="dxa"/>
          </w:tcPr>
          <w:p w14:paraId="4AB7E4D8"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c>
          <w:tcPr>
            <w:tcW w:w="736" w:type="dxa"/>
          </w:tcPr>
          <w:p w14:paraId="0BD31CA5"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c>
          <w:tcPr>
            <w:tcW w:w="897" w:type="dxa"/>
          </w:tcPr>
          <w:p w14:paraId="3CFEA82E"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c>
          <w:tcPr>
            <w:tcW w:w="1093" w:type="dxa"/>
          </w:tcPr>
          <w:p w14:paraId="1086B612"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r>
      <w:tr w:rsidR="00641052" w:rsidRPr="00F67F82" w14:paraId="1E3BC30F" w14:textId="77777777" w:rsidTr="001D2C9F">
        <w:tc>
          <w:tcPr>
            <w:cnfStyle w:val="001000000000" w:firstRow="0" w:lastRow="0" w:firstColumn="1" w:lastColumn="0" w:oddVBand="0" w:evenVBand="0" w:oddHBand="0" w:evenHBand="0" w:firstRowFirstColumn="0" w:firstRowLastColumn="0" w:lastRowFirstColumn="0" w:lastRowLastColumn="0"/>
            <w:tcW w:w="3599" w:type="dxa"/>
          </w:tcPr>
          <w:p w14:paraId="6FEC8AA2" w14:textId="77777777" w:rsidR="00641052" w:rsidRPr="001D2C9F" w:rsidRDefault="00641052" w:rsidP="0088012B">
            <w:pPr>
              <w:rPr>
                <w:rFonts w:cs="Arial"/>
                <w:b w:val="0"/>
                <w:color w:val="auto"/>
              </w:rPr>
            </w:pPr>
            <w:r w:rsidRPr="001D2C9F">
              <w:rPr>
                <w:rFonts w:cs="Arial"/>
                <w:b w:val="0"/>
                <w:color w:val="auto"/>
              </w:rPr>
              <w:t xml:space="preserve">Chore </w:t>
            </w:r>
          </w:p>
        </w:tc>
        <w:tc>
          <w:tcPr>
            <w:tcW w:w="1200" w:type="dxa"/>
          </w:tcPr>
          <w:p w14:paraId="07BADA30"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No</w:t>
            </w:r>
          </w:p>
        </w:tc>
        <w:tc>
          <w:tcPr>
            <w:tcW w:w="736" w:type="dxa"/>
          </w:tcPr>
          <w:p w14:paraId="26511EA2"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sidRPr="001D2C9F">
              <w:rPr>
                <w:rFonts w:cs="Arial"/>
                <w:color w:val="auto"/>
              </w:rPr>
              <w:t>No</w:t>
            </w:r>
          </w:p>
        </w:tc>
        <w:tc>
          <w:tcPr>
            <w:tcW w:w="897" w:type="dxa"/>
          </w:tcPr>
          <w:p w14:paraId="1110F35D"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No</w:t>
            </w:r>
          </w:p>
        </w:tc>
        <w:tc>
          <w:tcPr>
            <w:tcW w:w="1093" w:type="dxa"/>
          </w:tcPr>
          <w:p w14:paraId="5254E757" w14:textId="77777777" w:rsidR="00641052" w:rsidRPr="001D2C9F" w:rsidRDefault="00641052" w:rsidP="0088012B">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1D2C9F">
              <w:rPr>
                <w:rFonts w:cs="Arial"/>
                <w:color w:val="auto"/>
              </w:rPr>
              <w:t>No</w:t>
            </w:r>
          </w:p>
        </w:tc>
      </w:tr>
      <w:tr w:rsidR="00641052" w:rsidRPr="00F67F82" w14:paraId="6B738251" w14:textId="77777777" w:rsidTr="001D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75B6D0BE" w14:textId="77777777" w:rsidR="00641052" w:rsidRPr="001D2C9F" w:rsidRDefault="00641052" w:rsidP="0088012B">
            <w:pPr>
              <w:rPr>
                <w:rFonts w:cs="Arial"/>
                <w:b w:val="0"/>
                <w:color w:val="auto"/>
              </w:rPr>
            </w:pPr>
            <w:r w:rsidRPr="001D2C9F">
              <w:rPr>
                <w:rFonts w:cs="Arial"/>
                <w:b w:val="0"/>
                <w:color w:val="auto"/>
              </w:rPr>
              <w:t>State- Funded ABD Cash Only</w:t>
            </w:r>
          </w:p>
        </w:tc>
        <w:tc>
          <w:tcPr>
            <w:tcW w:w="1200" w:type="dxa"/>
          </w:tcPr>
          <w:p w14:paraId="7B608827"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736" w:type="dxa"/>
          </w:tcPr>
          <w:p w14:paraId="41544641"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b/>
                <w:color w:val="auto"/>
              </w:rPr>
              <w:t>Yes</w:t>
            </w:r>
          </w:p>
        </w:tc>
        <w:tc>
          <w:tcPr>
            <w:tcW w:w="897" w:type="dxa"/>
          </w:tcPr>
          <w:p w14:paraId="5917F411"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c>
          <w:tcPr>
            <w:tcW w:w="1093" w:type="dxa"/>
          </w:tcPr>
          <w:p w14:paraId="06FB22D2" w14:textId="77777777" w:rsidR="00641052" w:rsidRPr="001D2C9F" w:rsidRDefault="00641052" w:rsidP="0088012B">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1D2C9F">
              <w:rPr>
                <w:rFonts w:cs="Arial"/>
                <w:color w:val="auto"/>
              </w:rPr>
              <w:t>No</w:t>
            </w:r>
          </w:p>
        </w:tc>
      </w:tr>
    </w:tbl>
    <w:p w14:paraId="6CC2C9AD" w14:textId="77777777" w:rsidR="00641052" w:rsidRPr="00F67F82" w:rsidRDefault="00641052" w:rsidP="00EE5467">
      <w:pPr>
        <w:ind w:left="360"/>
        <w:rPr>
          <w:rFonts w:cs="Arial"/>
        </w:rPr>
      </w:pPr>
    </w:p>
    <w:p w14:paraId="0EE2C4DA" w14:textId="77777777" w:rsidR="00EE5467" w:rsidRPr="00393A1A" w:rsidRDefault="00EE5467" w:rsidP="00EE5467">
      <w:pPr>
        <w:ind w:left="360"/>
        <w:rPr>
          <w:rFonts w:cs="Arial"/>
          <w:i/>
          <w:color w:val="FF0000"/>
        </w:rPr>
      </w:pPr>
      <w:r w:rsidRPr="00393A1A">
        <w:rPr>
          <w:rFonts w:cs="Arial"/>
          <w:i/>
        </w:rPr>
        <w:t xml:space="preserve">* The AFH must have the specialty designation to meet the needs of the client. </w:t>
      </w:r>
    </w:p>
    <w:p w14:paraId="2CA690E0" w14:textId="77777777" w:rsidR="00F7383E" w:rsidRDefault="00F7383E" w:rsidP="00EE5467">
      <w:pPr>
        <w:pStyle w:val="Heading2"/>
        <w:ind w:left="360" w:firstLine="0"/>
      </w:pPr>
    </w:p>
    <w:p w14:paraId="45C11044" w14:textId="77777777" w:rsidR="00223083" w:rsidRPr="00083918" w:rsidRDefault="00EE5467" w:rsidP="001E0509">
      <w:pPr>
        <w:pStyle w:val="Heading2"/>
        <w:ind w:firstLine="0"/>
        <w:rPr>
          <w:i w:val="0"/>
          <w:sz w:val="28"/>
        </w:rPr>
      </w:pPr>
      <w:bookmarkStart w:id="9" w:name="MPC_to_COPES"/>
      <w:bookmarkStart w:id="10" w:name="Moving_between_CFC_and_CFC_plus_COPES"/>
      <w:bookmarkEnd w:id="9"/>
      <w:r w:rsidRPr="00083918">
        <w:rPr>
          <w:i w:val="0"/>
          <w:sz w:val="28"/>
        </w:rPr>
        <w:t xml:space="preserve">Moving between </w:t>
      </w:r>
      <w:r w:rsidR="00252E8C" w:rsidRPr="00083918">
        <w:rPr>
          <w:i w:val="0"/>
          <w:sz w:val="28"/>
        </w:rPr>
        <w:t xml:space="preserve">CFC </w:t>
      </w:r>
      <w:r w:rsidRPr="00083918">
        <w:rPr>
          <w:i w:val="0"/>
          <w:sz w:val="28"/>
        </w:rPr>
        <w:t xml:space="preserve">and </w:t>
      </w:r>
      <w:r w:rsidR="00252E8C" w:rsidRPr="00083918">
        <w:rPr>
          <w:i w:val="0"/>
          <w:sz w:val="28"/>
        </w:rPr>
        <w:t xml:space="preserve">CFC + </w:t>
      </w:r>
      <w:r w:rsidRPr="00083918">
        <w:rPr>
          <w:i w:val="0"/>
          <w:sz w:val="28"/>
        </w:rPr>
        <w:t xml:space="preserve">COPES </w:t>
      </w:r>
    </w:p>
    <w:bookmarkEnd w:id="10"/>
    <w:p w14:paraId="1A99C890" w14:textId="77777777" w:rsidR="00223083" w:rsidRDefault="00223083" w:rsidP="00EE5467">
      <w:pPr>
        <w:pStyle w:val="Heading2"/>
        <w:ind w:left="360" w:firstLine="0"/>
      </w:pPr>
    </w:p>
    <w:p w14:paraId="18AFF735" w14:textId="77777777" w:rsidR="00EE5467" w:rsidRDefault="00223083" w:rsidP="00EE5467">
      <w:pPr>
        <w:pStyle w:val="Heading2"/>
        <w:ind w:left="360" w:firstLine="0"/>
      </w:pPr>
      <w:r>
        <w:t>*</w:t>
      </w:r>
      <w:r w:rsidR="00EE5467">
        <w:t xml:space="preserve">(NOTE: </w:t>
      </w:r>
      <w:r w:rsidR="001F53C2">
        <w:t xml:space="preserve">MPC and </w:t>
      </w:r>
      <w:r w:rsidR="00EE5467">
        <w:t>MAGI-based</w:t>
      </w:r>
      <w:r w:rsidR="006856D5">
        <w:t xml:space="preserve"> or ABP</w:t>
      </w:r>
      <w:r w:rsidR="00EE5467">
        <w:t xml:space="preserve"> </w:t>
      </w:r>
      <w:r w:rsidR="001F53C2">
        <w:t xml:space="preserve">MPC </w:t>
      </w:r>
      <w:r w:rsidR="00EE5467">
        <w:t>clients are not eligible to move between</w:t>
      </w:r>
      <w:r w:rsidR="00D0607F">
        <w:t xml:space="preserve"> </w:t>
      </w:r>
      <w:r w:rsidR="001F53C2">
        <w:t xml:space="preserve">MPC </w:t>
      </w:r>
      <w:r w:rsidR="00EE5467">
        <w:t xml:space="preserve">and </w:t>
      </w:r>
      <w:r w:rsidR="00252E8C">
        <w:t xml:space="preserve">CFC + </w:t>
      </w:r>
      <w:r w:rsidR="00EE5467">
        <w:t>COPES</w:t>
      </w:r>
      <w:r w:rsidR="00A17649">
        <w:t xml:space="preserve"> because they </w:t>
      </w:r>
      <w:r w:rsidR="003C0395">
        <w:t>do not meet</w:t>
      </w:r>
      <w:r w:rsidR="00A17649">
        <w:t xml:space="preserve"> institutional level of care</w:t>
      </w:r>
      <w:r w:rsidR="00EE5467">
        <w:t xml:space="preserve">) </w:t>
      </w:r>
    </w:p>
    <w:p w14:paraId="31AB7D41" w14:textId="77777777" w:rsidR="00223083" w:rsidRPr="00223083" w:rsidRDefault="00223083" w:rsidP="00223083"/>
    <w:p w14:paraId="1AF0E7A7" w14:textId="72C572AE" w:rsidR="006856D5" w:rsidRDefault="00FE750F" w:rsidP="009862C2">
      <w:pPr>
        <w:pStyle w:val="SectionSubheading"/>
        <w:numPr>
          <w:ilvl w:val="1"/>
          <w:numId w:val="8"/>
        </w:numPr>
        <w:tabs>
          <w:tab w:val="left" w:pos="540"/>
        </w:tabs>
        <w:ind w:left="900" w:hanging="450"/>
        <w:rPr>
          <w:rFonts w:ascii="Arial" w:hAnsi="Arial" w:cs="Arial"/>
          <w:b w:val="0"/>
        </w:rPr>
      </w:pPr>
      <w:r>
        <w:rPr>
          <w:noProof/>
        </w:rPr>
        <mc:AlternateContent>
          <mc:Choice Requires="wps">
            <w:drawing>
              <wp:anchor distT="0" distB="0" distL="114300" distR="114300" simplePos="0" relativeHeight="251659264" behindDoc="0" locked="0" layoutInCell="1" allowOverlap="1" wp14:anchorId="2B6F239D" wp14:editId="61B5F688">
                <wp:simplePos x="0" y="0"/>
                <wp:positionH relativeFrom="column">
                  <wp:posOffset>3154680</wp:posOffset>
                </wp:positionH>
                <wp:positionV relativeFrom="paragraph">
                  <wp:posOffset>433705</wp:posOffset>
                </wp:positionV>
                <wp:extent cx="2613660" cy="1783080"/>
                <wp:effectExtent l="0" t="0" r="1524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783080"/>
                        </a:xfrm>
                        <a:prstGeom prst="rect">
                          <a:avLst/>
                        </a:prstGeom>
                        <a:solidFill>
                          <a:srgbClr val="FFFF00"/>
                        </a:solidFill>
                        <a:ln w="9525">
                          <a:solidFill>
                            <a:srgbClr val="000000"/>
                          </a:solidFill>
                          <a:miter lim="800000"/>
                          <a:headEnd/>
                          <a:tailEnd/>
                        </a:ln>
                      </wps:spPr>
                      <wps:txbx>
                        <w:txbxContent>
                          <w:p w14:paraId="04E3E91F" w14:textId="3DDA8A69" w:rsidR="004C536B" w:rsidRPr="00F905DF" w:rsidRDefault="004C536B" w:rsidP="005B3DC9">
                            <w:pPr>
                              <w:pStyle w:val="SectionSubheading"/>
                              <w:numPr>
                                <w:ilvl w:val="0"/>
                                <w:numId w:val="0"/>
                              </w:numPr>
                              <w:ind w:left="288" w:hanging="288"/>
                              <w:rPr>
                                <w:rFonts w:ascii="Arial" w:hAnsi="Arial" w:cs="Arial"/>
                                <w:b w:val="0"/>
                                <w:sz w:val="20"/>
                              </w:rPr>
                            </w:pPr>
                            <w:r w:rsidRPr="00F905DF">
                              <w:rPr>
                                <w:rFonts w:ascii="Arial" w:hAnsi="Arial" w:cs="Arial"/>
                                <w:b w:val="0"/>
                                <w:sz w:val="20"/>
                              </w:rPr>
                              <w:t>To be eligible for waiver or institutional services a recipient must not have</w:t>
                            </w:r>
                            <w:r w:rsidRPr="00F905DF">
                              <w:rPr>
                                <w:rFonts w:ascii="Times New Roman" w:hAnsi="Times New Roman"/>
                                <w:b w:val="0"/>
                                <w:color w:val="0000FF"/>
                                <w:sz w:val="20"/>
                                <w:u w:val="single"/>
                              </w:rPr>
                              <w:t>:</w:t>
                            </w:r>
                          </w:p>
                          <w:p w14:paraId="3673065B" w14:textId="77777777" w:rsidR="004C536B" w:rsidRPr="00F905DF" w:rsidRDefault="004C536B" w:rsidP="005B3DC9">
                            <w:pPr>
                              <w:pStyle w:val="SectionSubheading"/>
                              <w:numPr>
                                <w:ilvl w:val="0"/>
                                <w:numId w:val="8"/>
                              </w:numPr>
                              <w:rPr>
                                <w:rFonts w:ascii="Arial" w:hAnsi="Arial" w:cs="Arial"/>
                                <w:b w:val="0"/>
                                <w:sz w:val="20"/>
                              </w:rPr>
                            </w:pPr>
                            <w:r w:rsidRPr="00F905DF">
                              <w:rPr>
                                <w:rFonts w:ascii="Arial" w:hAnsi="Arial" w:cs="Arial"/>
                                <w:b w:val="0"/>
                                <w:sz w:val="20"/>
                              </w:rPr>
                              <w:t>Transferred an asset for less than fair market value;</w:t>
                            </w:r>
                          </w:p>
                          <w:p w14:paraId="75C79E75" w14:textId="77777777" w:rsidR="004C536B" w:rsidRPr="00F905DF" w:rsidRDefault="004C536B" w:rsidP="005B3DC9">
                            <w:pPr>
                              <w:pStyle w:val="SectionSubheading"/>
                              <w:numPr>
                                <w:ilvl w:val="0"/>
                                <w:numId w:val="8"/>
                              </w:numPr>
                              <w:rPr>
                                <w:rFonts w:ascii="Arial" w:hAnsi="Arial" w:cs="Arial"/>
                                <w:b w:val="0"/>
                                <w:sz w:val="20"/>
                              </w:rPr>
                            </w:pPr>
                            <w:r w:rsidRPr="00F905DF">
                              <w:rPr>
                                <w:rFonts w:ascii="Arial" w:hAnsi="Arial" w:cs="Arial"/>
                                <w:b w:val="0"/>
                                <w:sz w:val="20"/>
                              </w:rPr>
                              <w:t xml:space="preserve">Ownership of a home that has equity greater than </w:t>
                            </w:r>
                            <w:r>
                              <w:rPr>
                                <w:rFonts w:ascii="Arial" w:hAnsi="Arial" w:cs="Arial"/>
                                <w:b w:val="0"/>
                                <w:sz w:val="20"/>
                              </w:rPr>
                              <w:t xml:space="preserve">the current limit found on the </w:t>
                            </w:r>
                            <w:hyperlink r:id="rId13" w:history="1">
                              <w:r w:rsidRPr="00D67C66">
                                <w:rPr>
                                  <w:rStyle w:val="Hyperlink"/>
                                  <w:rFonts w:ascii="Arial" w:hAnsi="Arial" w:cs="Arial"/>
                                  <w:b w:val="0"/>
                                  <w:sz w:val="20"/>
                                </w:rPr>
                                <w:t>HCA standards chart</w:t>
                              </w:r>
                            </w:hyperlink>
                          </w:p>
                          <w:p w14:paraId="0616E0B3" w14:textId="77777777" w:rsidR="004C536B" w:rsidRPr="00F905DF" w:rsidRDefault="004C536B" w:rsidP="005B3DC9">
                            <w:pPr>
                              <w:pStyle w:val="SectionSubheading"/>
                              <w:numPr>
                                <w:ilvl w:val="0"/>
                                <w:numId w:val="8"/>
                              </w:numPr>
                              <w:rPr>
                                <w:rFonts w:ascii="Arial" w:hAnsi="Arial" w:cs="Arial"/>
                                <w:b w:val="0"/>
                                <w:sz w:val="20"/>
                              </w:rPr>
                            </w:pPr>
                            <w:r w:rsidRPr="00F905DF">
                              <w:rPr>
                                <w:rFonts w:ascii="Arial" w:hAnsi="Arial" w:cs="Arial"/>
                                <w:b w:val="0"/>
                                <w:sz w:val="20"/>
                              </w:rPr>
                              <w:t xml:space="preserve">Ownership of an annuity that does not meet the requirements in </w:t>
                            </w:r>
                            <w:hyperlink r:id="rId14" w:history="1">
                              <w:r w:rsidRPr="00F905DF">
                                <w:rPr>
                                  <w:rStyle w:val="Hyperlink"/>
                                  <w:rFonts w:ascii="Arial" w:hAnsi="Arial" w:cs="Arial"/>
                                  <w:b w:val="0"/>
                                  <w:sz w:val="20"/>
                                </w:rPr>
                                <w:t xml:space="preserve">Chapter </w:t>
                              </w:r>
                              <w:r>
                                <w:rPr>
                                  <w:rStyle w:val="Hyperlink"/>
                                  <w:rFonts w:ascii="Arial" w:hAnsi="Arial" w:cs="Arial"/>
                                  <w:b w:val="0"/>
                                  <w:sz w:val="20"/>
                                </w:rPr>
                                <w:t>182-516</w:t>
                              </w:r>
                            </w:hyperlink>
                          </w:p>
                          <w:p w14:paraId="36B6DF9C" w14:textId="77777777" w:rsidR="004C536B" w:rsidRDefault="004C536B" w:rsidP="005B3D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8.4pt;margin-top:34.15pt;width:205.8pt;height:1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" fillcolor="yellow">
                <v:textbox>
                  <w:txbxContent>
                    <w:p w14:paraId="04E3E91F" w14:textId="3DDA8A69" w:rsidR="004C536B" w:rsidRPr="00F905DF" w:rsidRDefault="004C536B" w:rsidP="005B3DC9">
                      <w:pPr>
                        <w:pStyle w:val="SectionSubheading"/>
                        <w:numPr>
                          <w:ilvl w:val="0"/>
                          <w:numId w:val="0"/>
                        </w:numPr>
                        <w:ind w:left="288" w:hanging="288"/>
                        <w:rPr>
                          <w:rFonts w:ascii="Arial" w:hAnsi="Arial" w:cs="Arial"/>
                          <w:b w:val="0"/>
                          <w:sz w:val="20"/>
                        </w:rPr>
                      </w:pPr>
                      <w:r w:rsidRPr="00F905DF">
                        <w:rPr>
                          <w:rFonts w:ascii="Arial" w:hAnsi="Arial" w:cs="Arial"/>
                          <w:b w:val="0"/>
                          <w:sz w:val="20"/>
                        </w:rPr>
                        <w:t>To be eligible for waiver or institutional services a recipient must not have</w:t>
                      </w:r>
                      <w:r w:rsidRPr="00F905DF">
                        <w:rPr>
                          <w:rFonts w:ascii="Times New Roman" w:hAnsi="Times New Roman"/>
                          <w:b w:val="0"/>
                          <w:color w:val="0000FF"/>
                          <w:sz w:val="20"/>
                          <w:u w:val="single"/>
                        </w:rPr>
                        <w:t>:</w:t>
                      </w:r>
                    </w:p>
                    <w:p w14:paraId="3673065B" w14:textId="77777777" w:rsidR="004C536B" w:rsidRPr="00F905DF" w:rsidRDefault="004C536B" w:rsidP="005B3DC9">
                      <w:pPr>
                        <w:pStyle w:val="SectionSubheading"/>
                        <w:numPr>
                          <w:ilvl w:val="0"/>
                          <w:numId w:val="8"/>
                        </w:numPr>
                        <w:rPr>
                          <w:rFonts w:ascii="Arial" w:hAnsi="Arial" w:cs="Arial"/>
                          <w:b w:val="0"/>
                          <w:sz w:val="20"/>
                        </w:rPr>
                      </w:pPr>
                      <w:r w:rsidRPr="00F905DF">
                        <w:rPr>
                          <w:rFonts w:ascii="Arial" w:hAnsi="Arial" w:cs="Arial"/>
                          <w:b w:val="0"/>
                          <w:sz w:val="20"/>
                        </w:rPr>
                        <w:t>Transferred an asset for less than fair market value;</w:t>
                      </w:r>
                    </w:p>
                    <w:p w14:paraId="75C79E75" w14:textId="77777777" w:rsidR="004C536B" w:rsidRPr="00F905DF" w:rsidRDefault="004C536B" w:rsidP="005B3DC9">
                      <w:pPr>
                        <w:pStyle w:val="SectionSubheading"/>
                        <w:numPr>
                          <w:ilvl w:val="0"/>
                          <w:numId w:val="8"/>
                        </w:numPr>
                        <w:rPr>
                          <w:rFonts w:ascii="Arial" w:hAnsi="Arial" w:cs="Arial"/>
                          <w:b w:val="0"/>
                          <w:sz w:val="20"/>
                        </w:rPr>
                      </w:pPr>
                      <w:r w:rsidRPr="00F905DF">
                        <w:rPr>
                          <w:rFonts w:ascii="Arial" w:hAnsi="Arial" w:cs="Arial"/>
                          <w:b w:val="0"/>
                          <w:sz w:val="20"/>
                        </w:rPr>
                        <w:t xml:space="preserve">Ownership of a home that has equity greater than </w:t>
                      </w:r>
                      <w:r>
                        <w:rPr>
                          <w:rFonts w:ascii="Arial" w:hAnsi="Arial" w:cs="Arial"/>
                          <w:b w:val="0"/>
                          <w:sz w:val="20"/>
                        </w:rPr>
                        <w:t xml:space="preserve">the current limit found on the </w:t>
                      </w:r>
                      <w:hyperlink r:id="rId15" w:history="1">
                        <w:r w:rsidRPr="00D67C66">
                          <w:rPr>
                            <w:rStyle w:val="Hyperlink"/>
                            <w:rFonts w:ascii="Arial" w:hAnsi="Arial" w:cs="Arial"/>
                            <w:b w:val="0"/>
                            <w:sz w:val="20"/>
                          </w:rPr>
                          <w:t>HCA standards chart</w:t>
                        </w:r>
                      </w:hyperlink>
                    </w:p>
                    <w:p w14:paraId="0616E0B3" w14:textId="77777777" w:rsidR="004C536B" w:rsidRPr="00F905DF" w:rsidRDefault="004C536B" w:rsidP="005B3DC9">
                      <w:pPr>
                        <w:pStyle w:val="SectionSubheading"/>
                        <w:numPr>
                          <w:ilvl w:val="0"/>
                          <w:numId w:val="8"/>
                        </w:numPr>
                        <w:rPr>
                          <w:rFonts w:ascii="Arial" w:hAnsi="Arial" w:cs="Arial"/>
                          <w:b w:val="0"/>
                          <w:sz w:val="20"/>
                        </w:rPr>
                      </w:pPr>
                      <w:r w:rsidRPr="00F905DF">
                        <w:rPr>
                          <w:rFonts w:ascii="Arial" w:hAnsi="Arial" w:cs="Arial"/>
                          <w:b w:val="0"/>
                          <w:sz w:val="20"/>
                        </w:rPr>
                        <w:t xml:space="preserve">Ownership of an annuity that does not meet the requirements in </w:t>
                      </w:r>
                      <w:hyperlink r:id="rId16" w:history="1">
                        <w:r w:rsidRPr="00F905DF">
                          <w:rPr>
                            <w:rStyle w:val="Hyperlink"/>
                            <w:rFonts w:ascii="Arial" w:hAnsi="Arial" w:cs="Arial"/>
                            <w:b w:val="0"/>
                            <w:sz w:val="20"/>
                          </w:rPr>
                          <w:t xml:space="preserve">Chapter </w:t>
                        </w:r>
                        <w:r>
                          <w:rPr>
                            <w:rStyle w:val="Hyperlink"/>
                            <w:rFonts w:ascii="Arial" w:hAnsi="Arial" w:cs="Arial"/>
                            <w:b w:val="0"/>
                            <w:sz w:val="20"/>
                          </w:rPr>
                          <w:t>182-516</w:t>
                        </w:r>
                      </w:hyperlink>
                    </w:p>
                    <w:p w14:paraId="36B6DF9C" w14:textId="77777777" w:rsidR="004C536B" w:rsidRDefault="004C536B" w:rsidP="005B3DC9"/>
                  </w:txbxContent>
                </v:textbox>
                <w10:wrap type="square"/>
              </v:shape>
            </w:pict>
          </mc:Fallback>
        </mc:AlternateContent>
      </w:r>
      <w:r w:rsidR="00EE5467" w:rsidRPr="00F67F82">
        <w:rPr>
          <w:rFonts w:ascii="Arial" w:hAnsi="Arial" w:cs="Arial"/>
          <w:b w:val="0"/>
        </w:rPr>
        <w:t xml:space="preserve">If </w:t>
      </w:r>
      <w:r w:rsidR="001F53C2">
        <w:rPr>
          <w:rFonts w:ascii="Arial" w:hAnsi="Arial" w:cs="Arial"/>
          <w:b w:val="0"/>
        </w:rPr>
        <w:t xml:space="preserve">CFC </w:t>
      </w:r>
      <w:r w:rsidR="00EE5467" w:rsidRPr="00F67F82">
        <w:rPr>
          <w:rFonts w:ascii="Arial" w:hAnsi="Arial" w:cs="Arial"/>
          <w:b w:val="0"/>
        </w:rPr>
        <w:t xml:space="preserve">clients have needs beyond the </w:t>
      </w:r>
      <w:r w:rsidR="00C52234" w:rsidRPr="00083918">
        <w:rPr>
          <w:rFonts w:ascii="Arial" w:hAnsi="Arial" w:cs="Arial"/>
          <w:b w:val="0"/>
        </w:rPr>
        <w:t>amount, duration</w:t>
      </w:r>
      <w:r w:rsidR="00C52234">
        <w:rPr>
          <w:rFonts w:ascii="Arial" w:hAnsi="Arial" w:cs="Arial"/>
          <w:b w:val="0"/>
        </w:rPr>
        <w:t>,</w:t>
      </w:r>
      <w:r w:rsidR="00C52234" w:rsidRPr="00083918">
        <w:rPr>
          <w:rFonts w:ascii="Arial" w:hAnsi="Arial" w:cs="Arial"/>
          <w:b w:val="0"/>
        </w:rPr>
        <w:t xml:space="preserve"> and scope</w:t>
      </w:r>
      <w:r w:rsidR="001F53C2">
        <w:rPr>
          <w:rFonts w:ascii="Arial" w:hAnsi="Arial" w:cs="Arial"/>
          <w:b w:val="0"/>
        </w:rPr>
        <w:t xml:space="preserve"> of the CF</w:t>
      </w:r>
      <w:r w:rsidR="00EE5467" w:rsidRPr="00F67F82">
        <w:rPr>
          <w:rFonts w:ascii="Arial" w:hAnsi="Arial" w:cs="Arial"/>
          <w:b w:val="0"/>
        </w:rPr>
        <w:t xml:space="preserve">C program, </w:t>
      </w:r>
      <w:proofErr w:type="gramStart"/>
      <w:r w:rsidR="00EE5467" w:rsidRPr="00F67F82">
        <w:rPr>
          <w:rFonts w:ascii="Arial" w:hAnsi="Arial" w:cs="Arial"/>
          <w:b w:val="0"/>
        </w:rPr>
        <w:t>consider</w:t>
      </w:r>
      <w:proofErr w:type="gramEnd"/>
      <w:r w:rsidR="0076660B">
        <w:rPr>
          <w:rFonts w:ascii="Arial" w:hAnsi="Arial" w:cs="Arial"/>
          <w:b w:val="0"/>
        </w:rPr>
        <w:t xml:space="preserve"> </w:t>
      </w:r>
      <w:r w:rsidR="006856D5">
        <w:rPr>
          <w:rFonts w:ascii="Arial" w:hAnsi="Arial" w:cs="Arial"/>
          <w:b w:val="0"/>
        </w:rPr>
        <w:t>enrolling the client into</w:t>
      </w:r>
      <w:r w:rsidR="0076660B">
        <w:rPr>
          <w:rFonts w:ascii="Arial" w:hAnsi="Arial" w:cs="Arial"/>
          <w:b w:val="0"/>
        </w:rPr>
        <w:t xml:space="preserve"> the COPES waiver and choosing the program option</w:t>
      </w:r>
      <w:r w:rsidR="00EE5467" w:rsidRPr="00F67F82">
        <w:rPr>
          <w:rFonts w:ascii="Arial" w:hAnsi="Arial" w:cs="Arial"/>
          <w:b w:val="0"/>
        </w:rPr>
        <w:t xml:space="preserve"> </w:t>
      </w:r>
      <w:r w:rsidR="001F53C2">
        <w:rPr>
          <w:rFonts w:ascii="Arial" w:hAnsi="Arial" w:cs="Arial"/>
          <w:b w:val="0"/>
        </w:rPr>
        <w:t xml:space="preserve">CFC + </w:t>
      </w:r>
      <w:r w:rsidR="00EE5467" w:rsidRPr="00F67F82">
        <w:rPr>
          <w:rFonts w:ascii="Arial" w:hAnsi="Arial" w:cs="Arial"/>
          <w:b w:val="0"/>
        </w:rPr>
        <w:t xml:space="preserve">COPES. </w:t>
      </w:r>
    </w:p>
    <w:p w14:paraId="26F3BE9F" w14:textId="77777777" w:rsidR="00FE750F" w:rsidRDefault="00FE750F" w:rsidP="005B3DC9">
      <w:pPr>
        <w:pStyle w:val="SectionSubheading"/>
        <w:numPr>
          <w:ilvl w:val="0"/>
          <w:numId w:val="0"/>
        </w:numPr>
        <w:tabs>
          <w:tab w:val="left" w:pos="540"/>
        </w:tabs>
        <w:ind w:left="900"/>
        <w:rPr>
          <w:rFonts w:ascii="Arial" w:hAnsi="Arial" w:cs="Arial"/>
          <w:b w:val="0"/>
        </w:rPr>
      </w:pPr>
    </w:p>
    <w:p w14:paraId="6FE4A224" w14:textId="77777777" w:rsidR="005B3DC9" w:rsidRPr="006856D5" w:rsidRDefault="005B3DC9" w:rsidP="005B3DC9">
      <w:pPr>
        <w:pStyle w:val="SectionSubheading"/>
        <w:numPr>
          <w:ilvl w:val="0"/>
          <w:numId w:val="0"/>
        </w:numPr>
        <w:tabs>
          <w:tab w:val="left" w:pos="540"/>
        </w:tabs>
        <w:ind w:left="900"/>
        <w:rPr>
          <w:rFonts w:ascii="Arial" w:hAnsi="Arial" w:cs="Arial"/>
          <w:b w:val="0"/>
        </w:rPr>
      </w:pPr>
      <w:r w:rsidRPr="006856D5">
        <w:rPr>
          <w:rFonts w:ascii="Arial" w:hAnsi="Arial" w:cs="Arial"/>
          <w:b w:val="0"/>
        </w:rPr>
        <w:t>Clients who are financially eligible for CFC can ONLY be authorized under CFC + COPES if:</w:t>
      </w:r>
    </w:p>
    <w:p w14:paraId="312D2AC0" w14:textId="77777777" w:rsidR="005B3DC9" w:rsidRPr="00D83A97" w:rsidRDefault="005B3DC9" w:rsidP="005B3DC9">
      <w:pPr>
        <w:pStyle w:val="SectionSubheading"/>
        <w:numPr>
          <w:ilvl w:val="0"/>
          <w:numId w:val="0"/>
        </w:numPr>
        <w:tabs>
          <w:tab w:val="left" w:pos="540"/>
        </w:tabs>
        <w:ind w:left="900"/>
        <w:rPr>
          <w:rFonts w:ascii="Arial" w:hAnsi="Arial" w:cs="Arial"/>
          <w:b w:val="0"/>
        </w:rPr>
      </w:pPr>
    </w:p>
    <w:p w14:paraId="2CCDE257" w14:textId="77777777" w:rsidR="005B3DC9" w:rsidRPr="00F67F82" w:rsidRDefault="005B3DC9" w:rsidP="005B3DC9">
      <w:pPr>
        <w:pStyle w:val="SectionSubheading"/>
        <w:numPr>
          <w:ilvl w:val="2"/>
          <w:numId w:val="8"/>
        </w:numPr>
        <w:ind w:left="1440" w:hanging="90"/>
        <w:rPr>
          <w:rFonts w:ascii="Arial" w:hAnsi="Arial" w:cs="Arial"/>
          <w:b w:val="0"/>
        </w:rPr>
      </w:pPr>
      <w:r w:rsidRPr="00F67F82">
        <w:rPr>
          <w:rFonts w:ascii="Arial" w:hAnsi="Arial" w:cs="Arial"/>
          <w:b w:val="0"/>
        </w:rPr>
        <w:t xml:space="preserve">Documentation indicates why the client’s needs are beyond </w:t>
      </w:r>
      <w:r w:rsidRPr="00F67F82">
        <w:rPr>
          <w:rFonts w:ascii="Arial" w:hAnsi="Arial" w:cs="Arial"/>
          <w:b w:val="0"/>
        </w:rPr>
        <w:lastRenderedPageBreak/>
        <w:t>the am</w:t>
      </w:r>
      <w:r>
        <w:rPr>
          <w:rFonts w:ascii="Arial" w:hAnsi="Arial" w:cs="Arial"/>
          <w:b w:val="0"/>
        </w:rPr>
        <w:t>ount, duration, or scope of CFC;</w:t>
      </w:r>
    </w:p>
    <w:p w14:paraId="7170EE3B" w14:textId="77777777" w:rsidR="005B3DC9" w:rsidRPr="00F67F82" w:rsidRDefault="005B3DC9" w:rsidP="005B3DC9">
      <w:pPr>
        <w:pStyle w:val="SectionSubheading"/>
        <w:numPr>
          <w:ilvl w:val="0"/>
          <w:numId w:val="0"/>
        </w:numPr>
        <w:ind w:left="2304"/>
        <w:rPr>
          <w:rFonts w:ascii="Arial" w:hAnsi="Arial" w:cs="Arial"/>
          <w:b w:val="0"/>
        </w:rPr>
      </w:pPr>
    </w:p>
    <w:p w14:paraId="14704A58" w14:textId="77777777" w:rsidR="005B3DC9" w:rsidRPr="00F67F82" w:rsidRDefault="005B3DC9" w:rsidP="005B3DC9">
      <w:pPr>
        <w:pStyle w:val="SectionSubheading"/>
        <w:numPr>
          <w:ilvl w:val="2"/>
          <w:numId w:val="8"/>
        </w:numPr>
        <w:ind w:left="1440" w:hanging="90"/>
        <w:rPr>
          <w:rFonts w:ascii="Arial" w:hAnsi="Arial" w:cs="Arial"/>
          <w:b w:val="0"/>
        </w:rPr>
      </w:pPr>
      <w:r w:rsidRPr="00F67F82">
        <w:rPr>
          <w:rFonts w:ascii="Arial" w:hAnsi="Arial" w:cs="Arial"/>
          <w:b w:val="0"/>
        </w:rPr>
        <w:t xml:space="preserve">Financial </w:t>
      </w:r>
      <w:r w:rsidR="009F5D68">
        <w:rPr>
          <w:rFonts w:ascii="Arial" w:hAnsi="Arial" w:cs="Arial"/>
          <w:b w:val="0"/>
        </w:rPr>
        <w:t xml:space="preserve">Services </w:t>
      </w:r>
      <w:r w:rsidRPr="00F67F82">
        <w:rPr>
          <w:rFonts w:ascii="Arial" w:hAnsi="Arial" w:cs="Arial"/>
          <w:b w:val="0"/>
        </w:rPr>
        <w:t>has verified eligibility for waiver services</w:t>
      </w:r>
    </w:p>
    <w:p w14:paraId="32E0BDA7" w14:textId="77777777" w:rsidR="005B3DC9" w:rsidRDefault="005B3DC9" w:rsidP="005B3DC9">
      <w:pPr>
        <w:pStyle w:val="SectionSubheading"/>
        <w:numPr>
          <w:ilvl w:val="0"/>
          <w:numId w:val="9"/>
        </w:numPr>
        <w:tabs>
          <w:tab w:val="left" w:pos="1530"/>
          <w:tab w:val="left" w:pos="1800"/>
          <w:tab w:val="left" w:pos="2430"/>
        </w:tabs>
        <w:ind w:left="2160"/>
        <w:rPr>
          <w:rFonts w:ascii="Arial" w:hAnsi="Arial" w:cs="Arial"/>
          <w:b w:val="0"/>
        </w:rPr>
      </w:pPr>
      <w:r w:rsidRPr="00F67F82">
        <w:rPr>
          <w:rFonts w:ascii="Arial" w:hAnsi="Arial" w:cs="Arial"/>
          <w:b w:val="0"/>
        </w:rPr>
        <w:t xml:space="preserve">You must work with your </w:t>
      </w:r>
      <w:r>
        <w:rPr>
          <w:rFonts w:ascii="Arial" w:hAnsi="Arial" w:cs="Arial"/>
          <w:b w:val="0"/>
        </w:rPr>
        <w:t>financial services specialist</w:t>
      </w:r>
      <w:r w:rsidRPr="00F67F82">
        <w:rPr>
          <w:rFonts w:ascii="Arial" w:hAnsi="Arial" w:cs="Arial"/>
          <w:b w:val="0"/>
        </w:rPr>
        <w:t xml:space="preserve"> even if the client is on SSI. </w:t>
      </w:r>
    </w:p>
    <w:p w14:paraId="72D88588" w14:textId="77777777" w:rsidR="005B3DC9" w:rsidRDefault="005B3DC9" w:rsidP="005B3DC9">
      <w:pPr>
        <w:pStyle w:val="SectionSubheading"/>
        <w:numPr>
          <w:ilvl w:val="0"/>
          <w:numId w:val="0"/>
        </w:numPr>
        <w:tabs>
          <w:tab w:val="left" w:pos="1530"/>
          <w:tab w:val="left" w:pos="1800"/>
          <w:tab w:val="left" w:pos="2430"/>
        </w:tabs>
        <w:ind w:left="2160"/>
        <w:rPr>
          <w:rFonts w:ascii="Arial" w:hAnsi="Arial" w:cs="Arial"/>
          <w:b w:val="0"/>
        </w:rPr>
      </w:pPr>
    </w:p>
    <w:p w14:paraId="7787B8C0" w14:textId="4A9A4AF5" w:rsidR="0076660B" w:rsidRPr="00C52234" w:rsidRDefault="0076660B" w:rsidP="00203DB3">
      <w:pPr>
        <w:pStyle w:val="SectionSubheading"/>
        <w:numPr>
          <w:ilvl w:val="1"/>
          <w:numId w:val="8"/>
        </w:numPr>
        <w:tabs>
          <w:tab w:val="left" w:pos="540"/>
        </w:tabs>
        <w:ind w:left="900" w:hanging="450"/>
        <w:rPr>
          <w:rStyle w:val="Hyperlink"/>
          <w:rFonts w:ascii="Arial" w:hAnsi="Arial" w:cs="Arial"/>
          <w:b w:val="0"/>
        </w:rPr>
      </w:pPr>
      <w:r w:rsidRPr="005B3DC9">
        <w:rPr>
          <w:rFonts w:ascii="Arial" w:hAnsi="Arial" w:cs="Arial"/>
          <w:b w:val="0"/>
        </w:rPr>
        <w:t xml:space="preserve">When </w:t>
      </w:r>
      <w:r w:rsidRPr="005B3DC9">
        <w:rPr>
          <w:rFonts w:cs="Arial"/>
          <w:b w:val="0"/>
        </w:rPr>
        <w:t xml:space="preserve">authorizing </w:t>
      </w:r>
      <w:r w:rsidR="006856D5" w:rsidRPr="005B3DC9">
        <w:rPr>
          <w:rFonts w:cs="Arial"/>
          <w:b w:val="0"/>
        </w:rPr>
        <w:t>Home and Community Based Service (</w:t>
      </w:r>
      <w:r w:rsidRPr="005B3DC9">
        <w:rPr>
          <w:rFonts w:cs="Arial"/>
          <w:b w:val="0"/>
        </w:rPr>
        <w:t>HCBS</w:t>
      </w:r>
      <w:r w:rsidR="006856D5" w:rsidRPr="005B3DC9">
        <w:rPr>
          <w:rFonts w:cs="Arial"/>
          <w:b w:val="0"/>
        </w:rPr>
        <w:t>)</w:t>
      </w:r>
      <w:r w:rsidRPr="005B3DC9">
        <w:rPr>
          <w:rFonts w:cs="Arial"/>
          <w:b w:val="0"/>
        </w:rPr>
        <w:t xml:space="preserve"> waiver services</w:t>
      </w:r>
      <w:r w:rsidR="006856D5" w:rsidRPr="005B3DC9">
        <w:rPr>
          <w:rFonts w:cs="Arial"/>
          <w:b w:val="0"/>
        </w:rPr>
        <w:t xml:space="preserve"> (COPES)</w:t>
      </w:r>
      <w:r w:rsidRPr="005B3DC9">
        <w:rPr>
          <w:rFonts w:cs="Arial"/>
          <w:b w:val="0"/>
        </w:rPr>
        <w:t xml:space="preserve"> for SSI recipients, inform the SSI recipient of the requirement to submit an “</w:t>
      </w:r>
      <w:r w:rsidRPr="005B3DC9">
        <w:rPr>
          <w:rFonts w:cs="Arial"/>
          <w:b w:val="0"/>
          <w:i/>
        </w:rPr>
        <w:t>Eligibility for Review for Long-term Care Benefits”</w:t>
      </w:r>
      <w:r w:rsidRPr="005B3DC9">
        <w:rPr>
          <w:rFonts w:cs="Arial"/>
          <w:b w:val="0"/>
        </w:rPr>
        <w:t xml:space="preserve"> form, </w:t>
      </w:r>
      <w:r w:rsidR="00C52234">
        <w:rPr>
          <w:rFonts w:cs="Arial"/>
          <w:b w:val="0"/>
        </w:rPr>
        <w:fldChar w:fldCharType="begin"/>
      </w:r>
      <w:r w:rsidR="00C52234">
        <w:rPr>
          <w:rFonts w:cs="Arial"/>
          <w:b w:val="0"/>
        </w:rPr>
        <w:instrText xml:space="preserve"> HYPERLINK "https://www.dshs.wa.gov/sites/default/files/FSA/forms/pdf/14-416.pdf" </w:instrText>
      </w:r>
      <w:r w:rsidR="00C52234">
        <w:rPr>
          <w:rFonts w:cs="Arial"/>
          <w:b w:val="0"/>
        </w:rPr>
        <w:fldChar w:fldCharType="separate"/>
      </w:r>
      <w:r w:rsidRPr="00C52234">
        <w:rPr>
          <w:rStyle w:val="Hyperlink"/>
          <w:rFonts w:cs="Arial"/>
          <w:b w:val="0"/>
        </w:rPr>
        <w:t>DSHS 14-416.</w:t>
      </w:r>
      <w:r w:rsidR="00FE750F" w:rsidRPr="00C52234">
        <w:rPr>
          <w:rStyle w:val="Hyperlink"/>
          <w:rFonts w:cs="Arial"/>
          <w:b w:val="0"/>
        </w:rPr>
        <w:t xml:space="preserve"> </w:t>
      </w:r>
      <w:r w:rsidRPr="00C52234">
        <w:rPr>
          <w:rStyle w:val="Hyperlink"/>
          <w:rFonts w:cs="Arial"/>
          <w:b w:val="0"/>
        </w:rPr>
        <w:t xml:space="preserve"> </w:t>
      </w:r>
    </w:p>
    <w:p w14:paraId="2CC791D1" w14:textId="566F24C8" w:rsidR="0076660B" w:rsidRDefault="00C52234" w:rsidP="00D83A97">
      <w:pPr>
        <w:pStyle w:val="SectionSubheading"/>
        <w:numPr>
          <w:ilvl w:val="0"/>
          <w:numId w:val="0"/>
        </w:numPr>
        <w:tabs>
          <w:tab w:val="left" w:pos="540"/>
        </w:tabs>
        <w:ind w:left="900"/>
        <w:rPr>
          <w:rFonts w:ascii="Arial" w:hAnsi="Arial" w:cs="Arial"/>
          <w:b w:val="0"/>
        </w:rPr>
      </w:pPr>
      <w:r>
        <w:rPr>
          <w:rFonts w:cs="Arial"/>
          <w:b w:val="0"/>
        </w:rPr>
        <w:fldChar w:fldCharType="end"/>
      </w:r>
    </w:p>
    <w:p w14:paraId="7F31C056" w14:textId="77777777" w:rsidR="003B256E" w:rsidRDefault="003B256E" w:rsidP="0076660B">
      <w:pPr>
        <w:pStyle w:val="Header"/>
        <w:tabs>
          <w:tab w:val="clear" w:pos="4680"/>
          <w:tab w:val="clear" w:pos="9360"/>
          <w:tab w:val="left" w:pos="699"/>
        </w:tabs>
        <w:ind w:left="864"/>
        <w:rPr>
          <w:rFonts w:cs="Arial"/>
        </w:rPr>
      </w:pPr>
      <w:r>
        <w:rPr>
          <w:rFonts w:cs="Arial"/>
        </w:rPr>
        <w:t xml:space="preserve">The CFC + COPES option may be used when the client requires frequent COPES services.  </w:t>
      </w:r>
      <w:r w:rsidR="00430723" w:rsidRPr="00D83A97">
        <w:rPr>
          <w:rFonts w:cs="Arial"/>
        </w:rPr>
        <w:t xml:space="preserve">If the client is enrolled in CFC + COPES, they are enrolled in both </w:t>
      </w:r>
      <w:r w:rsidR="006856D5">
        <w:rPr>
          <w:rFonts w:cs="Arial"/>
        </w:rPr>
        <w:t>the CFC state plan and the COPES waiver</w:t>
      </w:r>
      <w:r>
        <w:rPr>
          <w:rFonts w:cs="Arial"/>
        </w:rPr>
        <w:t xml:space="preserve">.  As such, the client will </w:t>
      </w:r>
      <w:r w:rsidR="00430723" w:rsidRPr="00D83A97">
        <w:rPr>
          <w:rFonts w:cs="Arial"/>
        </w:rPr>
        <w:t xml:space="preserve">not need to switch between programs to access </w:t>
      </w:r>
      <w:r>
        <w:rPr>
          <w:rFonts w:cs="Arial"/>
        </w:rPr>
        <w:t xml:space="preserve">the </w:t>
      </w:r>
      <w:r w:rsidR="00430723" w:rsidRPr="00D83A97">
        <w:rPr>
          <w:rFonts w:cs="Arial"/>
        </w:rPr>
        <w:t>services</w:t>
      </w:r>
      <w:r>
        <w:rPr>
          <w:rFonts w:cs="Arial"/>
        </w:rPr>
        <w:t xml:space="preserve"> for which they are eligible</w:t>
      </w:r>
      <w:r w:rsidR="00430723" w:rsidRPr="00D83A97">
        <w:rPr>
          <w:rFonts w:cs="Arial"/>
        </w:rPr>
        <w:t xml:space="preserve"> from </w:t>
      </w:r>
      <w:r w:rsidR="006856D5">
        <w:rPr>
          <w:rFonts w:cs="Arial"/>
        </w:rPr>
        <w:t>either</w:t>
      </w:r>
      <w:r>
        <w:rPr>
          <w:rFonts w:cs="Arial"/>
        </w:rPr>
        <w:t xml:space="preserve"> of these two programs</w:t>
      </w:r>
      <w:r w:rsidR="00430723" w:rsidRPr="00D83A97">
        <w:rPr>
          <w:rFonts w:cs="Arial"/>
        </w:rPr>
        <w:t xml:space="preserve">. </w:t>
      </w:r>
      <w:r>
        <w:rPr>
          <w:rFonts w:cs="Arial"/>
        </w:rPr>
        <w:t xml:space="preserve"> When a client is enrolled in CFC + COPES, they must access at least one COPES service every month in order to continue to be eligible for the COPES waiver.</w:t>
      </w:r>
      <w:r w:rsidR="00A17649">
        <w:rPr>
          <w:rFonts w:cs="Arial"/>
        </w:rPr>
        <w:t xml:space="preserve"> </w:t>
      </w:r>
    </w:p>
    <w:p w14:paraId="32AC9309" w14:textId="77777777" w:rsidR="006856D5" w:rsidRDefault="003B256E" w:rsidP="0076660B">
      <w:pPr>
        <w:pStyle w:val="Header"/>
        <w:tabs>
          <w:tab w:val="clear" w:pos="4680"/>
          <w:tab w:val="clear" w:pos="9360"/>
          <w:tab w:val="left" w:pos="699"/>
        </w:tabs>
        <w:ind w:left="864"/>
        <w:rPr>
          <w:rFonts w:cs="Arial"/>
        </w:rPr>
      </w:pPr>
      <w:r>
        <w:rPr>
          <w:rFonts w:cs="Arial"/>
        </w:rPr>
        <w:t xml:space="preserve"> </w:t>
      </w:r>
      <w:r w:rsidR="00A17649">
        <w:rPr>
          <w:rFonts w:cs="Arial"/>
        </w:rPr>
        <w:t xml:space="preserve"> </w:t>
      </w:r>
    </w:p>
    <w:p w14:paraId="21919A69" w14:textId="77777777" w:rsidR="0076660B" w:rsidRDefault="0076660B" w:rsidP="0076660B">
      <w:pPr>
        <w:pStyle w:val="Header"/>
        <w:tabs>
          <w:tab w:val="clear" w:pos="4680"/>
          <w:tab w:val="clear" w:pos="9360"/>
          <w:tab w:val="left" w:pos="699"/>
        </w:tabs>
        <w:ind w:left="864"/>
        <w:rPr>
          <w:rFonts w:cs="Arial"/>
        </w:rPr>
      </w:pPr>
      <w:r w:rsidRPr="00D83A97">
        <w:rPr>
          <w:rFonts w:cs="Arial"/>
        </w:rPr>
        <w:t xml:space="preserve">If </w:t>
      </w:r>
      <w:r w:rsidR="006856D5">
        <w:rPr>
          <w:rFonts w:cs="Arial"/>
        </w:rPr>
        <w:t>the client is</w:t>
      </w:r>
      <w:r w:rsidRPr="00D83A97">
        <w:rPr>
          <w:rFonts w:cs="Arial"/>
        </w:rPr>
        <w:t xml:space="preserve"> only </w:t>
      </w:r>
      <w:r w:rsidR="006856D5">
        <w:rPr>
          <w:rFonts w:cs="Arial"/>
        </w:rPr>
        <w:t>enrolled in</w:t>
      </w:r>
      <w:r w:rsidRPr="00D83A97">
        <w:rPr>
          <w:rFonts w:cs="Arial"/>
        </w:rPr>
        <w:t xml:space="preserve"> CFC and wish</w:t>
      </w:r>
      <w:r w:rsidR="006856D5">
        <w:rPr>
          <w:rFonts w:cs="Arial"/>
        </w:rPr>
        <w:t>es</w:t>
      </w:r>
      <w:r w:rsidRPr="00D83A97">
        <w:rPr>
          <w:rFonts w:cs="Arial"/>
        </w:rPr>
        <w:t xml:space="preserve"> to access a waiver service</w:t>
      </w:r>
      <w:r w:rsidR="003B256E">
        <w:rPr>
          <w:rFonts w:cs="Arial"/>
        </w:rPr>
        <w:t xml:space="preserve"> on a short-term basis (for example: the</w:t>
      </w:r>
      <w:r w:rsidR="0069518E">
        <w:rPr>
          <w:rFonts w:cs="Arial"/>
        </w:rPr>
        <w:t xml:space="preserve"> client</w:t>
      </w:r>
      <w:r w:rsidR="003B256E">
        <w:rPr>
          <w:rFonts w:cs="Arial"/>
        </w:rPr>
        <w:t xml:space="preserve"> </w:t>
      </w:r>
      <w:r w:rsidR="0069518E">
        <w:rPr>
          <w:rFonts w:cs="Arial"/>
        </w:rPr>
        <w:t>is eligible to</w:t>
      </w:r>
      <w:r w:rsidR="009F5D68">
        <w:rPr>
          <w:rFonts w:cs="Arial"/>
        </w:rPr>
        <w:t xml:space="preserve"> receive a piece </w:t>
      </w:r>
      <w:r w:rsidR="00203DB3">
        <w:rPr>
          <w:rFonts w:cs="Arial"/>
        </w:rPr>
        <w:t>of durable</w:t>
      </w:r>
      <w:r w:rsidR="003B256E">
        <w:rPr>
          <w:rFonts w:cs="Arial"/>
        </w:rPr>
        <w:t xml:space="preserve"> medical equipment)</w:t>
      </w:r>
      <w:r w:rsidRPr="00D83A97">
        <w:rPr>
          <w:rFonts w:cs="Arial"/>
        </w:rPr>
        <w:t xml:space="preserve">, </w:t>
      </w:r>
      <w:r w:rsidR="009F5D68">
        <w:rPr>
          <w:rFonts w:cs="Arial"/>
        </w:rPr>
        <w:t xml:space="preserve">he or she </w:t>
      </w:r>
      <w:r w:rsidRPr="00D83A97">
        <w:rPr>
          <w:rFonts w:cs="Arial"/>
        </w:rPr>
        <w:t xml:space="preserve">may </w:t>
      </w:r>
      <w:r w:rsidR="006856D5">
        <w:rPr>
          <w:rFonts w:cs="Arial"/>
        </w:rPr>
        <w:t>enroll in</w:t>
      </w:r>
      <w:r w:rsidR="00A17649">
        <w:rPr>
          <w:rFonts w:cs="Arial"/>
        </w:rPr>
        <w:t xml:space="preserve"> CFC</w:t>
      </w:r>
      <w:r w:rsidR="003B256E">
        <w:rPr>
          <w:rFonts w:cs="Arial"/>
        </w:rPr>
        <w:t xml:space="preserve"> </w:t>
      </w:r>
      <w:r w:rsidR="00A17649">
        <w:rPr>
          <w:rFonts w:cs="Arial"/>
        </w:rPr>
        <w:t>+</w:t>
      </w:r>
      <w:r w:rsidR="006856D5">
        <w:rPr>
          <w:rFonts w:cs="Arial"/>
        </w:rPr>
        <w:t xml:space="preserve"> COPES temporarily to </w:t>
      </w:r>
      <w:r w:rsidRPr="00D83A97">
        <w:rPr>
          <w:rFonts w:cs="Arial"/>
        </w:rPr>
        <w:t>access the waiver service</w:t>
      </w:r>
      <w:r w:rsidR="009F5D68">
        <w:rPr>
          <w:rFonts w:cs="Arial"/>
        </w:rPr>
        <w:t xml:space="preserve">. Once the service has been completed the client </w:t>
      </w:r>
      <w:r w:rsidR="00203DB3">
        <w:rPr>
          <w:rFonts w:cs="Arial"/>
        </w:rPr>
        <w:t xml:space="preserve">may </w:t>
      </w:r>
      <w:r w:rsidR="00203DB3" w:rsidRPr="00D83A97">
        <w:rPr>
          <w:rFonts w:cs="Arial"/>
        </w:rPr>
        <w:t>then</w:t>
      </w:r>
      <w:r w:rsidR="003B256E">
        <w:rPr>
          <w:rFonts w:cs="Arial"/>
        </w:rPr>
        <w:t xml:space="preserve"> disenroll from the COPES waiver and</w:t>
      </w:r>
      <w:r w:rsidRPr="00D83A97">
        <w:rPr>
          <w:rFonts w:cs="Arial"/>
        </w:rPr>
        <w:t xml:space="preserve"> return to </w:t>
      </w:r>
      <w:r w:rsidR="003B256E">
        <w:rPr>
          <w:rFonts w:cs="Arial"/>
        </w:rPr>
        <w:t xml:space="preserve">only the </w:t>
      </w:r>
      <w:r w:rsidRPr="00D83A97">
        <w:rPr>
          <w:rFonts w:cs="Arial"/>
        </w:rPr>
        <w:t>CFC</w:t>
      </w:r>
      <w:r w:rsidR="006856D5">
        <w:rPr>
          <w:rFonts w:cs="Arial"/>
        </w:rPr>
        <w:t xml:space="preserve"> </w:t>
      </w:r>
      <w:r w:rsidR="00203DB3">
        <w:rPr>
          <w:rFonts w:cs="Arial"/>
        </w:rPr>
        <w:t xml:space="preserve">program. </w:t>
      </w:r>
    </w:p>
    <w:p w14:paraId="69DD7553" w14:textId="77777777" w:rsidR="005B3DC9" w:rsidRPr="0076660B" w:rsidRDefault="005B3DC9" w:rsidP="0076660B">
      <w:pPr>
        <w:pStyle w:val="Header"/>
        <w:tabs>
          <w:tab w:val="clear" w:pos="4680"/>
          <w:tab w:val="clear" w:pos="9360"/>
          <w:tab w:val="left" w:pos="699"/>
        </w:tabs>
        <w:ind w:left="864"/>
        <w:rPr>
          <w:rFonts w:cs="Arial"/>
        </w:rPr>
      </w:pPr>
    </w:p>
    <w:p w14:paraId="6FEAE06B" w14:textId="77777777" w:rsidR="0076660B" w:rsidRDefault="005B3DC9" w:rsidP="0076660B">
      <w:pPr>
        <w:pStyle w:val="Header"/>
        <w:tabs>
          <w:tab w:val="clear" w:pos="4680"/>
          <w:tab w:val="clear" w:pos="9360"/>
          <w:tab w:val="left" w:pos="699"/>
        </w:tabs>
        <w:ind w:left="864"/>
        <w:rPr>
          <w:rFonts w:cs="Arial"/>
        </w:rPr>
      </w:pPr>
      <w:r w:rsidRPr="005B3DC9">
        <w:rPr>
          <w:rFonts w:cs="Arial"/>
          <w:i/>
          <w:noProof/>
        </w:rPr>
        <mc:AlternateContent>
          <mc:Choice Requires="wps">
            <w:drawing>
              <wp:inline distT="0" distB="0" distL="0" distR="0" wp14:anchorId="1CBF9799" wp14:editId="7D279A66">
                <wp:extent cx="5448300" cy="853440"/>
                <wp:effectExtent l="0" t="0" r="19050"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534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18DB738" w14:textId="255D8B96" w:rsidR="004C536B" w:rsidRPr="00203DB3" w:rsidRDefault="004C536B">
                            <w:pPr>
                              <w:rPr>
                                <w:color w:val="943634" w:themeColor="accent2" w:themeShade="BF"/>
                              </w:rPr>
                            </w:pPr>
                            <w:r w:rsidRPr="00203DB3">
                              <w:rPr>
                                <w:rFonts w:cs="Arial"/>
                                <w:color w:val="943634" w:themeColor="accent2" w:themeShade="BF"/>
                              </w:rPr>
                              <w:t xml:space="preserve">If the LTC authorization is for short-term waiver services, ask the client to complete and sign the </w:t>
                            </w:r>
                            <w:hyperlink r:id="rId17" w:history="1">
                              <w:r w:rsidRPr="00C52234">
                                <w:rPr>
                                  <w:rStyle w:val="Hyperlink"/>
                                  <w:rFonts w:cs="Arial"/>
                                </w:rPr>
                                <w:t>14-416</w:t>
                              </w:r>
                            </w:hyperlink>
                            <w:r w:rsidRPr="00203DB3">
                              <w:rPr>
                                <w:rFonts w:cs="Arial"/>
                                <w:color w:val="943634" w:themeColor="accent2" w:themeShade="BF"/>
                              </w:rPr>
                              <w:t xml:space="preserve"> form mentioned in number 2 above at the time of assessment. This will ensure that the Financial Services Specialist is notified of the change before the service ends.</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29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" fillcolor="white [3201]" strokecolor="#c0504d [3205]" strokeweight="2pt">
                <v:textbox>
                  <w:txbxContent>
                    <w:p w14:paraId="318DB738" w14:textId="255D8B96" w:rsidR="004C536B" w:rsidRPr="00203DB3" w:rsidRDefault="004C536B">
                      <w:pPr>
                        <w:rPr>
                          <w:color w:val="943634" w:themeColor="accent2" w:themeShade="BF"/>
                        </w:rPr>
                      </w:pPr>
                      <w:r w:rsidRPr="00203DB3">
                        <w:rPr>
                          <w:rFonts w:cs="Arial"/>
                          <w:color w:val="943634" w:themeColor="accent2" w:themeShade="BF"/>
                        </w:rPr>
                        <w:t xml:space="preserve">If the LTC authorization is for short-term waiver services, ask the client to complete and sign the </w:t>
                      </w:r>
                      <w:hyperlink r:id="rId18" w:history="1">
                        <w:r w:rsidRPr="00C52234">
                          <w:rPr>
                            <w:rStyle w:val="Hyperlink"/>
                            <w:rFonts w:cs="Arial"/>
                          </w:rPr>
                          <w:t>14-416</w:t>
                        </w:r>
                      </w:hyperlink>
                      <w:r w:rsidRPr="00203DB3">
                        <w:rPr>
                          <w:rFonts w:cs="Arial"/>
                          <w:color w:val="943634" w:themeColor="accent2" w:themeShade="BF"/>
                        </w:rPr>
                        <w:t xml:space="preserve"> form mentioned in number 2 above at the time of assessment. This will ensure that the Financial Services Specialist is notified of the change before the service ends.</w:t>
                      </w:r>
                    </w:p>
                  </w:txbxContent>
                </v:textbox>
                <w10:anchorlock/>
              </v:shape>
            </w:pict>
          </mc:Fallback>
        </mc:AlternateContent>
      </w:r>
    </w:p>
    <w:p w14:paraId="20B05EF6" w14:textId="77777777" w:rsidR="0076660B" w:rsidRPr="006856D5" w:rsidRDefault="0076660B" w:rsidP="00203DB3">
      <w:pPr>
        <w:pStyle w:val="Header"/>
        <w:tabs>
          <w:tab w:val="clear" w:pos="4680"/>
          <w:tab w:val="clear" w:pos="9360"/>
          <w:tab w:val="left" w:pos="699"/>
        </w:tabs>
        <w:ind w:left="1440"/>
        <w:rPr>
          <w:rFonts w:cs="Arial"/>
          <w:i/>
        </w:rPr>
      </w:pPr>
    </w:p>
    <w:p w14:paraId="2937C109" w14:textId="77777777" w:rsidR="0076660B" w:rsidRPr="0076660B" w:rsidRDefault="0076660B" w:rsidP="009862C2">
      <w:pPr>
        <w:pStyle w:val="ListParagraph"/>
        <w:numPr>
          <w:ilvl w:val="0"/>
          <w:numId w:val="8"/>
        </w:numPr>
        <w:ind w:left="864"/>
        <w:contextualSpacing w:val="0"/>
        <w:rPr>
          <w:rFonts w:cs="Arial"/>
          <w:vanish/>
        </w:rPr>
      </w:pPr>
    </w:p>
    <w:p w14:paraId="5AF53C8D" w14:textId="30F00FB1" w:rsidR="0076660B" w:rsidRPr="00F67F82" w:rsidRDefault="0076660B" w:rsidP="009862C2">
      <w:pPr>
        <w:pStyle w:val="SectionSubheading"/>
        <w:numPr>
          <w:ilvl w:val="0"/>
          <w:numId w:val="8"/>
        </w:numPr>
        <w:ind w:left="864"/>
        <w:rPr>
          <w:rFonts w:ascii="Arial" w:hAnsi="Arial" w:cs="Arial"/>
          <w:b w:val="0"/>
        </w:rPr>
      </w:pPr>
      <w:r w:rsidRPr="00F67F82">
        <w:rPr>
          <w:rFonts w:ascii="Arial" w:hAnsi="Arial" w:cs="Arial"/>
          <w:b w:val="0"/>
        </w:rPr>
        <w:t>Use the Financial/Social Services Communication form (</w:t>
      </w:r>
      <w:hyperlink r:id="rId19" w:history="1">
        <w:r w:rsidR="00FF6D61">
          <w:rPr>
            <w:rStyle w:val="Hyperlink"/>
            <w:rFonts w:ascii="Arial" w:hAnsi="Arial" w:cs="Arial"/>
            <w:b w:val="0"/>
          </w:rPr>
          <w:t>07-104</w:t>
        </w:r>
      </w:hyperlink>
      <w:r w:rsidRPr="00F67F82">
        <w:rPr>
          <w:rStyle w:val="Hyperlink"/>
          <w:rFonts w:ascii="Arial" w:hAnsi="Arial" w:cs="Arial"/>
          <w:b w:val="0"/>
        </w:rPr>
        <w:t>)</w:t>
      </w:r>
      <w:r w:rsidRPr="00F67F82">
        <w:rPr>
          <w:rFonts w:ascii="Arial" w:hAnsi="Arial" w:cs="Arial"/>
          <w:b w:val="0"/>
        </w:rPr>
        <w:t xml:space="preserve"> to notify financial </w:t>
      </w:r>
      <w:r w:rsidR="009F5D68">
        <w:rPr>
          <w:rFonts w:ascii="Arial" w:hAnsi="Arial" w:cs="Arial"/>
          <w:b w:val="0"/>
        </w:rPr>
        <w:t xml:space="preserve">services </w:t>
      </w:r>
      <w:r w:rsidRPr="00F67F82">
        <w:rPr>
          <w:rFonts w:ascii="Arial" w:hAnsi="Arial" w:cs="Arial"/>
          <w:b w:val="0"/>
        </w:rPr>
        <w:t xml:space="preserve">of </w:t>
      </w:r>
      <w:r>
        <w:rPr>
          <w:rFonts w:ascii="Arial" w:hAnsi="Arial" w:cs="Arial"/>
          <w:b w:val="0"/>
        </w:rPr>
        <w:t xml:space="preserve">an </w:t>
      </w:r>
      <w:r w:rsidRPr="00F67F82">
        <w:rPr>
          <w:rFonts w:ascii="Arial" w:hAnsi="Arial" w:cs="Arial"/>
          <w:b w:val="0"/>
        </w:rPr>
        <w:t>SSI recipient applying for waiver services.</w:t>
      </w:r>
    </w:p>
    <w:p w14:paraId="0D20D59A" w14:textId="77777777" w:rsidR="0076660B" w:rsidRPr="00F67F82" w:rsidRDefault="0076660B" w:rsidP="0076660B">
      <w:pPr>
        <w:pStyle w:val="SectionSubheading"/>
        <w:numPr>
          <w:ilvl w:val="0"/>
          <w:numId w:val="0"/>
        </w:numPr>
        <w:ind w:left="3024"/>
        <w:rPr>
          <w:rFonts w:ascii="Arial" w:hAnsi="Arial" w:cs="Arial"/>
          <w:b w:val="0"/>
        </w:rPr>
      </w:pPr>
    </w:p>
    <w:p w14:paraId="3FAF2965" w14:textId="4818177F" w:rsidR="0076660B" w:rsidRPr="00F67F82" w:rsidRDefault="0076660B" w:rsidP="009862C2">
      <w:pPr>
        <w:pStyle w:val="SectionSubheading"/>
        <w:numPr>
          <w:ilvl w:val="2"/>
          <w:numId w:val="8"/>
        </w:numPr>
        <w:ind w:left="1440"/>
        <w:rPr>
          <w:rFonts w:ascii="Arial" w:hAnsi="Arial" w:cs="Arial"/>
          <w:b w:val="0"/>
          <w:color w:val="000000"/>
        </w:rPr>
      </w:pPr>
      <w:r w:rsidRPr="00F67F82">
        <w:rPr>
          <w:rFonts w:ascii="Arial" w:hAnsi="Arial" w:cs="Arial"/>
          <w:b w:val="0"/>
          <w:color w:val="000000"/>
        </w:rPr>
        <w:t xml:space="preserve">The client must be </w:t>
      </w:r>
      <w:r>
        <w:rPr>
          <w:rFonts w:ascii="Arial" w:hAnsi="Arial" w:cs="Arial"/>
          <w:b w:val="0"/>
          <w:color w:val="000000"/>
        </w:rPr>
        <w:t xml:space="preserve">financially approved and </w:t>
      </w:r>
      <w:r w:rsidRPr="00F67F82">
        <w:rPr>
          <w:rFonts w:ascii="Arial" w:hAnsi="Arial" w:cs="Arial"/>
          <w:b w:val="0"/>
          <w:color w:val="000000"/>
        </w:rPr>
        <w:t xml:space="preserve">moved to </w:t>
      </w:r>
      <w:r>
        <w:rPr>
          <w:rFonts w:ascii="Arial" w:hAnsi="Arial" w:cs="Arial"/>
          <w:b w:val="0"/>
          <w:color w:val="000000"/>
        </w:rPr>
        <w:t xml:space="preserve">CFC + </w:t>
      </w:r>
      <w:r w:rsidRPr="00F67F82">
        <w:rPr>
          <w:rFonts w:ascii="Arial" w:hAnsi="Arial" w:cs="Arial"/>
          <w:b w:val="0"/>
          <w:color w:val="000000"/>
        </w:rPr>
        <w:t>COPES before a waiver service can be authorized and paid. Complete an Ackno</w:t>
      </w:r>
      <w:r w:rsidR="00DC4AA3">
        <w:rPr>
          <w:rFonts w:ascii="Arial" w:hAnsi="Arial" w:cs="Arial"/>
          <w:b w:val="0"/>
          <w:color w:val="000000"/>
        </w:rPr>
        <w:t>wledge of Services (</w:t>
      </w:r>
      <w:hyperlink r:id="rId20" w:history="1">
        <w:r w:rsidR="00DC4AA3" w:rsidRPr="006D3F51">
          <w:rPr>
            <w:rStyle w:val="Hyperlink"/>
            <w:rFonts w:ascii="Arial" w:hAnsi="Arial" w:cs="Arial"/>
            <w:b w:val="0"/>
          </w:rPr>
          <w:t>14-225</w:t>
        </w:r>
      </w:hyperlink>
      <w:r w:rsidR="00DC4AA3">
        <w:rPr>
          <w:rFonts w:ascii="Arial" w:hAnsi="Arial" w:cs="Arial"/>
          <w:b w:val="0"/>
          <w:color w:val="000000"/>
        </w:rPr>
        <w:t xml:space="preserve">) form </w:t>
      </w:r>
      <w:r>
        <w:rPr>
          <w:rFonts w:ascii="Arial" w:hAnsi="Arial" w:cs="Arial"/>
          <w:b w:val="0"/>
          <w:color w:val="000000"/>
        </w:rPr>
        <w:t>if this was not done at the time of the assessment</w:t>
      </w:r>
      <w:r w:rsidRPr="00F67F82">
        <w:rPr>
          <w:rFonts w:ascii="Arial" w:hAnsi="Arial" w:cs="Arial"/>
          <w:b w:val="0"/>
          <w:color w:val="000000"/>
        </w:rPr>
        <w:t xml:space="preserve"> to meet </w:t>
      </w:r>
      <w:r>
        <w:rPr>
          <w:rFonts w:ascii="Arial" w:hAnsi="Arial" w:cs="Arial"/>
          <w:b w:val="0"/>
          <w:color w:val="000000"/>
        </w:rPr>
        <w:t xml:space="preserve">both CFC and </w:t>
      </w:r>
      <w:r w:rsidRPr="00F67F82">
        <w:rPr>
          <w:rFonts w:ascii="Arial" w:hAnsi="Arial" w:cs="Arial"/>
          <w:b w:val="0"/>
          <w:color w:val="000000"/>
        </w:rPr>
        <w:t>waiver enrollment requirements.</w:t>
      </w:r>
      <w:r>
        <w:rPr>
          <w:rFonts w:ascii="Arial" w:hAnsi="Arial" w:cs="Arial"/>
          <w:b w:val="0"/>
          <w:color w:val="000000"/>
        </w:rPr>
        <w:t xml:space="preserve"> </w:t>
      </w:r>
    </w:p>
    <w:p w14:paraId="3DD3E73A" w14:textId="77777777" w:rsidR="0076660B" w:rsidRPr="00F67F82" w:rsidRDefault="0076660B" w:rsidP="0076660B">
      <w:pPr>
        <w:pStyle w:val="SectionSubheading"/>
        <w:numPr>
          <w:ilvl w:val="0"/>
          <w:numId w:val="0"/>
        </w:numPr>
        <w:ind w:left="2304"/>
        <w:rPr>
          <w:rFonts w:ascii="Arial" w:hAnsi="Arial" w:cs="Arial"/>
          <w:b w:val="0"/>
          <w:color w:val="000000"/>
        </w:rPr>
      </w:pPr>
    </w:p>
    <w:p w14:paraId="055A6641" w14:textId="77777777" w:rsidR="0076660B" w:rsidRDefault="0076660B" w:rsidP="009862C2">
      <w:pPr>
        <w:pStyle w:val="SectionSubheading"/>
        <w:numPr>
          <w:ilvl w:val="2"/>
          <w:numId w:val="8"/>
        </w:numPr>
        <w:ind w:left="1530" w:hanging="270"/>
        <w:rPr>
          <w:rFonts w:ascii="Arial" w:hAnsi="Arial" w:cs="Arial"/>
          <w:b w:val="0"/>
          <w:color w:val="000000"/>
        </w:rPr>
      </w:pPr>
      <w:r w:rsidRPr="00F67F82">
        <w:rPr>
          <w:rFonts w:ascii="Arial" w:hAnsi="Arial" w:cs="Arial"/>
          <w:b w:val="0"/>
          <w:color w:val="000000"/>
        </w:rPr>
        <w:t xml:space="preserve">Authorize Services - To make payment for a </w:t>
      </w:r>
      <w:r>
        <w:rPr>
          <w:rFonts w:ascii="Arial" w:hAnsi="Arial" w:cs="Arial"/>
          <w:b w:val="0"/>
          <w:color w:val="000000"/>
        </w:rPr>
        <w:t>short-</w:t>
      </w:r>
      <w:r w:rsidRPr="00F67F82">
        <w:rPr>
          <w:rFonts w:ascii="Arial" w:hAnsi="Arial" w:cs="Arial"/>
          <w:b w:val="0"/>
          <w:color w:val="000000"/>
        </w:rPr>
        <w:t>term waiver service:</w:t>
      </w:r>
    </w:p>
    <w:p w14:paraId="78117858" w14:textId="77777777" w:rsidR="0076660B" w:rsidRDefault="0076660B" w:rsidP="009862C2">
      <w:pPr>
        <w:pStyle w:val="SectionSubheading"/>
        <w:numPr>
          <w:ilvl w:val="3"/>
          <w:numId w:val="8"/>
        </w:numPr>
        <w:ind w:left="2520" w:hanging="450"/>
        <w:rPr>
          <w:rFonts w:ascii="Arial" w:hAnsi="Arial" w:cs="Arial"/>
          <w:b w:val="0"/>
          <w:color w:val="000000"/>
        </w:rPr>
      </w:pPr>
      <w:r>
        <w:rPr>
          <w:rFonts w:ascii="Arial" w:hAnsi="Arial" w:cs="Arial"/>
          <w:b w:val="0"/>
          <w:color w:val="000000"/>
        </w:rPr>
        <w:t xml:space="preserve">Verify financial eligibility has been completed and there is a communication in DMS from financial </w:t>
      </w:r>
      <w:r w:rsidRPr="00363416">
        <w:rPr>
          <w:rFonts w:ascii="Arial" w:hAnsi="Arial" w:cs="Arial"/>
          <w:b w:val="0"/>
        </w:rPr>
        <w:t xml:space="preserve">(form </w:t>
      </w:r>
      <w:r w:rsidR="005B3DC9" w:rsidRPr="00363416">
        <w:rPr>
          <w:rFonts w:ascii="Arial" w:hAnsi="Arial" w:cs="Arial"/>
          <w:b w:val="0"/>
        </w:rPr>
        <w:t>07-104</w:t>
      </w:r>
      <w:r w:rsidRPr="00363416">
        <w:rPr>
          <w:rFonts w:ascii="Arial" w:hAnsi="Arial" w:cs="Arial"/>
          <w:b w:val="0"/>
        </w:rPr>
        <w:t xml:space="preserve">) </w:t>
      </w:r>
      <w:r>
        <w:rPr>
          <w:rFonts w:ascii="Arial" w:hAnsi="Arial" w:cs="Arial"/>
          <w:b w:val="0"/>
          <w:color w:val="000000"/>
        </w:rPr>
        <w:t>showing that the client is financially eligible for waiver program services.</w:t>
      </w:r>
    </w:p>
    <w:p w14:paraId="5142B2AA" w14:textId="77777777" w:rsidR="0076660B" w:rsidRPr="00F67F82" w:rsidRDefault="0076660B" w:rsidP="009862C2">
      <w:pPr>
        <w:pStyle w:val="SectionSubheading"/>
        <w:numPr>
          <w:ilvl w:val="3"/>
          <w:numId w:val="8"/>
        </w:numPr>
        <w:ind w:left="2520" w:hanging="450"/>
        <w:rPr>
          <w:rFonts w:ascii="Arial" w:hAnsi="Arial" w:cs="Arial"/>
          <w:b w:val="0"/>
          <w:color w:val="000000"/>
        </w:rPr>
      </w:pPr>
      <w:r w:rsidRPr="00F67F82">
        <w:rPr>
          <w:rFonts w:ascii="Arial" w:hAnsi="Arial" w:cs="Arial"/>
          <w:b w:val="0"/>
          <w:color w:val="000000"/>
        </w:rPr>
        <w:t xml:space="preserve">Open </w:t>
      </w:r>
      <w:r w:rsidR="000A5E01">
        <w:rPr>
          <w:rFonts w:ascii="Arial" w:hAnsi="Arial" w:cs="Arial"/>
          <w:b w:val="0"/>
          <w:color w:val="000000"/>
        </w:rPr>
        <w:t xml:space="preserve">the </w:t>
      </w:r>
      <w:r w:rsidRPr="00F67F82">
        <w:rPr>
          <w:rFonts w:ascii="Arial" w:hAnsi="Arial" w:cs="Arial"/>
          <w:b w:val="0"/>
          <w:color w:val="000000"/>
        </w:rPr>
        <w:t xml:space="preserve">service </w:t>
      </w:r>
      <w:r w:rsidR="000A5E01">
        <w:rPr>
          <w:rFonts w:ascii="Arial" w:hAnsi="Arial" w:cs="Arial"/>
          <w:b w:val="0"/>
          <w:color w:val="000000"/>
        </w:rPr>
        <w:t xml:space="preserve">authorization </w:t>
      </w:r>
      <w:r w:rsidRPr="00F67F82">
        <w:rPr>
          <w:rFonts w:ascii="Arial" w:hAnsi="Arial" w:cs="Arial"/>
          <w:b w:val="0"/>
          <w:color w:val="000000"/>
        </w:rPr>
        <w:t xml:space="preserve">for the month in which you will authorize </w:t>
      </w:r>
      <w:r>
        <w:rPr>
          <w:rFonts w:ascii="Arial" w:hAnsi="Arial" w:cs="Arial"/>
          <w:b w:val="0"/>
          <w:color w:val="000000"/>
        </w:rPr>
        <w:t>payment for the short-</w:t>
      </w:r>
      <w:r w:rsidRPr="00F67F82">
        <w:rPr>
          <w:rFonts w:ascii="Arial" w:hAnsi="Arial" w:cs="Arial"/>
          <w:b w:val="0"/>
          <w:color w:val="000000"/>
        </w:rPr>
        <w:t>term waiver ser</w:t>
      </w:r>
      <w:r>
        <w:rPr>
          <w:rFonts w:ascii="Arial" w:hAnsi="Arial" w:cs="Arial"/>
          <w:b w:val="0"/>
          <w:color w:val="000000"/>
        </w:rPr>
        <w:t>vice (e.g. a wheel chair ramp);</w:t>
      </w:r>
      <w:r w:rsidRPr="00F67F82">
        <w:rPr>
          <w:rFonts w:ascii="Arial" w:hAnsi="Arial" w:cs="Arial"/>
          <w:b w:val="0"/>
          <w:color w:val="000000"/>
        </w:rPr>
        <w:t xml:space="preserve"> </w:t>
      </w:r>
    </w:p>
    <w:p w14:paraId="06CD16C7" w14:textId="77777777" w:rsidR="0076660B" w:rsidRPr="00F67F82" w:rsidRDefault="0076660B" w:rsidP="009862C2">
      <w:pPr>
        <w:pStyle w:val="SectionSubheading"/>
        <w:numPr>
          <w:ilvl w:val="4"/>
          <w:numId w:val="8"/>
        </w:numPr>
        <w:ind w:left="3060" w:hanging="270"/>
        <w:rPr>
          <w:rFonts w:ascii="Arial" w:hAnsi="Arial" w:cs="Arial"/>
          <w:b w:val="0"/>
          <w:color w:val="000000"/>
        </w:rPr>
      </w:pPr>
      <w:r w:rsidRPr="00F67F82">
        <w:rPr>
          <w:rFonts w:ascii="Arial" w:hAnsi="Arial" w:cs="Arial"/>
          <w:b w:val="0"/>
          <w:color w:val="000000"/>
        </w:rPr>
        <w:lastRenderedPageBreak/>
        <w:t>The authorization Begin Date must be the 1</w:t>
      </w:r>
      <w:r w:rsidRPr="00F67F82">
        <w:rPr>
          <w:rFonts w:ascii="Arial" w:hAnsi="Arial" w:cs="Arial"/>
          <w:b w:val="0"/>
          <w:color w:val="000000"/>
          <w:vertAlign w:val="superscript"/>
        </w:rPr>
        <w:t>st</w:t>
      </w:r>
      <w:r w:rsidRPr="00F67F82">
        <w:rPr>
          <w:rFonts w:ascii="Arial" w:hAnsi="Arial" w:cs="Arial"/>
          <w:b w:val="0"/>
          <w:color w:val="000000"/>
        </w:rPr>
        <w:t xml:space="preserve"> day of the month for the month that the </w:t>
      </w:r>
      <w:r>
        <w:rPr>
          <w:rFonts w:ascii="Arial" w:hAnsi="Arial" w:cs="Arial"/>
          <w:b w:val="0"/>
          <w:color w:val="000000"/>
        </w:rPr>
        <w:t>needed short-</w:t>
      </w:r>
      <w:r w:rsidRPr="00F67F82">
        <w:rPr>
          <w:rFonts w:ascii="Arial" w:hAnsi="Arial" w:cs="Arial"/>
          <w:b w:val="0"/>
          <w:color w:val="000000"/>
        </w:rPr>
        <w:t xml:space="preserve">term service will be paid. </w:t>
      </w:r>
    </w:p>
    <w:p w14:paraId="04EF7CCE" w14:textId="298DB97C" w:rsidR="0076660B" w:rsidRDefault="0076660B" w:rsidP="009862C2">
      <w:pPr>
        <w:pStyle w:val="SectionSubheading"/>
        <w:numPr>
          <w:ilvl w:val="4"/>
          <w:numId w:val="8"/>
        </w:numPr>
        <w:ind w:left="3060" w:hanging="270"/>
        <w:rPr>
          <w:rFonts w:ascii="Arial" w:hAnsi="Arial" w:cs="Arial"/>
          <w:b w:val="0"/>
          <w:color w:val="000000"/>
        </w:rPr>
      </w:pPr>
      <w:r w:rsidRPr="00F67F82">
        <w:rPr>
          <w:rFonts w:ascii="Arial" w:hAnsi="Arial" w:cs="Arial"/>
          <w:b w:val="0"/>
          <w:color w:val="000000"/>
        </w:rPr>
        <w:t xml:space="preserve">Notify financial services on a </w:t>
      </w:r>
      <w:hyperlink r:id="rId21" w:history="1">
        <w:r w:rsidR="00FF6D61">
          <w:rPr>
            <w:rStyle w:val="Hyperlink"/>
            <w:rFonts w:ascii="Arial" w:hAnsi="Arial" w:cs="Arial"/>
            <w:b w:val="0"/>
          </w:rPr>
          <w:t>07-104</w:t>
        </w:r>
      </w:hyperlink>
      <w:r w:rsidRPr="00F67F82">
        <w:rPr>
          <w:rFonts w:ascii="Arial" w:hAnsi="Arial" w:cs="Arial"/>
          <w:b w:val="0"/>
        </w:rPr>
        <w:t xml:space="preserve"> </w:t>
      </w:r>
      <w:r w:rsidRPr="00F67F82">
        <w:rPr>
          <w:rFonts w:ascii="Arial" w:hAnsi="Arial" w:cs="Arial"/>
          <w:b w:val="0"/>
          <w:color w:val="000000"/>
        </w:rPr>
        <w:t xml:space="preserve">of </w:t>
      </w:r>
      <w:r w:rsidR="00004DFF">
        <w:rPr>
          <w:rFonts w:ascii="Arial" w:hAnsi="Arial" w:cs="Arial"/>
          <w:b w:val="0"/>
          <w:color w:val="000000"/>
        </w:rPr>
        <w:t xml:space="preserve">the </w:t>
      </w:r>
      <w:r w:rsidRPr="00F67F82">
        <w:rPr>
          <w:rFonts w:ascii="Arial" w:hAnsi="Arial" w:cs="Arial"/>
          <w:b w:val="0"/>
          <w:color w:val="000000"/>
        </w:rPr>
        <w:t xml:space="preserve">COPES </w:t>
      </w:r>
      <w:r w:rsidR="00004DFF">
        <w:rPr>
          <w:rFonts w:ascii="Arial" w:hAnsi="Arial" w:cs="Arial"/>
          <w:b w:val="0"/>
          <w:color w:val="000000"/>
        </w:rPr>
        <w:t>program addition</w:t>
      </w:r>
      <w:r>
        <w:rPr>
          <w:rFonts w:ascii="Arial" w:hAnsi="Arial" w:cs="Arial"/>
          <w:b w:val="0"/>
          <w:color w:val="000000"/>
        </w:rPr>
        <w:t>.</w:t>
      </w:r>
    </w:p>
    <w:p w14:paraId="72939A43" w14:textId="77777777" w:rsidR="00004DFF" w:rsidRPr="00F67F82" w:rsidRDefault="00004DFF" w:rsidP="009862C2">
      <w:pPr>
        <w:pStyle w:val="SectionSubheading"/>
        <w:numPr>
          <w:ilvl w:val="4"/>
          <w:numId w:val="8"/>
        </w:numPr>
        <w:ind w:left="3060" w:hanging="270"/>
        <w:rPr>
          <w:rFonts w:ascii="Arial" w:hAnsi="Arial" w:cs="Arial"/>
          <w:b w:val="0"/>
          <w:color w:val="000000"/>
        </w:rPr>
      </w:pPr>
      <w:r>
        <w:rPr>
          <w:rFonts w:ascii="Arial" w:hAnsi="Arial" w:cs="Arial"/>
          <w:b w:val="0"/>
          <w:color w:val="000000"/>
        </w:rPr>
        <w:t>Enter the RAC for COPES into CARE.</w:t>
      </w:r>
    </w:p>
    <w:p w14:paraId="2391FBB8" w14:textId="77777777" w:rsidR="0076660B" w:rsidRPr="00004DFF" w:rsidRDefault="0076660B" w:rsidP="009862C2">
      <w:pPr>
        <w:pStyle w:val="SectionSubheading"/>
        <w:numPr>
          <w:ilvl w:val="3"/>
          <w:numId w:val="8"/>
        </w:numPr>
        <w:ind w:left="2520" w:hanging="450"/>
        <w:rPr>
          <w:rFonts w:ascii="Arial" w:hAnsi="Arial" w:cs="Arial"/>
          <w:b w:val="0"/>
          <w:color w:val="000000"/>
        </w:rPr>
      </w:pPr>
      <w:r w:rsidRPr="00004DFF">
        <w:rPr>
          <w:rFonts w:ascii="Arial" w:hAnsi="Arial" w:cs="Arial"/>
          <w:b w:val="0"/>
          <w:color w:val="000000"/>
        </w:rPr>
        <w:t xml:space="preserve">Once the service is paid, </w:t>
      </w:r>
      <w:r w:rsidR="000A5E01">
        <w:rPr>
          <w:rFonts w:ascii="Arial" w:hAnsi="Arial" w:cs="Arial"/>
          <w:b w:val="0"/>
          <w:color w:val="000000"/>
        </w:rPr>
        <w:t>be sure</w:t>
      </w:r>
      <w:r w:rsidRPr="00004DFF">
        <w:rPr>
          <w:rFonts w:ascii="Arial" w:hAnsi="Arial" w:cs="Arial"/>
          <w:b w:val="0"/>
          <w:color w:val="000000"/>
        </w:rPr>
        <w:t xml:space="preserve"> all COPES services</w:t>
      </w:r>
      <w:r w:rsidR="000A5E01">
        <w:rPr>
          <w:rFonts w:ascii="Arial" w:hAnsi="Arial" w:cs="Arial"/>
          <w:b w:val="0"/>
          <w:color w:val="000000"/>
        </w:rPr>
        <w:t xml:space="preserve"> have been closed</w:t>
      </w:r>
      <w:r w:rsidR="00CE5EB2">
        <w:rPr>
          <w:rFonts w:ascii="Arial" w:hAnsi="Arial" w:cs="Arial"/>
          <w:b w:val="0"/>
          <w:color w:val="000000"/>
        </w:rPr>
        <w:t xml:space="preserve"> and terminate the RAC</w:t>
      </w:r>
      <w:r w:rsidRPr="00004DFF">
        <w:rPr>
          <w:rFonts w:ascii="Arial" w:hAnsi="Arial" w:cs="Arial"/>
          <w:b w:val="0"/>
          <w:color w:val="000000"/>
        </w:rPr>
        <w:t xml:space="preserve"> effe</w:t>
      </w:r>
      <w:r w:rsidR="00004DFF">
        <w:rPr>
          <w:rFonts w:ascii="Arial" w:hAnsi="Arial" w:cs="Arial"/>
          <w:b w:val="0"/>
          <w:color w:val="000000"/>
        </w:rPr>
        <w:t>ctive the last day of the month.</w:t>
      </w:r>
    </w:p>
    <w:p w14:paraId="32729397" w14:textId="6595D1FE" w:rsidR="000A5E01" w:rsidRPr="000A5E01" w:rsidRDefault="0076660B" w:rsidP="009862C2">
      <w:pPr>
        <w:pStyle w:val="SectionSubheading"/>
        <w:numPr>
          <w:ilvl w:val="4"/>
          <w:numId w:val="8"/>
        </w:numPr>
        <w:ind w:left="3060" w:hanging="270"/>
        <w:rPr>
          <w:rFonts w:ascii="Arial" w:hAnsi="Arial" w:cs="Arial"/>
          <w:b w:val="0"/>
          <w:color w:val="000000"/>
        </w:rPr>
      </w:pPr>
      <w:r w:rsidRPr="00F67F82">
        <w:rPr>
          <w:rFonts w:ascii="Arial" w:hAnsi="Arial" w:cs="Arial"/>
          <w:b w:val="0"/>
          <w:color w:val="000000"/>
        </w:rPr>
        <w:t xml:space="preserve">Notify financial services on a </w:t>
      </w:r>
      <w:hyperlink r:id="rId22" w:history="1">
        <w:r w:rsidR="00FF6D61">
          <w:rPr>
            <w:rStyle w:val="Hyperlink"/>
            <w:rFonts w:ascii="Arial" w:hAnsi="Arial" w:cs="Arial"/>
            <w:b w:val="0"/>
          </w:rPr>
          <w:t>07-104</w:t>
        </w:r>
      </w:hyperlink>
      <w:r w:rsidR="00004DFF">
        <w:rPr>
          <w:rFonts w:ascii="Arial" w:hAnsi="Arial" w:cs="Arial"/>
          <w:b w:val="0"/>
        </w:rPr>
        <w:t xml:space="preserve"> </w:t>
      </w:r>
      <w:r w:rsidRPr="00F67F82">
        <w:rPr>
          <w:rFonts w:ascii="Arial" w:hAnsi="Arial" w:cs="Arial"/>
          <w:b w:val="0"/>
          <w:color w:val="000000"/>
        </w:rPr>
        <w:t xml:space="preserve">of </w:t>
      </w:r>
      <w:r w:rsidR="00F7383E">
        <w:rPr>
          <w:rFonts w:ascii="Arial" w:hAnsi="Arial" w:cs="Arial"/>
          <w:b w:val="0"/>
          <w:color w:val="000000"/>
        </w:rPr>
        <w:t xml:space="preserve">the </w:t>
      </w:r>
      <w:r w:rsidRPr="00F67F82">
        <w:rPr>
          <w:rFonts w:ascii="Arial" w:hAnsi="Arial" w:cs="Arial"/>
          <w:b w:val="0"/>
          <w:color w:val="000000"/>
        </w:rPr>
        <w:t>COPES termina</w:t>
      </w:r>
      <w:r>
        <w:rPr>
          <w:rFonts w:ascii="Arial" w:hAnsi="Arial" w:cs="Arial"/>
          <w:b w:val="0"/>
          <w:color w:val="000000"/>
        </w:rPr>
        <w:t>tion</w:t>
      </w:r>
      <w:r w:rsidR="00CE5EB2">
        <w:rPr>
          <w:rFonts w:ascii="Arial" w:hAnsi="Arial" w:cs="Arial"/>
          <w:b w:val="0"/>
          <w:color w:val="000000"/>
        </w:rPr>
        <w:t>.</w:t>
      </w:r>
    </w:p>
    <w:p w14:paraId="7094E836" w14:textId="77777777" w:rsidR="00EE5467" w:rsidRPr="00F67F82" w:rsidRDefault="00EE5467" w:rsidP="00EE5467">
      <w:pPr>
        <w:pStyle w:val="SectionSubheading"/>
        <w:numPr>
          <w:ilvl w:val="0"/>
          <w:numId w:val="0"/>
        </w:numPr>
        <w:ind w:left="2664"/>
        <w:rPr>
          <w:rFonts w:ascii="Arial" w:hAnsi="Arial" w:cs="Arial"/>
          <w:b w:val="0"/>
          <w:color w:val="000000"/>
        </w:rPr>
      </w:pPr>
    </w:p>
    <w:p w14:paraId="1B9D5016" w14:textId="77777777" w:rsidR="003F6FEB" w:rsidRDefault="00EE5467" w:rsidP="003F6FEB">
      <w:pPr>
        <w:pStyle w:val="SectionSubheading"/>
        <w:numPr>
          <w:ilvl w:val="0"/>
          <w:numId w:val="0"/>
        </w:numPr>
        <w:pBdr>
          <w:top w:val="single" w:sz="4" w:space="1" w:color="auto"/>
          <w:left w:val="single" w:sz="4" w:space="4" w:color="auto"/>
          <w:bottom w:val="single" w:sz="4" w:space="1" w:color="auto"/>
          <w:right w:val="single" w:sz="4" w:space="4" w:color="auto"/>
        </w:pBdr>
        <w:shd w:val="clear" w:color="auto" w:fill="CCFFCC"/>
        <w:ind w:left="1440"/>
        <w:rPr>
          <w:rFonts w:ascii="Arial" w:hAnsi="Arial" w:cs="Arial"/>
          <w:b w:val="0"/>
          <w:color w:val="000000"/>
        </w:rPr>
      </w:pPr>
      <w:r w:rsidRPr="00E357EA">
        <w:rPr>
          <w:rFonts w:ascii="Arial" w:hAnsi="Arial" w:cs="Arial"/>
          <w:color w:val="000000"/>
        </w:rPr>
        <w:t>Note</w:t>
      </w:r>
      <w:r w:rsidR="003F6FEB">
        <w:rPr>
          <w:rFonts w:ascii="Arial" w:hAnsi="Arial" w:cs="Arial"/>
          <w:color w:val="000000"/>
        </w:rPr>
        <w:t>s</w:t>
      </w:r>
      <w:r w:rsidRPr="00E357EA">
        <w:rPr>
          <w:rFonts w:ascii="Arial" w:hAnsi="Arial" w:cs="Arial"/>
          <w:color w:val="000000"/>
        </w:rPr>
        <w:t>:</w:t>
      </w:r>
      <w:r>
        <w:rPr>
          <w:rFonts w:ascii="Arial" w:hAnsi="Arial" w:cs="Arial"/>
          <w:b w:val="0"/>
          <w:color w:val="000000"/>
        </w:rPr>
        <w:t xml:space="preserve"> </w:t>
      </w:r>
    </w:p>
    <w:p w14:paraId="7D162831" w14:textId="77777777" w:rsidR="00EE5467" w:rsidRDefault="00EE5467" w:rsidP="009862C2">
      <w:pPr>
        <w:pStyle w:val="SectionSubheading"/>
        <w:numPr>
          <w:ilvl w:val="0"/>
          <w:numId w:val="9"/>
        </w:numPr>
        <w:pBdr>
          <w:top w:val="single" w:sz="4" w:space="1" w:color="auto"/>
          <w:left w:val="single" w:sz="4" w:space="4" w:color="auto"/>
          <w:bottom w:val="single" w:sz="4" w:space="1" w:color="auto"/>
          <w:right w:val="single" w:sz="4" w:space="4" w:color="auto"/>
        </w:pBdr>
        <w:shd w:val="clear" w:color="auto" w:fill="CCFFCC"/>
        <w:rPr>
          <w:rFonts w:ascii="Arial" w:hAnsi="Arial" w:cs="Arial"/>
          <w:b w:val="0"/>
          <w:color w:val="000000"/>
        </w:rPr>
      </w:pPr>
      <w:r>
        <w:rPr>
          <w:rFonts w:ascii="Arial" w:hAnsi="Arial" w:cs="Arial"/>
          <w:b w:val="0"/>
          <w:color w:val="000000"/>
        </w:rPr>
        <w:t>I</w:t>
      </w:r>
      <w:r w:rsidRPr="00F67F82">
        <w:rPr>
          <w:rFonts w:ascii="Arial" w:hAnsi="Arial" w:cs="Arial"/>
          <w:b w:val="0"/>
          <w:color w:val="000000"/>
        </w:rPr>
        <w:t xml:space="preserve">f </w:t>
      </w:r>
      <w:r w:rsidR="00203DB3" w:rsidRPr="00F67F82">
        <w:rPr>
          <w:rFonts w:ascii="Arial" w:hAnsi="Arial" w:cs="Arial"/>
          <w:b w:val="0"/>
          <w:color w:val="000000"/>
        </w:rPr>
        <w:t>th</w:t>
      </w:r>
      <w:r w:rsidR="00203DB3">
        <w:rPr>
          <w:rFonts w:ascii="Arial" w:hAnsi="Arial" w:cs="Arial"/>
          <w:b w:val="0"/>
          <w:color w:val="000000"/>
        </w:rPr>
        <w:t>is will</w:t>
      </w:r>
      <w:r w:rsidR="005266C3">
        <w:rPr>
          <w:rFonts w:ascii="Arial" w:hAnsi="Arial" w:cs="Arial"/>
          <w:b w:val="0"/>
          <w:color w:val="000000"/>
        </w:rPr>
        <w:t xml:space="preserve"> be an on-going</w:t>
      </w:r>
      <w:r>
        <w:rPr>
          <w:rFonts w:ascii="Arial" w:hAnsi="Arial" w:cs="Arial"/>
          <w:b w:val="0"/>
          <w:color w:val="000000"/>
        </w:rPr>
        <w:t xml:space="preserve"> service, (e.g.</w:t>
      </w:r>
      <w:r w:rsidRPr="00F67F82">
        <w:rPr>
          <w:rFonts w:ascii="Arial" w:hAnsi="Arial" w:cs="Arial"/>
          <w:b w:val="0"/>
          <w:color w:val="000000"/>
        </w:rPr>
        <w:t xml:space="preserve"> authorization of</w:t>
      </w:r>
      <w:r w:rsidR="008873BE">
        <w:rPr>
          <w:rFonts w:ascii="Arial" w:hAnsi="Arial" w:cs="Arial"/>
          <w:b w:val="0"/>
          <w:color w:val="000000"/>
        </w:rPr>
        <w:t xml:space="preserve"> wellness education or </w:t>
      </w:r>
      <w:r w:rsidR="001F53C2">
        <w:rPr>
          <w:rFonts w:ascii="Arial" w:hAnsi="Arial" w:cs="Arial"/>
          <w:b w:val="0"/>
          <w:color w:val="000000"/>
        </w:rPr>
        <w:t>home delivered meals</w:t>
      </w:r>
      <w:r w:rsidRPr="00F67F82">
        <w:rPr>
          <w:rFonts w:ascii="Arial" w:hAnsi="Arial" w:cs="Arial"/>
          <w:b w:val="0"/>
          <w:color w:val="000000"/>
        </w:rPr>
        <w:t>)</w:t>
      </w:r>
      <w:r>
        <w:rPr>
          <w:rFonts w:ascii="Arial" w:hAnsi="Arial" w:cs="Arial"/>
          <w:b w:val="0"/>
          <w:color w:val="000000"/>
        </w:rPr>
        <w:t>,</w:t>
      </w:r>
      <w:r w:rsidRPr="00F67F82">
        <w:rPr>
          <w:rFonts w:ascii="Arial" w:hAnsi="Arial" w:cs="Arial"/>
          <w:b w:val="0"/>
          <w:color w:val="000000"/>
        </w:rPr>
        <w:t xml:space="preserve"> authorize </w:t>
      </w:r>
      <w:r w:rsidR="001F53C2">
        <w:rPr>
          <w:rFonts w:ascii="Arial" w:hAnsi="Arial" w:cs="Arial"/>
          <w:b w:val="0"/>
          <w:color w:val="000000"/>
        </w:rPr>
        <w:t xml:space="preserve">CFC + </w:t>
      </w:r>
      <w:r w:rsidR="001F53C2" w:rsidRPr="00F67F82">
        <w:rPr>
          <w:rFonts w:ascii="Arial" w:hAnsi="Arial" w:cs="Arial"/>
          <w:b w:val="0"/>
          <w:color w:val="000000"/>
        </w:rPr>
        <w:t xml:space="preserve">COPES </w:t>
      </w:r>
      <w:r w:rsidRPr="00F67F82">
        <w:rPr>
          <w:rFonts w:ascii="Arial" w:hAnsi="Arial" w:cs="Arial"/>
          <w:b w:val="0"/>
          <w:color w:val="000000"/>
        </w:rPr>
        <w:t>for the entire plan period.</w:t>
      </w:r>
    </w:p>
    <w:p w14:paraId="5610D596" w14:textId="77777777" w:rsidR="003F6FEB" w:rsidRPr="00F67F82" w:rsidRDefault="003F6FEB" w:rsidP="009862C2">
      <w:pPr>
        <w:pStyle w:val="SectionSubheading"/>
        <w:numPr>
          <w:ilvl w:val="0"/>
          <w:numId w:val="9"/>
        </w:numPr>
        <w:pBdr>
          <w:top w:val="single" w:sz="4" w:space="1" w:color="auto"/>
          <w:left w:val="single" w:sz="4" w:space="4" w:color="auto"/>
          <w:bottom w:val="single" w:sz="4" w:space="1" w:color="auto"/>
          <w:right w:val="single" w:sz="4" w:space="4" w:color="auto"/>
        </w:pBdr>
        <w:shd w:val="clear" w:color="auto" w:fill="CCFFCC"/>
        <w:rPr>
          <w:rFonts w:ascii="Arial" w:hAnsi="Arial" w:cs="Arial"/>
          <w:b w:val="0"/>
          <w:color w:val="000000"/>
        </w:rPr>
      </w:pPr>
      <w:r>
        <w:rPr>
          <w:rFonts w:ascii="Arial" w:hAnsi="Arial" w:cs="Arial"/>
          <w:b w:val="0"/>
          <w:color w:val="000000"/>
        </w:rPr>
        <w:t xml:space="preserve">If the client is also on Medicare and has high </w:t>
      </w:r>
      <w:r w:rsidR="0094101E">
        <w:rPr>
          <w:rFonts w:ascii="Arial" w:hAnsi="Arial" w:cs="Arial"/>
          <w:b w:val="0"/>
          <w:color w:val="000000"/>
        </w:rPr>
        <w:t xml:space="preserve">prescription </w:t>
      </w:r>
      <w:r>
        <w:rPr>
          <w:rFonts w:ascii="Arial" w:hAnsi="Arial" w:cs="Arial"/>
          <w:b w:val="0"/>
          <w:color w:val="000000"/>
        </w:rPr>
        <w:t>co-payments,</w:t>
      </w:r>
      <w:r w:rsidR="0094101E">
        <w:rPr>
          <w:rFonts w:ascii="Arial" w:hAnsi="Arial" w:cs="Arial"/>
          <w:b w:val="0"/>
          <w:color w:val="000000"/>
        </w:rPr>
        <w:t xml:space="preserve"> you may</w:t>
      </w:r>
      <w:r>
        <w:rPr>
          <w:rFonts w:ascii="Arial" w:hAnsi="Arial" w:cs="Arial"/>
          <w:b w:val="0"/>
          <w:color w:val="000000"/>
        </w:rPr>
        <w:t xml:space="preserve"> </w:t>
      </w:r>
      <w:r w:rsidR="008873BE">
        <w:rPr>
          <w:rFonts w:ascii="Arial" w:hAnsi="Arial" w:cs="Arial"/>
          <w:b w:val="0"/>
          <w:color w:val="000000"/>
        </w:rPr>
        <w:t>authorize</w:t>
      </w:r>
      <w:r>
        <w:rPr>
          <w:rFonts w:ascii="Arial" w:hAnsi="Arial" w:cs="Arial"/>
          <w:b w:val="0"/>
          <w:color w:val="000000"/>
        </w:rPr>
        <w:t xml:space="preserve"> CFC + COPES for the entire plan period</w:t>
      </w:r>
      <w:r w:rsidR="008873BE">
        <w:rPr>
          <w:rFonts w:ascii="Arial" w:hAnsi="Arial" w:cs="Arial"/>
          <w:b w:val="0"/>
          <w:color w:val="000000"/>
        </w:rPr>
        <w:t xml:space="preserve"> and ensure the client </w:t>
      </w:r>
      <w:r w:rsidR="009F5D68">
        <w:rPr>
          <w:rFonts w:ascii="Arial" w:hAnsi="Arial" w:cs="Arial"/>
          <w:b w:val="0"/>
          <w:color w:val="000000"/>
        </w:rPr>
        <w:t xml:space="preserve">also </w:t>
      </w:r>
      <w:r w:rsidR="005266C3">
        <w:rPr>
          <w:rFonts w:ascii="Arial" w:hAnsi="Arial" w:cs="Arial"/>
          <w:b w:val="0"/>
          <w:color w:val="000000"/>
        </w:rPr>
        <w:t xml:space="preserve">receives </w:t>
      </w:r>
      <w:r w:rsidR="008873BE">
        <w:rPr>
          <w:rFonts w:ascii="Arial" w:hAnsi="Arial" w:cs="Arial"/>
          <w:b w:val="0"/>
          <w:color w:val="000000"/>
        </w:rPr>
        <w:t xml:space="preserve">a </w:t>
      </w:r>
      <w:r w:rsidR="005266C3">
        <w:rPr>
          <w:rFonts w:ascii="Arial" w:hAnsi="Arial" w:cs="Arial"/>
          <w:b w:val="0"/>
          <w:color w:val="000000"/>
        </w:rPr>
        <w:t>monthly</w:t>
      </w:r>
      <w:r w:rsidR="008873BE">
        <w:rPr>
          <w:rFonts w:ascii="Arial" w:hAnsi="Arial" w:cs="Arial"/>
          <w:b w:val="0"/>
          <w:color w:val="000000"/>
        </w:rPr>
        <w:t xml:space="preserve"> </w:t>
      </w:r>
      <w:r w:rsidR="005266C3">
        <w:rPr>
          <w:rFonts w:ascii="Arial" w:hAnsi="Arial" w:cs="Arial"/>
          <w:b w:val="0"/>
          <w:color w:val="000000"/>
        </w:rPr>
        <w:t xml:space="preserve">waiver </w:t>
      </w:r>
      <w:r w:rsidR="008873BE">
        <w:rPr>
          <w:rFonts w:ascii="Arial" w:hAnsi="Arial" w:cs="Arial"/>
          <w:b w:val="0"/>
          <w:color w:val="000000"/>
        </w:rPr>
        <w:t>service</w:t>
      </w:r>
      <w:r>
        <w:rPr>
          <w:rFonts w:ascii="Arial" w:hAnsi="Arial" w:cs="Arial"/>
          <w:b w:val="0"/>
          <w:color w:val="000000"/>
        </w:rPr>
        <w:t>.</w:t>
      </w:r>
    </w:p>
    <w:p w14:paraId="5EDECA03" w14:textId="77777777" w:rsidR="00EE5467" w:rsidRPr="00F67F82" w:rsidRDefault="00EE5467" w:rsidP="00EE5467">
      <w:pPr>
        <w:pStyle w:val="SectionSubheading"/>
        <w:numPr>
          <w:ilvl w:val="0"/>
          <w:numId w:val="0"/>
        </w:numPr>
        <w:ind w:left="2304"/>
        <w:rPr>
          <w:rFonts w:ascii="Arial" w:hAnsi="Arial" w:cs="Arial"/>
          <w:b w:val="0"/>
        </w:rPr>
      </w:pPr>
    </w:p>
    <w:p w14:paraId="23F8ABDC" w14:textId="77777777" w:rsidR="00857A0D" w:rsidRDefault="00857A0D">
      <w:pPr>
        <w:rPr>
          <w:rFonts w:cs="Arial"/>
          <w:color w:val="FF0000"/>
        </w:rPr>
      </w:pPr>
      <w:bookmarkStart w:id="11" w:name="MPC_RSN"/>
      <w:bookmarkEnd w:id="11"/>
    </w:p>
    <w:p w14:paraId="15E5D770" w14:textId="77777777" w:rsidR="00217A9C" w:rsidRPr="00D83A97" w:rsidRDefault="00217A9C" w:rsidP="00203DB3">
      <w:pPr>
        <w:pStyle w:val="SectionHeading"/>
        <w:rPr>
          <w:rFonts w:ascii="Arial Bold" w:hAnsi="Arial Bold" w:cs="Arial"/>
          <w:caps w:val="0"/>
          <w:color w:val="000000"/>
          <w:sz w:val="26"/>
          <w:szCs w:val="24"/>
        </w:rPr>
      </w:pPr>
      <w:bookmarkStart w:id="12" w:name="Services_available_through_CFC"/>
      <w:r w:rsidRPr="00D83A97">
        <w:rPr>
          <w:rFonts w:ascii="Arial Bold" w:hAnsi="Arial Bold" w:cs="Arial"/>
          <w:caps w:val="0"/>
          <w:color w:val="000000"/>
          <w:sz w:val="26"/>
          <w:szCs w:val="24"/>
        </w:rPr>
        <w:t>Services Available through the CFC Program</w:t>
      </w:r>
    </w:p>
    <w:bookmarkEnd w:id="12"/>
    <w:p w14:paraId="2D86A63A" w14:textId="77777777" w:rsidR="00217A9C" w:rsidRPr="00F67F82" w:rsidRDefault="00217A9C" w:rsidP="00217A9C">
      <w:pPr>
        <w:ind w:left="1080"/>
        <w:rPr>
          <w:rFonts w:cs="Arial"/>
          <w:color w:val="000000"/>
        </w:rPr>
      </w:pPr>
    </w:p>
    <w:p w14:paraId="21A3BDF0" w14:textId="77777777" w:rsidR="00217A9C" w:rsidRPr="00F67F82" w:rsidRDefault="00217A9C" w:rsidP="00203DB3">
      <w:pPr>
        <w:rPr>
          <w:rFonts w:cs="Arial"/>
          <w:color w:val="000000"/>
        </w:rPr>
      </w:pPr>
      <w:r w:rsidRPr="00F67F82">
        <w:rPr>
          <w:rFonts w:cs="Arial"/>
          <w:color w:val="000000"/>
        </w:rPr>
        <w:t xml:space="preserve">In addition to personal care services, clients can receive other </w:t>
      </w:r>
      <w:r>
        <w:rPr>
          <w:rFonts w:cs="Arial"/>
          <w:color w:val="000000"/>
        </w:rPr>
        <w:t xml:space="preserve">CFC </w:t>
      </w:r>
      <w:r w:rsidRPr="00F67F82">
        <w:rPr>
          <w:rFonts w:cs="Arial"/>
          <w:color w:val="000000"/>
        </w:rPr>
        <w:t xml:space="preserve">services if they meet </w:t>
      </w:r>
      <w:r>
        <w:rPr>
          <w:rFonts w:cs="Arial"/>
          <w:color w:val="000000"/>
        </w:rPr>
        <w:t>any</w:t>
      </w:r>
      <w:r w:rsidRPr="00F67F82">
        <w:rPr>
          <w:rFonts w:cs="Arial"/>
          <w:color w:val="000000"/>
        </w:rPr>
        <w:t xml:space="preserve"> secondary eligibility </w:t>
      </w:r>
      <w:r w:rsidR="0094101E" w:rsidRPr="00F67F82">
        <w:rPr>
          <w:rFonts w:cs="Arial"/>
          <w:color w:val="000000"/>
        </w:rPr>
        <w:t>criterion that is</w:t>
      </w:r>
      <w:r w:rsidR="00F7383E">
        <w:rPr>
          <w:rFonts w:cs="Arial"/>
          <w:color w:val="000000"/>
        </w:rPr>
        <w:t xml:space="preserve"> applicable</w:t>
      </w:r>
      <w:r w:rsidRPr="00F67F82">
        <w:rPr>
          <w:rFonts w:cs="Arial"/>
          <w:color w:val="000000"/>
        </w:rPr>
        <w:t xml:space="preserve"> for these services</w:t>
      </w:r>
      <w:r>
        <w:rPr>
          <w:rFonts w:cs="Arial"/>
          <w:color w:val="000000"/>
        </w:rPr>
        <w:t>.</w:t>
      </w:r>
      <w:r w:rsidRPr="00F67F82">
        <w:rPr>
          <w:rFonts w:cs="Arial"/>
          <w:color w:val="000000"/>
        </w:rPr>
        <w:t xml:space="preserve"> </w:t>
      </w:r>
      <w:r w:rsidR="00F7383E">
        <w:rPr>
          <w:rFonts w:cs="Arial"/>
          <w:color w:val="000000"/>
        </w:rPr>
        <w:t xml:space="preserve"> </w:t>
      </w:r>
      <w:r w:rsidRPr="00F67F82">
        <w:rPr>
          <w:rFonts w:cs="Arial"/>
          <w:color w:val="000000"/>
        </w:rPr>
        <w:t>Federal rule</w:t>
      </w:r>
      <w:r w:rsidR="00F7383E">
        <w:rPr>
          <w:rFonts w:cs="Arial"/>
          <w:color w:val="000000"/>
        </w:rPr>
        <w:t>s</w:t>
      </w:r>
      <w:r w:rsidRPr="00F67F82">
        <w:rPr>
          <w:rFonts w:cs="Arial"/>
          <w:color w:val="000000"/>
        </w:rPr>
        <w:t xml:space="preserve"> requires that </w:t>
      </w:r>
      <w:r>
        <w:rPr>
          <w:rFonts w:cs="Arial"/>
          <w:color w:val="000000"/>
        </w:rPr>
        <w:t xml:space="preserve">CFC </w:t>
      </w:r>
      <w:r w:rsidRPr="00F67F82">
        <w:rPr>
          <w:rFonts w:cs="Arial"/>
          <w:color w:val="000000"/>
        </w:rPr>
        <w:t>services not replace other services</w:t>
      </w:r>
      <w:r>
        <w:rPr>
          <w:rFonts w:cs="Arial"/>
          <w:color w:val="000000"/>
        </w:rPr>
        <w:t xml:space="preserve"> that</w:t>
      </w:r>
      <w:r w:rsidRPr="00F67F82">
        <w:rPr>
          <w:rFonts w:cs="Arial"/>
          <w:color w:val="000000"/>
        </w:rPr>
        <w:t xml:space="preserve"> </w:t>
      </w:r>
      <w:r>
        <w:rPr>
          <w:rFonts w:cs="Arial"/>
          <w:color w:val="000000"/>
        </w:rPr>
        <w:t>c</w:t>
      </w:r>
      <w:r w:rsidRPr="00F67F82">
        <w:rPr>
          <w:rFonts w:cs="Arial"/>
          <w:color w:val="000000"/>
        </w:rPr>
        <w:t>lien</w:t>
      </w:r>
      <w:r>
        <w:rPr>
          <w:rFonts w:cs="Arial"/>
          <w:color w:val="000000"/>
        </w:rPr>
        <w:t xml:space="preserve">ts access under </w:t>
      </w:r>
      <w:r w:rsidRPr="00F67F82">
        <w:rPr>
          <w:rFonts w:cs="Arial"/>
          <w:color w:val="000000"/>
        </w:rPr>
        <w:t xml:space="preserve">Medicaid, Medicare, health insurance, LTC insurance, </w:t>
      </w:r>
      <w:r w:rsidR="00520839">
        <w:rPr>
          <w:rFonts w:cs="Arial"/>
          <w:color w:val="000000"/>
        </w:rPr>
        <w:t xml:space="preserve">and/or </w:t>
      </w:r>
      <w:r w:rsidRPr="00F67F82">
        <w:rPr>
          <w:rFonts w:cs="Arial"/>
          <w:color w:val="000000"/>
        </w:rPr>
        <w:t>other community or informal resources available to them</w:t>
      </w:r>
      <w:r>
        <w:rPr>
          <w:rFonts w:cs="Arial"/>
          <w:color w:val="000000"/>
        </w:rPr>
        <w:t>.</w:t>
      </w:r>
      <w:r w:rsidRPr="00F67F82">
        <w:rPr>
          <w:rFonts w:cs="Arial"/>
          <w:color w:val="000000"/>
        </w:rPr>
        <w:t xml:space="preserve">  </w:t>
      </w:r>
    </w:p>
    <w:p w14:paraId="21BA62E0" w14:textId="77777777" w:rsidR="00F7383E" w:rsidRPr="00F67F82" w:rsidRDefault="00217A9C" w:rsidP="00203DB3">
      <w:pPr>
        <w:numPr>
          <w:ilvl w:val="0"/>
          <w:numId w:val="12"/>
        </w:numPr>
        <w:rPr>
          <w:rFonts w:cs="Arial"/>
          <w:color w:val="000000"/>
        </w:rPr>
      </w:pPr>
      <w:r w:rsidRPr="00F67F82">
        <w:rPr>
          <w:rFonts w:cs="Arial"/>
          <w:color w:val="000000"/>
        </w:rPr>
        <w:t xml:space="preserve">If a client has other insurances or resources, you must document the denial of benefits before you can access other </w:t>
      </w:r>
      <w:r>
        <w:rPr>
          <w:rFonts w:cs="Arial"/>
          <w:color w:val="000000"/>
        </w:rPr>
        <w:t xml:space="preserve">CFC </w:t>
      </w:r>
      <w:r w:rsidRPr="00F67F82">
        <w:rPr>
          <w:rFonts w:cs="Arial"/>
          <w:color w:val="000000"/>
        </w:rPr>
        <w:t>services.  Place this documentation in the client</w:t>
      </w:r>
      <w:r w:rsidR="00D83A97">
        <w:rPr>
          <w:rFonts w:cs="Arial"/>
          <w:color w:val="000000"/>
        </w:rPr>
        <w:t>’s</w:t>
      </w:r>
      <w:r w:rsidRPr="00F67F82">
        <w:rPr>
          <w:rFonts w:cs="Arial"/>
          <w:color w:val="000000"/>
        </w:rPr>
        <w:t xml:space="preserve"> file</w:t>
      </w:r>
      <w:r>
        <w:rPr>
          <w:rFonts w:cs="Arial"/>
          <w:color w:val="000000"/>
        </w:rPr>
        <w:t>.</w:t>
      </w:r>
    </w:p>
    <w:p w14:paraId="066FF82E" w14:textId="77777777" w:rsidR="00F7383E" w:rsidRPr="00F7383E" w:rsidRDefault="00217A9C" w:rsidP="00203DB3">
      <w:pPr>
        <w:numPr>
          <w:ilvl w:val="0"/>
          <w:numId w:val="12"/>
        </w:numPr>
        <w:rPr>
          <w:rFonts w:cs="Arial"/>
          <w:color w:val="000000"/>
        </w:rPr>
      </w:pPr>
      <w:r w:rsidRPr="00F7383E">
        <w:rPr>
          <w:rFonts w:cs="Arial"/>
          <w:color w:val="000000"/>
        </w:rPr>
        <w:t>CFC Services may not be used when the vendor refuses the reimbursement or considers the payment inadequate from these other resources.</w:t>
      </w:r>
    </w:p>
    <w:p w14:paraId="1090B729" w14:textId="77777777" w:rsidR="00217A9C" w:rsidRPr="00F7383E" w:rsidRDefault="00217A9C" w:rsidP="00203DB3">
      <w:pPr>
        <w:numPr>
          <w:ilvl w:val="0"/>
          <w:numId w:val="12"/>
        </w:numPr>
        <w:rPr>
          <w:rFonts w:cs="Arial"/>
          <w:color w:val="000000"/>
        </w:rPr>
      </w:pPr>
      <w:r w:rsidRPr="00F7383E">
        <w:rPr>
          <w:rFonts w:cs="Arial"/>
          <w:color w:val="000000"/>
        </w:rPr>
        <w:t>CFC services may not supplement the reimbursement rate from other resources. ETRs are not allowed for the above circumstances.</w:t>
      </w:r>
    </w:p>
    <w:p w14:paraId="1ACF4716" w14:textId="77777777" w:rsidR="00217A9C" w:rsidRPr="00F67F82" w:rsidRDefault="00217A9C" w:rsidP="00217A9C">
      <w:pPr>
        <w:ind w:left="360"/>
        <w:rPr>
          <w:rFonts w:cs="Arial"/>
          <w:color w:val="000000"/>
        </w:rPr>
      </w:pPr>
    </w:p>
    <w:p w14:paraId="1CE6CA65" w14:textId="77777777" w:rsidR="00217A9C" w:rsidRPr="00F67F82" w:rsidRDefault="00217A9C" w:rsidP="00217A9C">
      <w:pPr>
        <w:ind w:left="360"/>
        <w:rPr>
          <w:rFonts w:cs="Arial"/>
          <w:color w:val="000000"/>
        </w:rPr>
      </w:pPr>
      <w:r w:rsidRPr="00F67F82">
        <w:rPr>
          <w:rFonts w:cs="Arial"/>
          <w:color w:val="000000"/>
        </w:rPr>
        <w:t xml:space="preserve">Providers of these other </w:t>
      </w:r>
      <w:r>
        <w:rPr>
          <w:rFonts w:cs="Arial"/>
          <w:color w:val="000000"/>
        </w:rPr>
        <w:t>CFC</w:t>
      </w:r>
      <w:r w:rsidRPr="00F67F82">
        <w:rPr>
          <w:rFonts w:cs="Arial"/>
          <w:color w:val="000000"/>
        </w:rPr>
        <w:t xml:space="preserve"> services must meet certain qualifications and be contracted through </w:t>
      </w:r>
      <w:r w:rsidR="005266C3">
        <w:rPr>
          <w:rFonts w:cs="Arial"/>
          <w:color w:val="000000"/>
        </w:rPr>
        <w:t xml:space="preserve">DSHS or </w:t>
      </w:r>
      <w:r w:rsidRPr="00F67F82">
        <w:rPr>
          <w:rFonts w:cs="Arial"/>
          <w:color w:val="000000"/>
        </w:rPr>
        <w:t xml:space="preserve">the local AAA </w:t>
      </w:r>
      <w:r w:rsidRPr="00E52931">
        <w:rPr>
          <w:rFonts w:cs="Arial"/>
          <w:color w:val="000000"/>
          <w:u w:val="single"/>
        </w:rPr>
        <w:t>prior to services being authorized</w:t>
      </w:r>
      <w:r w:rsidRPr="00F67F82">
        <w:rPr>
          <w:rFonts w:cs="Arial"/>
          <w:color w:val="000000"/>
        </w:rPr>
        <w:t xml:space="preserve">.  </w:t>
      </w:r>
      <w:r>
        <w:rPr>
          <w:rFonts w:cs="Arial"/>
          <w:color w:val="000000"/>
        </w:rPr>
        <w:t>Each</w:t>
      </w:r>
      <w:r w:rsidRPr="00F67F82">
        <w:rPr>
          <w:rFonts w:cs="Arial"/>
          <w:color w:val="000000"/>
        </w:rPr>
        <w:t xml:space="preserve"> local AAA maintains </w:t>
      </w:r>
      <w:r>
        <w:rPr>
          <w:rFonts w:cs="Arial"/>
          <w:color w:val="000000"/>
        </w:rPr>
        <w:t>a list</w:t>
      </w:r>
      <w:r w:rsidRPr="00F67F82">
        <w:rPr>
          <w:rFonts w:cs="Arial"/>
          <w:color w:val="000000"/>
        </w:rPr>
        <w:t xml:space="preserve"> of contracted</w:t>
      </w:r>
      <w:r>
        <w:rPr>
          <w:rFonts w:cs="Arial"/>
          <w:color w:val="000000"/>
        </w:rPr>
        <w:t>, eligible</w:t>
      </w:r>
      <w:r w:rsidRPr="00F67F82">
        <w:rPr>
          <w:rFonts w:cs="Arial"/>
          <w:color w:val="000000"/>
        </w:rPr>
        <w:t xml:space="preserve"> providers for HCS and AAA.    </w:t>
      </w:r>
    </w:p>
    <w:p w14:paraId="5CEF4F65" w14:textId="77777777" w:rsidR="00217A9C" w:rsidRPr="00F67F82" w:rsidRDefault="00217A9C" w:rsidP="00217A9C">
      <w:pPr>
        <w:ind w:left="360"/>
        <w:rPr>
          <w:rFonts w:cs="Arial"/>
          <w:color w:val="000000"/>
        </w:rPr>
      </w:pPr>
    </w:p>
    <w:p w14:paraId="63C5B333" w14:textId="77777777" w:rsidR="00217A9C" w:rsidRPr="00203DB3" w:rsidRDefault="00217A9C" w:rsidP="00217A9C">
      <w:pPr>
        <w:pBdr>
          <w:top w:val="single" w:sz="4" w:space="1" w:color="auto"/>
          <w:left w:val="single" w:sz="4" w:space="4" w:color="auto"/>
          <w:bottom w:val="single" w:sz="4" w:space="1" w:color="auto"/>
          <w:right w:val="single" w:sz="4" w:space="4" w:color="auto"/>
        </w:pBdr>
        <w:shd w:val="clear" w:color="auto" w:fill="CCFFCC"/>
        <w:tabs>
          <w:tab w:val="num" w:pos="1440"/>
        </w:tabs>
        <w:ind w:left="360"/>
        <w:rPr>
          <w:rFonts w:cs="Arial"/>
          <w:b/>
          <w:color w:val="000000"/>
        </w:rPr>
      </w:pPr>
      <w:r w:rsidRPr="001102E4">
        <w:rPr>
          <w:rFonts w:cs="Arial"/>
          <w:b/>
          <w:bCs/>
          <w:color w:val="000000"/>
        </w:rPr>
        <w:t xml:space="preserve">Note: </w:t>
      </w:r>
      <w:r w:rsidR="001102E4">
        <w:rPr>
          <w:rFonts w:cs="Arial"/>
          <w:b/>
          <w:bCs/>
          <w:color w:val="000000"/>
        </w:rPr>
        <w:t xml:space="preserve"> Prior to authorizing any service, verify that t</w:t>
      </w:r>
      <w:r w:rsidR="005266C3" w:rsidRPr="001102E4">
        <w:rPr>
          <w:rFonts w:cs="Arial"/>
          <w:b/>
          <w:bCs/>
          <w:color w:val="000000"/>
        </w:rPr>
        <w:t xml:space="preserve">he client </w:t>
      </w:r>
      <w:r w:rsidR="001102E4">
        <w:rPr>
          <w:rFonts w:cs="Arial"/>
          <w:b/>
          <w:bCs/>
          <w:color w:val="000000"/>
        </w:rPr>
        <w:t>has an</w:t>
      </w:r>
      <w:r w:rsidR="005266C3" w:rsidRPr="001102E4">
        <w:rPr>
          <w:rFonts w:cs="Arial"/>
          <w:b/>
          <w:bCs/>
          <w:color w:val="000000"/>
        </w:rPr>
        <w:t xml:space="preserve"> assessed </w:t>
      </w:r>
      <w:r w:rsidR="001102E4">
        <w:rPr>
          <w:rFonts w:cs="Arial"/>
          <w:b/>
          <w:bCs/>
          <w:color w:val="000000"/>
        </w:rPr>
        <w:t>need</w:t>
      </w:r>
      <w:r w:rsidR="001102E4">
        <w:rPr>
          <w:rFonts w:cs="Arial"/>
          <w:b/>
          <w:color w:val="000000"/>
        </w:rPr>
        <w:t xml:space="preserve"> for that service and it is reflected in the client’s plan of care.</w:t>
      </w:r>
    </w:p>
    <w:p w14:paraId="32789FBE" w14:textId="77777777" w:rsidR="00217A9C" w:rsidRDefault="00217A9C" w:rsidP="00217A9C">
      <w:pPr>
        <w:pStyle w:val="Heading2"/>
        <w:ind w:left="360"/>
      </w:pPr>
    </w:p>
    <w:p w14:paraId="58950B4C" w14:textId="77777777" w:rsidR="00217A9C" w:rsidRPr="00F67F82" w:rsidRDefault="00217A9C" w:rsidP="00217A9C">
      <w:pPr>
        <w:ind w:left="360"/>
        <w:rPr>
          <w:rFonts w:cs="Arial"/>
        </w:rPr>
      </w:pPr>
      <w:bookmarkStart w:id="13" w:name="AD_MNIW"/>
      <w:bookmarkStart w:id="14" w:name="waiver_srvs_chart_by_setting"/>
      <w:bookmarkStart w:id="15" w:name="personal_care"/>
      <w:bookmarkEnd w:id="13"/>
      <w:bookmarkEnd w:id="14"/>
      <w:r w:rsidRPr="00F67F82">
        <w:rPr>
          <w:rFonts w:cs="Arial"/>
          <w:b/>
        </w:rPr>
        <w:t>Personal Care Services</w:t>
      </w:r>
    </w:p>
    <w:bookmarkEnd w:id="15"/>
    <w:p w14:paraId="68DF4331" w14:textId="77777777" w:rsidR="00217A9C" w:rsidRPr="00F67F82" w:rsidRDefault="00217A9C" w:rsidP="00217A9C">
      <w:pPr>
        <w:ind w:left="360"/>
        <w:rPr>
          <w:rFonts w:cs="Arial"/>
          <w:b/>
          <w:bCs/>
        </w:rPr>
      </w:pPr>
    </w:p>
    <w:p w14:paraId="58218DCF" w14:textId="77777777" w:rsidR="00217A9C" w:rsidRPr="00F67F82" w:rsidRDefault="009515CA" w:rsidP="00217A9C">
      <w:pPr>
        <w:ind w:left="360"/>
        <w:rPr>
          <w:rFonts w:cs="Arial"/>
          <w:b/>
          <w:bCs/>
        </w:rPr>
      </w:pPr>
      <w:hyperlink r:id="rId23" w:history="1">
        <w:r w:rsidR="00217A9C" w:rsidRPr="00F67F82">
          <w:rPr>
            <w:rStyle w:val="Hyperlink"/>
            <w:rFonts w:cs="Arial"/>
            <w:b/>
            <w:bCs/>
          </w:rPr>
          <w:t>WAC 388-106-0010</w:t>
        </w:r>
      </w:hyperlink>
      <w:r w:rsidR="00217A9C" w:rsidRPr="00F67F82">
        <w:rPr>
          <w:rFonts w:cs="Arial"/>
          <w:b/>
          <w:bCs/>
        </w:rPr>
        <w:t xml:space="preserve"> – Definitions:</w:t>
      </w:r>
    </w:p>
    <w:p w14:paraId="1A4A2454" w14:textId="77777777" w:rsidR="00217A9C" w:rsidRPr="00F67F82" w:rsidRDefault="00217A9C" w:rsidP="00217A9C">
      <w:pPr>
        <w:ind w:left="1080"/>
        <w:rPr>
          <w:rFonts w:cs="Arial"/>
          <w:color w:val="FF0000"/>
        </w:rPr>
      </w:pPr>
      <w:r w:rsidRPr="00F67F82">
        <w:rPr>
          <w:rFonts w:cs="Arial"/>
          <w:b/>
          <w:bCs/>
        </w:rPr>
        <w:lastRenderedPageBreak/>
        <w:t>"Personal care services"</w:t>
      </w:r>
      <w:r w:rsidRPr="00F67F82">
        <w:rPr>
          <w:rFonts w:cs="Arial"/>
        </w:rPr>
        <w:t xml:space="preserve"> means physical or verbal assistance with activities of daily living (ADL) and instrumental activities of daily living (IADL) due </w:t>
      </w:r>
      <w:r w:rsidR="00203DB3" w:rsidRPr="00F67F82">
        <w:rPr>
          <w:rFonts w:cs="Arial"/>
        </w:rPr>
        <w:t xml:space="preserve">to </w:t>
      </w:r>
      <w:r w:rsidR="00203DB3">
        <w:rPr>
          <w:rFonts w:cs="Arial"/>
        </w:rPr>
        <w:t>functional</w:t>
      </w:r>
      <w:r w:rsidRPr="00F67F82">
        <w:rPr>
          <w:rFonts w:cs="Arial"/>
        </w:rPr>
        <w:t xml:space="preserve"> limitations. Assistance is evaluated with the use of assistive devices.</w:t>
      </w:r>
    </w:p>
    <w:p w14:paraId="29607419" w14:textId="77777777" w:rsidR="00217A9C" w:rsidRPr="00F67F82" w:rsidRDefault="00217A9C" w:rsidP="00217A9C">
      <w:pPr>
        <w:ind w:left="360"/>
        <w:rPr>
          <w:rFonts w:cs="Arial"/>
          <w:b/>
          <w:i/>
          <w:color w:val="000000"/>
        </w:rPr>
      </w:pPr>
    </w:p>
    <w:p w14:paraId="7452A4CB" w14:textId="77777777" w:rsidR="00217A9C" w:rsidRPr="00F67F82" w:rsidRDefault="00217A9C" w:rsidP="00217A9C">
      <w:pPr>
        <w:ind w:left="360"/>
        <w:rPr>
          <w:rFonts w:cs="Arial"/>
          <w:b/>
          <w:i/>
          <w:color w:val="000000"/>
        </w:rPr>
      </w:pPr>
      <w:r w:rsidRPr="00F67F82">
        <w:rPr>
          <w:rFonts w:cs="Arial"/>
          <w:b/>
          <w:i/>
          <w:color w:val="000000"/>
        </w:rPr>
        <w:t>Personal Care Services</w:t>
      </w:r>
    </w:p>
    <w:p w14:paraId="2188E50D" w14:textId="77777777" w:rsidR="00CB022B" w:rsidRDefault="003F6FEB" w:rsidP="00217A9C">
      <w:pPr>
        <w:ind w:left="1080"/>
        <w:rPr>
          <w:rFonts w:cs="Arial"/>
          <w:color w:val="000000"/>
        </w:rPr>
      </w:pPr>
      <w:r>
        <w:rPr>
          <w:rFonts w:cs="Arial"/>
          <w:color w:val="000000"/>
        </w:rPr>
        <w:t>Personal care a</w:t>
      </w:r>
      <w:r w:rsidR="00217A9C" w:rsidRPr="00F67F82">
        <w:rPr>
          <w:rFonts w:cs="Arial"/>
          <w:color w:val="000000"/>
        </w:rPr>
        <w:t xml:space="preserve">ssistance is provided to enable </w:t>
      </w:r>
      <w:r w:rsidR="0094101E">
        <w:rPr>
          <w:rFonts w:cs="Arial"/>
          <w:color w:val="000000"/>
        </w:rPr>
        <w:t>clients</w:t>
      </w:r>
      <w:r w:rsidR="0094101E" w:rsidRPr="00F67F82">
        <w:rPr>
          <w:rFonts w:cs="Arial"/>
          <w:color w:val="000000"/>
        </w:rPr>
        <w:t xml:space="preserve"> </w:t>
      </w:r>
      <w:r w:rsidR="00217A9C" w:rsidRPr="00F67F82">
        <w:rPr>
          <w:rFonts w:cs="Arial"/>
          <w:color w:val="000000"/>
        </w:rPr>
        <w:t xml:space="preserve">to accomplish tasks that they would normally do for themselves if they did not have a disability. This assistance may take the form of hands-on assistance (actually performing a task for the person) or cuing to prompt the </w:t>
      </w:r>
      <w:r w:rsidR="0094101E">
        <w:rPr>
          <w:rFonts w:cs="Arial"/>
          <w:color w:val="000000"/>
        </w:rPr>
        <w:t>client</w:t>
      </w:r>
      <w:r w:rsidR="0094101E" w:rsidRPr="00F67F82">
        <w:rPr>
          <w:rFonts w:cs="Arial"/>
          <w:color w:val="000000"/>
        </w:rPr>
        <w:t xml:space="preserve"> </w:t>
      </w:r>
      <w:r w:rsidR="00217A9C" w:rsidRPr="00F67F82">
        <w:rPr>
          <w:rFonts w:cs="Arial"/>
          <w:color w:val="000000"/>
        </w:rPr>
        <w:t xml:space="preserve">to perform a task. Personal care services may be provided on an episodic or on a continuing basis. </w:t>
      </w:r>
    </w:p>
    <w:p w14:paraId="1BC7ED61" w14:textId="77777777" w:rsidR="00CB022B" w:rsidRDefault="00CB022B" w:rsidP="00217A9C">
      <w:pPr>
        <w:ind w:left="1080"/>
        <w:rPr>
          <w:rFonts w:cs="Arial"/>
          <w:color w:val="000000"/>
        </w:rPr>
      </w:pPr>
    </w:p>
    <w:p w14:paraId="5FEA6AEB" w14:textId="77777777" w:rsidR="00CB022B" w:rsidRPr="00F67F82" w:rsidRDefault="00CB022B" w:rsidP="00CB022B">
      <w:pPr>
        <w:ind w:left="1080"/>
        <w:rPr>
          <w:rFonts w:cs="Arial"/>
          <w:color w:val="000000"/>
        </w:rPr>
      </w:pPr>
      <w:r w:rsidRPr="00F67F82">
        <w:rPr>
          <w:rFonts w:cs="Arial"/>
          <w:color w:val="000000"/>
        </w:rPr>
        <w:t xml:space="preserve">Personal care includes assistance with </w:t>
      </w:r>
      <w:r>
        <w:rPr>
          <w:rFonts w:cs="Arial"/>
          <w:color w:val="000000"/>
        </w:rPr>
        <w:t xml:space="preserve">activities of daily living:  </w:t>
      </w:r>
      <w:r w:rsidRPr="00F67F82">
        <w:rPr>
          <w:rFonts w:cs="Arial"/>
          <w:color w:val="000000"/>
        </w:rPr>
        <w:t>bathing, bed mobility, body care, dressing, eating, locomotion</w:t>
      </w:r>
      <w:r>
        <w:rPr>
          <w:rFonts w:cs="Arial"/>
          <w:color w:val="000000"/>
        </w:rPr>
        <w:t xml:space="preserve"> outside room</w:t>
      </w:r>
      <w:r w:rsidRPr="00F67F82">
        <w:rPr>
          <w:rFonts w:cs="Arial"/>
          <w:color w:val="000000"/>
        </w:rPr>
        <w:t>, walking</w:t>
      </w:r>
      <w:r>
        <w:rPr>
          <w:rFonts w:cs="Arial"/>
          <w:color w:val="000000"/>
        </w:rPr>
        <w:t xml:space="preserve"> or locomotion in room</w:t>
      </w:r>
      <w:r w:rsidR="00C319E2">
        <w:rPr>
          <w:rFonts w:cs="Arial"/>
          <w:color w:val="000000"/>
        </w:rPr>
        <w:t xml:space="preserve"> and immediate living environment</w:t>
      </w:r>
      <w:r w:rsidRPr="00F67F82">
        <w:rPr>
          <w:rFonts w:cs="Arial"/>
          <w:color w:val="000000"/>
        </w:rPr>
        <w:t>, medication management, toileting, transfer</w:t>
      </w:r>
      <w:r>
        <w:rPr>
          <w:rFonts w:cs="Arial"/>
          <w:color w:val="000000"/>
        </w:rPr>
        <w:t>,</w:t>
      </w:r>
      <w:r w:rsidRPr="00F67F82">
        <w:rPr>
          <w:rFonts w:cs="Arial"/>
          <w:color w:val="000000"/>
        </w:rPr>
        <w:t xml:space="preserve"> and personal hygiene. </w:t>
      </w:r>
    </w:p>
    <w:p w14:paraId="3F149A8E" w14:textId="77777777" w:rsidR="00CB022B" w:rsidRPr="00F67F82" w:rsidRDefault="00CB022B" w:rsidP="00CB022B">
      <w:pPr>
        <w:ind w:left="1080"/>
        <w:rPr>
          <w:rFonts w:cs="Arial"/>
          <w:color w:val="000000"/>
        </w:rPr>
      </w:pPr>
    </w:p>
    <w:p w14:paraId="147A039E" w14:textId="77777777" w:rsidR="00CB022B" w:rsidRPr="00F67F82" w:rsidRDefault="00CB022B" w:rsidP="00CB022B">
      <w:pPr>
        <w:ind w:left="1080"/>
        <w:rPr>
          <w:rFonts w:cs="Arial"/>
          <w:color w:val="000000"/>
        </w:rPr>
      </w:pPr>
      <w:r w:rsidRPr="00F67F82">
        <w:rPr>
          <w:rFonts w:cs="Arial"/>
          <w:color w:val="000000"/>
        </w:rPr>
        <w:t>Personal care</w:t>
      </w:r>
      <w:r>
        <w:rPr>
          <w:rFonts w:cs="Arial"/>
          <w:color w:val="000000"/>
        </w:rPr>
        <w:t xml:space="preserve"> may include</w:t>
      </w:r>
      <w:r w:rsidRPr="00F67F82">
        <w:rPr>
          <w:rFonts w:cs="Arial"/>
          <w:color w:val="000000"/>
        </w:rPr>
        <w:t xml:space="preserve"> assistance</w:t>
      </w:r>
      <w:r>
        <w:rPr>
          <w:rFonts w:cs="Arial"/>
          <w:color w:val="000000"/>
        </w:rPr>
        <w:t xml:space="preserve"> with</w:t>
      </w:r>
      <w:r w:rsidRPr="00F67F82">
        <w:rPr>
          <w:rFonts w:cs="Arial"/>
          <w:color w:val="000000"/>
        </w:rPr>
        <w:t xml:space="preserve"> the following</w:t>
      </w:r>
      <w:r>
        <w:rPr>
          <w:rFonts w:cs="Arial"/>
          <w:color w:val="000000"/>
        </w:rPr>
        <w:t xml:space="preserve"> instrumental</w:t>
      </w:r>
      <w:r w:rsidRPr="00F67F82">
        <w:rPr>
          <w:rFonts w:cs="Arial"/>
          <w:color w:val="000000"/>
        </w:rPr>
        <w:t xml:space="preserve"> activities of daily living</w:t>
      </w:r>
      <w:r>
        <w:rPr>
          <w:rFonts w:cs="Arial"/>
          <w:color w:val="000000"/>
        </w:rPr>
        <w:t xml:space="preserve"> (IADLs)</w:t>
      </w:r>
      <w:r w:rsidRPr="00F67F82">
        <w:rPr>
          <w:rFonts w:cs="Arial"/>
          <w:color w:val="000000"/>
        </w:rPr>
        <w:t>: meal preparation, ordinary</w:t>
      </w:r>
      <w:r>
        <w:rPr>
          <w:rFonts w:cs="Arial"/>
          <w:color w:val="000000"/>
        </w:rPr>
        <w:t xml:space="preserve"> housework, essential shopping, </w:t>
      </w:r>
      <w:proofErr w:type="gramStart"/>
      <w:r w:rsidRPr="00F67F82">
        <w:rPr>
          <w:rFonts w:cs="Arial"/>
          <w:color w:val="000000"/>
        </w:rPr>
        <w:t>wood</w:t>
      </w:r>
      <w:proofErr w:type="gramEnd"/>
      <w:r w:rsidRPr="00F67F82">
        <w:rPr>
          <w:rFonts w:cs="Arial"/>
          <w:color w:val="000000"/>
        </w:rPr>
        <w:t xml:space="preserve"> supply (when wood is the sole source of he</w:t>
      </w:r>
      <w:r>
        <w:rPr>
          <w:rFonts w:cs="Arial"/>
          <w:color w:val="000000"/>
        </w:rPr>
        <w:t xml:space="preserve">at), travel to medical services, </w:t>
      </w:r>
      <w:r w:rsidRPr="00F67F82">
        <w:rPr>
          <w:rFonts w:cs="Arial"/>
          <w:color w:val="000000"/>
        </w:rPr>
        <w:t xml:space="preserve">and telephone use. These </w:t>
      </w:r>
      <w:r w:rsidR="00C319E2">
        <w:rPr>
          <w:rFonts w:cs="Arial"/>
          <w:color w:val="000000"/>
        </w:rPr>
        <w:t>IADLs</w:t>
      </w:r>
      <w:r w:rsidRPr="00F67F82">
        <w:rPr>
          <w:rFonts w:cs="Arial"/>
          <w:color w:val="000000"/>
        </w:rPr>
        <w:t xml:space="preserve"> may not comprise the entirety of the service for an individual</w:t>
      </w:r>
      <w:r>
        <w:rPr>
          <w:rFonts w:cs="Arial"/>
          <w:color w:val="000000"/>
        </w:rPr>
        <w:t xml:space="preserve">; </w:t>
      </w:r>
      <w:r w:rsidR="00C319E2">
        <w:rPr>
          <w:rFonts w:cs="Arial"/>
          <w:color w:val="000000"/>
        </w:rPr>
        <w:t>she or he</w:t>
      </w:r>
      <w:r>
        <w:rPr>
          <w:rFonts w:cs="Arial"/>
          <w:color w:val="000000"/>
        </w:rPr>
        <w:t xml:space="preserve"> must also have unmet need and accept assistance with ADLs</w:t>
      </w:r>
      <w:r w:rsidRPr="00F67F82">
        <w:rPr>
          <w:rFonts w:cs="Arial"/>
          <w:color w:val="000000"/>
        </w:rPr>
        <w:t xml:space="preserve">. </w:t>
      </w:r>
    </w:p>
    <w:p w14:paraId="27E9898F" w14:textId="77777777" w:rsidR="00C319E2" w:rsidRDefault="00C319E2" w:rsidP="00C319E2">
      <w:pPr>
        <w:ind w:left="1080"/>
        <w:rPr>
          <w:rFonts w:cs="Arial"/>
          <w:color w:val="000000"/>
        </w:rPr>
      </w:pPr>
    </w:p>
    <w:p w14:paraId="454EFF87" w14:textId="77777777" w:rsidR="00C319E2" w:rsidRPr="00F67F82" w:rsidRDefault="00C319E2" w:rsidP="00C319E2">
      <w:pPr>
        <w:ind w:left="1080"/>
        <w:rPr>
          <w:rFonts w:cs="Arial"/>
          <w:color w:val="000000"/>
        </w:rPr>
      </w:pPr>
      <w:r w:rsidRPr="00F67F82">
        <w:rPr>
          <w:rFonts w:cs="Arial"/>
          <w:color w:val="000000"/>
        </w:rPr>
        <w:t xml:space="preserve">Personal care may be provided </w:t>
      </w:r>
      <w:r w:rsidR="00447164">
        <w:rPr>
          <w:rFonts w:cs="Arial"/>
          <w:color w:val="000000"/>
        </w:rPr>
        <w:t xml:space="preserve">for tasks completed </w:t>
      </w:r>
      <w:r w:rsidRPr="00F67F82">
        <w:rPr>
          <w:rFonts w:cs="Arial"/>
          <w:color w:val="000000"/>
        </w:rPr>
        <w:t xml:space="preserve">outside of the </w:t>
      </w:r>
      <w:r w:rsidR="0094101E">
        <w:rPr>
          <w:rFonts w:cs="Arial"/>
          <w:color w:val="000000"/>
        </w:rPr>
        <w:t>client’s</w:t>
      </w:r>
      <w:r w:rsidRPr="00F67F82">
        <w:rPr>
          <w:rFonts w:cs="Arial"/>
          <w:color w:val="000000"/>
        </w:rPr>
        <w:t xml:space="preserve"> home as specified in the service plan.  Personal care may be furnished to support </w:t>
      </w:r>
      <w:r w:rsidR="0094101E">
        <w:rPr>
          <w:rFonts w:cs="Arial"/>
          <w:color w:val="000000"/>
        </w:rPr>
        <w:t>clients</w:t>
      </w:r>
      <w:r w:rsidRPr="00F67F82">
        <w:rPr>
          <w:rFonts w:cs="Arial"/>
          <w:color w:val="000000"/>
        </w:rPr>
        <w:t xml:space="preserve"> in community activities</w:t>
      </w:r>
      <w:r w:rsidR="005266C3">
        <w:rPr>
          <w:rFonts w:cs="Arial"/>
          <w:color w:val="000000"/>
        </w:rPr>
        <w:t xml:space="preserve"> </w:t>
      </w:r>
      <w:r w:rsidRPr="00F67F82">
        <w:rPr>
          <w:rFonts w:cs="Arial"/>
          <w:color w:val="000000"/>
        </w:rPr>
        <w:t>or</w:t>
      </w:r>
      <w:r w:rsidR="001102E4">
        <w:rPr>
          <w:rFonts w:cs="Arial"/>
          <w:color w:val="000000"/>
        </w:rPr>
        <w:t xml:space="preserve"> to</w:t>
      </w:r>
      <w:r w:rsidRPr="00F67F82">
        <w:rPr>
          <w:rFonts w:cs="Arial"/>
          <w:color w:val="000000"/>
        </w:rPr>
        <w:t xml:space="preserve"> access other services in the community. Personal care may be furnished in order to assist a person to function in the work place or as an adjunct to the provision of employment services.</w:t>
      </w:r>
    </w:p>
    <w:p w14:paraId="02ADA9F3" w14:textId="77777777" w:rsidR="00CB022B" w:rsidRDefault="00CB022B" w:rsidP="00217A9C">
      <w:pPr>
        <w:ind w:left="1080"/>
        <w:rPr>
          <w:rFonts w:cs="Arial"/>
          <w:color w:val="000000"/>
        </w:rPr>
      </w:pPr>
    </w:p>
    <w:p w14:paraId="5B5D82D4" w14:textId="77777777" w:rsidR="001102E4" w:rsidRDefault="00217A9C" w:rsidP="00217A9C">
      <w:pPr>
        <w:ind w:left="1080"/>
        <w:rPr>
          <w:rFonts w:cs="Arial"/>
          <w:color w:val="000000"/>
        </w:rPr>
      </w:pPr>
      <w:r w:rsidRPr="00F67F82">
        <w:rPr>
          <w:rFonts w:cs="Arial"/>
          <w:color w:val="000000"/>
        </w:rPr>
        <w:t xml:space="preserve">Nursing tasks, such as administration of medication, blood glucose monitoring, insulin injections, ostomy care, simple wound care or straight catheterization may be delegated under the direction of a licensed, registered nurse if the provider meets the requirements of a nursing assistant certified and/or registered in the State of Washington. </w:t>
      </w:r>
    </w:p>
    <w:p w14:paraId="2D70D7A9" w14:textId="77777777" w:rsidR="00217A9C" w:rsidRDefault="00217A9C" w:rsidP="00203DB3">
      <w:pPr>
        <w:numPr>
          <w:ilvl w:val="0"/>
          <w:numId w:val="62"/>
        </w:numPr>
        <w:rPr>
          <w:rFonts w:cs="Arial"/>
          <w:color w:val="000000"/>
        </w:rPr>
      </w:pPr>
      <w:r w:rsidRPr="00F67F82">
        <w:rPr>
          <w:rFonts w:cs="Arial"/>
          <w:color w:val="000000"/>
        </w:rPr>
        <w:t xml:space="preserve">The following tasks CANNOT be delegated: Injections other than insulin, central lines, sterile procedures, and tasks that require nursing judgments.  Providers are </w:t>
      </w:r>
      <w:r>
        <w:rPr>
          <w:rFonts w:cs="Arial"/>
          <w:color w:val="000000"/>
        </w:rPr>
        <w:t>compensated for these services within their regular hourly rate</w:t>
      </w:r>
      <w:r w:rsidRPr="00F67F82">
        <w:rPr>
          <w:rFonts w:cs="Arial"/>
          <w:color w:val="000000"/>
        </w:rPr>
        <w:t>.</w:t>
      </w:r>
    </w:p>
    <w:p w14:paraId="5D0E344D" w14:textId="77777777" w:rsidR="00CB022B" w:rsidRPr="00F67F82" w:rsidRDefault="00CB022B" w:rsidP="00217A9C">
      <w:pPr>
        <w:ind w:left="1080"/>
        <w:rPr>
          <w:rFonts w:cs="Arial"/>
          <w:color w:val="000000"/>
        </w:rPr>
      </w:pPr>
    </w:p>
    <w:p w14:paraId="04F959E0" w14:textId="3FA5EE44" w:rsidR="00003273" w:rsidRDefault="001102E4" w:rsidP="00217A9C">
      <w:pPr>
        <w:ind w:left="1080"/>
        <w:rPr>
          <w:rFonts w:cs="Arial"/>
          <w:color w:val="000000"/>
        </w:rPr>
      </w:pPr>
      <w:r>
        <w:rPr>
          <w:rFonts w:cs="Arial"/>
          <w:color w:val="000000"/>
        </w:rPr>
        <w:t>Clients</w:t>
      </w:r>
      <w:r w:rsidR="00217A9C" w:rsidRPr="00084623">
        <w:rPr>
          <w:rFonts w:cs="Arial"/>
          <w:color w:val="000000"/>
        </w:rPr>
        <w:t xml:space="preserve"> </w:t>
      </w:r>
      <w:r w:rsidR="00C319E2">
        <w:rPr>
          <w:rFonts w:cs="Arial"/>
          <w:color w:val="000000"/>
        </w:rPr>
        <w:t>may choose an Individual Provider (IP)</w:t>
      </w:r>
      <w:r w:rsidR="00003273">
        <w:rPr>
          <w:rFonts w:cs="Arial"/>
          <w:color w:val="000000"/>
        </w:rPr>
        <w:t>,</w:t>
      </w:r>
      <w:r w:rsidR="00C319E2">
        <w:rPr>
          <w:rFonts w:cs="Arial"/>
          <w:color w:val="000000"/>
        </w:rPr>
        <w:t xml:space="preserve"> an agency provider</w:t>
      </w:r>
      <w:r w:rsidR="00003273">
        <w:rPr>
          <w:rFonts w:cs="Arial"/>
          <w:color w:val="000000"/>
        </w:rPr>
        <w:t>, an adult family home</w:t>
      </w:r>
      <w:r w:rsidR="00FF6D61">
        <w:rPr>
          <w:rFonts w:cs="Arial"/>
          <w:color w:val="000000"/>
        </w:rPr>
        <w:t>,</w:t>
      </w:r>
      <w:r w:rsidR="00003273">
        <w:rPr>
          <w:rFonts w:cs="Arial"/>
          <w:color w:val="000000"/>
        </w:rPr>
        <w:t xml:space="preserve"> or a licensed assisted living facility which includes an AL, EARC or ARC</w:t>
      </w:r>
      <w:r w:rsidR="00C319E2">
        <w:rPr>
          <w:rFonts w:cs="Arial"/>
          <w:color w:val="000000"/>
        </w:rPr>
        <w:t xml:space="preserve">.  If an IP is chosen, the </w:t>
      </w:r>
      <w:r>
        <w:rPr>
          <w:rFonts w:cs="Arial"/>
          <w:color w:val="000000"/>
        </w:rPr>
        <w:t>client</w:t>
      </w:r>
      <w:r w:rsidR="00C319E2">
        <w:rPr>
          <w:rFonts w:cs="Arial"/>
          <w:color w:val="000000"/>
        </w:rPr>
        <w:t xml:space="preserve"> has</w:t>
      </w:r>
      <w:r w:rsidR="00217A9C" w:rsidRPr="00084623">
        <w:rPr>
          <w:rFonts w:cs="Arial"/>
          <w:color w:val="000000"/>
        </w:rPr>
        <w:t xml:space="preserve"> employer authority for </w:t>
      </w:r>
      <w:r w:rsidR="00C319E2">
        <w:rPr>
          <w:rFonts w:cs="Arial"/>
          <w:color w:val="000000"/>
        </w:rPr>
        <w:t xml:space="preserve">the </w:t>
      </w:r>
      <w:r w:rsidR="00217A9C" w:rsidRPr="00084623">
        <w:rPr>
          <w:rFonts w:cs="Arial"/>
          <w:color w:val="000000"/>
        </w:rPr>
        <w:t>IP</w:t>
      </w:r>
      <w:r w:rsidR="00C319E2">
        <w:rPr>
          <w:rFonts w:cs="Arial"/>
          <w:color w:val="000000"/>
        </w:rPr>
        <w:t>(</w:t>
      </w:r>
      <w:r w:rsidR="00217A9C" w:rsidRPr="00084623">
        <w:rPr>
          <w:rFonts w:cs="Arial"/>
          <w:color w:val="000000"/>
        </w:rPr>
        <w:t xml:space="preserve">s) including hiring, firing, scheduling and supervision. If a </w:t>
      </w:r>
      <w:r>
        <w:rPr>
          <w:rFonts w:cs="Arial"/>
          <w:color w:val="000000"/>
        </w:rPr>
        <w:t>client</w:t>
      </w:r>
      <w:r w:rsidRPr="00084623">
        <w:rPr>
          <w:rFonts w:cs="Arial"/>
          <w:color w:val="000000"/>
        </w:rPr>
        <w:t xml:space="preserve"> </w:t>
      </w:r>
      <w:r w:rsidR="00217A9C" w:rsidRPr="00084623">
        <w:rPr>
          <w:rFonts w:cs="Arial"/>
          <w:color w:val="000000"/>
        </w:rPr>
        <w:t xml:space="preserve">is unable to </w:t>
      </w:r>
      <w:r w:rsidR="00217A9C" w:rsidRPr="00084623">
        <w:rPr>
          <w:rFonts w:cs="Arial"/>
          <w:color w:val="000000"/>
        </w:rPr>
        <w:lastRenderedPageBreak/>
        <w:t>provide supervision, an alternate supervisor must be identified in the service plan</w:t>
      </w:r>
    </w:p>
    <w:p w14:paraId="6CF98910" w14:textId="77777777" w:rsidR="00003273" w:rsidRDefault="00003273" w:rsidP="00217A9C">
      <w:pPr>
        <w:ind w:left="1080"/>
        <w:rPr>
          <w:rFonts w:cs="Arial"/>
          <w:color w:val="000000"/>
        </w:rPr>
      </w:pPr>
    </w:p>
    <w:p w14:paraId="3C0C2ED6" w14:textId="77777777" w:rsidR="006307F2" w:rsidRDefault="001102E4" w:rsidP="00217A9C">
      <w:pPr>
        <w:ind w:left="1080"/>
        <w:rPr>
          <w:rFonts w:cs="Arial"/>
          <w:color w:val="000000"/>
        </w:rPr>
      </w:pPr>
      <w:r>
        <w:rPr>
          <w:rFonts w:cs="Arial"/>
          <w:color w:val="000000"/>
        </w:rPr>
        <w:t>Clients</w:t>
      </w:r>
      <w:r w:rsidR="006307F2" w:rsidRPr="006D33CE">
        <w:rPr>
          <w:rFonts w:cs="Arial"/>
          <w:color w:val="000000"/>
        </w:rPr>
        <w:t xml:space="preserve"> have the right to choose a representative for the provision of services and for service planning purposes</w:t>
      </w:r>
      <w:r w:rsidR="00084623" w:rsidRPr="006D33CE">
        <w:rPr>
          <w:rFonts w:cs="Arial"/>
          <w:color w:val="000000"/>
        </w:rPr>
        <w:t xml:space="preserve"> when feasible</w:t>
      </w:r>
      <w:r w:rsidR="006307F2" w:rsidRPr="006D33CE">
        <w:rPr>
          <w:rFonts w:cs="Arial"/>
          <w:color w:val="000000"/>
        </w:rPr>
        <w:t>.</w:t>
      </w:r>
      <w:r w:rsidR="00084623" w:rsidRPr="006D33CE">
        <w:rPr>
          <w:rFonts w:cs="Arial"/>
          <w:color w:val="000000"/>
        </w:rPr>
        <w:t xml:space="preserve">  A representative must not also be a paid provider of care to that </w:t>
      </w:r>
      <w:r>
        <w:rPr>
          <w:rFonts w:cs="Arial"/>
          <w:color w:val="000000"/>
        </w:rPr>
        <w:t>client</w:t>
      </w:r>
      <w:r w:rsidR="00084623" w:rsidRPr="006D33CE">
        <w:rPr>
          <w:rFonts w:cs="Arial"/>
          <w:color w:val="000000"/>
        </w:rPr>
        <w:t>.</w:t>
      </w:r>
    </w:p>
    <w:p w14:paraId="3A6DA3AE" w14:textId="77777777" w:rsidR="006307F2" w:rsidRDefault="006307F2" w:rsidP="00217A9C">
      <w:pPr>
        <w:ind w:left="1080"/>
        <w:rPr>
          <w:rFonts w:cs="Arial"/>
          <w:color w:val="000000"/>
        </w:rPr>
      </w:pPr>
    </w:p>
    <w:p w14:paraId="1B2D1F2F" w14:textId="77777777" w:rsidR="00217A9C" w:rsidRPr="00F67F82" w:rsidDel="00CB022B" w:rsidRDefault="003F6FEB" w:rsidP="00217A9C">
      <w:pPr>
        <w:ind w:left="1080"/>
        <w:rPr>
          <w:rFonts w:cs="Arial"/>
          <w:color w:val="000000"/>
        </w:rPr>
      </w:pPr>
      <w:r w:rsidDel="00CB022B">
        <w:rPr>
          <w:rFonts w:cs="Arial"/>
          <w:color w:val="000000"/>
        </w:rPr>
        <w:t xml:space="preserve">If a client wishes to have training on how to </w:t>
      </w:r>
      <w:r w:rsidR="003F070C" w:rsidDel="00CB022B">
        <w:rPr>
          <w:rFonts w:cs="Arial"/>
          <w:color w:val="000000"/>
        </w:rPr>
        <w:t>hire, manage, or dismiss</w:t>
      </w:r>
      <w:r w:rsidDel="00CB022B">
        <w:rPr>
          <w:rFonts w:cs="Arial"/>
          <w:color w:val="000000"/>
        </w:rPr>
        <w:t xml:space="preserve"> their caregiver, they may request training materials at any time.</w:t>
      </w:r>
      <w:r w:rsidR="003F070C" w:rsidDel="00CB022B">
        <w:rPr>
          <w:rFonts w:cs="Arial"/>
          <w:color w:val="000000"/>
        </w:rPr>
        <w:t xml:space="preserve"> See Caregiver Management Training for more information on this service.</w:t>
      </w:r>
    </w:p>
    <w:p w14:paraId="2D1200CD" w14:textId="77777777" w:rsidR="00217A9C" w:rsidRPr="00F67F82" w:rsidRDefault="00217A9C" w:rsidP="00217A9C">
      <w:pPr>
        <w:ind w:left="360"/>
        <w:rPr>
          <w:rFonts w:cs="Arial"/>
        </w:rPr>
      </w:pPr>
    </w:p>
    <w:p w14:paraId="26B59131" w14:textId="77777777" w:rsidR="00217A9C" w:rsidRPr="00F67F82" w:rsidRDefault="00217A9C" w:rsidP="00217A9C">
      <w:pPr>
        <w:ind w:left="360"/>
        <w:rPr>
          <w:rFonts w:cs="Arial"/>
          <w:b/>
          <w:i/>
        </w:rPr>
      </w:pPr>
      <w:r w:rsidRPr="00F67F82">
        <w:rPr>
          <w:rFonts w:cs="Arial"/>
          <w:b/>
          <w:i/>
        </w:rPr>
        <w:t>Personal Care Service Providers</w:t>
      </w:r>
    </w:p>
    <w:p w14:paraId="1E8FBAAD" w14:textId="697BABDB" w:rsidR="00217A9C" w:rsidRPr="00F67F82" w:rsidRDefault="00217A9C" w:rsidP="009862C2">
      <w:pPr>
        <w:numPr>
          <w:ilvl w:val="1"/>
          <w:numId w:val="11"/>
        </w:numPr>
        <w:ind w:left="1440"/>
        <w:rPr>
          <w:rFonts w:cs="Arial"/>
        </w:rPr>
      </w:pPr>
      <w:r w:rsidRPr="00F67F82">
        <w:rPr>
          <w:rFonts w:cs="Arial"/>
        </w:rPr>
        <w:t>Individual Provider</w:t>
      </w:r>
      <w:r>
        <w:rPr>
          <w:rFonts w:cs="Arial"/>
        </w:rPr>
        <w:t>s</w:t>
      </w:r>
      <w:r w:rsidRPr="00F67F82">
        <w:rPr>
          <w:rFonts w:cs="Arial"/>
        </w:rPr>
        <w:t xml:space="preserve"> (</w:t>
      </w:r>
      <w:r>
        <w:rPr>
          <w:rFonts w:cs="Arial"/>
        </w:rPr>
        <w:t>IPs</w:t>
      </w:r>
      <w:r w:rsidRPr="00F67F82">
        <w:rPr>
          <w:rFonts w:cs="Arial"/>
        </w:rPr>
        <w:t>) (</w:t>
      </w:r>
      <w:hyperlink r:id="rId24" w:history="1">
        <w:r w:rsidRPr="00F67F82">
          <w:rPr>
            <w:rStyle w:val="Hyperlink"/>
            <w:rFonts w:cs="Arial"/>
          </w:rPr>
          <w:t>LTC Manual - In-Home Providers</w:t>
        </w:r>
      </w:hyperlink>
      <w:r w:rsidR="006D3F51">
        <w:rPr>
          <w:rStyle w:val="Hyperlink"/>
          <w:rFonts w:cs="Arial"/>
        </w:rPr>
        <w:t xml:space="preserve"> Chapter 7A</w:t>
      </w:r>
      <w:r w:rsidRPr="00F67F82">
        <w:rPr>
          <w:rFonts w:cs="Arial"/>
        </w:rPr>
        <w:t>)</w:t>
      </w:r>
    </w:p>
    <w:p w14:paraId="0AF94954" w14:textId="77777777" w:rsidR="00217A9C" w:rsidRPr="00F67F82" w:rsidRDefault="00217A9C" w:rsidP="009862C2">
      <w:pPr>
        <w:numPr>
          <w:ilvl w:val="2"/>
          <w:numId w:val="33"/>
        </w:numPr>
        <w:rPr>
          <w:rFonts w:cs="Arial"/>
        </w:rPr>
      </w:pPr>
      <w:r w:rsidRPr="00F67F82">
        <w:rPr>
          <w:rFonts w:cs="Arial"/>
        </w:rPr>
        <w:t>Must have a current contract with the Department</w:t>
      </w:r>
      <w:r>
        <w:rPr>
          <w:rFonts w:cs="Arial"/>
        </w:rPr>
        <w:t>;</w:t>
      </w:r>
      <w:r w:rsidRPr="00F67F82">
        <w:rPr>
          <w:rFonts w:cs="Arial"/>
        </w:rPr>
        <w:t xml:space="preserve"> </w:t>
      </w:r>
    </w:p>
    <w:p w14:paraId="187EE420" w14:textId="77777777" w:rsidR="00217A9C" w:rsidRPr="00F67F82" w:rsidRDefault="00217A9C" w:rsidP="009862C2">
      <w:pPr>
        <w:numPr>
          <w:ilvl w:val="2"/>
          <w:numId w:val="33"/>
        </w:numPr>
        <w:rPr>
          <w:rFonts w:cs="Arial"/>
        </w:rPr>
      </w:pPr>
      <w:r>
        <w:rPr>
          <w:rFonts w:cs="Arial"/>
        </w:rPr>
        <w:t>Must be a</w:t>
      </w:r>
      <w:r w:rsidRPr="00F67F82">
        <w:rPr>
          <w:rFonts w:cs="Arial"/>
        </w:rPr>
        <w:t>uthorized to work in the United States</w:t>
      </w:r>
      <w:r>
        <w:rPr>
          <w:rFonts w:cs="Arial"/>
        </w:rPr>
        <w:t>;</w:t>
      </w:r>
    </w:p>
    <w:p w14:paraId="57025379" w14:textId="77777777" w:rsidR="00217A9C" w:rsidRPr="00F67F82" w:rsidRDefault="00217A9C" w:rsidP="009862C2">
      <w:pPr>
        <w:numPr>
          <w:ilvl w:val="2"/>
          <w:numId w:val="33"/>
        </w:numPr>
        <w:rPr>
          <w:rFonts w:cs="Arial"/>
        </w:rPr>
      </w:pPr>
      <w:r>
        <w:rPr>
          <w:rFonts w:cs="Arial"/>
        </w:rPr>
        <w:t>Have</w:t>
      </w:r>
      <w:r w:rsidRPr="00F67F82">
        <w:rPr>
          <w:rFonts w:cs="Arial"/>
        </w:rPr>
        <w:t xml:space="preserve"> passed </w:t>
      </w:r>
      <w:r>
        <w:rPr>
          <w:rFonts w:cs="Arial"/>
        </w:rPr>
        <w:t>the appropriate criminal</w:t>
      </w:r>
      <w:r w:rsidRPr="00F67F82">
        <w:rPr>
          <w:rFonts w:cs="Arial"/>
        </w:rPr>
        <w:t xml:space="preserve"> background check</w:t>
      </w:r>
      <w:r>
        <w:rPr>
          <w:rFonts w:cs="Arial"/>
        </w:rPr>
        <w:t>;</w:t>
      </w:r>
    </w:p>
    <w:p w14:paraId="0F493D79" w14:textId="77777777" w:rsidR="00217A9C" w:rsidRPr="00F67F82" w:rsidRDefault="00217A9C" w:rsidP="009862C2">
      <w:pPr>
        <w:numPr>
          <w:ilvl w:val="2"/>
          <w:numId w:val="33"/>
        </w:numPr>
        <w:rPr>
          <w:rFonts w:cs="Arial"/>
        </w:rPr>
      </w:pPr>
      <w:r>
        <w:rPr>
          <w:rFonts w:cs="Arial"/>
        </w:rPr>
        <w:t>Must be</w:t>
      </w:r>
      <w:r w:rsidRPr="00F67F82">
        <w:rPr>
          <w:rFonts w:cs="Arial"/>
        </w:rPr>
        <w:t xml:space="preserve"> age 18 or older</w:t>
      </w:r>
      <w:r>
        <w:rPr>
          <w:rFonts w:cs="Arial"/>
        </w:rPr>
        <w:t>;</w:t>
      </w:r>
    </w:p>
    <w:p w14:paraId="07C80FBF" w14:textId="77777777" w:rsidR="00217A9C" w:rsidRPr="00F67F82" w:rsidRDefault="00217A9C" w:rsidP="009862C2">
      <w:pPr>
        <w:numPr>
          <w:ilvl w:val="2"/>
          <w:numId w:val="33"/>
        </w:numPr>
        <w:rPr>
          <w:rFonts w:cs="Arial"/>
        </w:rPr>
      </w:pPr>
      <w:r>
        <w:rPr>
          <w:rFonts w:cs="Arial"/>
        </w:rPr>
        <w:t>Have m</w:t>
      </w:r>
      <w:r w:rsidRPr="00F67F82">
        <w:rPr>
          <w:rFonts w:cs="Arial"/>
        </w:rPr>
        <w:t>et all training</w:t>
      </w:r>
      <w:r>
        <w:rPr>
          <w:rFonts w:cs="Arial"/>
        </w:rPr>
        <w:t xml:space="preserve"> and certification requirements;</w:t>
      </w:r>
    </w:p>
    <w:p w14:paraId="2110BC20" w14:textId="77777777" w:rsidR="00217A9C" w:rsidRPr="00F67F82" w:rsidRDefault="00217A9C" w:rsidP="009862C2">
      <w:pPr>
        <w:numPr>
          <w:ilvl w:val="2"/>
          <w:numId w:val="33"/>
        </w:numPr>
        <w:rPr>
          <w:rFonts w:cs="Arial"/>
        </w:rPr>
      </w:pPr>
      <w:r>
        <w:rPr>
          <w:rFonts w:cs="Arial"/>
        </w:rPr>
        <w:t>Are r</w:t>
      </w:r>
      <w:r w:rsidRPr="00F67F82">
        <w:rPr>
          <w:rFonts w:cs="Arial"/>
        </w:rPr>
        <w:t xml:space="preserve">egulated under WAC </w:t>
      </w:r>
      <w:hyperlink r:id="rId25" w:history="1">
        <w:r w:rsidRPr="00F67F82">
          <w:rPr>
            <w:rStyle w:val="Hyperlink"/>
            <w:rFonts w:cs="Arial"/>
          </w:rPr>
          <w:t>388-71</w:t>
        </w:r>
      </w:hyperlink>
      <w:r w:rsidRPr="00F67F82">
        <w:rPr>
          <w:rFonts w:cs="Arial"/>
        </w:rPr>
        <w:t xml:space="preserve">-0500 through </w:t>
      </w:r>
      <w:hyperlink r:id="rId26" w:history="1">
        <w:r w:rsidRPr="00F67F82">
          <w:rPr>
            <w:rStyle w:val="Hyperlink"/>
            <w:rFonts w:cs="Arial"/>
          </w:rPr>
          <w:t>388-71</w:t>
        </w:r>
      </w:hyperlink>
      <w:r w:rsidRPr="00F67F82">
        <w:rPr>
          <w:rFonts w:cs="Arial"/>
        </w:rPr>
        <w:t>-</w:t>
      </w:r>
      <w:r w:rsidR="00C319E2">
        <w:rPr>
          <w:rFonts w:cs="Arial"/>
        </w:rPr>
        <w:t>1006</w:t>
      </w:r>
      <w:r>
        <w:rPr>
          <w:rFonts w:cs="Arial"/>
        </w:rPr>
        <w:t>.</w:t>
      </w:r>
    </w:p>
    <w:p w14:paraId="1A0DD1C6" w14:textId="77777777" w:rsidR="00217A9C" w:rsidRPr="00F67F82" w:rsidRDefault="00217A9C" w:rsidP="00217A9C">
      <w:pPr>
        <w:ind w:left="1800"/>
        <w:rPr>
          <w:rFonts w:cs="Arial"/>
        </w:rPr>
      </w:pPr>
    </w:p>
    <w:p w14:paraId="1F354A9C" w14:textId="77777777" w:rsidR="00217A9C" w:rsidRPr="00F67F82" w:rsidRDefault="00217A9C" w:rsidP="009862C2">
      <w:pPr>
        <w:numPr>
          <w:ilvl w:val="1"/>
          <w:numId w:val="11"/>
        </w:numPr>
        <w:ind w:left="1440"/>
        <w:rPr>
          <w:rFonts w:cs="Arial"/>
        </w:rPr>
      </w:pPr>
      <w:r w:rsidRPr="00F67F82">
        <w:rPr>
          <w:rFonts w:cs="Arial"/>
        </w:rPr>
        <w:t>Home Care Agency (HCA) must have a current:</w:t>
      </w:r>
    </w:p>
    <w:p w14:paraId="5A7C068E" w14:textId="77777777" w:rsidR="00217A9C" w:rsidRPr="00F67F82" w:rsidRDefault="00217A9C" w:rsidP="009862C2">
      <w:pPr>
        <w:numPr>
          <w:ilvl w:val="2"/>
          <w:numId w:val="34"/>
        </w:numPr>
        <w:rPr>
          <w:rFonts w:cs="Arial"/>
        </w:rPr>
      </w:pPr>
      <w:r w:rsidRPr="00F67F82">
        <w:rPr>
          <w:rFonts w:cs="Arial"/>
        </w:rPr>
        <w:t xml:space="preserve">Department of Health (DOH) license located in </w:t>
      </w:r>
      <w:r>
        <w:rPr>
          <w:rFonts w:cs="Arial"/>
        </w:rPr>
        <w:t>Chapter</w:t>
      </w:r>
      <w:r w:rsidRPr="00F67F82">
        <w:rPr>
          <w:rFonts w:cs="Arial"/>
        </w:rPr>
        <w:t xml:space="preserve"> </w:t>
      </w:r>
      <w:hyperlink r:id="rId27" w:history="1">
        <w:r w:rsidRPr="00F67F82">
          <w:rPr>
            <w:rStyle w:val="Hyperlink"/>
            <w:rFonts w:cs="Arial"/>
          </w:rPr>
          <w:t>70.127</w:t>
        </w:r>
      </w:hyperlink>
      <w:r w:rsidRPr="00F67F82">
        <w:rPr>
          <w:rFonts w:cs="Arial"/>
        </w:rPr>
        <w:t xml:space="preserve"> </w:t>
      </w:r>
      <w:r>
        <w:rPr>
          <w:rFonts w:cs="Arial"/>
        </w:rPr>
        <w:t xml:space="preserve">RCW </w:t>
      </w:r>
      <w:r w:rsidRPr="00F67F82">
        <w:rPr>
          <w:rFonts w:cs="Arial"/>
        </w:rPr>
        <w:t xml:space="preserve">and </w:t>
      </w:r>
      <w:r>
        <w:rPr>
          <w:rFonts w:cs="Arial"/>
        </w:rPr>
        <w:t>Chapter</w:t>
      </w:r>
      <w:r w:rsidRPr="00F67F82">
        <w:rPr>
          <w:rFonts w:cs="Arial"/>
        </w:rPr>
        <w:t xml:space="preserve"> </w:t>
      </w:r>
      <w:hyperlink r:id="rId28" w:history="1">
        <w:r w:rsidRPr="00F67F82">
          <w:rPr>
            <w:rStyle w:val="Hyperlink"/>
            <w:rFonts w:cs="Arial"/>
          </w:rPr>
          <w:t>246-335</w:t>
        </w:r>
      </w:hyperlink>
      <w:r>
        <w:rPr>
          <w:rFonts w:cs="Arial"/>
        </w:rPr>
        <w:t xml:space="preserve"> WAC</w:t>
      </w:r>
      <w:r w:rsidRPr="00F67F82">
        <w:rPr>
          <w:rFonts w:cs="Arial"/>
        </w:rPr>
        <w:t xml:space="preserve"> </w:t>
      </w:r>
      <w:r>
        <w:rPr>
          <w:rFonts w:cs="Arial"/>
        </w:rPr>
        <w:t>; and</w:t>
      </w:r>
      <w:r w:rsidRPr="00F67F82">
        <w:rPr>
          <w:rFonts w:cs="Arial"/>
        </w:rPr>
        <w:t xml:space="preserve"> </w:t>
      </w:r>
    </w:p>
    <w:p w14:paraId="63146527" w14:textId="77777777" w:rsidR="00217A9C" w:rsidRPr="00F67F82" w:rsidRDefault="00217A9C" w:rsidP="009862C2">
      <w:pPr>
        <w:numPr>
          <w:ilvl w:val="2"/>
          <w:numId w:val="34"/>
        </w:numPr>
        <w:rPr>
          <w:rFonts w:cs="Arial"/>
        </w:rPr>
      </w:pPr>
      <w:r w:rsidRPr="00F67F82">
        <w:rPr>
          <w:rFonts w:cs="Arial"/>
        </w:rPr>
        <w:t>Contract with the Department or AAA</w:t>
      </w:r>
      <w:r>
        <w:rPr>
          <w:rFonts w:cs="Arial"/>
        </w:rPr>
        <w:t>.</w:t>
      </w:r>
    </w:p>
    <w:p w14:paraId="207974C4" w14:textId="77777777" w:rsidR="00217A9C" w:rsidRPr="00F67F82" w:rsidRDefault="00217A9C" w:rsidP="00217A9C">
      <w:pPr>
        <w:ind w:left="2160"/>
        <w:rPr>
          <w:rFonts w:cs="Arial"/>
        </w:rPr>
      </w:pPr>
    </w:p>
    <w:p w14:paraId="6E8156BF" w14:textId="77777777" w:rsidR="00217A9C" w:rsidRPr="00F67F82" w:rsidRDefault="00217A9C" w:rsidP="009862C2">
      <w:pPr>
        <w:numPr>
          <w:ilvl w:val="1"/>
          <w:numId w:val="11"/>
        </w:numPr>
        <w:ind w:left="1440"/>
        <w:rPr>
          <w:rFonts w:cs="Arial"/>
        </w:rPr>
      </w:pPr>
      <w:r w:rsidRPr="00F67F82">
        <w:rPr>
          <w:rFonts w:cs="Arial"/>
        </w:rPr>
        <w:t>Assisted Living (AL)</w:t>
      </w:r>
      <w:r w:rsidR="003F070C">
        <w:rPr>
          <w:rFonts w:cs="Arial"/>
        </w:rPr>
        <w:t xml:space="preserve">, Adult Residential Care (ARC), </w:t>
      </w:r>
      <w:r>
        <w:rPr>
          <w:rFonts w:cs="Arial"/>
        </w:rPr>
        <w:t xml:space="preserve">and </w:t>
      </w:r>
      <w:r w:rsidRPr="00F67F82">
        <w:rPr>
          <w:rFonts w:cs="Arial"/>
        </w:rPr>
        <w:t>Enhanced Adult Residential Care (EARC) must have a current:</w:t>
      </w:r>
    </w:p>
    <w:p w14:paraId="72E9CB87" w14:textId="77777777" w:rsidR="00217A9C" w:rsidRPr="00F67F82" w:rsidRDefault="00217A9C" w:rsidP="009862C2">
      <w:pPr>
        <w:numPr>
          <w:ilvl w:val="2"/>
          <w:numId w:val="35"/>
        </w:numPr>
        <w:rPr>
          <w:rFonts w:cs="Arial"/>
        </w:rPr>
      </w:pPr>
      <w:r>
        <w:rPr>
          <w:rFonts w:cs="Arial"/>
        </w:rPr>
        <w:t>ALF</w:t>
      </w:r>
      <w:r w:rsidRPr="00F67F82">
        <w:rPr>
          <w:rFonts w:cs="Arial"/>
        </w:rPr>
        <w:t xml:space="preserve"> License under </w:t>
      </w:r>
      <w:r w:rsidRPr="0033683D">
        <w:rPr>
          <w:rFonts w:cs="Arial"/>
        </w:rPr>
        <w:t xml:space="preserve">Chapter </w:t>
      </w:r>
      <w:hyperlink r:id="rId29" w:history="1">
        <w:r w:rsidRPr="0033683D">
          <w:rPr>
            <w:rStyle w:val="Hyperlink"/>
            <w:rFonts w:cs="Arial"/>
          </w:rPr>
          <w:t>18.20</w:t>
        </w:r>
      </w:hyperlink>
      <w:r>
        <w:rPr>
          <w:rFonts w:cs="Arial"/>
        </w:rPr>
        <w:t xml:space="preserve"> RCW</w:t>
      </w:r>
      <w:r w:rsidRPr="00F67F82">
        <w:rPr>
          <w:rFonts w:cs="Arial"/>
        </w:rPr>
        <w:t xml:space="preserve">, and </w:t>
      </w:r>
      <w:r w:rsidRPr="0033683D">
        <w:rPr>
          <w:rFonts w:cs="Arial"/>
        </w:rPr>
        <w:t xml:space="preserve">Chapter </w:t>
      </w:r>
      <w:hyperlink r:id="rId30" w:history="1">
        <w:r w:rsidRPr="0033683D">
          <w:rPr>
            <w:rStyle w:val="Hyperlink"/>
            <w:rFonts w:cs="Arial"/>
          </w:rPr>
          <w:t>388-110</w:t>
        </w:r>
      </w:hyperlink>
      <w:r>
        <w:rPr>
          <w:rFonts w:cs="Arial"/>
        </w:rPr>
        <w:t xml:space="preserve"> WAC; and</w:t>
      </w:r>
      <w:r w:rsidRPr="00F67F82">
        <w:rPr>
          <w:rFonts w:cs="Arial"/>
        </w:rPr>
        <w:t xml:space="preserve"> </w:t>
      </w:r>
    </w:p>
    <w:p w14:paraId="0E31FAD9" w14:textId="77777777" w:rsidR="00217A9C" w:rsidRPr="00F67F82" w:rsidRDefault="00217A9C" w:rsidP="009862C2">
      <w:pPr>
        <w:numPr>
          <w:ilvl w:val="2"/>
          <w:numId w:val="35"/>
        </w:numPr>
        <w:rPr>
          <w:rFonts w:cs="Arial"/>
        </w:rPr>
      </w:pPr>
      <w:r w:rsidRPr="00F67F82">
        <w:rPr>
          <w:rFonts w:cs="Arial"/>
        </w:rPr>
        <w:t>Contract with the Department</w:t>
      </w:r>
      <w:r>
        <w:rPr>
          <w:rFonts w:cs="Arial"/>
        </w:rPr>
        <w:t>.</w:t>
      </w:r>
    </w:p>
    <w:p w14:paraId="2E71139A" w14:textId="77777777" w:rsidR="00217A9C" w:rsidRPr="00F67F82" w:rsidRDefault="00217A9C" w:rsidP="00217A9C">
      <w:pPr>
        <w:ind w:left="360"/>
        <w:rPr>
          <w:rFonts w:cs="Arial"/>
        </w:rPr>
      </w:pPr>
    </w:p>
    <w:p w14:paraId="4309BA56" w14:textId="77777777" w:rsidR="00217A9C" w:rsidRPr="00F67F82" w:rsidRDefault="00217A9C" w:rsidP="009862C2">
      <w:pPr>
        <w:numPr>
          <w:ilvl w:val="1"/>
          <w:numId w:val="11"/>
        </w:numPr>
        <w:ind w:left="1440"/>
        <w:rPr>
          <w:rFonts w:cs="Arial"/>
        </w:rPr>
      </w:pPr>
      <w:r w:rsidRPr="00F67F82">
        <w:rPr>
          <w:rFonts w:cs="Arial"/>
        </w:rPr>
        <w:t>Adult Family Home</w:t>
      </w:r>
      <w:r>
        <w:rPr>
          <w:rFonts w:cs="Arial"/>
        </w:rPr>
        <w:t>s</w:t>
      </w:r>
      <w:r w:rsidRPr="00F67F82">
        <w:rPr>
          <w:rFonts w:cs="Arial"/>
        </w:rPr>
        <w:t xml:space="preserve"> must have a current:</w:t>
      </w:r>
    </w:p>
    <w:p w14:paraId="673E4257" w14:textId="77777777" w:rsidR="00217A9C" w:rsidRPr="00F67F82" w:rsidRDefault="00217A9C" w:rsidP="009862C2">
      <w:pPr>
        <w:numPr>
          <w:ilvl w:val="2"/>
          <w:numId w:val="36"/>
        </w:numPr>
        <w:rPr>
          <w:rFonts w:cs="Arial"/>
        </w:rPr>
      </w:pPr>
      <w:r w:rsidRPr="00F67F82">
        <w:rPr>
          <w:rFonts w:cs="Arial"/>
        </w:rPr>
        <w:t xml:space="preserve">AFH License under Chapter </w:t>
      </w:r>
      <w:hyperlink r:id="rId31" w:history="1">
        <w:r w:rsidRPr="001F5E51">
          <w:rPr>
            <w:rStyle w:val="Hyperlink"/>
            <w:rFonts w:cs="Arial"/>
          </w:rPr>
          <w:t>70.128</w:t>
        </w:r>
      </w:hyperlink>
      <w:r w:rsidRPr="001F5E51">
        <w:rPr>
          <w:rFonts w:cs="Arial"/>
        </w:rPr>
        <w:t xml:space="preserve"> RCW</w:t>
      </w:r>
      <w:r w:rsidRPr="00F67F82">
        <w:rPr>
          <w:rFonts w:cs="Arial"/>
        </w:rPr>
        <w:t xml:space="preserve"> and </w:t>
      </w:r>
      <w:r w:rsidRPr="001F5E51">
        <w:rPr>
          <w:rFonts w:cs="Arial"/>
        </w:rPr>
        <w:t xml:space="preserve">Chapter </w:t>
      </w:r>
      <w:hyperlink r:id="rId32" w:history="1">
        <w:r w:rsidRPr="001F5E51">
          <w:rPr>
            <w:rStyle w:val="Hyperlink"/>
            <w:rFonts w:cs="Arial"/>
          </w:rPr>
          <w:t>388-76</w:t>
        </w:r>
      </w:hyperlink>
      <w:r>
        <w:rPr>
          <w:rFonts w:cs="Arial"/>
        </w:rPr>
        <w:t xml:space="preserve"> WAC; and</w:t>
      </w:r>
    </w:p>
    <w:p w14:paraId="5A840049" w14:textId="77777777" w:rsidR="00217A9C" w:rsidRPr="00B31B97" w:rsidRDefault="00217A9C" w:rsidP="009862C2">
      <w:pPr>
        <w:numPr>
          <w:ilvl w:val="2"/>
          <w:numId w:val="36"/>
        </w:numPr>
        <w:rPr>
          <w:rFonts w:cs="Arial"/>
        </w:rPr>
      </w:pPr>
      <w:r w:rsidRPr="00B31B97">
        <w:rPr>
          <w:rFonts w:cs="Arial"/>
        </w:rPr>
        <w:t>Contract with the Department</w:t>
      </w:r>
    </w:p>
    <w:p w14:paraId="150BD3F4" w14:textId="77777777" w:rsidR="00B31B97" w:rsidRDefault="00B31B97" w:rsidP="00B31B97">
      <w:pPr>
        <w:pStyle w:val="ListParagraph"/>
        <w:ind w:left="360"/>
        <w:rPr>
          <w:rFonts w:cs="Arial"/>
          <w:b/>
        </w:rPr>
      </w:pPr>
    </w:p>
    <w:p w14:paraId="01CEEC8B" w14:textId="77777777" w:rsidR="00ED0DEA" w:rsidRDefault="00ED0DEA" w:rsidP="00B31B97">
      <w:pPr>
        <w:pStyle w:val="ListParagraph"/>
        <w:ind w:left="360"/>
        <w:rPr>
          <w:rFonts w:cs="Arial"/>
          <w:b/>
        </w:rPr>
      </w:pPr>
      <w:bookmarkStart w:id="16" w:name="Relief_care"/>
      <w:r>
        <w:rPr>
          <w:rFonts w:cs="Arial"/>
          <w:b/>
        </w:rPr>
        <w:t>Relief Care Services</w:t>
      </w:r>
    </w:p>
    <w:bookmarkEnd w:id="16"/>
    <w:p w14:paraId="7A554D1C" w14:textId="77777777" w:rsidR="00A912D1" w:rsidRDefault="00A912D1" w:rsidP="00B31B97">
      <w:pPr>
        <w:pStyle w:val="ListParagraph"/>
        <w:ind w:left="360"/>
        <w:rPr>
          <w:rFonts w:cs="Arial"/>
          <w:b/>
        </w:rPr>
      </w:pPr>
    </w:p>
    <w:p w14:paraId="357C295B" w14:textId="77777777" w:rsidR="006362B3" w:rsidRDefault="006B3A95" w:rsidP="006362B3">
      <w:pPr>
        <w:pStyle w:val="ListParagraph"/>
        <w:ind w:left="1080"/>
        <w:rPr>
          <w:rFonts w:cs="Arial"/>
          <w:szCs w:val="20"/>
        </w:rPr>
      </w:pPr>
      <w:r>
        <w:rPr>
          <w:rFonts w:cs="Arial"/>
          <w:szCs w:val="20"/>
        </w:rPr>
        <w:t xml:space="preserve">Relief Care </w:t>
      </w:r>
      <w:r w:rsidR="00AC467A">
        <w:rPr>
          <w:rFonts w:cs="Arial"/>
          <w:szCs w:val="20"/>
        </w:rPr>
        <w:t xml:space="preserve">is a service that </w:t>
      </w:r>
      <w:r w:rsidR="00AA2379" w:rsidRPr="00AA2379">
        <w:rPr>
          <w:rFonts w:cs="Arial"/>
          <w:szCs w:val="20"/>
        </w:rPr>
        <w:t>allow</w:t>
      </w:r>
      <w:r w:rsidR="00AC467A">
        <w:rPr>
          <w:rFonts w:cs="Arial"/>
          <w:szCs w:val="20"/>
        </w:rPr>
        <w:t>s the</w:t>
      </w:r>
      <w:r w:rsidR="00AA2379" w:rsidRPr="00AA2379">
        <w:rPr>
          <w:rFonts w:cs="Arial"/>
          <w:szCs w:val="20"/>
        </w:rPr>
        <w:t xml:space="preserve"> </w:t>
      </w:r>
      <w:r w:rsidR="00AA2379">
        <w:rPr>
          <w:rFonts w:cs="Arial"/>
          <w:szCs w:val="20"/>
        </w:rPr>
        <w:t>client</w:t>
      </w:r>
      <w:r w:rsidR="00AA2379" w:rsidRPr="00AA2379">
        <w:rPr>
          <w:rFonts w:cs="Arial"/>
          <w:szCs w:val="20"/>
        </w:rPr>
        <w:t xml:space="preserve"> to </w:t>
      </w:r>
      <w:r w:rsidR="00AA2379">
        <w:rPr>
          <w:rFonts w:cs="Arial"/>
          <w:szCs w:val="20"/>
        </w:rPr>
        <w:t>use</w:t>
      </w:r>
      <w:r w:rsidR="00AA2379" w:rsidRPr="00AA2379">
        <w:rPr>
          <w:rFonts w:cs="Arial"/>
          <w:szCs w:val="20"/>
        </w:rPr>
        <w:t xml:space="preserve"> alternate service providers </w:t>
      </w:r>
      <w:r w:rsidR="00AA2379">
        <w:rPr>
          <w:rFonts w:cs="Arial"/>
          <w:szCs w:val="20"/>
        </w:rPr>
        <w:t>for</w:t>
      </w:r>
      <w:r w:rsidR="00AA2379" w:rsidRPr="00AA2379">
        <w:rPr>
          <w:rFonts w:cs="Arial"/>
          <w:szCs w:val="20"/>
        </w:rPr>
        <w:t xml:space="preserve"> personal care</w:t>
      </w:r>
      <w:r w:rsidR="00AA2379">
        <w:rPr>
          <w:rFonts w:cs="Arial"/>
          <w:szCs w:val="20"/>
        </w:rPr>
        <w:t xml:space="preserve"> when a regular provider of personal care is not available</w:t>
      </w:r>
      <w:r w:rsidR="00A37249">
        <w:rPr>
          <w:rFonts w:cs="Arial"/>
          <w:szCs w:val="20"/>
        </w:rPr>
        <w:t xml:space="preserve"> or needs a break</w:t>
      </w:r>
      <w:r w:rsidR="00AA2379" w:rsidRPr="00AA2379">
        <w:rPr>
          <w:rFonts w:cs="Arial"/>
          <w:szCs w:val="20"/>
        </w:rPr>
        <w:t xml:space="preserve">. </w:t>
      </w:r>
      <w:r w:rsidR="00AC467A">
        <w:rPr>
          <w:rFonts w:cs="Arial"/>
          <w:szCs w:val="20"/>
        </w:rPr>
        <w:t xml:space="preserve"> This service does not add any hours to the monthly hours generated by CARE; it is simply an alternate use of the CARE generated hours.  </w:t>
      </w:r>
    </w:p>
    <w:p w14:paraId="774B4E1D" w14:textId="77777777" w:rsidR="006362B3" w:rsidRDefault="006362B3" w:rsidP="006362B3">
      <w:pPr>
        <w:pStyle w:val="ListParagraph"/>
        <w:ind w:left="1080"/>
        <w:rPr>
          <w:rFonts w:cs="Arial"/>
          <w:szCs w:val="20"/>
        </w:rPr>
      </w:pPr>
    </w:p>
    <w:p w14:paraId="1F00A85F" w14:textId="77777777" w:rsidR="006362B3" w:rsidRDefault="006362B3" w:rsidP="006362B3">
      <w:pPr>
        <w:pStyle w:val="ListParagraph"/>
        <w:ind w:left="1080"/>
        <w:rPr>
          <w:rFonts w:cs="Arial"/>
          <w:szCs w:val="20"/>
        </w:rPr>
      </w:pPr>
      <w:r>
        <w:rPr>
          <w:rFonts w:cs="Arial"/>
          <w:szCs w:val="20"/>
        </w:rPr>
        <w:t>Any pre-planned u</w:t>
      </w:r>
      <w:r w:rsidR="00AC467A">
        <w:rPr>
          <w:rFonts w:cs="Arial"/>
          <w:szCs w:val="20"/>
        </w:rPr>
        <w:t xml:space="preserve">se of relief care </w:t>
      </w:r>
      <w:r w:rsidR="00E8476A">
        <w:rPr>
          <w:rFonts w:cs="Arial"/>
          <w:szCs w:val="20"/>
        </w:rPr>
        <w:t xml:space="preserve">must </w:t>
      </w:r>
      <w:r w:rsidR="00AC467A">
        <w:rPr>
          <w:rFonts w:cs="Arial"/>
          <w:szCs w:val="20"/>
        </w:rPr>
        <w:t>be noted in the service summary.</w:t>
      </w:r>
      <w:r>
        <w:rPr>
          <w:rFonts w:cs="Arial"/>
          <w:szCs w:val="20"/>
        </w:rPr>
        <w:t xml:space="preserve">  Use due to un-planned absences, such as provider illness, does not need to </w:t>
      </w:r>
      <w:r>
        <w:rPr>
          <w:rFonts w:cs="Arial"/>
          <w:szCs w:val="20"/>
        </w:rPr>
        <w:lastRenderedPageBreak/>
        <w:t xml:space="preserve">be noted in the service summary, but </w:t>
      </w:r>
      <w:r w:rsidR="00E8476A">
        <w:rPr>
          <w:rFonts w:cs="Arial"/>
          <w:szCs w:val="20"/>
        </w:rPr>
        <w:t xml:space="preserve">must </w:t>
      </w:r>
      <w:r>
        <w:rPr>
          <w:rFonts w:cs="Arial"/>
          <w:szCs w:val="20"/>
        </w:rPr>
        <w:t xml:space="preserve">be authorized </w:t>
      </w:r>
      <w:r w:rsidR="00CE5EB2">
        <w:rPr>
          <w:rFonts w:cs="Arial"/>
          <w:szCs w:val="20"/>
        </w:rPr>
        <w:t>using the correct code for relief care</w:t>
      </w:r>
      <w:r>
        <w:rPr>
          <w:rFonts w:cs="Arial"/>
          <w:szCs w:val="20"/>
        </w:rPr>
        <w:t>.</w:t>
      </w:r>
      <w:r w:rsidR="00AC467A">
        <w:rPr>
          <w:rFonts w:cs="Arial"/>
          <w:szCs w:val="20"/>
        </w:rPr>
        <w:t xml:space="preserve"> </w:t>
      </w:r>
      <w:r>
        <w:rPr>
          <w:rFonts w:cs="Arial"/>
          <w:szCs w:val="20"/>
        </w:rPr>
        <w:t xml:space="preserve"> </w:t>
      </w:r>
    </w:p>
    <w:p w14:paraId="77480579" w14:textId="77777777" w:rsidR="006362B3" w:rsidRDefault="006362B3" w:rsidP="006362B3">
      <w:pPr>
        <w:pStyle w:val="ListParagraph"/>
        <w:ind w:left="1080"/>
        <w:rPr>
          <w:rFonts w:cs="Arial"/>
          <w:szCs w:val="20"/>
        </w:rPr>
      </w:pPr>
    </w:p>
    <w:p w14:paraId="2106DF4E" w14:textId="77777777" w:rsidR="006362B3" w:rsidRDefault="006362B3" w:rsidP="006362B3">
      <w:pPr>
        <w:pStyle w:val="ListParagraph"/>
        <w:ind w:left="1080"/>
        <w:rPr>
          <w:rFonts w:cs="Arial"/>
          <w:szCs w:val="20"/>
        </w:rPr>
      </w:pPr>
      <w:r>
        <w:rPr>
          <w:rFonts w:cs="Arial"/>
          <w:szCs w:val="20"/>
        </w:rPr>
        <w:t xml:space="preserve">Relief care </w:t>
      </w:r>
      <w:r w:rsidR="00E8476A">
        <w:rPr>
          <w:rFonts w:cs="Arial"/>
          <w:szCs w:val="20"/>
        </w:rPr>
        <w:t>is</w:t>
      </w:r>
      <w:r>
        <w:rPr>
          <w:rFonts w:cs="Arial"/>
          <w:szCs w:val="20"/>
        </w:rPr>
        <w:t xml:space="preserve"> authorized separately from standard personal care.</w:t>
      </w:r>
      <w:r w:rsidRPr="006362B3">
        <w:rPr>
          <w:rFonts w:cs="Arial"/>
          <w:szCs w:val="20"/>
        </w:rPr>
        <w:t xml:space="preserve"> </w:t>
      </w:r>
      <w:r>
        <w:rPr>
          <w:rFonts w:cs="Arial"/>
          <w:szCs w:val="20"/>
        </w:rPr>
        <w:t>In ProviderOne, relief care is authorized using the code T1019 – U2.  See the SSAM for more information on authorizing services in ProviderOne.</w:t>
      </w:r>
      <w:r w:rsidR="00953296">
        <w:rPr>
          <w:rFonts w:cs="Arial"/>
          <w:szCs w:val="20"/>
        </w:rPr>
        <w:t xml:space="preserve">  Until January 1, </w:t>
      </w:r>
      <w:r w:rsidR="00E8476A">
        <w:rPr>
          <w:rFonts w:cs="Arial"/>
          <w:szCs w:val="20"/>
        </w:rPr>
        <w:t>2016</w:t>
      </w:r>
      <w:r w:rsidR="00953296">
        <w:rPr>
          <w:rFonts w:cs="Arial"/>
          <w:szCs w:val="20"/>
        </w:rPr>
        <w:t>, see the SSPS manual for IP related service codes.</w:t>
      </w:r>
    </w:p>
    <w:p w14:paraId="1FB17FFD" w14:textId="77777777" w:rsidR="003F070C" w:rsidRDefault="003F070C" w:rsidP="006B3A95">
      <w:pPr>
        <w:pStyle w:val="ListParagraph"/>
        <w:ind w:left="1080"/>
        <w:rPr>
          <w:rFonts w:cs="Arial"/>
          <w:szCs w:val="20"/>
        </w:rPr>
      </w:pPr>
    </w:p>
    <w:p w14:paraId="7787DFC7" w14:textId="77777777" w:rsidR="00ED0DEA" w:rsidRDefault="00ED0DEA" w:rsidP="00B31B97">
      <w:pPr>
        <w:pStyle w:val="ListParagraph"/>
        <w:ind w:left="360"/>
        <w:rPr>
          <w:rFonts w:cs="Arial"/>
          <w:b/>
        </w:rPr>
      </w:pPr>
      <w:r>
        <w:rPr>
          <w:rFonts w:cs="Arial"/>
          <w:b/>
        </w:rPr>
        <w:t>Relief Care Providers</w:t>
      </w:r>
    </w:p>
    <w:p w14:paraId="32A0D173" w14:textId="487CE5D2" w:rsidR="00ED0DEA" w:rsidRDefault="00ED0DEA" w:rsidP="009862C2">
      <w:pPr>
        <w:numPr>
          <w:ilvl w:val="1"/>
          <w:numId w:val="11"/>
        </w:numPr>
        <w:ind w:left="1440"/>
        <w:rPr>
          <w:rFonts w:cs="Arial"/>
        </w:rPr>
      </w:pPr>
      <w:r w:rsidRPr="00F67F82">
        <w:rPr>
          <w:rFonts w:cs="Arial"/>
        </w:rPr>
        <w:t>Individual Provider</w:t>
      </w:r>
      <w:r>
        <w:rPr>
          <w:rFonts w:cs="Arial"/>
        </w:rPr>
        <w:t>s</w:t>
      </w:r>
      <w:r w:rsidRPr="00F67F82">
        <w:rPr>
          <w:rFonts w:cs="Arial"/>
        </w:rPr>
        <w:t xml:space="preserve"> (</w:t>
      </w:r>
      <w:r>
        <w:rPr>
          <w:rFonts w:cs="Arial"/>
        </w:rPr>
        <w:t>IPs</w:t>
      </w:r>
      <w:r w:rsidRPr="00F67F82">
        <w:rPr>
          <w:rFonts w:cs="Arial"/>
        </w:rPr>
        <w:t xml:space="preserve">) </w:t>
      </w:r>
      <w:r w:rsidR="00203DB3">
        <w:rPr>
          <w:rFonts w:cs="Arial"/>
        </w:rPr>
        <w:t>(</w:t>
      </w:r>
      <w:hyperlink r:id="rId33" w:history="1">
        <w:r w:rsidR="00203DB3">
          <w:rPr>
            <w:rStyle w:val="Hyperlink"/>
            <w:rFonts w:cs="Arial"/>
          </w:rPr>
          <w:t>LTC Manual - In-Home Providers</w:t>
        </w:r>
      </w:hyperlink>
      <w:r w:rsidR="006D3F51">
        <w:rPr>
          <w:rStyle w:val="Hyperlink"/>
          <w:rFonts w:cs="Arial"/>
        </w:rPr>
        <w:t xml:space="preserve"> Chapter 7A</w:t>
      </w:r>
      <w:r w:rsidR="00203DB3">
        <w:rPr>
          <w:rFonts w:cs="Arial"/>
        </w:rPr>
        <w:t>)</w:t>
      </w:r>
      <w:r w:rsidR="00203DB3" w:rsidRPr="00F67F82" w:rsidDel="00F63D5B">
        <w:rPr>
          <w:rFonts w:cs="Arial"/>
        </w:rPr>
        <w:t xml:space="preserve"> </w:t>
      </w:r>
    </w:p>
    <w:p w14:paraId="5E9001DE" w14:textId="77777777" w:rsidR="00685094" w:rsidRPr="00F67F82" w:rsidRDefault="00685094" w:rsidP="00203DB3">
      <w:pPr>
        <w:numPr>
          <w:ilvl w:val="2"/>
          <w:numId w:val="11"/>
        </w:numPr>
        <w:rPr>
          <w:rFonts w:cs="Arial"/>
        </w:rPr>
      </w:pPr>
      <w:r>
        <w:rPr>
          <w:rFonts w:cs="Arial"/>
        </w:rPr>
        <w:t xml:space="preserve">For qualifications, see Personal Care Service Providers </w:t>
      </w:r>
    </w:p>
    <w:p w14:paraId="55A47A5D" w14:textId="77777777" w:rsidR="00ED0DEA" w:rsidRPr="00F67F82" w:rsidRDefault="00ED0DEA" w:rsidP="00ED0DEA">
      <w:pPr>
        <w:ind w:left="1800"/>
        <w:rPr>
          <w:rFonts w:cs="Arial"/>
        </w:rPr>
      </w:pPr>
    </w:p>
    <w:p w14:paraId="21F71E06" w14:textId="77777777" w:rsidR="00ED0DEA" w:rsidRPr="00F67F82" w:rsidRDefault="00ED0DEA" w:rsidP="009862C2">
      <w:pPr>
        <w:numPr>
          <w:ilvl w:val="1"/>
          <w:numId w:val="11"/>
        </w:numPr>
        <w:ind w:left="1440"/>
        <w:rPr>
          <w:rFonts w:cs="Arial"/>
        </w:rPr>
      </w:pPr>
      <w:r w:rsidRPr="00F67F82">
        <w:rPr>
          <w:rFonts w:cs="Arial"/>
        </w:rPr>
        <w:t xml:space="preserve">Home Care Agency (HCA) </w:t>
      </w:r>
    </w:p>
    <w:p w14:paraId="204796A9" w14:textId="77777777" w:rsidR="00685094" w:rsidRPr="00F67F82" w:rsidRDefault="00685094" w:rsidP="00685094">
      <w:pPr>
        <w:numPr>
          <w:ilvl w:val="2"/>
          <w:numId w:val="11"/>
        </w:numPr>
        <w:rPr>
          <w:rFonts w:cs="Arial"/>
        </w:rPr>
      </w:pPr>
      <w:r>
        <w:rPr>
          <w:rFonts w:cs="Arial"/>
        </w:rPr>
        <w:t xml:space="preserve">For qualifications, see Personal Care Service Providers </w:t>
      </w:r>
    </w:p>
    <w:p w14:paraId="756B99FF" w14:textId="77777777" w:rsidR="00685094" w:rsidRPr="00F67F82" w:rsidRDefault="00685094" w:rsidP="00203DB3">
      <w:pPr>
        <w:ind w:left="1800"/>
        <w:rPr>
          <w:rFonts w:cs="Arial"/>
        </w:rPr>
      </w:pPr>
    </w:p>
    <w:p w14:paraId="3BFFCC37" w14:textId="77777777" w:rsidR="00ED0DEA" w:rsidRDefault="00ED0DEA" w:rsidP="00B31B97">
      <w:pPr>
        <w:pStyle w:val="ListParagraph"/>
        <w:ind w:left="360"/>
        <w:rPr>
          <w:rFonts w:cs="Arial"/>
          <w:b/>
        </w:rPr>
      </w:pPr>
    </w:p>
    <w:p w14:paraId="5F4A2821" w14:textId="77777777" w:rsidR="0084054E" w:rsidRDefault="0084054E" w:rsidP="0084054E">
      <w:pPr>
        <w:pStyle w:val="ListParagraph"/>
        <w:ind w:left="360"/>
        <w:rPr>
          <w:b/>
          <w:bCs/>
        </w:rPr>
      </w:pPr>
      <w:bookmarkStart w:id="17" w:name="Skills_Acquisition_Training"/>
      <w:r>
        <w:rPr>
          <w:b/>
          <w:bCs/>
        </w:rPr>
        <w:t>Skills Acquisition Training Services</w:t>
      </w:r>
      <w:r w:rsidR="00540629">
        <w:rPr>
          <w:b/>
          <w:bCs/>
        </w:rPr>
        <w:t xml:space="preserve"> (SAT)</w:t>
      </w:r>
    </w:p>
    <w:bookmarkEnd w:id="17"/>
    <w:p w14:paraId="3AF26523" w14:textId="77777777" w:rsidR="00A912D1" w:rsidRDefault="00A912D1" w:rsidP="0084054E">
      <w:pPr>
        <w:pStyle w:val="ListParagraph"/>
        <w:ind w:left="360"/>
        <w:rPr>
          <w:b/>
          <w:bCs/>
        </w:rPr>
      </w:pPr>
    </w:p>
    <w:p w14:paraId="001EBFD1" w14:textId="77777777" w:rsidR="0084054E" w:rsidRDefault="0084054E" w:rsidP="0084054E">
      <w:pPr>
        <w:pStyle w:val="ListParagraph"/>
        <w:ind w:left="1080"/>
      </w:pPr>
      <w:r>
        <w:t>Skills Acquisition Training Services include functional skills training to accomplish, maintain, or enhance Activities of Daily Living (ADL</w:t>
      </w:r>
      <w:r w:rsidR="00A37249">
        <w:t>s</w:t>
      </w:r>
      <w:r>
        <w:t>), Instrumental Activities of Daily Living (IADL</w:t>
      </w:r>
      <w:r w:rsidR="00A37249">
        <w:t>s</w:t>
      </w:r>
      <w:r>
        <w:t xml:space="preserve">), or Health Related tasks. </w:t>
      </w:r>
      <w:r w:rsidR="006D1BC9">
        <w:t xml:space="preserve">This service is provided concurrently with the performance of ADLs, IADLs, and/or health-related tasks.  </w:t>
      </w:r>
      <w:r>
        <w:t xml:space="preserve">Services </w:t>
      </w:r>
      <w:r w:rsidR="002040CA">
        <w:t>may</w:t>
      </w:r>
      <w:r>
        <w:t xml:space="preserve"> complement therapy or nursing goals when coordinated through the support plan.</w:t>
      </w:r>
      <w:r w:rsidR="00540629">
        <w:t xml:space="preserve"> </w:t>
      </w:r>
    </w:p>
    <w:p w14:paraId="36B16F12" w14:textId="77777777" w:rsidR="00540629" w:rsidRDefault="00540629" w:rsidP="0084054E">
      <w:pPr>
        <w:pStyle w:val="ListParagraph"/>
        <w:ind w:left="1080"/>
      </w:pPr>
    </w:p>
    <w:p w14:paraId="4FFEDD95" w14:textId="77777777" w:rsidR="00540629" w:rsidRDefault="00540629" w:rsidP="0084054E">
      <w:pPr>
        <w:pStyle w:val="ListParagraph"/>
        <w:ind w:left="1080"/>
      </w:pPr>
      <w:r>
        <w:t>SAT may be provided by the following qualified providers:</w:t>
      </w:r>
    </w:p>
    <w:p w14:paraId="7F876F66" w14:textId="77777777" w:rsidR="0084054E" w:rsidRDefault="00A37249" w:rsidP="009862C2">
      <w:pPr>
        <w:pStyle w:val="ListParagraph"/>
        <w:numPr>
          <w:ilvl w:val="0"/>
          <w:numId w:val="40"/>
        </w:numPr>
      </w:pPr>
      <w:r>
        <w:t>Individual Providers</w:t>
      </w:r>
      <w:r w:rsidR="00685094">
        <w:t xml:space="preserve">, </w:t>
      </w:r>
      <w:r>
        <w:t>Home Care agencie</w:t>
      </w:r>
      <w:r w:rsidR="0084054E">
        <w:t>s</w:t>
      </w:r>
      <w:r w:rsidR="00685094">
        <w:t>, and Supported Living providers</w:t>
      </w:r>
      <w:r w:rsidR="00540629">
        <w:t xml:space="preserve">.  SAT provided by these providers is limited to training on </w:t>
      </w:r>
      <w:r w:rsidR="0084054E">
        <w:t xml:space="preserve"> ONLY the following</w:t>
      </w:r>
      <w:r w:rsidR="006362B3">
        <w:t xml:space="preserve"> tasks</w:t>
      </w:r>
      <w:r w:rsidR="0084054E">
        <w:t>:</w:t>
      </w:r>
    </w:p>
    <w:p w14:paraId="09C986D5" w14:textId="77777777" w:rsidR="0084054E" w:rsidRDefault="0084054E" w:rsidP="00203DB3">
      <w:pPr>
        <w:pStyle w:val="ListParagraph"/>
        <w:numPr>
          <w:ilvl w:val="1"/>
          <w:numId w:val="40"/>
        </w:numPr>
      </w:pPr>
      <w:r>
        <w:t>Cooking and meal preparation</w:t>
      </w:r>
    </w:p>
    <w:p w14:paraId="134646B7" w14:textId="77777777" w:rsidR="0084054E" w:rsidRDefault="0084054E" w:rsidP="00203DB3">
      <w:pPr>
        <w:pStyle w:val="ListParagraph"/>
        <w:numPr>
          <w:ilvl w:val="1"/>
          <w:numId w:val="40"/>
        </w:numPr>
      </w:pPr>
      <w:r>
        <w:t>Shopping</w:t>
      </w:r>
    </w:p>
    <w:p w14:paraId="0A1389D7" w14:textId="77777777" w:rsidR="0084054E" w:rsidRDefault="0084054E" w:rsidP="00203DB3">
      <w:pPr>
        <w:pStyle w:val="ListParagraph"/>
        <w:numPr>
          <w:ilvl w:val="1"/>
          <w:numId w:val="40"/>
        </w:numPr>
      </w:pPr>
      <w:r>
        <w:t>Housekeeping tasks</w:t>
      </w:r>
    </w:p>
    <w:p w14:paraId="2A9BA8CA" w14:textId="77777777" w:rsidR="0084054E" w:rsidRDefault="0084054E" w:rsidP="00203DB3">
      <w:pPr>
        <w:pStyle w:val="ListParagraph"/>
        <w:numPr>
          <w:ilvl w:val="1"/>
          <w:numId w:val="40"/>
        </w:numPr>
      </w:pPr>
      <w:r>
        <w:t>Laundry</w:t>
      </w:r>
    </w:p>
    <w:p w14:paraId="30A72340" w14:textId="77777777" w:rsidR="0084054E" w:rsidRDefault="0084054E" w:rsidP="00203DB3">
      <w:pPr>
        <w:pStyle w:val="ListParagraph"/>
        <w:numPr>
          <w:ilvl w:val="1"/>
          <w:numId w:val="40"/>
        </w:numPr>
      </w:pPr>
      <w:r>
        <w:t>Limited Personal Hygiene tasks including only:</w:t>
      </w:r>
    </w:p>
    <w:p w14:paraId="17002E3C" w14:textId="77777777" w:rsidR="0084054E" w:rsidRDefault="0084054E" w:rsidP="00203DB3">
      <w:pPr>
        <w:pStyle w:val="ListParagraph"/>
        <w:numPr>
          <w:ilvl w:val="2"/>
          <w:numId w:val="40"/>
        </w:numPr>
      </w:pPr>
      <w:r>
        <w:t>Bathing (excludes any transfer activities)</w:t>
      </w:r>
    </w:p>
    <w:p w14:paraId="7CFA816B" w14:textId="77777777" w:rsidR="0084054E" w:rsidRDefault="0084054E" w:rsidP="00203DB3">
      <w:pPr>
        <w:pStyle w:val="ListParagraph"/>
        <w:numPr>
          <w:ilvl w:val="2"/>
          <w:numId w:val="40"/>
        </w:numPr>
      </w:pPr>
      <w:r>
        <w:t>Dressing</w:t>
      </w:r>
    </w:p>
    <w:p w14:paraId="3143ECF8" w14:textId="77777777" w:rsidR="0084054E" w:rsidRDefault="0084054E" w:rsidP="00203DB3">
      <w:pPr>
        <w:pStyle w:val="ListParagraph"/>
        <w:numPr>
          <w:ilvl w:val="2"/>
          <w:numId w:val="40"/>
        </w:numPr>
      </w:pPr>
      <w:r>
        <w:t>Application of deodorant</w:t>
      </w:r>
    </w:p>
    <w:p w14:paraId="15E6ACC1" w14:textId="77777777" w:rsidR="0084054E" w:rsidRDefault="0084054E" w:rsidP="00203DB3">
      <w:pPr>
        <w:pStyle w:val="ListParagraph"/>
        <w:numPr>
          <w:ilvl w:val="2"/>
          <w:numId w:val="40"/>
        </w:numPr>
      </w:pPr>
      <w:r>
        <w:t>Washing hands and face</w:t>
      </w:r>
    </w:p>
    <w:p w14:paraId="4D7E269A" w14:textId="77777777" w:rsidR="0084054E" w:rsidRDefault="0084054E" w:rsidP="00203DB3">
      <w:pPr>
        <w:pStyle w:val="ListParagraph"/>
        <w:numPr>
          <w:ilvl w:val="2"/>
          <w:numId w:val="40"/>
        </w:numPr>
      </w:pPr>
      <w:r>
        <w:t>Washing, combing, styling hair</w:t>
      </w:r>
    </w:p>
    <w:p w14:paraId="7B9BCE83" w14:textId="77777777" w:rsidR="0084054E" w:rsidRDefault="0084054E" w:rsidP="00203DB3">
      <w:pPr>
        <w:pStyle w:val="ListParagraph"/>
        <w:numPr>
          <w:ilvl w:val="2"/>
          <w:numId w:val="40"/>
        </w:numPr>
      </w:pPr>
      <w:r>
        <w:t>Application of make-up</w:t>
      </w:r>
    </w:p>
    <w:p w14:paraId="234E7F5D" w14:textId="77777777" w:rsidR="00BC0BAC" w:rsidRDefault="00BC0BAC" w:rsidP="00203DB3">
      <w:pPr>
        <w:pStyle w:val="ListParagraph"/>
        <w:numPr>
          <w:ilvl w:val="2"/>
          <w:numId w:val="40"/>
        </w:numPr>
      </w:pPr>
      <w:r>
        <w:t>Shaving with an electric razor</w:t>
      </w:r>
    </w:p>
    <w:p w14:paraId="1578CB5C" w14:textId="77777777" w:rsidR="0084054E" w:rsidRDefault="0084054E" w:rsidP="00203DB3">
      <w:pPr>
        <w:pStyle w:val="ListParagraph"/>
        <w:numPr>
          <w:ilvl w:val="2"/>
          <w:numId w:val="40"/>
        </w:numPr>
      </w:pPr>
      <w:r>
        <w:t>Brushing teeth or care of dentures</w:t>
      </w:r>
    </w:p>
    <w:p w14:paraId="561E4137" w14:textId="77777777" w:rsidR="0084054E" w:rsidRDefault="0084054E" w:rsidP="00203DB3">
      <w:pPr>
        <w:pStyle w:val="ListParagraph"/>
        <w:numPr>
          <w:ilvl w:val="2"/>
          <w:numId w:val="40"/>
        </w:numPr>
      </w:pPr>
      <w:r>
        <w:t>Menses care</w:t>
      </w:r>
    </w:p>
    <w:p w14:paraId="61B8CF0B" w14:textId="77777777" w:rsidR="0084054E" w:rsidRDefault="0084054E" w:rsidP="0084054E">
      <w:pPr>
        <w:pStyle w:val="ListParagraph"/>
        <w:ind w:left="1800"/>
      </w:pPr>
    </w:p>
    <w:p w14:paraId="09EBC0B3" w14:textId="77777777" w:rsidR="002040CA" w:rsidRDefault="002040CA" w:rsidP="009862C2">
      <w:pPr>
        <w:pStyle w:val="ListParagraph"/>
        <w:numPr>
          <w:ilvl w:val="0"/>
          <w:numId w:val="40"/>
        </w:numPr>
      </w:pPr>
      <w:r>
        <w:t xml:space="preserve"> Home Health </w:t>
      </w:r>
      <w:r w:rsidR="00540629">
        <w:t>Agencies</w:t>
      </w:r>
      <w:r>
        <w:t>:</w:t>
      </w:r>
    </w:p>
    <w:p w14:paraId="344C557D" w14:textId="77777777" w:rsidR="002040CA" w:rsidRDefault="00EF641D" w:rsidP="009862C2">
      <w:pPr>
        <w:pStyle w:val="ListParagraph"/>
        <w:numPr>
          <w:ilvl w:val="1"/>
          <w:numId w:val="40"/>
        </w:numPr>
      </w:pPr>
      <w:r>
        <w:lastRenderedPageBreak/>
        <w:t>When using a Home Health Agency for SAT a</w:t>
      </w:r>
      <w:r w:rsidR="002040CA">
        <w:t>ll other payment sources such as Medicare or Apple Health must be used prior to CFC:</w:t>
      </w:r>
    </w:p>
    <w:p w14:paraId="6F787AAB" w14:textId="77777777" w:rsidR="002040CA" w:rsidRDefault="002040CA" w:rsidP="009862C2">
      <w:pPr>
        <w:pStyle w:val="ListParagraph"/>
        <w:numPr>
          <w:ilvl w:val="2"/>
          <w:numId w:val="40"/>
        </w:numPr>
      </w:pPr>
      <w:r>
        <w:t xml:space="preserve">Home Health, restorative care, and/or rehabilitative care are benefits usually covered by Medicare, Apple Health, and many private insurance carriers.  All other benefit plans must be exhausted prior to the client accessing CFC funding, including the use of the carrier’s </w:t>
      </w:r>
      <w:r w:rsidR="00953296">
        <w:t>Exception to Rule (ETR)</w:t>
      </w:r>
      <w:r>
        <w:t xml:space="preserve"> or </w:t>
      </w:r>
      <w:r w:rsidR="00953296">
        <w:t>Limitation Exception (</w:t>
      </w:r>
      <w:r>
        <w:t>LE</w:t>
      </w:r>
      <w:r w:rsidR="00953296">
        <w:t>)</w:t>
      </w:r>
      <w:r>
        <w:t xml:space="preserve"> process.</w:t>
      </w:r>
    </w:p>
    <w:p w14:paraId="7C06DF4A" w14:textId="77777777" w:rsidR="002040CA" w:rsidRDefault="002040CA" w:rsidP="009862C2">
      <w:pPr>
        <w:pStyle w:val="ListParagraph"/>
        <w:numPr>
          <w:ilvl w:val="2"/>
          <w:numId w:val="40"/>
        </w:numPr>
      </w:pPr>
      <w:r>
        <w:t xml:space="preserve">To access </w:t>
      </w:r>
      <w:r w:rsidR="00EF641D">
        <w:t>SAT through a Home Health Agency</w:t>
      </w:r>
      <w:r>
        <w:t>, the client should be referred to their primary medical provider who can write a prescription and refer them to an appropriate covered provider.</w:t>
      </w:r>
    </w:p>
    <w:p w14:paraId="2EB10CC0" w14:textId="77777777" w:rsidR="002040CA" w:rsidRDefault="002040CA" w:rsidP="009862C2">
      <w:pPr>
        <w:pStyle w:val="ListParagraph"/>
        <w:numPr>
          <w:ilvl w:val="2"/>
          <w:numId w:val="40"/>
        </w:numPr>
      </w:pPr>
      <w:r>
        <w:t>CFC will not pay for services denied by an insurance due to improper billing or if services were never requested through their medical provider.</w:t>
      </w:r>
    </w:p>
    <w:p w14:paraId="5942E6C2" w14:textId="77777777" w:rsidR="0084054E" w:rsidRDefault="0084054E" w:rsidP="0084054E">
      <w:pPr>
        <w:pStyle w:val="ListParagraph"/>
        <w:ind w:left="1080"/>
      </w:pPr>
    </w:p>
    <w:p w14:paraId="769B857A" w14:textId="77777777" w:rsidR="0084054E" w:rsidRPr="0084054E" w:rsidRDefault="0084054E" w:rsidP="0084054E">
      <w:pPr>
        <w:pStyle w:val="ListParagraph"/>
        <w:ind w:left="1080"/>
        <w:rPr>
          <w:b/>
          <w:i/>
          <w:iCs/>
        </w:rPr>
      </w:pPr>
      <w:r w:rsidRPr="0084054E">
        <w:rPr>
          <w:b/>
          <w:i/>
          <w:iCs/>
        </w:rPr>
        <w:t xml:space="preserve">There are two ways clients may access </w:t>
      </w:r>
      <w:r w:rsidR="00561283">
        <w:rPr>
          <w:b/>
          <w:i/>
          <w:iCs/>
        </w:rPr>
        <w:t xml:space="preserve">payment for </w:t>
      </w:r>
      <w:r w:rsidRPr="0084054E">
        <w:rPr>
          <w:b/>
          <w:i/>
          <w:iCs/>
        </w:rPr>
        <w:t>Skills Acquisition Training services</w:t>
      </w:r>
      <w:r w:rsidR="00561283">
        <w:rPr>
          <w:b/>
          <w:i/>
          <w:iCs/>
        </w:rPr>
        <w:t xml:space="preserve"> through CFC</w:t>
      </w:r>
      <w:r w:rsidRPr="0084054E">
        <w:rPr>
          <w:b/>
          <w:i/>
          <w:iCs/>
        </w:rPr>
        <w:t>:</w:t>
      </w:r>
    </w:p>
    <w:p w14:paraId="475C93D4" w14:textId="77777777" w:rsidR="0084054E" w:rsidRDefault="0084054E" w:rsidP="0084054E">
      <w:pPr>
        <w:pStyle w:val="ListParagraph"/>
        <w:ind w:left="1080"/>
      </w:pPr>
    </w:p>
    <w:p w14:paraId="45A00541" w14:textId="77777777" w:rsidR="0084054E" w:rsidRPr="009C726F" w:rsidRDefault="0084054E" w:rsidP="009862C2">
      <w:pPr>
        <w:pStyle w:val="ListParagraph"/>
        <w:numPr>
          <w:ilvl w:val="0"/>
          <w:numId w:val="41"/>
        </w:numPr>
      </w:pPr>
      <w:r w:rsidRPr="009C726F">
        <w:t>Clients living at home may use their personal care hours to purchase Skills Acquisition Training from</w:t>
      </w:r>
      <w:r w:rsidR="00561283">
        <w:t xml:space="preserve"> </w:t>
      </w:r>
      <w:r w:rsidRPr="009C726F">
        <w:t>IPs</w:t>
      </w:r>
      <w:r w:rsidR="003D279E">
        <w:t xml:space="preserve">, </w:t>
      </w:r>
      <w:r w:rsidRPr="009C726F">
        <w:t>Home Care Agency providers</w:t>
      </w:r>
      <w:r w:rsidR="003D279E">
        <w:t>, and Supported Living providers</w:t>
      </w:r>
      <w:r w:rsidRPr="009C726F">
        <w:t>.</w:t>
      </w:r>
      <w:r w:rsidR="00540629">
        <w:t xml:space="preserve"> SAT should be provided concurrently with the provision of assistance with ADLs, IADLs or health related tasks.</w:t>
      </w:r>
    </w:p>
    <w:p w14:paraId="26F67544" w14:textId="77777777" w:rsidR="0084054E" w:rsidRPr="009C726F" w:rsidRDefault="0084054E" w:rsidP="009862C2">
      <w:pPr>
        <w:pStyle w:val="ListParagraph"/>
        <w:numPr>
          <w:ilvl w:val="1"/>
          <w:numId w:val="41"/>
        </w:numPr>
      </w:pPr>
      <w:r w:rsidRPr="009C726F">
        <w:t xml:space="preserve">Clients may NOT use their </w:t>
      </w:r>
      <w:r w:rsidRPr="00203DB3">
        <w:t>personal care</w:t>
      </w:r>
      <w:r w:rsidRPr="009C726F">
        <w:t xml:space="preserve"> hours to purchase Skills Acquisition Training for services </w:t>
      </w:r>
      <w:r w:rsidR="00561283">
        <w:t xml:space="preserve">provided by Home Health Agency providers. </w:t>
      </w:r>
    </w:p>
    <w:p w14:paraId="57FD85B2" w14:textId="77777777" w:rsidR="0084054E" w:rsidRDefault="0084054E" w:rsidP="0084054E">
      <w:pPr>
        <w:pStyle w:val="ListParagraph"/>
        <w:ind w:left="1080"/>
      </w:pPr>
    </w:p>
    <w:p w14:paraId="33FEEF42" w14:textId="77777777" w:rsidR="0084054E" w:rsidRDefault="0084054E" w:rsidP="009862C2">
      <w:pPr>
        <w:pStyle w:val="ListParagraph"/>
        <w:numPr>
          <w:ilvl w:val="0"/>
          <w:numId w:val="41"/>
        </w:numPr>
      </w:pPr>
      <w:r>
        <w:t>Clients</w:t>
      </w:r>
      <w:r w:rsidR="002040CA">
        <w:t xml:space="preserve"> living at home or in a residential facility</w:t>
      </w:r>
      <w:r>
        <w:t xml:space="preserve"> may use their </w:t>
      </w:r>
      <w:r w:rsidR="009C57D1">
        <w:t>annual limit</w:t>
      </w:r>
      <w:r>
        <w:t xml:space="preserve"> of $500 </w:t>
      </w:r>
      <w:r w:rsidR="00E8476A">
        <w:t xml:space="preserve">per fiscal year </w:t>
      </w:r>
      <w:r>
        <w:t xml:space="preserve">to purchase </w:t>
      </w:r>
      <w:r w:rsidR="009C57D1">
        <w:t>SAT.</w:t>
      </w:r>
      <w:r>
        <w:t xml:space="preserve"> </w:t>
      </w:r>
    </w:p>
    <w:p w14:paraId="562D788A" w14:textId="77777777" w:rsidR="00561283" w:rsidRPr="00953296" w:rsidRDefault="0084054E" w:rsidP="009862C2">
      <w:pPr>
        <w:pStyle w:val="ListParagraph"/>
        <w:numPr>
          <w:ilvl w:val="1"/>
          <w:numId w:val="41"/>
        </w:numPr>
      </w:pPr>
      <w:r w:rsidRPr="00953296">
        <w:t>If the client chooses</w:t>
      </w:r>
      <w:r w:rsidR="002040CA" w:rsidRPr="00953296">
        <w:t xml:space="preserve"> to use </w:t>
      </w:r>
      <w:r w:rsidR="004B355B">
        <w:t>the annual</w:t>
      </w:r>
      <w:r w:rsidR="004B355B" w:rsidRPr="00953296">
        <w:t xml:space="preserve"> </w:t>
      </w:r>
      <w:r w:rsidR="002040CA" w:rsidRPr="00953296">
        <w:t>limit</w:t>
      </w:r>
      <w:r w:rsidRPr="00953296">
        <w:t xml:space="preserve"> to purchase </w:t>
      </w:r>
      <w:r w:rsidR="009C57D1">
        <w:t>SAT</w:t>
      </w:r>
      <w:r w:rsidRPr="00953296">
        <w:t xml:space="preserve"> Services from an IP</w:t>
      </w:r>
      <w:r w:rsidR="003D279E">
        <w:t xml:space="preserve">, </w:t>
      </w:r>
      <w:r w:rsidRPr="00953296">
        <w:t xml:space="preserve">an Agency Provider, </w:t>
      </w:r>
      <w:r w:rsidR="003D279E">
        <w:t xml:space="preserve">or a Supported Living provider, </w:t>
      </w:r>
      <w:r w:rsidRPr="00953296">
        <w:t xml:space="preserve">this must be noted in the fiscal year calculator and </w:t>
      </w:r>
      <w:r w:rsidR="009C57D1">
        <w:t xml:space="preserve">$20.17 per hour of SAT services should be </w:t>
      </w:r>
      <w:r w:rsidRPr="00953296">
        <w:t>deducte</w:t>
      </w:r>
      <w:r w:rsidR="00161336" w:rsidRPr="00953296">
        <w:t xml:space="preserve">d from the available </w:t>
      </w:r>
      <w:r w:rsidR="004B355B">
        <w:t xml:space="preserve">annual </w:t>
      </w:r>
      <w:r w:rsidR="00161336" w:rsidRPr="00953296">
        <w:t xml:space="preserve">limit </w:t>
      </w:r>
      <w:r w:rsidR="002040CA" w:rsidRPr="00953296">
        <w:t xml:space="preserve">without regard to the amount paid </w:t>
      </w:r>
      <w:r w:rsidRPr="00953296">
        <w:t xml:space="preserve">to the provider.  </w:t>
      </w:r>
    </w:p>
    <w:p w14:paraId="29761D80" w14:textId="77777777" w:rsidR="0084054E" w:rsidRDefault="0084054E" w:rsidP="009862C2">
      <w:pPr>
        <w:pStyle w:val="ListParagraph"/>
        <w:numPr>
          <w:ilvl w:val="2"/>
          <w:numId w:val="41"/>
        </w:numPr>
      </w:pPr>
      <w:r w:rsidRPr="009C726F">
        <w:t xml:space="preserve">The cost to the </w:t>
      </w:r>
      <w:r w:rsidR="004B355B">
        <w:t>annual</w:t>
      </w:r>
      <w:r w:rsidRPr="009C726F">
        <w:t xml:space="preserve"> limit includes the provider’s salary plus fringe benefits and will be different than their actual paid rate.</w:t>
      </w:r>
    </w:p>
    <w:p w14:paraId="33568966" w14:textId="77777777" w:rsidR="00785C20" w:rsidRDefault="00953296" w:rsidP="00203DB3">
      <w:pPr>
        <w:pStyle w:val="ListParagraph"/>
        <w:numPr>
          <w:ilvl w:val="2"/>
          <w:numId w:val="41"/>
        </w:numPr>
      </w:pPr>
      <w:r>
        <w:t>The current standard rate per hour is determined bienni</w:t>
      </w:r>
      <w:r w:rsidR="003D279E">
        <w:t>ally and is based on budget considerations.</w:t>
      </w:r>
      <w:r w:rsidR="009C57D1">
        <w:t xml:space="preserve"> The rate is subject to change every July 1</w:t>
      </w:r>
      <w:r w:rsidR="009C57D1" w:rsidRPr="00203DB3">
        <w:rPr>
          <w:vertAlign w:val="superscript"/>
        </w:rPr>
        <w:t>st</w:t>
      </w:r>
      <w:r w:rsidR="009C57D1">
        <w:t>.</w:t>
      </w:r>
    </w:p>
    <w:p w14:paraId="19E1D5FD" w14:textId="77777777" w:rsidR="0084054E" w:rsidRDefault="0084054E" w:rsidP="009862C2">
      <w:pPr>
        <w:pStyle w:val="ListParagraph"/>
        <w:numPr>
          <w:ilvl w:val="1"/>
          <w:numId w:val="41"/>
        </w:numPr>
      </w:pPr>
      <w:r w:rsidRPr="009C726F">
        <w:t xml:space="preserve">If the client chooses to purchase Skills Acquisition Training Services from a Home Health </w:t>
      </w:r>
      <w:r w:rsidR="002040CA">
        <w:t>A</w:t>
      </w:r>
      <w:r w:rsidRPr="009C726F">
        <w:t>gency</w:t>
      </w:r>
      <w:r w:rsidR="002040CA">
        <w:t xml:space="preserve"> </w:t>
      </w:r>
      <w:r w:rsidRPr="009C726F">
        <w:t xml:space="preserve">this must be noted in the </w:t>
      </w:r>
      <w:r w:rsidR="004B355B">
        <w:t>annual limit</w:t>
      </w:r>
      <w:r w:rsidRPr="009C726F">
        <w:t xml:space="preserve"> calculator and the actual payment made to the provider should be deducted from the </w:t>
      </w:r>
      <w:r w:rsidR="004B355B">
        <w:t>annual</w:t>
      </w:r>
      <w:r w:rsidRPr="009C726F">
        <w:t xml:space="preserve"> limit. </w:t>
      </w:r>
    </w:p>
    <w:p w14:paraId="07DB0CC7" w14:textId="77777777" w:rsidR="00561283" w:rsidRPr="009C726F" w:rsidRDefault="00561283" w:rsidP="009862C2">
      <w:pPr>
        <w:pStyle w:val="ListParagraph"/>
        <w:numPr>
          <w:ilvl w:val="2"/>
          <w:numId w:val="41"/>
        </w:numPr>
      </w:pPr>
      <w:r>
        <w:lastRenderedPageBreak/>
        <w:t>All</w:t>
      </w:r>
      <w:r w:rsidR="004B355B">
        <w:t xml:space="preserve"> necessary</w:t>
      </w:r>
      <w:r>
        <w:t xml:space="preserve"> </w:t>
      </w:r>
      <w:r w:rsidR="002040CA">
        <w:t xml:space="preserve">insurance plan </w:t>
      </w:r>
      <w:r>
        <w:t xml:space="preserve">denials must be received prior to authorizing </w:t>
      </w:r>
      <w:r w:rsidR="00501E69">
        <w:t>SAT through a Home health Agency</w:t>
      </w:r>
      <w:r>
        <w:t>.</w:t>
      </w:r>
    </w:p>
    <w:p w14:paraId="7985D4CE" w14:textId="77777777" w:rsidR="0084054E" w:rsidRPr="009C726F" w:rsidRDefault="0084054E" w:rsidP="00203DB3">
      <w:pPr>
        <w:pStyle w:val="ListParagraph"/>
        <w:numPr>
          <w:ilvl w:val="2"/>
          <w:numId w:val="41"/>
        </w:numPr>
      </w:pPr>
      <w:r w:rsidRPr="009C726F">
        <w:t xml:space="preserve">Home Health </w:t>
      </w:r>
      <w:r w:rsidR="002040CA">
        <w:t>A</w:t>
      </w:r>
      <w:r w:rsidRPr="009C726F">
        <w:t>gency</w:t>
      </w:r>
      <w:r w:rsidR="002040CA">
        <w:t xml:space="preserve"> </w:t>
      </w:r>
      <w:r w:rsidRPr="009C726F">
        <w:t xml:space="preserve">services are generally more costly as these providers are </w:t>
      </w:r>
      <w:r w:rsidR="002040CA">
        <w:t>licensed h</w:t>
      </w:r>
      <w:r w:rsidRPr="009C726F">
        <w:t xml:space="preserve">ealth </w:t>
      </w:r>
      <w:r w:rsidR="002040CA">
        <w:t>c</w:t>
      </w:r>
      <w:r w:rsidRPr="009C726F">
        <w:t xml:space="preserve">are professionals such as Nurses, Physical Therapists, and Occupational Therapists. </w:t>
      </w:r>
    </w:p>
    <w:p w14:paraId="1E41CA9D" w14:textId="77777777" w:rsidR="0084054E" w:rsidRPr="009C726F" w:rsidRDefault="003522B6" w:rsidP="00203DB3">
      <w:pPr>
        <w:pStyle w:val="ListParagraph"/>
        <w:numPr>
          <w:ilvl w:val="3"/>
          <w:numId w:val="41"/>
        </w:numPr>
      </w:pPr>
      <w:r>
        <w:t>U</w:t>
      </w:r>
      <w:r w:rsidR="0084054E" w:rsidRPr="009C726F">
        <w:t xml:space="preserve">se the Home Health agency’s rate to calculate how many hours the client may be authorized to receive to avoid payment errors or exceeding the limit. </w:t>
      </w:r>
    </w:p>
    <w:p w14:paraId="5D06B28A" w14:textId="77777777" w:rsidR="0084054E" w:rsidRPr="009C726F" w:rsidRDefault="0084054E" w:rsidP="00203DB3">
      <w:pPr>
        <w:pStyle w:val="ListParagraph"/>
        <w:numPr>
          <w:ilvl w:val="3"/>
          <w:numId w:val="41"/>
        </w:numPr>
      </w:pPr>
      <w:r w:rsidRPr="009C726F">
        <w:t xml:space="preserve">Before authorizing CFC services by a </w:t>
      </w:r>
      <w:r w:rsidR="00501E69">
        <w:t>Home Health Agency</w:t>
      </w:r>
      <w:r w:rsidRPr="009C726F">
        <w:t xml:space="preserve">, </w:t>
      </w:r>
      <w:r w:rsidR="009C57D1">
        <w:t xml:space="preserve">verify </w:t>
      </w:r>
      <w:r w:rsidRPr="009C726F">
        <w:t xml:space="preserve">the client </w:t>
      </w:r>
      <w:r w:rsidR="009C57D1">
        <w:t xml:space="preserve">has </w:t>
      </w:r>
      <w:r w:rsidRPr="009C726F">
        <w:t>exhaust</w:t>
      </w:r>
      <w:r w:rsidR="009C57D1">
        <w:t>ed</w:t>
      </w:r>
      <w:r w:rsidRPr="009C726F">
        <w:t xml:space="preserve"> the limit of any other payer source, such as Medicare, </w:t>
      </w:r>
      <w:r w:rsidR="00561283">
        <w:t>Apple Health</w:t>
      </w:r>
      <w:r w:rsidRPr="009C726F">
        <w:t xml:space="preserve">, or private insurance. </w:t>
      </w:r>
    </w:p>
    <w:p w14:paraId="64FC393D" w14:textId="77777777" w:rsidR="0084054E" w:rsidRDefault="0084054E" w:rsidP="0084054E">
      <w:pPr>
        <w:pStyle w:val="ListParagraph"/>
        <w:rPr>
          <w:b/>
          <w:bCs/>
        </w:rPr>
      </w:pPr>
    </w:p>
    <w:p w14:paraId="3B2CC296" w14:textId="77777777" w:rsidR="0084054E" w:rsidRDefault="0084054E" w:rsidP="0084054E">
      <w:pPr>
        <w:pStyle w:val="ListParagraph"/>
        <w:rPr>
          <w:b/>
          <w:bCs/>
        </w:rPr>
      </w:pPr>
      <w:r>
        <w:rPr>
          <w:b/>
          <w:bCs/>
        </w:rPr>
        <w:t>Exclusions and limits:</w:t>
      </w:r>
    </w:p>
    <w:p w14:paraId="3F31BDC6" w14:textId="77777777" w:rsidR="0084054E" w:rsidRPr="009C726F" w:rsidRDefault="0084054E" w:rsidP="009862C2">
      <w:pPr>
        <w:pStyle w:val="ListParagraph"/>
        <w:numPr>
          <w:ilvl w:val="0"/>
          <w:numId w:val="42"/>
        </w:numPr>
      </w:pPr>
      <w:r w:rsidRPr="009C726F">
        <w:t xml:space="preserve">The </w:t>
      </w:r>
      <w:r w:rsidR="004B355B">
        <w:t>annual</w:t>
      </w:r>
      <w:r w:rsidRPr="009C726F">
        <w:t xml:space="preserve"> limit of $500 is an aggregate total limit of expenses made for both Skills Acquisition Training and Assistive Technology. </w:t>
      </w:r>
    </w:p>
    <w:p w14:paraId="724A2121" w14:textId="77777777" w:rsidR="0084054E" w:rsidRPr="009C726F" w:rsidRDefault="00501E69" w:rsidP="009862C2">
      <w:pPr>
        <w:pStyle w:val="ListParagraph"/>
        <w:numPr>
          <w:ilvl w:val="0"/>
          <w:numId w:val="42"/>
        </w:numPr>
      </w:pPr>
      <w:r>
        <w:t>SAT d</w:t>
      </w:r>
      <w:r w:rsidR="0084054E" w:rsidRPr="009C726F">
        <w:t xml:space="preserve">oes not include therapy such as Occupational Therapy, Physical Therapy, or Communication Therapy. </w:t>
      </w:r>
    </w:p>
    <w:p w14:paraId="20E5E4C7" w14:textId="77777777" w:rsidR="0084054E" w:rsidRPr="009C726F" w:rsidRDefault="00501E69" w:rsidP="009862C2">
      <w:pPr>
        <w:pStyle w:val="ListParagraph"/>
        <w:numPr>
          <w:ilvl w:val="0"/>
          <w:numId w:val="42"/>
        </w:numPr>
      </w:pPr>
      <w:r>
        <w:t>SAT d</w:t>
      </w:r>
      <w:r w:rsidRPr="009C726F">
        <w:t xml:space="preserve">oes </w:t>
      </w:r>
      <w:r w:rsidR="0084054E" w:rsidRPr="009C726F">
        <w:t>not include nursing services or therapies that must be performed by a licensed Therapist or Registered Nurse.</w:t>
      </w:r>
    </w:p>
    <w:p w14:paraId="2E866E73" w14:textId="77777777" w:rsidR="00903FF4" w:rsidRDefault="0084054E" w:rsidP="009862C2">
      <w:pPr>
        <w:numPr>
          <w:ilvl w:val="0"/>
          <w:numId w:val="42"/>
        </w:numPr>
        <w:rPr>
          <w:rFonts w:cs="Arial"/>
        </w:rPr>
      </w:pPr>
      <w:r w:rsidRPr="009C726F">
        <w:t>Training is for the sole benefit of the client and must be provided directly to the client receiving CFC services.</w:t>
      </w:r>
      <w:r w:rsidR="00501E69">
        <w:t xml:space="preserve">  Formal </w:t>
      </w:r>
      <w:r w:rsidR="009C57D1">
        <w:t xml:space="preserve">and informal care providers may participate in the training in order to continue to support the participant’s goal outside of the training </w:t>
      </w:r>
      <w:r w:rsidR="00203DB3">
        <w:t>environment.</w:t>
      </w:r>
      <w:r w:rsidR="00203DB3" w:rsidRPr="009C726F">
        <w:rPr>
          <w:rFonts w:cs="Arial"/>
        </w:rPr>
        <w:t xml:space="preserve"> If</w:t>
      </w:r>
      <w:r w:rsidRPr="009C726F">
        <w:rPr>
          <w:rFonts w:cs="Arial"/>
        </w:rPr>
        <w:t xml:space="preserve"> a higher limit is medically necessary, the Case Manager may use the Exception to Rule (ETR) process only after exhausting services through HCA</w:t>
      </w:r>
      <w:r w:rsidR="005B0C00">
        <w:rPr>
          <w:rFonts w:cs="Arial"/>
        </w:rPr>
        <w:t xml:space="preserve"> or their managed care insurance provider</w:t>
      </w:r>
      <w:r w:rsidRPr="009C726F">
        <w:rPr>
          <w:rFonts w:cs="Arial"/>
        </w:rPr>
        <w:t xml:space="preserve">. </w:t>
      </w:r>
    </w:p>
    <w:p w14:paraId="7648088B" w14:textId="77777777" w:rsidR="0084054E" w:rsidRPr="009C726F" w:rsidRDefault="0084054E" w:rsidP="009862C2">
      <w:pPr>
        <w:numPr>
          <w:ilvl w:val="1"/>
          <w:numId w:val="42"/>
        </w:numPr>
        <w:rPr>
          <w:rFonts w:cs="Arial"/>
        </w:rPr>
      </w:pPr>
      <w:r w:rsidRPr="009C726F">
        <w:rPr>
          <w:rFonts w:cs="Arial"/>
        </w:rPr>
        <w:t xml:space="preserve">These ETR requests are </w:t>
      </w:r>
      <w:r w:rsidR="00501E69">
        <w:rPr>
          <w:rFonts w:cs="Arial"/>
        </w:rPr>
        <w:t xml:space="preserve">approved </w:t>
      </w:r>
      <w:r w:rsidRPr="009C726F">
        <w:rPr>
          <w:rFonts w:cs="Arial"/>
        </w:rPr>
        <w:t>at the Headquarters level.</w:t>
      </w:r>
    </w:p>
    <w:p w14:paraId="447CA35F" w14:textId="77777777" w:rsidR="0084054E" w:rsidRDefault="0084054E" w:rsidP="0084054E">
      <w:pPr>
        <w:pStyle w:val="ListParagraph"/>
        <w:ind w:left="360"/>
        <w:rPr>
          <w:rFonts w:cs="Arial"/>
          <w:b/>
          <w:bCs/>
        </w:rPr>
      </w:pPr>
    </w:p>
    <w:p w14:paraId="7C945C7C" w14:textId="77777777" w:rsidR="0084054E" w:rsidRDefault="0084054E" w:rsidP="0084054E">
      <w:pPr>
        <w:pStyle w:val="ListParagraph"/>
        <w:ind w:left="360" w:firstLine="360"/>
        <w:rPr>
          <w:b/>
          <w:bCs/>
        </w:rPr>
      </w:pPr>
      <w:r>
        <w:rPr>
          <w:b/>
          <w:bCs/>
        </w:rPr>
        <w:t>Skills Acquisition Training Providers</w:t>
      </w:r>
    </w:p>
    <w:p w14:paraId="62ACED3E" w14:textId="7A898D64" w:rsidR="0084054E" w:rsidRDefault="0084054E" w:rsidP="009862C2">
      <w:pPr>
        <w:numPr>
          <w:ilvl w:val="1"/>
          <w:numId w:val="47"/>
        </w:numPr>
        <w:ind w:left="1800"/>
        <w:rPr>
          <w:rFonts w:cs="Arial"/>
        </w:rPr>
      </w:pPr>
      <w:r>
        <w:rPr>
          <w:rFonts w:cs="Arial"/>
        </w:rPr>
        <w:t>Individual Providers (IPs) (</w:t>
      </w:r>
      <w:hyperlink r:id="rId34" w:history="1">
        <w:r>
          <w:rPr>
            <w:rStyle w:val="Hyperlink"/>
            <w:rFonts w:cs="Arial"/>
          </w:rPr>
          <w:t>LTC Manual - In-Home Providers</w:t>
        </w:r>
      </w:hyperlink>
      <w:r w:rsidR="006D3F51">
        <w:rPr>
          <w:rStyle w:val="Hyperlink"/>
          <w:rFonts w:cs="Arial"/>
        </w:rPr>
        <w:t xml:space="preserve"> Chapter 7A</w:t>
      </w:r>
      <w:r>
        <w:rPr>
          <w:rFonts w:cs="Arial"/>
        </w:rPr>
        <w:t>)</w:t>
      </w:r>
    </w:p>
    <w:p w14:paraId="1F164874" w14:textId="77777777" w:rsidR="0084054E" w:rsidRPr="009C726F" w:rsidRDefault="0084054E" w:rsidP="009862C2">
      <w:pPr>
        <w:numPr>
          <w:ilvl w:val="2"/>
          <w:numId w:val="43"/>
        </w:numPr>
        <w:ind w:left="2160"/>
        <w:rPr>
          <w:rFonts w:cs="Arial"/>
        </w:rPr>
      </w:pPr>
      <w:r w:rsidRPr="009C726F">
        <w:rPr>
          <w:rFonts w:cs="Arial"/>
        </w:rPr>
        <w:t xml:space="preserve">Must have a current contract to provide Skills Acquisition Training with the Department; </w:t>
      </w:r>
      <w:r w:rsidR="004B355B">
        <w:rPr>
          <w:rFonts w:cs="Arial"/>
        </w:rPr>
        <w:t>and</w:t>
      </w:r>
    </w:p>
    <w:p w14:paraId="34E65751" w14:textId="77777777" w:rsidR="0084054E" w:rsidRPr="009C726F" w:rsidRDefault="0084054E" w:rsidP="009862C2">
      <w:pPr>
        <w:numPr>
          <w:ilvl w:val="2"/>
          <w:numId w:val="43"/>
        </w:numPr>
        <w:ind w:left="2160"/>
        <w:rPr>
          <w:rFonts w:cs="Arial"/>
        </w:rPr>
      </w:pPr>
      <w:r w:rsidRPr="009C726F">
        <w:rPr>
          <w:rFonts w:cs="Arial"/>
        </w:rPr>
        <w:t>Must meet all other IP qualifications</w:t>
      </w:r>
      <w:r w:rsidR="00685094">
        <w:rPr>
          <w:rFonts w:cs="Arial"/>
        </w:rPr>
        <w:t xml:space="preserve"> listed under Personal Care</w:t>
      </w:r>
      <w:r w:rsidR="004B355B">
        <w:rPr>
          <w:rFonts w:cs="Arial"/>
        </w:rPr>
        <w:t>; and</w:t>
      </w:r>
      <w:r w:rsidRPr="009C726F">
        <w:rPr>
          <w:rFonts w:cs="Arial"/>
        </w:rPr>
        <w:t xml:space="preserve">  </w:t>
      </w:r>
    </w:p>
    <w:p w14:paraId="03B09BB7" w14:textId="77777777" w:rsidR="0084054E" w:rsidRPr="009C726F" w:rsidRDefault="0084054E" w:rsidP="009862C2">
      <w:pPr>
        <w:numPr>
          <w:ilvl w:val="2"/>
          <w:numId w:val="43"/>
        </w:numPr>
        <w:ind w:left="2160"/>
        <w:rPr>
          <w:rFonts w:cs="Arial"/>
        </w:rPr>
      </w:pPr>
      <w:r w:rsidRPr="009C726F">
        <w:rPr>
          <w:rFonts w:cs="Arial"/>
        </w:rPr>
        <w:t xml:space="preserve">May only provide </w:t>
      </w:r>
      <w:r w:rsidR="00D90E71">
        <w:rPr>
          <w:rFonts w:cs="Arial"/>
        </w:rPr>
        <w:t>IADLs and the ADL tasks</w:t>
      </w:r>
      <w:r w:rsidRPr="009C726F">
        <w:rPr>
          <w:rFonts w:cs="Arial"/>
        </w:rPr>
        <w:t xml:space="preserve"> listed </w:t>
      </w:r>
      <w:r w:rsidR="00685094">
        <w:rPr>
          <w:rFonts w:cs="Arial"/>
        </w:rPr>
        <w:t xml:space="preserve">for IPs </w:t>
      </w:r>
      <w:r w:rsidRPr="009C726F">
        <w:rPr>
          <w:rFonts w:cs="Arial"/>
        </w:rPr>
        <w:t>above</w:t>
      </w:r>
      <w:r w:rsidR="004B355B">
        <w:rPr>
          <w:rFonts w:cs="Arial"/>
        </w:rPr>
        <w:t>.</w:t>
      </w:r>
    </w:p>
    <w:p w14:paraId="2952746D" w14:textId="77777777" w:rsidR="0084054E" w:rsidRDefault="0084054E" w:rsidP="009862C2">
      <w:pPr>
        <w:numPr>
          <w:ilvl w:val="1"/>
          <w:numId w:val="47"/>
        </w:numPr>
        <w:ind w:left="1800"/>
        <w:rPr>
          <w:rFonts w:cs="Arial"/>
        </w:rPr>
      </w:pPr>
      <w:r>
        <w:rPr>
          <w:rFonts w:cs="Arial"/>
        </w:rPr>
        <w:t>Home Care Agency providers</w:t>
      </w:r>
    </w:p>
    <w:p w14:paraId="5B49553C" w14:textId="77777777" w:rsidR="0084054E" w:rsidRDefault="00BC0BAC" w:rsidP="009862C2">
      <w:pPr>
        <w:numPr>
          <w:ilvl w:val="2"/>
          <w:numId w:val="45"/>
        </w:numPr>
        <w:ind w:left="2160"/>
        <w:rPr>
          <w:rFonts w:cs="Arial"/>
        </w:rPr>
      </w:pPr>
      <w:r>
        <w:rPr>
          <w:rFonts w:cs="Arial"/>
        </w:rPr>
        <w:t xml:space="preserve">Must have a current </w:t>
      </w:r>
      <w:r w:rsidR="0084054E">
        <w:rPr>
          <w:rFonts w:cs="Arial"/>
        </w:rPr>
        <w:t>Department of Health (DOH) license</w:t>
      </w:r>
      <w:r w:rsidR="0084054E" w:rsidRPr="009C726F">
        <w:rPr>
          <w:rFonts w:cs="Arial"/>
        </w:rPr>
        <w:t xml:space="preserve">, as defined </w:t>
      </w:r>
      <w:r w:rsidR="0084054E">
        <w:rPr>
          <w:rFonts w:cs="Arial"/>
        </w:rPr>
        <w:t xml:space="preserve">in Chapter </w:t>
      </w:r>
      <w:hyperlink r:id="rId35" w:history="1">
        <w:r w:rsidR="0084054E">
          <w:rPr>
            <w:rStyle w:val="Hyperlink"/>
            <w:rFonts w:cs="Arial"/>
          </w:rPr>
          <w:t>70.127</w:t>
        </w:r>
      </w:hyperlink>
      <w:r w:rsidR="0084054E">
        <w:rPr>
          <w:rFonts w:cs="Arial"/>
        </w:rPr>
        <w:t xml:space="preserve"> RCW and Chapter </w:t>
      </w:r>
      <w:hyperlink r:id="rId36" w:history="1">
        <w:r w:rsidR="0084054E">
          <w:rPr>
            <w:rStyle w:val="Hyperlink"/>
            <w:rFonts w:cs="Arial"/>
          </w:rPr>
          <w:t>246-335</w:t>
        </w:r>
      </w:hyperlink>
      <w:r w:rsidR="0084054E">
        <w:rPr>
          <w:rFonts w:cs="Arial"/>
        </w:rPr>
        <w:t xml:space="preserve"> WAC ; and </w:t>
      </w:r>
    </w:p>
    <w:p w14:paraId="2757BE42" w14:textId="77777777" w:rsidR="000A5E01" w:rsidRDefault="0084054E" w:rsidP="009862C2">
      <w:pPr>
        <w:numPr>
          <w:ilvl w:val="2"/>
          <w:numId w:val="43"/>
        </w:numPr>
        <w:ind w:left="2160"/>
        <w:rPr>
          <w:rFonts w:cs="Arial"/>
        </w:rPr>
      </w:pPr>
      <w:r w:rsidRPr="009C726F">
        <w:rPr>
          <w:rFonts w:cs="Arial"/>
        </w:rPr>
        <w:t>A current contract with the Department or AAA</w:t>
      </w:r>
      <w:r w:rsidR="004B355B">
        <w:rPr>
          <w:rFonts w:cs="Arial"/>
        </w:rPr>
        <w:t xml:space="preserve">; and </w:t>
      </w:r>
    </w:p>
    <w:p w14:paraId="6C2AAD2F" w14:textId="77777777" w:rsidR="000A5E01" w:rsidRPr="004B355B" w:rsidRDefault="000A5E01" w:rsidP="00203DB3">
      <w:pPr>
        <w:numPr>
          <w:ilvl w:val="2"/>
          <w:numId w:val="43"/>
        </w:numPr>
        <w:ind w:left="2160"/>
        <w:rPr>
          <w:rFonts w:cs="Arial"/>
        </w:rPr>
      </w:pPr>
      <w:r w:rsidRPr="009C726F">
        <w:rPr>
          <w:rFonts w:cs="Arial"/>
        </w:rPr>
        <w:t xml:space="preserve">May only provide </w:t>
      </w:r>
      <w:r w:rsidR="00685094">
        <w:rPr>
          <w:rFonts w:cs="Arial"/>
        </w:rPr>
        <w:t xml:space="preserve">IADLs and ADL tasks </w:t>
      </w:r>
      <w:r w:rsidRPr="009C726F">
        <w:rPr>
          <w:rFonts w:cs="Arial"/>
        </w:rPr>
        <w:t xml:space="preserve">listed </w:t>
      </w:r>
      <w:r w:rsidR="00685094">
        <w:rPr>
          <w:rFonts w:cs="Arial"/>
        </w:rPr>
        <w:t>for home care agencies</w:t>
      </w:r>
      <w:r w:rsidRPr="004B355B">
        <w:rPr>
          <w:rFonts w:cs="Arial"/>
        </w:rPr>
        <w:t>.</w:t>
      </w:r>
    </w:p>
    <w:p w14:paraId="3C42E1A8" w14:textId="77777777" w:rsidR="00BC0BAC" w:rsidRDefault="00BC0BAC" w:rsidP="009862C2">
      <w:pPr>
        <w:numPr>
          <w:ilvl w:val="1"/>
          <w:numId w:val="53"/>
        </w:numPr>
        <w:ind w:left="1800"/>
        <w:rPr>
          <w:rFonts w:cs="Arial"/>
        </w:rPr>
      </w:pPr>
      <w:r>
        <w:rPr>
          <w:rFonts w:cs="Arial"/>
        </w:rPr>
        <w:t>Supported Living providers</w:t>
      </w:r>
    </w:p>
    <w:p w14:paraId="6CD7ADFD" w14:textId="77777777" w:rsidR="00BC0BAC" w:rsidRDefault="00BC0BAC" w:rsidP="009862C2">
      <w:pPr>
        <w:numPr>
          <w:ilvl w:val="2"/>
          <w:numId w:val="54"/>
        </w:numPr>
        <w:ind w:left="2160"/>
        <w:rPr>
          <w:rFonts w:cs="Arial"/>
        </w:rPr>
      </w:pPr>
      <w:r>
        <w:rPr>
          <w:rFonts w:cs="Arial"/>
        </w:rPr>
        <w:lastRenderedPageBreak/>
        <w:t xml:space="preserve">Must have a current contract to provide Skills Acquisition Training with the Department; and </w:t>
      </w:r>
    </w:p>
    <w:p w14:paraId="293AB973" w14:textId="77777777" w:rsidR="00BC0BAC" w:rsidRDefault="00BC0BAC" w:rsidP="009862C2">
      <w:pPr>
        <w:numPr>
          <w:ilvl w:val="2"/>
          <w:numId w:val="55"/>
        </w:numPr>
        <w:ind w:left="2160"/>
        <w:rPr>
          <w:rFonts w:cs="Arial"/>
        </w:rPr>
      </w:pPr>
      <w:r>
        <w:rPr>
          <w:rFonts w:cs="Arial"/>
        </w:rPr>
        <w:t>A current contract with the Department</w:t>
      </w:r>
      <w:r w:rsidR="004B355B">
        <w:rPr>
          <w:rFonts w:cs="Arial"/>
        </w:rPr>
        <w:t>; and</w:t>
      </w:r>
    </w:p>
    <w:p w14:paraId="4CE9320A" w14:textId="77777777" w:rsidR="00BC0BAC" w:rsidRDefault="00BC0BAC" w:rsidP="009862C2">
      <w:pPr>
        <w:numPr>
          <w:ilvl w:val="2"/>
          <w:numId w:val="55"/>
        </w:numPr>
        <w:ind w:left="2160"/>
        <w:rPr>
          <w:rFonts w:cs="Arial"/>
        </w:rPr>
      </w:pPr>
      <w:r>
        <w:rPr>
          <w:rFonts w:cs="Arial"/>
        </w:rPr>
        <w:t>Meet all other Supported Living provider qualification</w:t>
      </w:r>
      <w:r w:rsidR="004B355B">
        <w:rPr>
          <w:rFonts w:cs="Arial"/>
        </w:rPr>
        <w:t>s; and</w:t>
      </w:r>
    </w:p>
    <w:p w14:paraId="29318B7E" w14:textId="77777777" w:rsidR="00BC0BAC" w:rsidRDefault="00BC0BAC" w:rsidP="009862C2">
      <w:pPr>
        <w:numPr>
          <w:ilvl w:val="2"/>
          <w:numId w:val="55"/>
        </w:numPr>
        <w:ind w:left="2160"/>
        <w:rPr>
          <w:rFonts w:cs="Arial"/>
        </w:rPr>
      </w:pPr>
      <w:r>
        <w:rPr>
          <w:rFonts w:cs="Arial"/>
        </w:rPr>
        <w:t xml:space="preserve">May only provide services listed </w:t>
      </w:r>
      <w:r w:rsidR="00685094">
        <w:rPr>
          <w:rFonts w:cs="Arial"/>
        </w:rPr>
        <w:t>for supported living providers</w:t>
      </w:r>
      <w:r>
        <w:rPr>
          <w:rFonts w:cs="Arial"/>
        </w:rPr>
        <w:t xml:space="preserve"> above</w:t>
      </w:r>
      <w:r w:rsidR="004B355B">
        <w:rPr>
          <w:rFonts w:cs="Arial"/>
        </w:rPr>
        <w:t>.</w:t>
      </w:r>
    </w:p>
    <w:p w14:paraId="6CC11CCA" w14:textId="77777777" w:rsidR="0084054E" w:rsidRPr="009C726F" w:rsidRDefault="0084054E" w:rsidP="009862C2">
      <w:pPr>
        <w:numPr>
          <w:ilvl w:val="1"/>
          <w:numId w:val="47"/>
        </w:numPr>
        <w:ind w:left="1800"/>
        <w:rPr>
          <w:rFonts w:cs="Arial"/>
        </w:rPr>
      </w:pPr>
      <w:r w:rsidRPr="009C726F">
        <w:rPr>
          <w:rFonts w:cs="Arial"/>
        </w:rPr>
        <w:t>Home Health Agencies must have:</w:t>
      </w:r>
    </w:p>
    <w:p w14:paraId="477A5E2E" w14:textId="77777777" w:rsidR="0084054E" w:rsidRPr="009C726F" w:rsidRDefault="0084054E" w:rsidP="009862C2">
      <w:pPr>
        <w:numPr>
          <w:ilvl w:val="2"/>
          <w:numId w:val="46"/>
        </w:numPr>
        <w:ind w:left="2160"/>
        <w:rPr>
          <w:rFonts w:cs="Arial"/>
        </w:rPr>
      </w:pPr>
      <w:r w:rsidRPr="009C726F">
        <w:rPr>
          <w:rFonts w:cs="Arial"/>
        </w:rPr>
        <w:t>A current contract with the Health Care Authority (HCA); and a</w:t>
      </w:r>
    </w:p>
    <w:p w14:paraId="3C7BDAA9" w14:textId="77777777" w:rsidR="0084054E" w:rsidRPr="009C726F" w:rsidRDefault="0084054E" w:rsidP="009862C2">
      <w:pPr>
        <w:numPr>
          <w:ilvl w:val="2"/>
          <w:numId w:val="46"/>
        </w:numPr>
        <w:ind w:left="2160"/>
        <w:rPr>
          <w:rFonts w:cs="Arial"/>
        </w:rPr>
      </w:pPr>
      <w:r w:rsidRPr="009C726F">
        <w:rPr>
          <w:rFonts w:cs="Arial"/>
        </w:rPr>
        <w:t>Current Department of Health (DOH) license in good standing for the specialty being requested.</w:t>
      </w:r>
    </w:p>
    <w:p w14:paraId="768057F6" w14:textId="77777777" w:rsidR="00D14B22" w:rsidRDefault="00D14B22" w:rsidP="006B3A95">
      <w:pPr>
        <w:pStyle w:val="ListParagraph"/>
        <w:rPr>
          <w:rFonts w:cs="Arial"/>
          <w:b/>
        </w:rPr>
      </w:pPr>
    </w:p>
    <w:p w14:paraId="34BB7F04" w14:textId="77777777" w:rsidR="00B31B97" w:rsidRDefault="00B31B97" w:rsidP="00B31B97">
      <w:pPr>
        <w:pStyle w:val="ListParagraph"/>
        <w:ind w:left="360"/>
        <w:rPr>
          <w:rFonts w:cs="Arial"/>
          <w:b/>
        </w:rPr>
      </w:pPr>
      <w:bookmarkStart w:id="18" w:name="Nurse_Delegation"/>
      <w:r w:rsidRPr="00F67F82">
        <w:rPr>
          <w:rFonts w:cs="Arial"/>
          <w:b/>
        </w:rPr>
        <w:t xml:space="preserve">Nurse Delegation Services </w:t>
      </w:r>
    </w:p>
    <w:bookmarkEnd w:id="18"/>
    <w:p w14:paraId="18047FAB" w14:textId="77777777" w:rsidR="00203DB3" w:rsidRPr="00F67F82" w:rsidRDefault="00203DB3" w:rsidP="00B31B97">
      <w:pPr>
        <w:pStyle w:val="ListParagraph"/>
        <w:ind w:left="360"/>
        <w:rPr>
          <w:rFonts w:cs="Arial"/>
          <w:b/>
        </w:rPr>
      </w:pPr>
    </w:p>
    <w:p w14:paraId="7FA273F9" w14:textId="77777777" w:rsidR="00B31B97" w:rsidRPr="00F67F82" w:rsidRDefault="00C90DAE" w:rsidP="00203DB3">
      <w:pPr>
        <w:ind w:left="720"/>
        <w:rPr>
          <w:rFonts w:cs="Arial"/>
        </w:rPr>
      </w:pPr>
      <w:r>
        <w:rPr>
          <w:rFonts w:cs="Arial"/>
        </w:rPr>
        <w:t>Nurse Delegation Services allows R</w:t>
      </w:r>
      <w:r w:rsidR="00190C98">
        <w:rPr>
          <w:rFonts w:cs="Arial"/>
        </w:rPr>
        <w:t xml:space="preserve">egistered </w:t>
      </w:r>
      <w:r>
        <w:rPr>
          <w:rFonts w:cs="Arial"/>
        </w:rPr>
        <w:t>N</w:t>
      </w:r>
      <w:r w:rsidR="00190C98">
        <w:rPr>
          <w:rFonts w:cs="Arial"/>
        </w:rPr>
        <w:t>urse</w:t>
      </w:r>
      <w:r>
        <w:rPr>
          <w:rFonts w:cs="Arial"/>
        </w:rPr>
        <w:t>s to delegate specific nursing tasks to qualified long term care workers w</w:t>
      </w:r>
      <w:r w:rsidR="00B31B97" w:rsidRPr="00F67F82">
        <w:rPr>
          <w:rFonts w:cs="Arial"/>
        </w:rPr>
        <w:t>hen:</w:t>
      </w:r>
    </w:p>
    <w:p w14:paraId="164801C8" w14:textId="77777777" w:rsidR="00B31B97" w:rsidRPr="00F67F82" w:rsidRDefault="00B31B97" w:rsidP="009862C2">
      <w:pPr>
        <w:pStyle w:val="ListParagraph"/>
        <w:numPr>
          <w:ilvl w:val="0"/>
          <w:numId w:val="19"/>
        </w:numPr>
        <w:ind w:left="1440"/>
        <w:rPr>
          <w:rFonts w:cs="Arial"/>
        </w:rPr>
      </w:pPr>
      <w:r>
        <w:rPr>
          <w:rFonts w:cs="Arial"/>
        </w:rPr>
        <w:t>The p</w:t>
      </w:r>
      <w:r w:rsidRPr="00F67F82">
        <w:rPr>
          <w:rFonts w:cs="Arial"/>
        </w:rPr>
        <w:t xml:space="preserve">ersonal care </w:t>
      </w:r>
      <w:r>
        <w:rPr>
          <w:rFonts w:cs="Arial"/>
        </w:rPr>
        <w:t>service is provided by</w:t>
      </w:r>
      <w:r w:rsidRPr="00F67F82">
        <w:rPr>
          <w:rFonts w:cs="Arial"/>
        </w:rPr>
        <w:t xml:space="preserve"> a registered or certified nursing assistant</w:t>
      </w:r>
      <w:r w:rsidR="00961734">
        <w:rPr>
          <w:rFonts w:cs="Arial"/>
        </w:rPr>
        <w:t>, or a Certified Home Care Aide</w:t>
      </w:r>
      <w:r w:rsidRPr="00F67F82">
        <w:rPr>
          <w:rFonts w:cs="Arial"/>
        </w:rPr>
        <w:t xml:space="preserve"> who has completed nurse delegation core training;</w:t>
      </w:r>
    </w:p>
    <w:p w14:paraId="637925E7" w14:textId="77777777" w:rsidR="00B31B97" w:rsidRPr="00F67F82" w:rsidRDefault="00B31B97" w:rsidP="009862C2">
      <w:pPr>
        <w:pStyle w:val="ListParagraph"/>
        <w:numPr>
          <w:ilvl w:val="0"/>
          <w:numId w:val="19"/>
        </w:numPr>
        <w:ind w:left="1440"/>
        <w:rPr>
          <w:rFonts w:cs="Arial"/>
        </w:rPr>
      </w:pPr>
      <w:r>
        <w:rPr>
          <w:rFonts w:cs="Arial"/>
        </w:rPr>
        <w:t>The client’s</w:t>
      </w:r>
      <w:r w:rsidRPr="00F67F82">
        <w:rPr>
          <w:rFonts w:cs="Arial"/>
        </w:rPr>
        <w:t xml:space="preserve"> medical condition is considered stable and predictable by the delegating nurse; and</w:t>
      </w:r>
    </w:p>
    <w:p w14:paraId="39AFFD5D" w14:textId="77777777" w:rsidR="00B31B97" w:rsidRPr="00F67F82" w:rsidRDefault="00B31B97" w:rsidP="009862C2">
      <w:pPr>
        <w:pStyle w:val="ListParagraph"/>
        <w:numPr>
          <w:ilvl w:val="0"/>
          <w:numId w:val="19"/>
        </w:numPr>
        <w:ind w:left="1440"/>
        <w:rPr>
          <w:rFonts w:cs="Arial"/>
        </w:rPr>
      </w:pPr>
      <w:r w:rsidRPr="00F67F82">
        <w:rPr>
          <w:rFonts w:cs="Arial"/>
        </w:rPr>
        <w:t xml:space="preserve">Services are provided in compliance with </w:t>
      </w:r>
      <w:hyperlink r:id="rId37" w:history="1">
        <w:r w:rsidRPr="00331B1D">
          <w:rPr>
            <w:rStyle w:val="Hyperlink"/>
            <w:rFonts w:cs="Arial"/>
          </w:rPr>
          <w:t>WAC 246-840-930</w:t>
        </w:r>
      </w:hyperlink>
      <w:r w:rsidRPr="00F67F82">
        <w:rPr>
          <w:rFonts w:cs="Arial"/>
        </w:rPr>
        <w:t>.</w:t>
      </w:r>
      <w:r w:rsidRPr="00F67F82">
        <w:rPr>
          <w:rFonts w:cs="Arial"/>
        </w:rPr>
        <w:br/>
      </w:r>
    </w:p>
    <w:p w14:paraId="2F97A896" w14:textId="77777777" w:rsidR="00B31B97" w:rsidRPr="00F67F82" w:rsidRDefault="00B31B97" w:rsidP="00B31B97">
      <w:pPr>
        <w:pStyle w:val="ListParagraph"/>
        <w:ind w:left="1080"/>
        <w:rPr>
          <w:rFonts w:cs="Arial"/>
          <w:b/>
          <w:i/>
        </w:rPr>
      </w:pPr>
      <w:r w:rsidRPr="00F67F82">
        <w:rPr>
          <w:rFonts w:cs="Arial"/>
          <w:b/>
          <w:i/>
        </w:rPr>
        <w:t xml:space="preserve">Nurse Delegation </w:t>
      </w:r>
      <w:r w:rsidR="00203DB3" w:rsidRPr="00F67F82">
        <w:rPr>
          <w:rFonts w:cs="Arial"/>
          <w:b/>
          <w:i/>
        </w:rPr>
        <w:t xml:space="preserve">Service </w:t>
      </w:r>
      <w:r w:rsidR="00203DB3">
        <w:rPr>
          <w:rFonts w:cs="Arial"/>
          <w:b/>
          <w:i/>
        </w:rPr>
        <w:t>Parameters</w:t>
      </w:r>
    </w:p>
    <w:p w14:paraId="682B4720" w14:textId="77777777" w:rsidR="00B31B97" w:rsidRPr="00F67F82" w:rsidRDefault="00B31B97" w:rsidP="009862C2">
      <w:pPr>
        <w:pStyle w:val="ListParagraph"/>
        <w:numPr>
          <w:ilvl w:val="0"/>
          <w:numId w:val="20"/>
        </w:numPr>
        <w:ind w:left="2160"/>
        <w:rPr>
          <w:rFonts w:cs="Arial"/>
        </w:rPr>
      </w:pPr>
      <w:r>
        <w:rPr>
          <w:rFonts w:cs="Arial"/>
        </w:rPr>
        <w:t>A Registered Nurse D</w:t>
      </w:r>
      <w:r w:rsidRPr="00F67F82">
        <w:rPr>
          <w:rFonts w:cs="Arial"/>
        </w:rPr>
        <w:t>elegator assesses a</w:t>
      </w:r>
      <w:r>
        <w:rPr>
          <w:rFonts w:cs="Arial"/>
        </w:rPr>
        <w:t xml:space="preserve"> client for program suitability</w:t>
      </w:r>
      <w:r w:rsidRPr="00F67F82">
        <w:rPr>
          <w:rFonts w:cs="Arial"/>
        </w:rPr>
        <w:t xml:space="preserve"> and teaches, evaluates competency</w:t>
      </w:r>
      <w:r w:rsidR="00C90DAE">
        <w:rPr>
          <w:rFonts w:cs="Arial"/>
        </w:rPr>
        <w:t>,</w:t>
      </w:r>
      <w:r w:rsidRPr="00F67F82">
        <w:rPr>
          <w:rFonts w:cs="Arial"/>
        </w:rPr>
        <w:t xml:space="preserve"> and supervises the performance of a nursing assistant.  </w:t>
      </w:r>
    </w:p>
    <w:p w14:paraId="5F547F26" w14:textId="77777777" w:rsidR="00B31B97" w:rsidRPr="00F67F82" w:rsidRDefault="00B31B97" w:rsidP="009862C2">
      <w:pPr>
        <w:pStyle w:val="ListParagraph"/>
        <w:numPr>
          <w:ilvl w:val="0"/>
          <w:numId w:val="20"/>
        </w:numPr>
        <w:ind w:left="2160"/>
        <w:rPr>
          <w:rFonts w:cs="Arial"/>
        </w:rPr>
      </w:pPr>
      <w:r w:rsidRPr="00F67F82">
        <w:rPr>
          <w:rFonts w:cs="Arial"/>
        </w:rPr>
        <w:t xml:space="preserve">The nursing assistant </w:t>
      </w:r>
      <w:r w:rsidR="00C90DAE">
        <w:rPr>
          <w:rFonts w:cs="Arial"/>
        </w:rPr>
        <w:t xml:space="preserve">must </w:t>
      </w:r>
      <w:r w:rsidRPr="00F67F82">
        <w:rPr>
          <w:rFonts w:cs="Arial"/>
        </w:rPr>
        <w:t>m</w:t>
      </w:r>
      <w:r w:rsidR="00C90DAE">
        <w:rPr>
          <w:rFonts w:cs="Arial"/>
        </w:rPr>
        <w:t>e</w:t>
      </w:r>
      <w:r w:rsidRPr="00F67F82">
        <w:rPr>
          <w:rFonts w:cs="Arial"/>
        </w:rPr>
        <w:t xml:space="preserve">et additional educational requirements </w:t>
      </w:r>
      <w:r>
        <w:rPr>
          <w:rFonts w:cs="Arial"/>
        </w:rPr>
        <w:t xml:space="preserve">and </w:t>
      </w:r>
      <w:r w:rsidRPr="00F67F82">
        <w:rPr>
          <w:rFonts w:cs="Arial"/>
        </w:rPr>
        <w:t xml:space="preserve">performs the delegated nursing tasks for a client.  </w:t>
      </w:r>
    </w:p>
    <w:p w14:paraId="479EBD8E" w14:textId="77777777" w:rsidR="00B31B97" w:rsidRPr="00F67F82" w:rsidRDefault="00B31B97" w:rsidP="009862C2">
      <w:pPr>
        <w:pStyle w:val="ListParagraph"/>
        <w:numPr>
          <w:ilvl w:val="0"/>
          <w:numId w:val="20"/>
        </w:numPr>
        <w:ind w:left="2160"/>
        <w:rPr>
          <w:rFonts w:cs="Arial"/>
        </w:rPr>
      </w:pPr>
      <w:r w:rsidRPr="00F67F82">
        <w:rPr>
          <w:rFonts w:cs="Arial"/>
        </w:rPr>
        <w:t>These tasks may include:</w:t>
      </w:r>
    </w:p>
    <w:p w14:paraId="2FDAC7E1" w14:textId="77777777" w:rsidR="00B31B97" w:rsidRPr="00F67F82" w:rsidRDefault="00B31B97" w:rsidP="009862C2">
      <w:pPr>
        <w:pStyle w:val="ListParagraph"/>
        <w:numPr>
          <w:ilvl w:val="1"/>
          <w:numId w:val="20"/>
        </w:numPr>
        <w:ind w:left="2880"/>
        <w:rPr>
          <w:rFonts w:cs="Arial"/>
        </w:rPr>
      </w:pPr>
      <w:r>
        <w:rPr>
          <w:rFonts w:cs="Arial"/>
        </w:rPr>
        <w:t>Administration of medications;</w:t>
      </w:r>
      <w:r w:rsidRPr="00F67F82">
        <w:rPr>
          <w:rFonts w:cs="Arial"/>
        </w:rPr>
        <w:t xml:space="preserve"> </w:t>
      </w:r>
    </w:p>
    <w:p w14:paraId="7732CDAA" w14:textId="77777777" w:rsidR="00B31B97" w:rsidRPr="00F67F82" w:rsidRDefault="00B31B97" w:rsidP="009862C2">
      <w:pPr>
        <w:pStyle w:val="ListParagraph"/>
        <w:numPr>
          <w:ilvl w:val="1"/>
          <w:numId w:val="20"/>
        </w:numPr>
        <w:ind w:left="2880"/>
        <w:rPr>
          <w:rFonts w:cs="Arial"/>
        </w:rPr>
      </w:pPr>
      <w:r>
        <w:rPr>
          <w:rFonts w:cs="Arial"/>
        </w:rPr>
        <w:t>Blood glucose monitoring;</w:t>
      </w:r>
      <w:r w:rsidRPr="00F67F82">
        <w:rPr>
          <w:rFonts w:cs="Arial"/>
        </w:rPr>
        <w:t xml:space="preserve"> </w:t>
      </w:r>
    </w:p>
    <w:p w14:paraId="7308E52C" w14:textId="77777777" w:rsidR="00B31B97" w:rsidRPr="00F67F82" w:rsidRDefault="00B31B97" w:rsidP="009862C2">
      <w:pPr>
        <w:pStyle w:val="ListParagraph"/>
        <w:numPr>
          <w:ilvl w:val="1"/>
          <w:numId w:val="20"/>
        </w:numPr>
        <w:ind w:left="2880"/>
        <w:rPr>
          <w:rFonts w:cs="Arial"/>
        </w:rPr>
      </w:pPr>
      <w:r>
        <w:rPr>
          <w:rFonts w:cs="Arial"/>
        </w:rPr>
        <w:t>Insulin injections;</w:t>
      </w:r>
      <w:r w:rsidRPr="00F67F82">
        <w:rPr>
          <w:rFonts w:cs="Arial"/>
        </w:rPr>
        <w:t xml:space="preserve"> </w:t>
      </w:r>
    </w:p>
    <w:p w14:paraId="374CB0E9" w14:textId="77777777" w:rsidR="00B31B97" w:rsidRPr="00F67F82" w:rsidRDefault="00B31B97" w:rsidP="009862C2">
      <w:pPr>
        <w:pStyle w:val="ListParagraph"/>
        <w:numPr>
          <w:ilvl w:val="1"/>
          <w:numId w:val="20"/>
        </w:numPr>
        <w:ind w:left="2880"/>
        <w:rPr>
          <w:rFonts w:cs="Arial"/>
        </w:rPr>
      </w:pPr>
      <w:r>
        <w:rPr>
          <w:rFonts w:cs="Arial"/>
        </w:rPr>
        <w:t>Ostomy care;</w:t>
      </w:r>
      <w:r w:rsidRPr="00F67F82">
        <w:rPr>
          <w:rFonts w:cs="Arial"/>
        </w:rPr>
        <w:t xml:space="preserve"> </w:t>
      </w:r>
    </w:p>
    <w:p w14:paraId="142BB217" w14:textId="77777777" w:rsidR="00B31B97" w:rsidRPr="00F67F82" w:rsidRDefault="00B31B97" w:rsidP="009862C2">
      <w:pPr>
        <w:pStyle w:val="ListParagraph"/>
        <w:numPr>
          <w:ilvl w:val="1"/>
          <w:numId w:val="20"/>
        </w:numPr>
        <w:ind w:left="2880"/>
        <w:rPr>
          <w:rFonts w:cs="Arial"/>
        </w:rPr>
      </w:pPr>
      <w:r>
        <w:rPr>
          <w:rFonts w:cs="Arial"/>
        </w:rPr>
        <w:t>Simple wound care;</w:t>
      </w:r>
      <w:r w:rsidRPr="00F67F82">
        <w:rPr>
          <w:rFonts w:cs="Arial"/>
        </w:rPr>
        <w:t xml:space="preserve"> </w:t>
      </w:r>
    </w:p>
    <w:p w14:paraId="6B5BCEDB" w14:textId="77777777" w:rsidR="00B31B97" w:rsidRPr="00F67F82" w:rsidRDefault="00B31B97" w:rsidP="009862C2">
      <w:pPr>
        <w:pStyle w:val="ListParagraph"/>
        <w:numPr>
          <w:ilvl w:val="1"/>
          <w:numId w:val="20"/>
        </w:numPr>
        <w:ind w:left="2880"/>
        <w:rPr>
          <w:rFonts w:cs="Arial"/>
        </w:rPr>
      </w:pPr>
      <w:r>
        <w:rPr>
          <w:rFonts w:cs="Arial"/>
        </w:rPr>
        <w:t>S</w:t>
      </w:r>
      <w:r w:rsidRPr="00F67F82">
        <w:rPr>
          <w:rFonts w:cs="Arial"/>
        </w:rPr>
        <w:t>traight catheterization</w:t>
      </w:r>
      <w:r>
        <w:rPr>
          <w:rFonts w:cs="Arial"/>
        </w:rPr>
        <w:t>;</w:t>
      </w:r>
      <w:r w:rsidRPr="00F67F82">
        <w:rPr>
          <w:rFonts w:cs="Arial"/>
        </w:rPr>
        <w:t xml:space="preserve"> or </w:t>
      </w:r>
    </w:p>
    <w:p w14:paraId="3C1B91BC" w14:textId="77777777" w:rsidR="00B31B97" w:rsidRPr="00F67F82" w:rsidRDefault="00B31B97" w:rsidP="009862C2">
      <w:pPr>
        <w:pStyle w:val="ListParagraph"/>
        <w:numPr>
          <w:ilvl w:val="1"/>
          <w:numId w:val="20"/>
        </w:numPr>
        <w:ind w:left="2880"/>
        <w:rPr>
          <w:rFonts w:cs="Arial"/>
        </w:rPr>
      </w:pPr>
      <w:r w:rsidRPr="00F67F82">
        <w:rPr>
          <w:rFonts w:cs="Arial"/>
        </w:rPr>
        <w:t>Other tasks determined appropriate by the delegating nurse.</w:t>
      </w:r>
    </w:p>
    <w:p w14:paraId="08B29B9D" w14:textId="77777777" w:rsidR="00596B4A" w:rsidRPr="00203DB3" w:rsidRDefault="00B31B97" w:rsidP="009862C2">
      <w:pPr>
        <w:pStyle w:val="ListParagraph"/>
        <w:numPr>
          <w:ilvl w:val="0"/>
          <w:numId w:val="20"/>
        </w:numPr>
        <w:ind w:left="2160"/>
        <w:rPr>
          <w:rFonts w:cs="Arial"/>
          <w:b/>
        </w:rPr>
      </w:pPr>
      <w:r w:rsidRPr="00F67F82">
        <w:rPr>
          <w:rFonts w:cs="Arial"/>
        </w:rPr>
        <w:t>Services do not duplicate personal care.</w:t>
      </w:r>
    </w:p>
    <w:p w14:paraId="47087FFF" w14:textId="77777777" w:rsidR="00B31B97" w:rsidRDefault="00B31B97" w:rsidP="009862C2">
      <w:pPr>
        <w:pStyle w:val="ListParagraph"/>
        <w:numPr>
          <w:ilvl w:val="0"/>
          <w:numId w:val="20"/>
        </w:numPr>
        <w:ind w:left="2160"/>
        <w:rPr>
          <w:rFonts w:cs="Arial"/>
          <w:b/>
        </w:rPr>
      </w:pPr>
      <w:r w:rsidRPr="00F67F82">
        <w:rPr>
          <w:rFonts w:cs="Arial"/>
          <w:b/>
        </w:rPr>
        <w:t xml:space="preserve">Providers are paid </w:t>
      </w:r>
      <w:r w:rsidR="00596B4A">
        <w:rPr>
          <w:rFonts w:cs="Arial"/>
          <w:b/>
        </w:rPr>
        <w:t xml:space="preserve">only </w:t>
      </w:r>
      <w:r w:rsidRPr="00F67F82">
        <w:rPr>
          <w:rFonts w:cs="Arial"/>
          <w:b/>
        </w:rPr>
        <w:t>once for the same hour of service</w:t>
      </w:r>
      <w:r w:rsidR="00596B4A">
        <w:rPr>
          <w:rFonts w:cs="Arial"/>
          <w:b/>
        </w:rPr>
        <w:t>, even if providing services in a multi-client household</w:t>
      </w:r>
      <w:r w:rsidRPr="00F67F82">
        <w:rPr>
          <w:rFonts w:cs="Arial"/>
          <w:b/>
        </w:rPr>
        <w:t>.</w:t>
      </w:r>
    </w:p>
    <w:p w14:paraId="2C2328B0" w14:textId="77777777" w:rsidR="00203DB3" w:rsidRDefault="00203DB3" w:rsidP="00203DB3">
      <w:pPr>
        <w:ind w:left="720" w:firstLine="720"/>
        <w:rPr>
          <w:rFonts w:cs="Arial"/>
          <w:b/>
        </w:rPr>
      </w:pPr>
    </w:p>
    <w:p w14:paraId="5BDCB39D" w14:textId="77777777" w:rsidR="00C90DAE" w:rsidRDefault="00C90DAE" w:rsidP="00203DB3">
      <w:pPr>
        <w:ind w:left="720" w:firstLine="720"/>
        <w:rPr>
          <w:rFonts w:cs="Arial"/>
          <w:b/>
        </w:rPr>
      </w:pPr>
      <w:r>
        <w:rPr>
          <w:rFonts w:cs="Arial"/>
          <w:b/>
        </w:rPr>
        <w:t>Exclusions</w:t>
      </w:r>
    </w:p>
    <w:p w14:paraId="3CE37968" w14:textId="77777777" w:rsidR="00D97604" w:rsidRPr="00203DB3" w:rsidRDefault="00D97604" w:rsidP="00203DB3">
      <w:pPr>
        <w:pStyle w:val="ListParagraph"/>
        <w:numPr>
          <w:ilvl w:val="0"/>
          <w:numId w:val="57"/>
        </w:numPr>
        <w:rPr>
          <w:rFonts w:cs="Arial"/>
          <w:b/>
        </w:rPr>
      </w:pPr>
      <w:r>
        <w:rPr>
          <w:rFonts w:cs="Arial"/>
        </w:rPr>
        <w:t>Tasks may not include:</w:t>
      </w:r>
    </w:p>
    <w:p w14:paraId="7DB56FC8" w14:textId="77777777" w:rsidR="00D97604" w:rsidRPr="00203DB3" w:rsidRDefault="00D97604" w:rsidP="00203DB3">
      <w:pPr>
        <w:pStyle w:val="ListParagraph"/>
        <w:numPr>
          <w:ilvl w:val="1"/>
          <w:numId w:val="57"/>
        </w:numPr>
        <w:rPr>
          <w:rFonts w:cs="Arial"/>
          <w:b/>
        </w:rPr>
      </w:pPr>
      <w:r>
        <w:rPr>
          <w:rFonts w:cs="Arial"/>
        </w:rPr>
        <w:t xml:space="preserve">Sterile procedures; </w:t>
      </w:r>
    </w:p>
    <w:p w14:paraId="348E462A" w14:textId="77777777" w:rsidR="00D97604" w:rsidRPr="00203DB3" w:rsidRDefault="00D97604" w:rsidP="00203DB3">
      <w:pPr>
        <w:pStyle w:val="ListParagraph"/>
        <w:numPr>
          <w:ilvl w:val="1"/>
          <w:numId w:val="57"/>
        </w:numPr>
        <w:rPr>
          <w:rFonts w:cs="Arial"/>
          <w:b/>
        </w:rPr>
      </w:pPr>
      <w:r>
        <w:rPr>
          <w:rFonts w:cs="Arial"/>
        </w:rPr>
        <w:t xml:space="preserve">Administration of medications by injections, except insulin injections; </w:t>
      </w:r>
    </w:p>
    <w:p w14:paraId="5126927F" w14:textId="77777777" w:rsidR="00C90DAE" w:rsidRPr="00203DB3" w:rsidRDefault="00D97604" w:rsidP="00203DB3">
      <w:pPr>
        <w:pStyle w:val="ListParagraph"/>
        <w:numPr>
          <w:ilvl w:val="1"/>
          <w:numId w:val="57"/>
        </w:numPr>
        <w:rPr>
          <w:rFonts w:cs="Arial"/>
          <w:b/>
        </w:rPr>
      </w:pPr>
      <w:r>
        <w:rPr>
          <w:rFonts w:cs="Arial"/>
        </w:rPr>
        <w:t xml:space="preserve">Maintenance of central intravenous lines; or </w:t>
      </w:r>
    </w:p>
    <w:p w14:paraId="4FCEF8CA" w14:textId="77777777" w:rsidR="00D97604" w:rsidRPr="00203DB3" w:rsidRDefault="00D97604" w:rsidP="00203DB3">
      <w:pPr>
        <w:pStyle w:val="ListParagraph"/>
        <w:numPr>
          <w:ilvl w:val="1"/>
          <w:numId w:val="57"/>
        </w:numPr>
        <w:rPr>
          <w:rFonts w:cs="Arial"/>
          <w:b/>
        </w:rPr>
      </w:pPr>
      <w:r>
        <w:rPr>
          <w:rFonts w:cs="Arial"/>
        </w:rPr>
        <w:lastRenderedPageBreak/>
        <w:t>Acts that require nursing judgement.</w:t>
      </w:r>
    </w:p>
    <w:p w14:paraId="522B3160" w14:textId="77777777" w:rsidR="00B31B97" w:rsidRPr="00F67F82" w:rsidRDefault="00B31B97" w:rsidP="00B31B97">
      <w:pPr>
        <w:pStyle w:val="ListParagraph"/>
        <w:ind w:left="1080"/>
        <w:rPr>
          <w:rFonts w:cs="Arial"/>
        </w:rPr>
      </w:pPr>
    </w:p>
    <w:p w14:paraId="5E122177" w14:textId="77777777" w:rsidR="00B31B97" w:rsidRPr="00F67F82" w:rsidRDefault="00B31B97" w:rsidP="00B31B97">
      <w:pPr>
        <w:pStyle w:val="ListParagraph"/>
        <w:ind w:left="1080"/>
        <w:rPr>
          <w:rFonts w:cs="Arial"/>
          <w:b/>
          <w:i/>
        </w:rPr>
      </w:pPr>
      <w:r w:rsidRPr="00F67F82">
        <w:rPr>
          <w:rFonts w:cs="Arial"/>
          <w:b/>
          <w:i/>
        </w:rPr>
        <w:t>Nurse Delegation Providers</w:t>
      </w:r>
    </w:p>
    <w:p w14:paraId="789ABA27" w14:textId="77777777" w:rsidR="00B31B97" w:rsidRPr="00F67F82" w:rsidRDefault="00B31B97" w:rsidP="009862C2">
      <w:pPr>
        <w:pStyle w:val="ListParagraph"/>
        <w:numPr>
          <w:ilvl w:val="0"/>
          <w:numId w:val="21"/>
        </w:numPr>
        <w:ind w:left="2160"/>
        <w:rPr>
          <w:rFonts w:cs="Arial"/>
        </w:rPr>
      </w:pPr>
      <w:r w:rsidRPr="00F67F82">
        <w:rPr>
          <w:rFonts w:cs="Arial"/>
        </w:rPr>
        <w:t>Home Health Agency</w:t>
      </w:r>
    </w:p>
    <w:p w14:paraId="62E467E5" w14:textId="77777777" w:rsidR="00B31B97" w:rsidRPr="00F67F82" w:rsidRDefault="00B31B97" w:rsidP="009862C2">
      <w:pPr>
        <w:pStyle w:val="ListParagraph"/>
        <w:numPr>
          <w:ilvl w:val="1"/>
          <w:numId w:val="21"/>
        </w:numPr>
        <w:ind w:left="2880"/>
        <w:rPr>
          <w:rFonts w:cs="Arial"/>
        </w:rPr>
      </w:pPr>
      <w:r w:rsidRPr="00F67F82">
        <w:rPr>
          <w:rFonts w:cs="Arial"/>
        </w:rPr>
        <w:t xml:space="preserve">Licensed under </w:t>
      </w:r>
      <w:hyperlink r:id="rId38" w:history="1">
        <w:r w:rsidRPr="00331B1D">
          <w:rPr>
            <w:rStyle w:val="Hyperlink"/>
            <w:rFonts w:cs="Arial"/>
          </w:rPr>
          <w:t>Chapter 70.127 RCW</w:t>
        </w:r>
      </w:hyperlink>
      <w:r>
        <w:rPr>
          <w:rFonts w:cs="Arial"/>
        </w:rPr>
        <w:t>.</w:t>
      </w:r>
    </w:p>
    <w:p w14:paraId="6F72B499" w14:textId="77777777" w:rsidR="00B31B97" w:rsidRPr="00F67F82" w:rsidRDefault="00B31B97" w:rsidP="009862C2">
      <w:pPr>
        <w:pStyle w:val="ListParagraph"/>
        <w:numPr>
          <w:ilvl w:val="1"/>
          <w:numId w:val="21"/>
        </w:numPr>
        <w:ind w:left="2880"/>
        <w:rPr>
          <w:rFonts w:cs="Arial"/>
        </w:rPr>
      </w:pPr>
      <w:r w:rsidRPr="00F67F82">
        <w:rPr>
          <w:rFonts w:cs="Arial"/>
        </w:rPr>
        <w:t xml:space="preserve">Individual RNs employed by the agency must be licensed under </w:t>
      </w:r>
      <w:hyperlink r:id="rId39" w:history="1">
        <w:r w:rsidRPr="00331B1D">
          <w:rPr>
            <w:rStyle w:val="Hyperlink"/>
            <w:rFonts w:cs="Arial"/>
          </w:rPr>
          <w:t>Chapter 18.79 RCW</w:t>
        </w:r>
      </w:hyperlink>
      <w:r w:rsidRPr="00F67F82">
        <w:rPr>
          <w:rFonts w:cs="Arial"/>
        </w:rPr>
        <w:t xml:space="preserve"> and </w:t>
      </w:r>
      <w:hyperlink r:id="rId40" w:history="1">
        <w:r w:rsidRPr="00331B1D">
          <w:rPr>
            <w:rStyle w:val="Hyperlink"/>
            <w:rFonts w:cs="Arial"/>
          </w:rPr>
          <w:t>Chapter 246-840 WAC</w:t>
        </w:r>
      </w:hyperlink>
      <w:r w:rsidRPr="00F67F82">
        <w:rPr>
          <w:rFonts w:cs="Arial"/>
        </w:rPr>
        <w:t>.</w:t>
      </w:r>
    </w:p>
    <w:p w14:paraId="1E874DD1" w14:textId="77777777" w:rsidR="00B31B97" w:rsidRPr="00F67F82" w:rsidRDefault="00B31B97" w:rsidP="009862C2">
      <w:pPr>
        <w:pStyle w:val="ListParagraph"/>
        <w:numPr>
          <w:ilvl w:val="0"/>
          <w:numId w:val="21"/>
        </w:numPr>
        <w:ind w:left="2160"/>
        <w:rPr>
          <w:rFonts w:cs="Arial"/>
        </w:rPr>
      </w:pPr>
      <w:r w:rsidRPr="00F67F82">
        <w:rPr>
          <w:rFonts w:cs="Arial"/>
        </w:rPr>
        <w:t>Registered Nurse</w:t>
      </w:r>
    </w:p>
    <w:p w14:paraId="47C104B2" w14:textId="77777777" w:rsidR="00B31B97" w:rsidRPr="00CB022B" w:rsidRDefault="00B31B97" w:rsidP="009862C2">
      <w:pPr>
        <w:pStyle w:val="ListParagraph"/>
        <w:numPr>
          <w:ilvl w:val="1"/>
          <w:numId w:val="21"/>
        </w:numPr>
        <w:ind w:left="2880"/>
        <w:rPr>
          <w:rStyle w:val="Hyperlink"/>
          <w:rFonts w:cs="Arial"/>
          <w:color w:val="auto"/>
          <w:u w:val="none"/>
        </w:rPr>
      </w:pPr>
      <w:r w:rsidRPr="00F67F82">
        <w:rPr>
          <w:rFonts w:cs="Arial"/>
        </w:rPr>
        <w:t xml:space="preserve">Licensed under </w:t>
      </w:r>
      <w:hyperlink r:id="rId41" w:history="1">
        <w:r w:rsidRPr="00331B1D">
          <w:rPr>
            <w:rStyle w:val="Hyperlink"/>
            <w:rFonts w:cs="Arial"/>
          </w:rPr>
          <w:t>RCW 18.79.040</w:t>
        </w:r>
      </w:hyperlink>
    </w:p>
    <w:p w14:paraId="52DDFC3A" w14:textId="77777777" w:rsidR="00CB022B" w:rsidRPr="00F67F82" w:rsidRDefault="00CB022B" w:rsidP="00D97604">
      <w:pPr>
        <w:pStyle w:val="ListParagraph"/>
        <w:ind w:left="2880"/>
        <w:rPr>
          <w:rFonts w:cs="Arial"/>
        </w:rPr>
      </w:pPr>
    </w:p>
    <w:p w14:paraId="29221590" w14:textId="0A0228F2" w:rsidR="00CB022B" w:rsidRDefault="00CB022B" w:rsidP="00083918">
      <w:pPr>
        <w:pStyle w:val="Heading2"/>
        <w:numPr>
          <w:ilvl w:val="0"/>
          <w:numId w:val="66"/>
        </w:numPr>
        <w:ind w:left="1440"/>
        <w:rPr>
          <w:b w:val="0"/>
          <w:i w:val="0"/>
        </w:rPr>
      </w:pPr>
      <w:r w:rsidRPr="004B355B">
        <w:rPr>
          <w:i w:val="0"/>
        </w:rPr>
        <w:t>Note:</w:t>
      </w:r>
      <w:r w:rsidRPr="004B355B">
        <w:t xml:space="preserve"> Licensed assisted living facilities (ALFs) formerly known as boarding homes</w:t>
      </w:r>
      <w:r w:rsidRPr="004B355B">
        <w:rPr>
          <w:b w:val="0"/>
          <w:i w:val="0"/>
        </w:rPr>
        <w:t xml:space="preserve"> </w:t>
      </w:r>
      <w:r w:rsidR="00D67C66" w:rsidRPr="004B355B">
        <w:rPr>
          <w:b w:val="0"/>
          <w:i w:val="0"/>
        </w:rPr>
        <w:t>contracted as Assisted Living Facilities</w:t>
      </w:r>
      <w:r w:rsidR="00D67C66" w:rsidRPr="00203DB3">
        <w:rPr>
          <w:b w:val="0"/>
          <w:i w:val="0"/>
        </w:rPr>
        <w:t xml:space="preserve"> (ALF)</w:t>
      </w:r>
      <w:r w:rsidR="00D67C66" w:rsidRPr="004B355B">
        <w:rPr>
          <w:b w:val="0"/>
          <w:i w:val="0"/>
        </w:rPr>
        <w:t xml:space="preserve"> or Enhanced Adult Residential Care Facilities</w:t>
      </w:r>
      <w:r w:rsidR="00D67C66" w:rsidRPr="00203DB3">
        <w:rPr>
          <w:b w:val="0"/>
          <w:i w:val="0"/>
        </w:rPr>
        <w:t xml:space="preserve"> (EARC)</w:t>
      </w:r>
      <w:r w:rsidR="00D67C66" w:rsidRPr="004B355B">
        <w:rPr>
          <w:b w:val="0"/>
          <w:i w:val="0"/>
        </w:rPr>
        <w:t xml:space="preserve"> </w:t>
      </w:r>
      <w:r w:rsidRPr="004B355B">
        <w:rPr>
          <w:b w:val="0"/>
          <w:i w:val="0"/>
        </w:rPr>
        <w:t>may choose to offer Nurse Delegation, however ALTSA does not pay for ND services for clients living in these facilities because they are contracted to provide intermittent nursing services.</w:t>
      </w:r>
      <w:r w:rsidR="00D67C66" w:rsidRPr="004B355B">
        <w:rPr>
          <w:b w:val="0"/>
          <w:i w:val="0"/>
        </w:rPr>
        <w:t xml:space="preserve"> Adult Residential Care (ARC) facilities are not contracted to provide intermittent nursing services and ND may be provided by CFC in only these specific Assisted Living facility types.</w:t>
      </w:r>
    </w:p>
    <w:p w14:paraId="1BA1FCA6" w14:textId="77777777" w:rsidR="00217A9C" w:rsidRPr="00217A9C" w:rsidRDefault="00217A9C" w:rsidP="00B31B97">
      <w:pPr>
        <w:pStyle w:val="ListParagraph"/>
        <w:ind w:left="0"/>
        <w:rPr>
          <w:rFonts w:cs="Arial"/>
        </w:rPr>
      </w:pPr>
    </w:p>
    <w:p w14:paraId="30661CC9" w14:textId="77777777" w:rsidR="00217A9C" w:rsidRDefault="00B31B97" w:rsidP="00217A9C">
      <w:pPr>
        <w:ind w:left="360"/>
        <w:rPr>
          <w:rFonts w:cs="Arial"/>
          <w:b/>
          <w:i/>
        </w:rPr>
      </w:pPr>
      <w:bookmarkStart w:id="19" w:name="PERS"/>
      <w:r>
        <w:rPr>
          <w:rFonts w:cs="Arial"/>
          <w:b/>
          <w:i/>
        </w:rPr>
        <w:t>Personal Emergency Response System (</w:t>
      </w:r>
      <w:r w:rsidR="00217A9C" w:rsidRPr="00B14809">
        <w:rPr>
          <w:rFonts w:cs="Arial"/>
          <w:b/>
          <w:i/>
        </w:rPr>
        <w:t>PERS</w:t>
      </w:r>
      <w:r>
        <w:rPr>
          <w:rFonts w:cs="Arial"/>
          <w:b/>
          <w:i/>
        </w:rPr>
        <w:t>)</w:t>
      </w:r>
      <w:r w:rsidR="00217A9C" w:rsidRPr="00B14809">
        <w:rPr>
          <w:rFonts w:cs="Arial"/>
          <w:b/>
          <w:i/>
        </w:rPr>
        <w:t xml:space="preserve"> </w:t>
      </w:r>
      <w:r w:rsidR="004B355B">
        <w:rPr>
          <w:rFonts w:cs="Arial"/>
          <w:b/>
          <w:i/>
        </w:rPr>
        <w:t>Backup Service</w:t>
      </w:r>
    </w:p>
    <w:bookmarkEnd w:id="19"/>
    <w:p w14:paraId="586B1280" w14:textId="77777777" w:rsidR="00A912D1" w:rsidRPr="00B14809" w:rsidRDefault="00A912D1" w:rsidP="00217A9C">
      <w:pPr>
        <w:ind w:left="360"/>
        <w:rPr>
          <w:rFonts w:cs="Arial"/>
        </w:rPr>
      </w:pPr>
    </w:p>
    <w:p w14:paraId="1EB19D48" w14:textId="77777777" w:rsidR="00217A9C" w:rsidRPr="00F67F82" w:rsidRDefault="00217A9C" w:rsidP="00A912D1">
      <w:pPr>
        <w:pStyle w:val="ListParagraph"/>
        <w:rPr>
          <w:rFonts w:cs="Arial"/>
        </w:rPr>
      </w:pPr>
      <w:r w:rsidRPr="00F67F82">
        <w:rPr>
          <w:rFonts w:cs="Arial"/>
        </w:rPr>
        <w:t>PERS is an electronic device that enables participants to secure help in an emergency. The participant may also wear a portable “help” button to allow for mobility. The system is programmed to signal a response center once a “help” button is activated. Some PERS systems can also include medication reminders. The response center is staffed by trained professionals.</w:t>
      </w:r>
    </w:p>
    <w:p w14:paraId="1EEB9266" w14:textId="77777777" w:rsidR="00217A9C" w:rsidRPr="00F67F82" w:rsidRDefault="00217A9C" w:rsidP="00A912D1">
      <w:pPr>
        <w:pStyle w:val="ListParagraph"/>
        <w:rPr>
          <w:rFonts w:cs="Arial"/>
        </w:rPr>
      </w:pPr>
    </w:p>
    <w:p w14:paraId="4E5C1238" w14:textId="77777777" w:rsidR="00217A9C" w:rsidRPr="00F67F82" w:rsidRDefault="00217A9C" w:rsidP="00A912D1">
      <w:pPr>
        <w:pStyle w:val="ListParagraph"/>
        <w:rPr>
          <w:rFonts w:cs="Arial"/>
        </w:rPr>
      </w:pPr>
      <w:r w:rsidRPr="00F67F82">
        <w:rPr>
          <w:rFonts w:cs="Arial"/>
        </w:rPr>
        <w:t>PERS services are limited to those individuals who live alone or with others who cannot summon help in an emergency, or who are alone or with others who cannot summon help in an emergency for significant parts of the day, and have no regular caregiver for extended periods of time</w:t>
      </w:r>
      <w:r>
        <w:rPr>
          <w:rFonts w:cs="Arial"/>
        </w:rPr>
        <w:t>.</w:t>
      </w:r>
    </w:p>
    <w:p w14:paraId="3D33CCE7" w14:textId="77777777" w:rsidR="00217A9C" w:rsidRPr="00F67F82" w:rsidRDefault="00217A9C" w:rsidP="00A912D1">
      <w:pPr>
        <w:pStyle w:val="ListParagraph"/>
        <w:rPr>
          <w:rFonts w:cs="Arial"/>
        </w:rPr>
      </w:pPr>
    </w:p>
    <w:p w14:paraId="07489C9A" w14:textId="77777777" w:rsidR="00217A9C" w:rsidRPr="00F67F82" w:rsidRDefault="00217A9C" w:rsidP="00A912D1">
      <w:pPr>
        <w:pStyle w:val="ListParagraph"/>
        <w:rPr>
          <w:rFonts w:cs="Arial"/>
        </w:rPr>
      </w:pPr>
      <w:r w:rsidRPr="00F67F82">
        <w:rPr>
          <w:rFonts w:cs="Arial"/>
        </w:rPr>
        <w:t xml:space="preserve">All PERS equipment vendors must provide equipment approved by the Federal Communications Commission and the equipment must meet the Underwriters Laboratories, Inc., (UL) </w:t>
      </w:r>
      <w:r>
        <w:rPr>
          <w:rFonts w:cs="Arial"/>
        </w:rPr>
        <w:t xml:space="preserve">or ETL safety </w:t>
      </w:r>
      <w:r w:rsidRPr="00F67F82">
        <w:rPr>
          <w:rFonts w:cs="Arial"/>
        </w:rPr>
        <w:t xml:space="preserve">standard for home health care signaling equipment.  The UL </w:t>
      </w:r>
      <w:r>
        <w:rPr>
          <w:rFonts w:cs="Arial"/>
        </w:rPr>
        <w:t xml:space="preserve">or ETL </w:t>
      </w:r>
      <w:r w:rsidRPr="00F67F82">
        <w:rPr>
          <w:rFonts w:cs="Arial"/>
        </w:rPr>
        <w:t>listing mark on the equipment will be accepted as evidence of the equipment’s compliance with such standard.</w:t>
      </w:r>
    </w:p>
    <w:p w14:paraId="07AC7BE4" w14:textId="77777777" w:rsidR="00217A9C" w:rsidRPr="00F67F82" w:rsidRDefault="00217A9C" w:rsidP="00A912D1">
      <w:pPr>
        <w:pStyle w:val="ListParagraph"/>
        <w:rPr>
          <w:rFonts w:cs="Arial"/>
        </w:rPr>
      </w:pPr>
    </w:p>
    <w:p w14:paraId="7F19994A" w14:textId="77777777" w:rsidR="00217A9C" w:rsidRPr="00F67F82" w:rsidRDefault="00217A9C" w:rsidP="00A912D1">
      <w:pPr>
        <w:pStyle w:val="ListParagraph"/>
        <w:rPr>
          <w:rFonts w:cs="Arial"/>
        </w:rPr>
      </w:pPr>
      <w:r w:rsidRPr="00F67F82">
        <w:rPr>
          <w:rFonts w:cs="Arial"/>
        </w:rPr>
        <w:t>The emergency response activator must be able to be activated by breath, by touch, or some other means and must be usable by persons who are visually or hearing impaired or physically disabled.</w:t>
      </w:r>
    </w:p>
    <w:p w14:paraId="141AA652" w14:textId="77777777" w:rsidR="00217A9C" w:rsidRPr="00F67F82" w:rsidRDefault="00217A9C" w:rsidP="00A912D1">
      <w:pPr>
        <w:pStyle w:val="ListParagraph"/>
        <w:rPr>
          <w:rFonts w:cs="Arial"/>
        </w:rPr>
      </w:pPr>
    </w:p>
    <w:p w14:paraId="5D6B43C5" w14:textId="77777777" w:rsidR="00217A9C" w:rsidRPr="00F67F82" w:rsidRDefault="00217A9C" w:rsidP="00A912D1">
      <w:pPr>
        <w:pStyle w:val="ListParagraph"/>
        <w:rPr>
          <w:rFonts w:cs="Arial"/>
        </w:rPr>
      </w:pPr>
      <w:r w:rsidRPr="00F67F82">
        <w:rPr>
          <w:rFonts w:cs="Arial"/>
        </w:rPr>
        <w:t>The emergency response communicator must not interfere with normal telephone use</w:t>
      </w:r>
      <w:r>
        <w:rPr>
          <w:rFonts w:cs="Arial"/>
        </w:rPr>
        <w:t xml:space="preserve"> and may include cordless equipment that does not require a landline</w:t>
      </w:r>
      <w:r w:rsidRPr="00F67F82">
        <w:rPr>
          <w:rFonts w:cs="Arial"/>
        </w:rPr>
        <w:t xml:space="preserve">.  The communicator must be capable of operating without external power during a power failure at the </w:t>
      </w:r>
      <w:r>
        <w:rPr>
          <w:rFonts w:cs="Arial"/>
        </w:rPr>
        <w:t>participant</w:t>
      </w:r>
      <w:r w:rsidRPr="00F67F82">
        <w:rPr>
          <w:rFonts w:cs="Arial"/>
        </w:rPr>
        <w:t xml:space="preserve">’s home in accordance with UL </w:t>
      </w:r>
      <w:r>
        <w:rPr>
          <w:rFonts w:cs="Arial"/>
        </w:rPr>
        <w:t xml:space="preserve">or </w:t>
      </w:r>
      <w:r>
        <w:rPr>
          <w:rFonts w:cs="Arial"/>
        </w:rPr>
        <w:lastRenderedPageBreak/>
        <w:t xml:space="preserve">ETL </w:t>
      </w:r>
      <w:r w:rsidRPr="00F67F82">
        <w:rPr>
          <w:rFonts w:cs="Arial"/>
        </w:rPr>
        <w:t>requirements for home health care signaling equipment with stand-by capability.</w:t>
      </w:r>
    </w:p>
    <w:p w14:paraId="7713CE4E" w14:textId="77777777" w:rsidR="00203DB3" w:rsidRDefault="00203DB3" w:rsidP="00A912D1">
      <w:pPr>
        <w:pStyle w:val="ListParagraph"/>
        <w:ind w:firstLine="360"/>
        <w:rPr>
          <w:rFonts w:cs="Arial"/>
        </w:rPr>
      </w:pPr>
    </w:p>
    <w:p w14:paraId="4DDE7C33" w14:textId="77777777" w:rsidR="00217A9C" w:rsidRDefault="00217A9C" w:rsidP="00A912D1">
      <w:pPr>
        <w:pStyle w:val="ListParagraph"/>
        <w:ind w:firstLine="360"/>
        <w:rPr>
          <w:rFonts w:cs="Arial"/>
        </w:rPr>
      </w:pPr>
      <w:r w:rsidRPr="00F67F82">
        <w:rPr>
          <w:rFonts w:cs="Arial"/>
        </w:rPr>
        <w:t>Installation and maintenance of the PERS system is included in the service.</w:t>
      </w:r>
    </w:p>
    <w:p w14:paraId="6B4F7FB9" w14:textId="77777777" w:rsidR="00203DB3" w:rsidRDefault="00203DB3" w:rsidP="00A912D1">
      <w:pPr>
        <w:ind w:left="720"/>
      </w:pPr>
    </w:p>
    <w:p w14:paraId="63E3DC2F" w14:textId="77777777" w:rsidR="000922DA" w:rsidRDefault="00217A9C" w:rsidP="00A912D1">
      <w:pPr>
        <w:ind w:left="720"/>
      </w:pPr>
      <w:r>
        <w:t xml:space="preserve">Lost or damaged PERS equipment will be only be reimbursed after the contractor makes a good faith effort to recover </w:t>
      </w:r>
      <w:r w:rsidR="009030CD">
        <w:t xml:space="preserve">or repair </w:t>
      </w:r>
      <w:r>
        <w:t>a lost</w:t>
      </w:r>
      <w:r w:rsidR="00F8484A">
        <w:t xml:space="preserve"> or damaged</w:t>
      </w:r>
      <w:r>
        <w:t xml:space="preserve"> unit. </w:t>
      </w:r>
      <w:r w:rsidR="00F8484A">
        <w:t xml:space="preserve">Covered items eligible for replacement include only the console unit. </w:t>
      </w:r>
    </w:p>
    <w:p w14:paraId="3782DA35" w14:textId="77777777" w:rsidR="00203DB3" w:rsidRDefault="00203DB3" w:rsidP="00A912D1">
      <w:pPr>
        <w:ind w:left="720"/>
      </w:pPr>
    </w:p>
    <w:p w14:paraId="31F9E2A5" w14:textId="172C33C7" w:rsidR="00217A9C" w:rsidRDefault="00217A9C" w:rsidP="00A912D1">
      <w:pPr>
        <w:ind w:left="720"/>
      </w:pPr>
      <w:r>
        <w:t xml:space="preserve">Any loss must be reported within two weeks by the contractor to the </w:t>
      </w:r>
      <w:r w:rsidR="00190C98">
        <w:t xml:space="preserve">case manager </w:t>
      </w:r>
      <w:r>
        <w:t xml:space="preserve">who will also attempt to recover the unit.  If the unit cannot be recovered or repaired, documentation of wholesale cost must be provided with the request for </w:t>
      </w:r>
      <w:r w:rsidRPr="00953296">
        <w:t>reimbursement</w:t>
      </w:r>
      <w:r>
        <w:t xml:space="preserve">. Only one </w:t>
      </w:r>
      <w:r w:rsidR="00F8484A">
        <w:t xml:space="preserve">console </w:t>
      </w:r>
      <w:r>
        <w:t xml:space="preserve">will be replaced per client’s </w:t>
      </w:r>
      <w:r w:rsidRPr="003D279E">
        <w:t>lifetime.</w:t>
      </w:r>
      <w:r w:rsidR="003D279E">
        <w:t xml:space="preserve"> </w:t>
      </w:r>
      <w:r w:rsidR="00953296" w:rsidRPr="00203DB3">
        <w:rPr>
          <w:i/>
        </w:rPr>
        <w:t xml:space="preserve">Pendants </w:t>
      </w:r>
      <w:r w:rsidR="009325F9" w:rsidRPr="00203DB3">
        <w:rPr>
          <w:i/>
        </w:rPr>
        <w:t>are the responsibility of the provider to replace when required</w:t>
      </w:r>
      <w:r w:rsidR="00953296" w:rsidRPr="00203DB3">
        <w:rPr>
          <w:i/>
        </w:rPr>
        <w:t>.</w:t>
      </w:r>
      <w:r w:rsidR="00953296">
        <w:t xml:space="preserve"> </w:t>
      </w:r>
      <w:r>
        <w:t xml:space="preserve">Reimbursement for </w:t>
      </w:r>
      <w:r w:rsidR="009325F9">
        <w:t>equipment</w:t>
      </w:r>
      <w:r w:rsidR="000922DA">
        <w:t xml:space="preserve"> </w:t>
      </w:r>
      <w:r>
        <w:t xml:space="preserve">lost after termination of services must be submitted within 30 days of termination notice and must be paid using the last date of service on the authorization. Reimbursement for </w:t>
      </w:r>
      <w:r w:rsidR="009325F9">
        <w:t>equipment</w:t>
      </w:r>
      <w:r>
        <w:t xml:space="preserve"> lost after </w:t>
      </w:r>
      <w:r w:rsidR="00F43D98">
        <w:t xml:space="preserve">the </w:t>
      </w:r>
      <w:r>
        <w:t xml:space="preserve">death of </w:t>
      </w:r>
      <w:r w:rsidR="00F43D98">
        <w:t xml:space="preserve">the </w:t>
      </w:r>
      <w:r>
        <w:t>client is not permitted.</w:t>
      </w:r>
    </w:p>
    <w:p w14:paraId="5A78A10B" w14:textId="77777777" w:rsidR="00804B58" w:rsidRDefault="00804B58" w:rsidP="00A912D1">
      <w:pPr>
        <w:ind w:left="720"/>
      </w:pPr>
    </w:p>
    <w:p w14:paraId="60C6F950" w14:textId="0FE989E2" w:rsidR="00F6308E" w:rsidRDefault="00323FF9" w:rsidP="00A912D1">
      <w:pPr>
        <w:ind w:left="720"/>
      </w:pPr>
      <w:r>
        <w:t xml:space="preserve">The </w:t>
      </w:r>
      <w:r w:rsidR="00F6308E">
        <w:t>standard</w:t>
      </w:r>
      <w:r>
        <w:t xml:space="preserve"> PERS system is a covered service under CFC. </w:t>
      </w:r>
      <w:r w:rsidR="009325F9">
        <w:t>The standard PERS system</w:t>
      </w:r>
      <w:r w:rsidR="00F6308E">
        <w:t xml:space="preserve"> include</w:t>
      </w:r>
      <w:r w:rsidR="009325F9">
        <w:t>s</w:t>
      </w:r>
      <w:r w:rsidR="00F6308E">
        <w:t xml:space="preserve"> the base device that through a land line</w:t>
      </w:r>
      <w:r w:rsidR="003D279E">
        <w:t>,</w:t>
      </w:r>
      <w:r w:rsidR="00F6308E">
        <w:t xml:space="preserve"> a mobile</w:t>
      </w:r>
      <w:r w:rsidR="009E5295">
        <w:t xml:space="preserve"> phone line, a</w:t>
      </w:r>
      <w:r w:rsidR="003D279E">
        <w:t xml:space="preserve"> wireless</w:t>
      </w:r>
      <w:r w:rsidR="009E5295">
        <w:t xml:space="preserve"> phone</w:t>
      </w:r>
      <w:r w:rsidR="003D279E">
        <w:t xml:space="preserve"> line,</w:t>
      </w:r>
      <w:r w:rsidR="00F6308E">
        <w:t xml:space="preserve"> or </w:t>
      </w:r>
      <w:r w:rsidR="009E5295">
        <w:t xml:space="preserve">a </w:t>
      </w:r>
      <w:r w:rsidR="00F6308E">
        <w:t>cellular phone line calls</w:t>
      </w:r>
      <w:r w:rsidR="009325F9">
        <w:t xml:space="preserve"> the monitoring company</w:t>
      </w:r>
      <w:r w:rsidR="00F6308E">
        <w:t xml:space="preserve"> for help when the device is activated by the client.</w:t>
      </w:r>
    </w:p>
    <w:p w14:paraId="4C57557E" w14:textId="77777777" w:rsidR="00F6308E" w:rsidRDefault="00F6308E" w:rsidP="00A912D1">
      <w:pPr>
        <w:ind w:left="720"/>
      </w:pPr>
    </w:p>
    <w:p w14:paraId="4D779E09" w14:textId="77777777" w:rsidR="00323FF9" w:rsidRDefault="00FF4636" w:rsidP="00A912D1">
      <w:pPr>
        <w:ind w:left="720"/>
      </w:pPr>
      <w:r>
        <w:t>Additional</w:t>
      </w:r>
      <w:r w:rsidR="00323FF9">
        <w:t xml:space="preserve"> add-ons</w:t>
      </w:r>
      <w:r>
        <w:t xml:space="preserve"> </w:t>
      </w:r>
      <w:r w:rsidR="00323FF9">
        <w:t>to the</w:t>
      </w:r>
      <w:r>
        <w:t xml:space="preserve"> standard PERS</w:t>
      </w:r>
      <w:r w:rsidR="00323FF9">
        <w:t xml:space="preserve"> system </w:t>
      </w:r>
      <w:r w:rsidR="00190C98">
        <w:t>include</w:t>
      </w:r>
      <w:r w:rsidR="00323FF9">
        <w:t xml:space="preserve"> </w:t>
      </w:r>
      <w:r w:rsidR="00190C98">
        <w:t>medication system</w:t>
      </w:r>
      <w:r>
        <w:t>s</w:t>
      </w:r>
      <w:r w:rsidR="00190C98">
        <w:t>, fall detection</w:t>
      </w:r>
      <w:r>
        <w:t xml:space="preserve"> units, </w:t>
      </w:r>
      <w:r w:rsidR="00323FF9">
        <w:t>or GPS unit</w:t>
      </w:r>
      <w:r>
        <w:t>s and</w:t>
      </w:r>
      <w:r w:rsidR="00323FF9">
        <w:t xml:space="preserve"> are considered Assistive Technology. The vendor must bill for these add-on items separately from t</w:t>
      </w:r>
      <w:r w:rsidR="000922DA">
        <w:t xml:space="preserve">he </w:t>
      </w:r>
      <w:r>
        <w:t xml:space="preserve">standard </w:t>
      </w:r>
      <w:r w:rsidR="000922DA">
        <w:t>PERS unit. In ProviderOne</w:t>
      </w:r>
      <w:r w:rsidR="00323FF9">
        <w:t xml:space="preserve">, the case manager should authorize the </w:t>
      </w:r>
      <w:r>
        <w:t xml:space="preserve">standard </w:t>
      </w:r>
      <w:r w:rsidR="00323FF9">
        <w:t xml:space="preserve">PERS unit on one line and then each add-on as an additional line under the same authorization using the appropriate code. </w:t>
      </w:r>
    </w:p>
    <w:p w14:paraId="00F6A241" w14:textId="77777777" w:rsidR="00323FF9" w:rsidRDefault="00323FF9" w:rsidP="00A912D1">
      <w:pPr>
        <w:ind w:left="720"/>
      </w:pPr>
    </w:p>
    <w:tbl>
      <w:tblPr>
        <w:tblStyle w:val="LightList-Accent1"/>
        <w:tblpPr w:leftFromText="180" w:rightFromText="180" w:vertAnchor="text" w:horzAnchor="margin" w:tblpXSpec="center" w:tblpY="119"/>
        <w:tblW w:w="8676" w:type="dxa"/>
        <w:tblLook w:val="0420" w:firstRow="1" w:lastRow="0" w:firstColumn="0" w:lastColumn="0" w:noHBand="0" w:noVBand="1"/>
      </w:tblPr>
      <w:tblGrid>
        <w:gridCol w:w="6978"/>
        <w:gridCol w:w="1698"/>
      </w:tblGrid>
      <w:tr w:rsidR="00FF4636" w14:paraId="170E5D64" w14:textId="77777777" w:rsidTr="00083918">
        <w:trPr>
          <w:cnfStyle w:val="100000000000" w:firstRow="1" w:lastRow="0" w:firstColumn="0" w:lastColumn="0" w:oddVBand="0" w:evenVBand="0" w:oddHBand="0" w:evenHBand="0" w:firstRowFirstColumn="0" w:firstRowLastColumn="0" w:lastRowFirstColumn="0" w:lastRowLastColumn="0"/>
          <w:trHeight w:val="88"/>
        </w:trPr>
        <w:tc>
          <w:tcPr>
            <w:tcW w:w="6978" w:type="dxa"/>
          </w:tcPr>
          <w:p w14:paraId="10BB4912" w14:textId="77777777" w:rsidR="00323FF9" w:rsidRPr="00323FF9" w:rsidRDefault="00323FF9" w:rsidP="00363416">
            <w:pPr>
              <w:tabs>
                <w:tab w:val="center" w:pos="2430"/>
              </w:tabs>
              <w:ind w:left="180"/>
              <w:rPr>
                <w:rFonts w:ascii="Century Gothic" w:hAnsi="Century Gothic" w:cs="Arial"/>
                <w:kern w:val="24"/>
                <w:sz w:val="28"/>
              </w:rPr>
            </w:pPr>
            <w:r w:rsidRPr="00323FF9">
              <w:rPr>
                <w:rFonts w:ascii="Century Gothic" w:hAnsi="Century Gothic" w:cs="Arial"/>
                <w:kern w:val="24"/>
                <w:sz w:val="28"/>
              </w:rPr>
              <w:t>Service</w:t>
            </w:r>
          </w:p>
        </w:tc>
        <w:tc>
          <w:tcPr>
            <w:tcW w:w="1698" w:type="dxa"/>
          </w:tcPr>
          <w:p w14:paraId="7BEEE684" w14:textId="77777777" w:rsidR="00323FF9" w:rsidRPr="00323FF9" w:rsidRDefault="00323FF9" w:rsidP="00363416">
            <w:pPr>
              <w:ind w:left="222"/>
              <w:rPr>
                <w:rFonts w:ascii="Century Gothic" w:hAnsi="Century Gothic" w:cs="Arial"/>
                <w:sz w:val="28"/>
              </w:rPr>
            </w:pPr>
            <w:r w:rsidRPr="00323FF9">
              <w:rPr>
                <w:rFonts w:ascii="Century Gothic" w:hAnsi="Century Gothic" w:cs="Arial"/>
                <w:sz w:val="28"/>
              </w:rPr>
              <w:t>P1 Code</w:t>
            </w:r>
          </w:p>
        </w:tc>
      </w:tr>
      <w:tr w:rsidR="00FF4636" w14:paraId="15239AE6" w14:textId="77777777" w:rsidTr="00083918">
        <w:trPr>
          <w:cnfStyle w:val="000000100000" w:firstRow="0" w:lastRow="0" w:firstColumn="0" w:lastColumn="0" w:oddVBand="0" w:evenVBand="0" w:oddHBand="1" w:evenHBand="0" w:firstRowFirstColumn="0" w:firstRowLastColumn="0" w:lastRowFirstColumn="0" w:lastRowLastColumn="0"/>
          <w:trHeight w:val="88"/>
        </w:trPr>
        <w:tc>
          <w:tcPr>
            <w:tcW w:w="6978" w:type="dxa"/>
          </w:tcPr>
          <w:p w14:paraId="1D2171C3" w14:textId="77777777" w:rsidR="00323FF9" w:rsidRPr="00263D41" w:rsidRDefault="00323FF9" w:rsidP="00363416">
            <w:pPr>
              <w:ind w:left="180"/>
              <w:rPr>
                <w:rFonts w:ascii="Century Gothic" w:hAnsi="Century Gothic" w:cs="Arial"/>
                <w:color w:val="000000" w:themeColor="dark1"/>
                <w:kern w:val="24"/>
              </w:rPr>
            </w:pPr>
            <w:r>
              <w:rPr>
                <w:rFonts w:ascii="Century Gothic" w:hAnsi="Century Gothic" w:cs="Arial"/>
                <w:color w:val="000000" w:themeColor="dark1"/>
                <w:kern w:val="24"/>
              </w:rPr>
              <w:t>PERS Installation Fee</w:t>
            </w:r>
          </w:p>
        </w:tc>
        <w:tc>
          <w:tcPr>
            <w:tcW w:w="1698" w:type="dxa"/>
          </w:tcPr>
          <w:p w14:paraId="271614AB" w14:textId="77777777" w:rsidR="00323FF9" w:rsidRDefault="00323FF9" w:rsidP="00363416">
            <w:pPr>
              <w:ind w:left="222"/>
              <w:rPr>
                <w:rFonts w:ascii="Century Gothic" w:hAnsi="Century Gothic" w:cs="Arial"/>
              </w:rPr>
            </w:pPr>
            <w:r>
              <w:rPr>
                <w:rFonts w:ascii="Century Gothic" w:hAnsi="Century Gothic" w:cs="Arial"/>
              </w:rPr>
              <w:t>S5160</w:t>
            </w:r>
          </w:p>
        </w:tc>
      </w:tr>
      <w:tr w:rsidR="00FF4636" w:rsidRPr="00263D41" w14:paraId="3E878283" w14:textId="77777777" w:rsidTr="00083918">
        <w:trPr>
          <w:trHeight w:val="88"/>
        </w:trPr>
        <w:tc>
          <w:tcPr>
            <w:tcW w:w="6978" w:type="dxa"/>
            <w:hideMark/>
          </w:tcPr>
          <w:p w14:paraId="11FA1491" w14:textId="77777777" w:rsidR="00323FF9" w:rsidRPr="00263D41" w:rsidRDefault="00323FF9" w:rsidP="00363416">
            <w:pPr>
              <w:ind w:left="180"/>
              <w:rPr>
                <w:rFonts w:cs="Arial"/>
              </w:rPr>
            </w:pPr>
            <w:r w:rsidRPr="00263D41">
              <w:rPr>
                <w:rFonts w:ascii="Century Gothic" w:hAnsi="Century Gothic" w:cs="Arial"/>
                <w:color w:val="000000" w:themeColor="dark1"/>
                <w:kern w:val="24"/>
              </w:rPr>
              <w:t xml:space="preserve">PERS </w:t>
            </w:r>
          </w:p>
        </w:tc>
        <w:tc>
          <w:tcPr>
            <w:tcW w:w="1698" w:type="dxa"/>
            <w:hideMark/>
          </w:tcPr>
          <w:p w14:paraId="41F3BC31" w14:textId="77777777" w:rsidR="00323FF9" w:rsidRPr="00263D41" w:rsidRDefault="00323FF9" w:rsidP="00363416">
            <w:pPr>
              <w:ind w:left="222"/>
              <w:rPr>
                <w:rFonts w:ascii="Century Gothic" w:hAnsi="Century Gothic" w:cs="Arial"/>
              </w:rPr>
            </w:pPr>
            <w:r>
              <w:rPr>
                <w:rFonts w:ascii="Century Gothic" w:hAnsi="Century Gothic" w:cs="Arial"/>
              </w:rPr>
              <w:t>S5161</w:t>
            </w:r>
          </w:p>
        </w:tc>
      </w:tr>
      <w:tr w:rsidR="00FF4636" w:rsidRPr="00263D41" w14:paraId="7D872D21" w14:textId="77777777" w:rsidTr="00083918">
        <w:trPr>
          <w:cnfStyle w:val="000000100000" w:firstRow="0" w:lastRow="0" w:firstColumn="0" w:lastColumn="0" w:oddVBand="0" w:evenVBand="0" w:oddHBand="1" w:evenHBand="0" w:firstRowFirstColumn="0" w:firstRowLastColumn="0" w:lastRowFirstColumn="0" w:lastRowLastColumn="0"/>
          <w:trHeight w:val="124"/>
        </w:trPr>
        <w:tc>
          <w:tcPr>
            <w:tcW w:w="6978" w:type="dxa"/>
            <w:hideMark/>
          </w:tcPr>
          <w:p w14:paraId="6FA6A5D7" w14:textId="77777777" w:rsidR="00323FF9" w:rsidRPr="00263D41" w:rsidRDefault="00323FF9" w:rsidP="00363416">
            <w:pPr>
              <w:numPr>
                <w:ilvl w:val="0"/>
                <w:numId w:val="39"/>
              </w:numPr>
              <w:ind w:left="540" w:hanging="180"/>
              <w:rPr>
                <w:rFonts w:cs="Arial"/>
              </w:rPr>
            </w:pPr>
            <w:r w:rsidRPr="00263D41">
              <w:rPr>
                <w:rFonts w:ascii="Century Gothic" w:hAnsi="Century Gothic" w:cs="Arial"/>
                <w:color w:val="000000" w:themeColor="dark1"/>
                <w:kern w:val="24"/>
              </w:rPr>
              <w:t>GPS Add-on</w:t>
            </w:r>
            <w:r>
              <w:rPr>
                <w:rFonts w:ascii="Century Gothic" w:hAnsi="Century Gothic" w:cs="Arial"/>
                <w:color w:val="000000" w:themeColor="dark1"/>
                <w:kern w:val="24"/>
              </w:rPr>
              <w:t xml:space="preserve"> to PERS</w:t>
            </w:r>
            <w:r w:rsidR="00BD4C5B">
              <w:rPr>
                <w:rFonts w:ascii="Century Gothic" w:hAnsi="Century Gothic" w:cs="Arial"/>
                <w:color w:val="000000" w:themeColor="dark1"/>
                <w:kern w:val="24"/>
              </w:rPr>
              <w:t xml:space="preserve"> (Assistive Tech)</w:t>
            </w:r>
          </w:p>
        </w:tc>
        <w:tc>
          <w:tcPr>
            <w:tcW w:w="1698" w:type="dxa"/>
            <w:hideMark/>
          </w:tcPr>
          <w:p w14:paraId="67352988" w14:textId="77777777" w:rsidR="00323FF9" w:rsidRPr="00263D41" w:rsidRDefault="00323FF9" w:rsidP="00363416">
            <w:pPr>
              <w:ind w:left="222"/>
              <w:rPr>
                <w:rFonts w:ascii="Century Gothic" w:hAnsi="Century Gothic" w:cs="Arial"/>
              </w:rPr>
            </w:pPr>
            <w:r>
              <w:rPr>
                <w:rFonts w:ascii="Century Gothic" w:hAnsi="Century Gothic" w:cs="Arial"/>
              </w:rPr>
              <w:t xml:space="preserve">S5161 – U2 </w:t>
            </w:r>
          </w:p>
        </w:tc>
      </w:tr>
      <w:tr w:rsidR="00FF4636" w:rsidRPr="00263D41" w14:paraId="1A3AB773" w14:textId="77777777" w:rsidTr="00083918">
        <w:trPr>
          <w:trHeight w:val="160"/>
        </w:trPr>
        <w:tc>
          <w:tcPr>
            <w:tcW w:w="6978" w:type="dxa"/>
            <w:hideMark/>
          </w:tcPr>
          <w:p w14:paraId="45DB4C51" w14:textId="77777777" w:rsidR="00323FF9" w:rsidRPr="00263D41" w:rsidRDefault="00323FF9" w:rsidP="00363416">
            <w:pPr>
              <w:numPr>
                <w:ilvl w:val="0"/>
                <w:numId w:val="39"/>
              </w:numPr>
              <w:ind w:left="540" w:hanging="180"/>
              <w:rPr>
                <w:rFonts w:cs="Arial"/>
              </w:rPr>
            </w:pPr>
            <w:r w:rsidRPr="00263D41">
              <w:rPr>
                <w:rFonts w:ascii="Century Gothic" w:hAnsi="Century Gothic" w:cs="Arial"/>
                <w:color w:val="000000" w:themeColor="dark1"/>
                <w:kern w:val="24"/>
              </w:rPr>
              <w:t>Fall Detection Add-on</w:t>
            </w:r>
            <w:r>
              <w:rPr>
                <w:rFonts w:ascii="Century Gothic" w:hAnsi="Century Gothic" w:cs="Arial"/>
                <w:color w:val="000000" w:themeColor="dark1"/>
                <w:kern w:val="24"/>
              </w:rPr>
              <w:t xml:space="preserve"> to PERS</w:t>
            </w:r>
            <w:r w:rsidR="00BD4C5B">
              <w:rPr>
                <w:rFonts w:ascii="Century Gothic" w:hAnsi="Century Gothic" w:cs="Arial"/>
                <w:color w:val="000000" w:themeColor="dark1"/>
                <w:kern w:val="24"/>
              </w:rPr>
              <w:t xml:space="preserve"> (Assistive Tech)</w:t>
            </w:r>
            <w:r w:rsidR="00FF4636">
              <w:rPr>
                <w:rFonts w:ascii="Century Gothic" w:hAnsi="Century Gothic" w:cs="Arial"/>
                <w:color w:val="000000" w:themeColor="dark1"/>
                <w:kern w:val="24"/>
              </w:rPr>
              <w:t xml:space="preserve">    </w:t>
            </w:r>
          </w:p>
        </w:tc>
        <w:tc>
          <w:tcPr>
            <w:tcW w:w="1698" w:type="dxa"/>
            <w:hideMark/>
          </w:tcPr>
          <w:p w14:paraId="090B86B0" w14:textId="77777777" w:rsidR="00323FF9" w:rsidRPr="00263D41" w:rsidRDefault="00323FF9" w:rsidP="00363416">
            <w:pPr>
              <w:ind w:left="222"/>
              <w:rPr>
                <w:rFonts w:ascii="Century Gothic" w:hAnsi="Century Gothic" w:cs="Arial"/>
              </w:rPr>
            </w:pPr>
            <w:r>
              <w:rPr>
                <w:rFonts w:ascii="Century Gothic" w:hAnsi="Century Gothic" w:cs="Arial"/>
              </w:rPr>
              <w:t>S5161 – U1</w:t>
            </w:r>
          </w:p>
        </w:tc>
      </w:tr>
      <w:tr w:rsidR="00FF4636" w:rsidRPr="00263D41" w14:paraId="6C2627B3" w14:textId="77777777" w:rsidTr="00083918">
        <w:trPr>
          <w:cnfStyle w:val="000000100000" w:firstRow="0" w:lastRow="0" w:firstColumn="0" w:lastColumn="0" w:oddVBand="0" w:evenVBand="0" w:oddHBand="1" w:evenHBand="0" w:firstRowFirstColumn="0" w:firstRowLastColumn="0" w:lastRowFirstColumn="0" w:lastRowLastColumn="0"/>
          <w:trHeight w:val="196"/>
        </w:trPr>
        <w:tc>
          <w:tcPr>
            <w:tcW w:w="6978" w:type="dxa"/>
            <w:hideMark/>
          </w:tcPr>
          <w:p w14:paraId="599C8261" w14:textId="77777777" w:rsidR="00323FF9" w:rsidRPr="00263D41" w:rsidRDefault="00323FF9" w:rsidP="00363416">
            <w:pPr>
              <w:numPr>
                <w:ilvl w:val="0"/>
                <w:numId w:val="39"/>
              </w:numPr>
              <w:ind w:left="540" w:hanging="180"/>
              <w:rPr>
                <w:rFonts w:cs="Arial"/>
              </w:rPr>
            </w:pPr>
            <w:r>
              <w:rPr>
                <w:rFonts w:ascii="Century Gothic" w:hAnsi="Century Gothic" w:cs="Arial"/>
                <w:color w:val="000000" w:themeColor="dark1"/>
                <w:kern w:val="24"/>
              </w:rPr>
              <w:t>M</w:t>
            </w:r>
            <w:r w:rsidRPr="00263D41">
              <w:rPr>
                <w:rFonts w:ascii="Century Gothic" w:hAnsi="Century Gothic" w:cs="Arial"/>
                <w:color w:val="000000" w:themeColor="dark1"/>
                <w:kern w:val="24"/>
              </w:rPr>
              <w:t>edication System Add-on</w:t>
            </w:r>
            <w:r>
              <w:rPr>
                <w:rFonts w:ascii="Century Gothic" w:hAnsi="Century Gothic" w:cs="Arial"/>
                <w:color w:val="000000" w:themeColor="dark1"/>
                <w:kern w:val="24"/>
              </w:rPr>
              <w:t xml:space="preserve"> to PERS</w:t>
            </w:r>
            <w:r w:rsidR="00BD4C5B">
              <w:rPr>
                <w:rFonts w:ascii="Century Gothic" w:hAnsi="Century Gothic" w:cs="Arial"/>
                <w:color w:val="000000" w:themeColor="dark1"/>
                <w:kern w:val="24"/>
              </w:rPr>
              <w:t xml:space="preserve"> (Assistive Tech)</w:t>
            </w:r>
            <w:r w:rsidR="00FF4636">
              <w:rPr>
                <w:rFonts w:ascii="Century Gothic" w:hAnsi="Century Gothic" w:cs="Arial"/>
                <w:color w:val="000000" w:themeColor="dark1"/>
                <w:kern w:val="24"/>
              </w:rPr>
              <w:t xml:space="preserve">              </w:t>
            </w:r>
          </w:p>
        </w:tc>
        <w:tc>
          <w:tcPr>
            <w:tcW w:w="1698" w:type="dxa"/>
            <w:hideMark/>
          </w:tcPr>
          <w:p w14:paraId="6442A7A4" w14:textId="77777777" w:rsidR="00323FF9" w:rsidRPr="00263D41" w:rsidRDefault="00323FF9" w:rsidP="00363416">
            <w:pPr>
              <w:ind w:left="222"/>
              <w:rPr>
                <w:rFonts w:ascii="Century Gothic" w:hAnsi="Century Gothic" w:cs="Arial"/>
              </w:rPr>
            </w:pPr>
            <w:r>
              <w:rPr>
                <w:rFonts w:ascii="Century Gothic" w:hAnsi="Century Gothic" w:cs="Arial"/>
              </w:rPr>
              <w:t>S5161 – U3</w:t>
            </w:r>
          </w:p>
        </w:tc>
      </w:tr>
    </w:tbl>
    <w:p w14:paraId="0ECDF82A" w14:textId="77777777" w:rsidR="00323FF9" w:rsidRDefault="00323FF9" w:rsidP="00A912D1">
      <w:pPr>
        <w:ind w:left="720"/>
      </w:pPr>
    </w:p>
    <w:p w14:paraId="0556A51C" w14:textId="77777777" w:rsidR="00696ED7" w:rsidRDefault="00696ED7" w:rsidP="00A912D1">
      <w:pPr>
        <w:ind w:left="720"/>
        <w:rPr>
          <w:rFonts w:cs="Arial"/>
        </w:rPr>
      </w:pPr>
      <w:r>
        <w:rPr>
          <w:rFonts w:cs="Arial"/>
        </w:rPr>
        <w:t xml:space="preserve">The annual limit for assistive technology is $500 which equates to </w:t>
      </w:r>
      <w:r w:rsidR="004B355B">
        <w:rPr>
          <w:rFonts w:cs="Arial"/>
        </w:rPr>
        <w:t xml:space="preserve">not more than </w:t>
      </w:r>
      <w:r>
        <w:rPr>
          <w:rFonts w:cs="Arial"/>
        </w:rPr>
        <w:t xml:space="preserve">$41.67 per month. If the cost of the add-on exceeds $41.67 per month, an ETR must be requested </w:t>
      </w:r>
      <w:r w:rsidR="004B355B">
        <w:rPr>
          <w:rFonts w:cs="Arial"/>
        </w:rPr>
        <w:t xml:space="preserve">from headquarters </w:t>
      </w:r>
      <w:r>
        <w:rPr>
          <w:rFonts w:cs="Arial"/>
        </w:rPr>
        <w:t>to cover the cost of the item for the full fiscal year. If there are only a few months left in the year, the service may be authorized for the remainder of the fiscal year and an ETR would need to be requested for the following year when the total cost for that fiscal year would exceed $500.</w:t>
      </w:r>
      <w:r w:rsidR="004B355B">
        <w:rPr>
          <w:rFonts w:cs="Arial"/>
        </w:rPr>
        <w:t xml:space="preserve"> </w:t>
      </w:r>
    </w:p>
    <w:p w14:paraId="6808CDA7" w14:textId="77777777" w:rsidR="00696ED7" w:rsidRDefault="00696ED7" w:rsidP="00A912D1">
      <w:pPr>
        <w:ind w:left="720"/>
        <w:rPr>
          <w:rFonts w:cs="Arial"/>
        </w:rPr>
      </w:pPr>
    </w:p>
    <w:p w14:paraId="34C67F7F" w14:textId="77777777" w:rsidR="00323FF9" w:rsidRDefault="00323FF9" w:rsidP="00A912D1">
      <w:pPr>
        <w:ind w:left="720"/>
        <w:rPr>
          <w:rFonts w:cs="Arial"/>
        </w:rPr>
      </w:pPr>
      <w:r>
        <w:rPr>
          <w:rFonts w:cs="Arial"/>
        </w:rPr>
        <w:t xml:space="preserve">Once authorized, personal care add-ons </w:t>
      </w:r>
      <w:r w:rsidR="00696ED7">
        <w:rPr>
          <w:rFonts w:cs="Arial"/>
        </w:rPr>
        <w:t>must</w:t>
      </w:r>
      <w:r>
        <w:rPr>
          <w:rFonts w:cs="Arial"/>
        </w:rPr>
        <w:t xml:space="preserve"> be added to the </w:t>
      </w:r>
      <w:r w:rsidR="00FF4636">
        <w:rPr>
          <w:rFonts w:cs="Arial"/>
        </w:rPr>
        <w:t>annual limit</w:t>
      </w:r>
      <w:r w:rsidR="00696ED7">
        <w:rPr>
          <w:rFonts w:cs="Arial"/>
        </w:rPr>
        <w:t xml:space="preserve"> calculator in CARE. </w:t>
      </w:r>
      <w:r>
        <w:rPr>
          <w:rFonts w:cs="Arial"/>
        </w:rPr>
        <w:t xml:space="preserve">The </w:t>
      </w:r>
      <w:r w:rsidR="00696ED7">
        <w:rPr>
          <w:rFonts w:cs="Arial"/>
        </w:rPr>
        <w:t>monthly cost</w:t>
      </w:r>
      <w:r w:rsidR="00FF4636">
        <w:rPr>
          <w:rFonts w:cs="Arial"/>
        </w:rPr>
        <w:t xml:space="preserve"> of the add-on</w:t>
      </w:r>
      <w:r>
        <w:rPr>
          <w:rFonts w:cs="Arial"/>
        </w:rPr>
        <w:t xml:space="preserve"> </w:t>
      </w:r>
      <w:r w:rsidR="00696ED7">
        <w:rPr>
          <w:rFonts w:cs="Arial"/>
        </w:rPr>
        <w:t>is</w:t>
      </w:r>
      <w:r>
        <w:rPr>
          <w:rFonts w:cs="Arial"/>
        </w:rPr>
        <w:t xml:space="preserve"> </w:t>
      </w:r>
      <w:r w:rsidR="00696ED7">
        <w:rPr>
          <w:rFonts w:cs="Arial"/>
        </w:rPr>
        <w:t>m</w:t>
      </w:r>
      <w:r>
        <w:rPr>
          <w:rFonts w:cs="Arial"/>
        </w:rPr>
        <w:t xml:space="preserve">ultiplied by the number of months it will be used and the total annual cost should be charged to the client’s </w:t>
      </w:r>
      <w:r w:rsidR="00FF4636">
        <w:rPr>
          <w:rFonts w:cs="Arial"/>
        </w:rPr>
        <w:t>annual limit</w:t>
      </w:r>
      <w:r>
        <w:rPr>
          <w:rFonts w:cs="Arial"/>
        </w:rPr>
        <w:t xml:space="preserve">. </w:t>
      </w:r>
      <w:r w:rsidR="007B0B3A">
        <w:rPr>
          <w:rFonts w:cs="Arial"/>
        </w:rPr>
        <w:t xml:space="preserve">Anyone adding a system mid-fiscal </w:t>
      </w:r>
      <w:r w:rsidR="00BD4C5B">
        <w:rPr>
          <w:rFonts w:cs="Arial"/>
        </w:rPr>
        <w:t>year</w:t>
      </w:r>
      <w:r w:rsidR="007B0B3A">
        <w:rPr>
          <w:rFonts w:cs="Arial"/>
        </w:rPr>
        <w:t xml:space="preserve"> would need to have their system pro-rated.</w:t>
      </w:r>
    </w:p>
    <w:p w14:paraId="3E160055" w14:textId="77777777" w:rsidR="00804B58" w:rsidRDefault="00804B58" w:rsidP="00804B58">
      <w:pPr>
        <w:rPr>
          <w:rFonts w:cs="Arial"/>
        </w:rPr>
      </w:pPr>
    </w:p>
    <w:p w14:paraId="6D178482" w14:textId="77777777" w:rsidR="007B0B3A" w:rsidRDefault="00323FF9" w:rsidP="00A912D1">
      <w:pPr>
        <w:ind w:left="1440"/>
        <w:rPr>
          <w:rFonts w:cs="Arial"/>
        </w:rPr>
      </w:pPr>
      <w:r w:rsidRPr="00804B58">
        <w:rPr>
          <w:rFonts w:cs="Arial"/>
          <w:i/>
        </w:rPr>
        <w:t>Example</w:t>
      </w:r>
      <w:r w:rsidR="007B0B3A" w:rsidRPr="00804B58">
        <w:rPr>
          <w:rFonts w:cs="Arial"/>
          <w:i/>
        </w:rPr>
        <w:t xml:space="preserve"> 1 </w:t>
      </w:r>
      <w:r w:rsidR="00804B58" w:rsidRPr="00804B58">
        <w:rPr>
          <w:rFonts w:cs="Arial"/>
          <w:i/>
        </w:rPr>
        <w:t xml:space="preserve">– </w:t>
      </w:r>
      <w:r w:rsidR="007B0B3A" w:rsidRPr="00804B58">
        <w:rPr>
          <w:rFonts w:cs="Arial"/>
          <w:i/>
        </w:rPr>
        <w:t>no pro-ration</w:t>
      </w:r>
      <w:r w:rsidRPr="00804B58">
        <w:rPr>
          <w:rFonts w:cs="Arial"/>
          <w:i/>
        </w:rPr>
        <w:t>:</w:t>
      </w:r>
      <w:r>
        <w:rPr>
          <w:rFonts w:cs="Arial"/>
        </w:rPr>
        <w:t xml:space="preserve"> The client received a PERS unit in June 2015 and will have the unit </w:t>
      </w:r>
      <w:r w:rsidR="007B0B3A">
        <w:rPr>
          <w:rFonts w:cs="Arial"/>
        </w:rPr>
        <w:t>indefinitely</w:t>
      </w:r>
      <w:r>
        <w:rPr>
          <w:rFonts w:cs="Arial"/>
        </w:rPr>
        <w:t xml:space="preserve">.  He has a standard PERS with a fall detection add-on that costs $15 per month.  The monthly cost </w:t>
      </w:r>
      <w:r w:rsidR="007B0B3A">
        <w:rPr>
          <w:rFonts w:cs="Arial"/>
        </w:rPr>
        <w:t xml:space="preserve">of </w:t>
      </w:r>
      <w:r>
        <w:rPr>
          <w:rFonts w:cs="Arial"/>
        </w:rPr>
        <w:t>$15 is multiplied by 12 months and the total of $</w:t>
      </w:r>
      <w:r w:rsidR="007B0B3A">
        <w:rPr>
          <w:rFonts w:cs="Arial"/>
        </w:rPr>
        <w:t xml:space="preserve">180 is added to the calculator and counted toward the </w:t>
      </w:r>
      <w:r w:rsidR="009C726F">
        <w:rPr>
          <w:rFonts w:cs="Arial"/>
        </w:rPr>
        <w:t>annual limit</w:t>
      </w:r>
      <w:r w:rsidR="007B0B3A">
        <w:rPr>
          <w:rFonts w:cs="Arial"/>
        </w:rPr>
        <w:t xml:space="preserve">. </w:t>
      </w:r>
    </w:p>
    <w:p w14:paraId="3A4361F1" w14:textId="77777777" w:rsidR="007B0B3A" w:rsidRDefault="007B0B3A" w:rsidP="00323FF9">
      <w:pPr>
        <w:ind w:left="1440"/>
        <w:rPr>
          <w:rFonts w:cs="Arial"/>
        </w:rPr>
      </w:pPr>
    </w:p>
    <w:p w14:paraId="461137FC" w14:textId="77777777" w:rsidR="00323FF9" w:rsidRPr="00323FF9" w:rsidRDefault="007B0B3A" w:rsidP="00A912D1">
      <w:pPr>
        <w:ind w:left="1440"/>
        <w:rPr>
          <w:rFonts w:cs="Arial"/>
        </w:rPr>
      </w:pPr>
      <w:r w:rsidRPr="00804B58">
        <w:rPr>
          <w:rFonts w:cs="Arial"/>
          <w:i/>
        </w:rPr>
        <w:t xml:space="preserve">Example 2 </w:t>
      </w:r>
      <w:r w:rsidR="00804B58">
        <w:rPr>
          <w:rFonts w:cs="Arial"/>
          <w:i/>
        </w:rPr>
        <w:t xml:space="preserve">– </w:t>
      </w:r>
      <w:r w:rsidRPr="00804B58">
        <w:rPr>
          <w:rFonts w:cs="Arial"/>
          <w:i/>
        </w:rPr>
        <w:t>with pro-ration:</w:t>
      </w:r>
      <w:r>
        <w:rPr>
          <w:rFonts w:cs="Arial"/>
        </w:rPr>
        <w:t xml:space="preserve"> The client received a PERS unit in January of 2016 and will have the unit indefinitely.  </w:t>
      </w:r>
      <w:r w:rsidR="009C726F">
        <w:rPr>
          <w:rFonts w:cs="Arial"/>
        </w:rPr>
        <w:t>Sh</w:t>
      </w:r>
      <w:r>
        <w:rPr>
          <w:rFonts w:cs="Arial"/>
        </w:rPr>
        <w:t xml:space="preserve">e has a standard PERS unit with a GPS add-on that costs $20 per month. The monthly cost of $20 is multiplied by the number of months left in the fiscal year, which, including January would be 6 months. The total cost of $120 would be added to the calculator and counted toward the </w:t>
      </w:r>
      <w:r w:rsidR="009C726F">
        <w:rPr>
          <w:rFonts w:cs="Arial"/>
        </w:rPr>
        <w:t>current annual limit</w:t>
      </w:r>
      <w:r>
        <w:rPr>
          <w:rFonts w:cs="Arial"/>
        </w:rPr>
        <w:t xml:space="preserve">. A tickler would then be added to the client’s file to show up in June to remind the primary case manager to add the cost of the add-on to the </w:t>
      </w:r>
      <w:r w:rsidR="009C726F">
        <w:rPr>
          <w:rFonts w:cs="Arial"/>
        </w:rPr>
        <w:t>annual</w:t>
      </w:r>
      <w:r>
        <w:rPr>
          <w:rFonts w:cs="Arial"/>
        </w:rPr>
        <w:t xml:space="preserve"> calculator on July 1 for the next year of service. At that time, the $20 per month would be multiplied by 12 months </w:t>
      </w:r>
      <w:r w:rsidR="00D239D5">
        <w:rPr>
          <w:rFonts w:cs="Arial"/>
        </w:rPr>
        <w:t xml:space="preserve">and </w:t>
      </w:r>
      <w:r>
        <w:rPr>
          <w:rFonts w:cs="Arial"/>
        </w:rPr>
        <w:t xml:space="preserve">the total of $240 would be added to the calculator and counted toward the </w:t>
      </w:r>
      <w:r w:rsidR="00D239D5">
        <w:rPr>
          <w:rFonts w:cs="Arial"/>
        </w:rPr>
        <w:t xml:space="preserve">next year’s </w:t>
      </w:r>
      <w:r w:rsidR="009C726F">
        <w:rPr>
          <w:rFonts w:cs="Arial"/>
        </w:rPr>
        <w:t>annual limit.</w:t>
      </w:r>
    </w:p>
    <w:p w14:paraId="1D9DABCB" w14:textId="77777777" w:rsidR="00323FF9" w:rsidRDefault="00323FF9" w:rsidP="00B31B97">
      <w:pPr>
        <w:ind w:left="360"/>
        <w:rPr>
          <w:rFonts w:cs="Arial"/>
          <w:b/>
        </w:rPr>
      </w:pPr>
    </w:p>
    <w:p w14:paraId="44D45E24" w14:textId="77777777" w:rsidR="00B31B97" w:rsidRPr="00F67F82" w:rsidRDefault="00B31B97" w:rsidP="00B31B97">
      <w:pPr>
        <w:ind w:left="360"/>
        <w:rPr>
          <w:rFonts w:cs="Arial"/>
        </w:rPr>
      </w:pPr>
      <w:r w:rsidRPr="00F67F82">
        <w:rPr>
          <w:rFonts w:cs="Arial"/>
          <w:b/>
        </w:rPr>
        <w:t>Personal Emergency Response System (PERS)</w:t>
      </w:r>
      <w:r>
        <w:rPr>
          <w:rFonts w:cs="Arial"/>
          <w:b/>
        </w:rPr>
        <w:t xml:space="preserve"> Eligibility</w:t>
      </w:r>
    </w:p>
    <w:p w14:paraId="222C6B4A" w14:textId="77777777" w:rsidR="00B31B97" w:rsidRPr="00F67F82" w:rsidRDefault="00B31B97" w:rsidP="009862C2">
      <w:pPr>
        <w:numPr>
          <w:ilvl w:val="0"/>
          <w:numId w:val="13"/>
        </w:numPr>
        <w:ind w:left="1080"/>
        <w:rPr>
          <w:rFonts w:cs="Arial"/>
        </w:rPr>
      </w:pPr>
      <w:r>
        <w:rPr>
          <w:rFonts w:cs="Arial"/>
        </w:rPr>
        <w:t>Standard PERS</w:t>
      </w:r>
      <w:r w:rsidR="00D165AD">
        <w:rPr>
          <w:rFonts w:cs="Arial"/>
        </w:rPr>
        <w:t xml:space="preserve"> using a land line or using wireless technology</w:t>
      </w:r>
      <w:r>
        <w:rPr>
          <w:rFonts w:cs="Arial"/>
        </w:rPr>
        <w:t xml:space="preserve">: </w:t>
      </w:r>
      <w:r w:rsidRPr="00F67F82">
        <w:rPr>
          <w:rFonts w:cs="Arial"/>
        </w:rPr>
        <w:t xml:space="preserve">If the service is necessary to enable the </w:t>
      </w:r>
      <w:r w:rsidR="00A02177">
        <w:rPr>
          <w:rFonts w:cs="Arial"/>
        </w:rPr>
        <w:t>client</w:t>
      </w:r>
      <w:r w:rsidR="00A02177" w:rsidRPr="00F67F82">
        <w:rPr>
          <w:rFonts w:cs="Arial"/>
        </w:rPr>
        <w:t xml:space="preserve"> </w:t>
      </w:r>
      <w:r w:rsidRPr="00F67F82">
        <w:rPr>
          <w:rFonts w:cs="Arial"/>
        </w:rPr>
        <w:t xml:space="preserve">to secure help in the event of an emergency and if the </w:t>
      </w:r>
      <w:r w:rsidR="00A02177">
        <w:rPr>
          <w:rFonts w:cs="Arial"/>
        </w:rPr>
        <w:t>client</w:t>
      </w:r>
      <w:r w:rsidRPr="00F67F82">
        <w:rPr>
          <w:rFonts w:cs="Arial"/>
        </w:rPr>
        <w:t>:</w:t>
      </w:r>
    </w:p>
    <w:p w14:paraId="1D1CB20D" w14:textId="77777777" w:rsidR="00B31B97" w:rsidRPr="00F67F82" w:rsidRDefault="00B31B97" w:rsidP="009862C2">
      <w:pPr>
        <w:numPr>
          <w:ilvl w:val="1"/>
          <w:numId w:val="14"/>
        </w:numPr>
        <w:ind w:left="1800"/>
        <w:rPr>
          <w:rFonts w:cs="Arial"/>
        </w:rPr>
      </w:pPr>
      <w:r w:rsidRPr="00F67F82">
        <w:rPr>
          <w:rFonts w:cs="Arial"/>
        </w:rPr>
        <w:t xml:space="preserve">Lives alone in his/her own home; </w:t>
      </w:r>
      <w:r w:rsidR="004B355B">
        <w:rPr>
          <w:rFonts w:cs="Arial"/>
        </w:rPr>
        <w:t>or</w:t>
      </w:r>
    </w:p>
    <w:p w14:paraId="70E77117" w14:textId="77777777" w:rsidR="00B31B97" w:rsidRPr="00F67F82" w:rsidRDefault="00B31B97" w:rsidP="009862C2">
      <w:pPr>
        <w:numPr>
          <w:ilvl w:val="1"/>
          <w:numId w:val="14"/>
        </w:numPr>
        <w:ind w:left="1800"/>
        <w:rPr>
          <w:rFonts w:cs="Arial"/>
        </w:rPr>
      </w:pPr>
      <w:r w:rsidRPr="00F67F82">
        <w:rPr>
          <w:rFonts w:cs="Arial"/>
        </w:rPr>
        <w:t xml:space="preserve">Is alone, in his/her home, for significant parts of the day and </w:t>
      </w:r>
      <w:r>
        <w:rPr>
          <w:rFonts w:cs="Arial"/>
        </w:rPr>
        <w:t>has</w:t>
      </w:r>
      <w:r w:rsidRPr="00F67F82">
        <w:rPr>
          <w:rFonts w:cs="Arial"/>
        </w:rPr>
        <w:t xml:space="preserve"> no regular provider for extended periods of time; or</w:t>
      </w:r>
    </w:p>
    <w:p w14:paraId="79EA6D6C" w14:textId="77777777" w:rsidR="00B31B97" w:rsidRPr="00F67F82" w:rsidRDefault="00B31B97" w:rsidP="009862C2">
      <w:pPr>
        <w:numPr>
          <w:ilvl w:val="1"/>
          <w:numId w:val="14"/>
        </w:numPr>
        <w:ind w:left="1800"/>
        <w:rPr>
          <w:rFonts w:cs="Arial"/>
        </w:rPr>
      </w:pPr>
      <w:r>
        <w:rPr>
          <w:rFonts w:cs="Arial"/>
        </w:rPr>
        <w:t>No</w:t>
      </w:r>
      <w:r w:rsidRPr="00F67F82">
        <w:rPr>
          <w:rFonts w:cs="Arial"/>
        </w:rPr>
        <w:t xml:space="preserve"> one in the </w:t>
      </w:r>
      <w:r w:rsidR="00A02177">
        <w:rPr>
          <w:rFonts w:cs="Arial"/>
        </w:rPr>
        <w:t>client’s</w:t>
      </w:r>
      <w:r w:rsidR="00A02177" w:rsidRPr="00F67F82">
        <w:rPr>
          <w:rFonts w:cs="Arial"/>
        </w:rPr>
        <w:t xml:space="preserve"> </w:t>
      </w:r>
      <w:r w:rsidRPr="00F67F82">
        <w:rPr>
          <w:rFonts w:cs="Arial"/>
        </w:rPr>
        <w:t xml:space="preserve">home, including the </w:t>
      </w:r>
      <w:r w:rsidR="00A02177">
        <w:rPr>
          <w:rFonts w:cs="Arial"/>
        </w:rPr>
        <w:t>client</w:t>
      </w:r>
      <w:r>
        <w:rPr>
          <w:rFonts w:cs="Arial"/>
        </w:rPr>
        <w:t>,</w:t>
      </w:r>
      <w:r w:rsidRPr="00F67F82">
        <w:rPr>
          <w:rFonts w:cs="Arial"/>
        </w:rPr>
        <w:t xml:space="preserve"> can secure help in an emergency.</w:t>
      </w:r>
    </w:p>
    <w:p w14:paraId="3174C1FE" w14:textId="77777777" w:rsidR="00B31B97" w:rsidRDefault="00B31B97" w:rsidP="009862C2">
      <w:pPr>
        <w:pStyle w:val="ListParagraph"/>
        <w:numPr>
          <w:ilvl w:val="0"/>
          <w:numId w:val="13"/>
        </w:numPr>
        <w:ind w:left="1080" w:hanging="450"/>
        <w:rPr>
          <w:rFonts w:cs="Arial"/>
        </w:rPr>
      </w:pPr>
      <w:r>
        <w:rPr>
          <w:rFonts w:cs="Arial"/>
        </w:rPr>
        <w:t xml:space="preserve">PERS with fall detection if the </w:t>
      </w:r>
      <w:r w:rsidR="00A02177">
        <w:rPr>
          <w:rFonts w:cs="Arial"/>
        </w:rPr>
        <w:t>client</w:t>
      </w:r>
      <w:r>
        <w:rPr>
          <w:rFonts w:cs="Arial"/>
        </w:rPr>
        <w:t>:</w:t>
      </w:r>
    </w:p>
    <w:p w14:paraId="67430D8E" w14:textId="77777777" w:rsidR="00B31B97" w:rsidRPr="00E532BF" w:rsidRDefault="00B31B97" w:rsidP="009862C2">
      <w:pPr>
        <w:numPr>
          <w:ilvl w:val="0"/>
          <w:numId w:val="18"/>
        </w:numPr>
        <w:ind w:left="1800"/>
        <w:rPr>
          <w:rFonts w:cs="Arial"/>
        </w:rPr>
      </w:pPr>
      <w:r>
        <w:rPr>
          <w:rFonts w:cs="Arial"/>
        </w:rPr>
        <w:t xml:space="preserve">Is </w:t>
      </w:r>
      <w:r w:rsidRPr="00E532BF">
        <w:rPr>
          <w:rFonts w:cs="Arial"/>
        </w:rPr>
        <w:t>eligible for a standard PERS unit;</w:t>
      </w:r>
      <w:r w:rsidR="00F212CF">
        <w:rPr>
          <w:rFonts w:cs="Arial"/>
        </w:rPr>
        <w:t xml:space="preserve"> and</w:t>
      </w:r>
    </w:p>
    <w:p w14:paraId="126BEA17" w14:textId="15CB04FB" w:rsidR="00B31B97" w:rsidRPr="00E532BF" w:rsidRDefault="00B31B97" w:rsidP="009862C2">
      <w:pPr>
        <w:numPr>
          <w:ilvl w:val="0"/>
          <w:numId w:val="18"/>
        </w:numPr>
        <w:ind w:left="1800"/>
        <w:rPr>
          <w:rFonts w:cs="Arial"/>
        </w:rPr>
      </w:pPr>
      <w:r w:rsidRPr="00E532BF">
        <w:rPr>
          <w:rFonts w:cs="Arial"/>
        </w:rPr>
        <w:t>Ha</w:t>
      </w:r>
      <w:r>
        <w:rPr>
          <w:rFonts w:cs="Arial"/>
        </w:rPr>
        <w:t>s</w:t>
      </w:r>
      <w:r w:rsidRPr="00E532BF">
        <w:rPr>
          <w:rFonts w:cs="Arial"/>
        </w:rPr>
        <w:t xml:space="preserve"> a recent documented history of falls.</w:t>
      </w:r>
    </w:p>
    <w:p w14:paraId="51001E3D" w14:textId="77777777" w:rsidR="00B31B97" w:rsidRPr="00855D67" w:rsidRDefault="00B31B97" w:rsidP="009862C2">
      <w:pPr>
        <w:pStyle w:val="ListParagraph"/>
        <w:numPr>
          <w:ilvl w:val="0"/>
          <w:numId w:val="13"/>
        </w:numPr>
        <w:ind w:left="1080" w:hanging="450"/>
        <w:rPr>
          <w:rFonts w:cs="Arial"/>
        </w:rPr>
      </w:pPr>
      <w:r w:rsidRPr="00855D67">
        <w:rPr>
          <w:rFonts w:cs="Arial"/>
        </w:rPr>
        <w:t xml:space="preserve">PERS with GPS tracking device or an anklet/bracelet/pendant with locator capabilities if the </w:t>
      </w:r>
      <w:r w:rsidR="00A02177">
        <w:rPr>
          <w:rFonts w:cs="Arial"/>
        </w:rPr>
        <w:t>client</w:t>
      </w:r>
      <w:r w:rsidRPr="00855D67">
        <w:rPr>
          <w:rFonts w:cs="Arial"/>
        </w:rPr>
        <w:t>:</w:t>
      </w:r>
    </w:p>
    <w:p w14:paraId="0C94F89C" w14:textId="77777777" w:rsidR="00961734" w:rsidRDefault="00961734" w:rsidP="00A02177">
      <w:pPr>
        <w:pStyle w:val="ListParagraph"/>
        <w:numPr>
          <w:ilvl w:val="1"/>
          <w:numId w:val="13"/>
        </w:numPr>
        <w:ind w:left="1800"/>
        <w:rPr>
          <w:rFonts w:cs="Arial"/>
        </w:rPr>
      </w:pPr>
      <w:r>
        <w:rPr>
          <w:rFonts w:cs="Arial"/>
        </w:rPr>
        <w:t>Has a recent documented history of short-term memory loss</w:t>
      </w:r>
      <w:r w:rsidR="00A02177">
        <w:rPr>
          <w:rFonts w:cs="Arial"/>
        </w:rPr>
        <w:t>; and a recent documented history of wandering with exit seeking behavior; or</w:t>
      </w:r>
    </w:p>
    <w:p w14:paraId="4A12221B" w14:textId="77777777" w:rsidR="00961734" w:rsidRDefault="00A02177" w:rsidP="009862C2">
      <w:pPr>
        <w:pStyle w:val="ListParagraph"/>
        <w:numPr>
          <w:ilvl w:val="1"/>
          <w:numId w:val="13"/>
        </w:numPr>
        <w:ind w:left="1800"/>
        <w:rPr>
          <w:rFonts w:cs="Arial"/>
        </w:rPr>
      </w:pPr>
      <w:r>
        <w:rPr>
          <w:rFonts w:cs="Arial"/>
        </w:rPr>
        <w:t>Has a recent documented history of getting lost in familiar surroundings and being unaware of the need or unable to ask for assistance; and</w:t>
      </w:r>
    </w:p>
    <w:p w14:paraId="34B350CF" w14:textId="77777777" w:rsidR="004B355B" w:rsidRDefault="004B355B" w:rsidP="009862C2">
      <w:pPr>
        <w:pStyle w:val="ListParagraph"/>
        <w:numPr>
          <w:ilvl w:val="1"/>
          <w:numId w:val="13"/>
        </w:numPr>
        <w:ind w:left="1800"/>
        <w:rPr>
          <w:rFonts w:cs="Arial"/>
        </w:rPr>
      </w:pPr>
      <w:r>
        <w:rPr>
          <w:rFonts w:cs="Arial"/>
        </w:rPr>
        <w:t>I</w:t>
      </w:r>
      <w:r w:rsidR="00912FCD">
        <w:rPr>
          <w:rFonts w:cs="Arial"/>
        </w:rPr>
        <w:t>n addition, i</w:t>
      </w:r>
      <w:r>
        <w:rPr>
          <w:rFonts w:cs="Arial"/>
        </w:rPr>
        <w:t xml:space="preserve">f the </w:t>
      </w:r>
      <w:r w:rsidR="00A02177">
        <w:rPr>
          <w:rFonts w:cs="Arial"/>
        </w:rPr>
        <w:t>client</w:t>
      </w:r>
      <w:r>
        <w:rPr>
          <w:rFonts w:cs="Arial"/>
        </w:rPr>
        <w:t xml:space="preserve"> is under the age of 12, there must be information presented at the assessment that due to the </w:t>
      </w:r>
      <w:r w:rsidR="00A02177">
        <w:rPr>
          <w:rFonts w:cs="Arial"/>
        </w:rPr>
        <w:t>client’s</w:t>
      </w:r>
      <w:r>
        <w:rPr>
          <w:rFonts w:cs="Arial"/>
        </w:rPr>
        <w:t xml:space="preserve"> </w:t>
      </w:r>
      <w:r>
        <w:rPr>
          <w:rFonts w:cs="Arial"/>
        </w:rPr>
        <w:lastRenderedPageBreak/>
        <w:t>disability the support</w:t>
      </w:r>
      <w:r w:rsidR="00A02177">
        <w:rPr>
          <w:rFonts w:cs="Arial"/>
        </w:rPr>
        <w:t xml:space="preserve"> </w:t>
      </w:r>
      <w:r>
        <w:rPr>
          <w:rFonts w:cs="Arial"/>
        </w:rPr>
        <w:t>provided for memory or decision making is greater than is typical for a person of their age.</w:t>
      </w:r>
    </w:p>
    <w:p w14:paraId="5E2FD75C" w14:textId="77777777" w:rsidR="00323FF9" w:rsidRDefault="00323FF9" w:rsidP="009862C2">
      <w:pPr>
        <w:pStyle w:val="ListParagraph"/>
        <w:numPr>
          <w:ilvl w:val="1"/>
          <w:numId w:val="13"/>
        </w:numPr>
        <w:ind w:left="1800"/>
        <w:rPr>
          <w:rFonts w:cs="Arial"/>
        </w:rPr>
      </w:pPr>
      <w:r>
        <w:rPr>
          <w:rFonts w:cs="Arial"/>
        </w:rPr>
        <w:t xml:space="preserve">PERS with GPS is the only </w:t>
      </w:r>
      <w:r w:rsidR="00921D9B">
        <w:rPr>
          <w:rFonts w:cs="Arial"/>
        </w:rPr>
        <w:t xml:space="preserve">PERS </w:t>
      </w:r>
      <w:r>
        <w:rPr>
          <w:rFonts w:cs="Arial"/>
        </w:rPr>
        <w:t xml:space="preserve">system that may be provided in a residential setting. </w:t>
      </w:r>
    </w:p>
    <w:p w14:paraId="6C65CD2B" w14:textId="77777777" w:rsidR="00470F23" w:rsidRDefault="00323FF9" w:rsidP="009862C2">
      <w:pPr>
        <w:pStyle w:val="ListParagraph"/>
        <w:numPr>
          <w:ilvl w:val="2"/>
          <w:numId w:val="13"/>
        </w:numPr>
        <w:rPr>
          <w:rFonts w:cs="Arial"/>
        </w:rPr>
      </w:pPr>
      <w:r>
        <w:rPr>
          <w:rFonts w:cs="Arial"/>
        </w:rPr>
        <w:t xml:space="preserve">The PERS system </w:t>
      </w:r>
      <w:r w:rsidR="00470F23">
        <w:rPr>
          <w:rFonts w:cs="Arial"/>
        </w:rPr>
        <w:t xml:space="preserve">and all installation fees are </w:t>
      </w:r>
      <w:r>
        <w:rPr>
          <w:rFonts w:cs="Arial"/>
        </w:rPr>
        <w:t xml:space="preserve">a </w:t>
      </w:r>
      <w:r w:rsidR="00470F23">
        <w:rPr>
          <w:rFonts w:cs="Arial"/>
        </w:rPr>
        <w:t>covered service.</w:t>
      </w:r>
    </w:p>
    <w:p w14:paraId="187CE847" w14:textId="77777777" w:rsidR="00323FF9" w:rsidRDefault="00470F23" w:rsidP="009862C2">
      <w:pPr>
        <w:pStyle w:val="ListParagraph"/>
        <w:numPr>
          <w:ilvl w:val="2"/>
          <w:numId w:val="13"/>
        </w:numPr>
        <w:rPr>
          <w:rFonts w:cs="Arial"/>
        </w:rPr>
      </w:pPr>
      <w:r>
        <w:rPr>
          <w:rFonts w:cs="Arial"/>
        </w:rPr>
        <w:t>T</w:t>
      </w:r>
      <w:r w:rsidR="00323FF9">
        <w:rPr>
          <w:rFonts w:cs="Arial"/>
        </w:rPr>
        <w:t xml:space="preserve">he GPS add-on is paid for using the client’s </w:t>
      </w:r>
      <w:r>
        <w:rPr>
          <w:rFonts w:cs="Arial"/>
        </w:rPr>
        <w:t>annual</w:t>
      </w:r>
      <w:r w:rsidR="00323FF9">
        <w:rPr>
          <w:rFonts w:cs="Arial"/>
        </w:rPr>
        <w:t xml:space="preserve"> limit and is considered Assistive Technology. </w:t>
      </w:r>
    </w:p>
    <w:p w14:paraId="0AE7B6CD" w14:textId="77777777" w:rsidR="00323FF9" w:rsidRDefault="00323FF9" w:rsidP="009862C2">
      <w:pPr>
        <w:pStyle w:val="ListParagraph"/>
        <w:numPr>
          <w:ilvl w:val="2"/>
          <w:numId w:val="13"/>
        </w:numPr>
        <w:rPr>
          <w:rFonts w:cs="Arial"/>
        </w:rPr>
      </w:pPr>
      <w:r>
        <w:rPr>
          <w:rFonts w:cs="Arial"/>
        </w:rPr>
        <w:t xml:space="preserve">Clients </w:t>
      </w:r>
      <w:r w:rsidR="00921D9B">
        <w:rPr>
          <w:rFonts w:cs="Arial"/>
        </w:rPr>
        <w:t xml:space="preserve">must meet the eligibility for GPS and </w:t>
      </w:r>
      <w:r>
        <w:rPr>
          <w:rFonts w:cs="Arial"/>
        </w:rPr>
        <w:t>may not access a PERS without GPS capabilities in a residential setting.</w:t>
      </w:r>
    </w:p>
    <w:p w14:paraId="765C8320" w14:textId="77777777" w:rsidR="00B31B97" w:rsidRPr="00E532BF" w:rsidRDefault="00B31B97" w:rsidP="009862C2">
      <w:pPr>
        <w:pStyle w:val="ListParagraph"/>
        <w:numPr>
          <w:ilvl w:val="0"/>
          <w:numId w:val="13"/>
        </w:numPr>
        <w:ind w:left="1080"/>
        <w:rPr>
          <w:rFonts w:cs="Arial"/>
        </w:rPr>
      </w:pPr>
      <w:r w:rsidRPr="00E532BF">
        <w:rPr>
          <w:rFonts w:cs="Arial"/>
        </w:rPr>
        <w:t>A medication reminder if the participant:</w:t>
      </w:r>
    </w:p>
    <w:p w14:paraId="561F6CB8" w14:textId="77777777" w:rsidR="00B31B97" w:rsidRPr="00F67F82" w:rsidRDefault="00B31B97" w:rsidP="009862C2">
      <w:pPr>
        <w:pStyle w:val="ListParagraph"/>
        <w:numPr>
          <w:ilvl w:val="1"/>
          <w:numId w:val="15"/>
        </w:numPr>
        <w:ind w:left="1800"/>
        <w:rPr>
          <w:rFonts w:cs="Arial"/>
        </w:rPr>
      </w:pPr>
      <w:r w:rsidRPr="00F67F82">
        <w:rPr>
          <w:rFonts w:cs="Arial"/>
        </w:rPr>
        <w:t xml:space="preserve">Is eligible for a </w:t>
      </w:r>
      <w:r>
        <w:rPr>
          <w:rFonts w:cs="Arial"/>
        </w:rPr>
        <w:t xml:space="preserve">standard </w:t>
      </w:r>
      <w:r w:rsidRPr="00F67F82">
        <w:rPr>
          <w:rFonts w:cs="Arial"/>
        </w:rPr>
        <w:t>PERS unit;</w:t>
      </w:r>
      <w:r w:rsidR="00F212CF">
        <w:rPr>
          <w:rFonts w:cs="Arial"/>
        </w:rPr>
        <w:t xml:space="preserve"> and</w:t>
      </w:r>
    </w:p>
    <w:p w14:paraId="0E9A9FB2" w14:textId="77777777" w:rsidR="00F212CF" w:rsidRDefault="00B31B97" w:rsidP="009862C2">
      <w:pPr>
        <w:pStyle w:val="ListParagraph"/>
        <w:numPr>
          <w:ilvl w:val="1"/>
          <w:numId w:val="15"/>
        </w:numPr>
        <w:ind w:left="1800"/>
        <w:rPr>
          <w:rFonts w:cs="Arial"/>
        </w:rPr>
      </w:pPr>
      <w:r w:rsidRPr="00C92821">
        <w:rPr>
          <w:rFonts w:cs="Arial"/>
        </w:rPr>
        <w:t xml:space="preserve">Does not have a caregiver available to provide the service; </w:t>
      </w:r>
      <w:r w:rsidR="00F212CF">
        <w:rPr>
          <w:rFonts w:cs="Arial"/>
        </w:rPr>
        <w:t>and</w:t>
      </w:r>
    </w:p>
    <w:p w14:paraId="5CED22C4" w14:textId="77777777" w:rsidR="00217A9C" w:rsidRPr="00F212CF" w:rsidRDefault="00F212CF" w:rsidP="009862C2">
      <w:pPr>
        <w:pStyle w:val="ListParagraph"/>
        <w:numPr>
          <w:ilvl w:val="1"/>
          <w:numId w:val="15"/>
        </w:numPr>
        <w:ind w:left="1800"/>
        <w:rPr>
          <w:rFonts w:cs="Arial"/>
        </w:rPr>
      </w:pPr>
      <w:r>
        <w:rPr>
          <w:rFonts w:cs="Arial"/>
        </w:rPr>
        <w:t>I</w:t>
      </w:r>
      <w:r w:rsidR="00B31B97" w:rsidRPr="00F212CF">
        <w:rPr>
          <w:rFonts w:cs="Arial"/>
        </w:rPr>
        <w:t>s able to use the reminder</w:t>
      </w:r>
      <w:r w:rsidR="00D74904">
        <w:rPr>
          <w:rFonts w:cs="Arial"/>
        </w:rPr>
        <w:t xml:space="preserve"> system</w:t>
      </w:r>
      <w:r w:rsidR="00B31B97" w:rsidRPr="00F212CF">
        <w:rPr>
          <w:rFonts w:cs="Arial"/>
        </w:rPr>
        <w:t xml:space="preserve"> to take </w:t>
      </w:r>
      <w:r w:rsidR="00D74904">
        <w:rPr>
          <w:rFonts w:cs="Arial"/>
        </w:rPr>
        <w:t xml:space="preserve">his or </w:t>
      </w:r>
      <w:r w:rsidR="00B31B97" w:rsidRPr="00F212CF">
        <w:rPr>
          <w:rFonts w:cs="Arial"/>
        </w:rPr>
        <w:t>her medications</w:t>
      </w:r>
      <w:r>
        <w:rPr>
          <w:rFonts w:cs="Arial"/>
        </w:rPr>
        <w:t>.</w:t>
      </w:r>
      <w:r w:rsidR="00B31B97" w:rsidRPr="00F212CF">
        <w:rPr>
          <w:rFonts w:cs="Arial"/>
          <w:color w:val="FF0000"/>
        </w:rPr>
        <w:br/>
      </w:r>
    </w:p>
    <w:p w14:paraId="105B8E66" w14:textId="77777777" w:rsidR="00217A9C" w:rsidRPr="00855D67" w:rsidRDefault="00217A9C" w:rsidP="00B31B97">
      <w:pPr>
        <w:pStyle w:val="ListParagraph"/>
        <w:rPr>
          <w:rFonts w:cs="Arial"/>
          <w:b/>
        </w:rPr>
      </w:pPr>
      <w:r w:rsidRPr="00855D67">
        <w:rPr>
          <w:rFonts w:cs="Arial"/>
          <w:b/>
        </w:rPr>
        <w:t>Exclusions and limits:</w:t>
      </w:r>
    </w:p>
    <w:p w14:paraId="00717A4B" w14:textId="77777777" w:rsidR="00323FF9" w:rsidRDefault="00627ABD" w:rsidP="009862C2">
      <w:pPr>
        <w:pStyle w:val="ListParagraph"/>
        <w:numPr>
          <w:ilvl w:val="0"/>
          <w:numId w:val="16"/>
        </w:numPr>
        <w:ind w:left="1884"/>
        <w:rPr>
          <w:rFonts w:cs="Arial"/>
        </w:rPr>
      </w:pPr>
      <w:r>
        <w:rPr>
          <w:rFonts w:cs="Arial"/>
        </w:rPr>
        <w:t xml:space="preserve">A </w:t>
      </w:r>
      <w:r w:rsidR="00323FF9">
        <w:rPr>
          <w:rFonts w:cs="Arial"/>
        </w:rPr>
        <w:t xml:space="preserve">PERS </w:t>
      </w:r>
      <w:r>
        <w:rPr>
          <w:rFonts w:cs="Arial"/>
        </w:rPr>
        <w:t xml:space="preserve">that </w:t>
      </w:r>
      <w:r w:rsidR="00E40BED">
        <w:rPr>
          <w:rFonts w:cs="Arial"/>
        </w:rPr>
        <w:t>does not</w:t>
      </w:r>
      <w:r>
        <w:rPr>
          <w:rFonts w:cs="Arial"/>
        </w:rPr>
        <w:t xml:space="preserve"> include</w:t>
      </w:r>
      <w:r w:rsidR="00323FF9">
        <w:rPr>
          <w:rFonts w:cs="Arial"/>
        </w:rPr>
        <w:t xml:space="preserve"> a GPS add-on may not be </w:t>
      </w:r>
      <w:r>
        <w:rPr>
          <w:rFonts w:cs="Arial"/>
        </w:rPr>
        <w:t xml:space="preserve">paid for </w:t>
      </w:r>
      <w:r w:rsidR="00E40BED">
        <w:rPr>
          <w:rFonts w:cs="Arial"/>
        </w:rPr>
        <w:t>through</w:t>
      </w:r>
      <w:r>
        <w:rPr>
          <w:rFonts w:cs="Arial"/>
        </w:rPr>
        <w:t xml:space="preserve"> CFC </w:t>
      </w:r>
      <w:r w:rsidR="00323FF9">
        <w:rPr>
          <w:rFonts w:cs="Arial"/>
        </w:rPr>
        <w:t>in a residential setting</w:t>
      </w:r>
      <w:r w:rsidR="00F95333">
        <w:rPr>
          <w:rFonts w:cs="Arial"/>
        </w:rPr>
        <w:t>.</w:t>
      </w:r>
      <w:r>
        <w:rPr>
          <w:rFonts w:cs="Arial"/>
        </w:rPr>
        <w:t xml:space="preserve"> </w:t>
      </w:r>
    </w:p>
    <w:p w14:paraId="1C6D463F" w14:textId="77777777" w:rsidR="00217A9C" w:rsidRPr="00855D67" w:rsidRDefault="00217A9C" w:rsidP="009862C2">
      <w:pPr>
        <w:pStyle w:val="ListParagraph"/>
        <w:numPr>
          <w:ilvl w:val="0"/>
          <w:numId w:val="16"/>
        </w:numPr>
        <w:ind w:left="1884"/>
        <w:rPr>
          <w:rFonts w:cs="Arial"/>
        </w:rPr>
      </w:pPr>
      <w:r w:rsidRPr="00855D67">
        <w:rPr>
          <w:rFonts w:cs="Arial"/>
        </w:rPr>
        <w:t>24 hour nurse triage call center/nurse hotline services are not covered under the PERS contract.</w:t>
      </w:r>
    </w:p>
    <w:p w14:paraId="272C9ECE" w14:textId="77777777" w:rsidR="00217A9C" w:rsidRPr="00855D67" w:rsidRDefault="00217A9C" w:rsidP="009862C2">
      <w:pPr>
        <w:pStyle w:val="ListParagraph"/>
        <w:numPr>
          <w:ilvl w:val="0"/>
          <w:numId w:val="16"/>
        </w:numPr>
        <w:ind w:left="1884"/>
        <w:rPr>
          <w:rFonts w:cs="Arial"/>
        </w:rPr>
      </w:pPr>
      <w:r w:rsidRPr="00855D67">
        <w:rPr>
          <w:rFonts w:cs="Arial"/>
        </w:rPr>
        <w:t>Electronic device</w:t>
      </w:r>
      <w:r w:rsidR="00627ABD">
        <w:rPr>
          <w:rFonts w:cs="Arial"/>
        </w:rPr>
        <w:t xml:space="preserve"> or </w:t>
      </w:r>
      <w:r w:rsidRPr="00855D67">
        <w:rPr>
          <w:rFonts w:cs="Arial"/>
        </w:rPr>
        <w:t xml:space="preserve">system add-ons (e.g., </w:t>
      </w:r>
      <w:r w:rsidR="00D74904" w:rsidRPr="00855D67">
        <w:rPr>
          <w:rFonts w:cs="Arial"/>
        </w:rPr>
        <w:t>Tele Health</w:t>
      </w:r>
      <w:r w:rsidRPr="00855D67">
        <w:rPr>
          <w:rFonts w:cs="Arial"/>
        </w:rPr>
        <w:t>, Well Being monitor, etc.) that monitor blood pressure, blood glucose levels, weight etc. are not covered under the PERS service contract.</w:t>
      </w:r>
    </w:p>
    <w:p w14:paraId="75D5017D" w14:textId="77777777" w:rsidR="00217A9C" w:rsidRPr="00217A9C" w:rsidRDefault="00217A9C" w:rsidP="00217A9C"/>
    <w:p w14:paraId="07A706E5" w14:textId="77777777" w:rsidR="00B31B97" w:rsidRDefault="00B31B97" w:rsidP="00B31B97">
      <w:pPr>
        <w:ind w:left="360"/>
        <w:rPr>
          <w:rFonts w:cs="Arial"/>
          <w:b/>
          <w:color w:val="000000"/>
        </w:rPr>
      </w:pPr>
      <w:bookmarkStart w:id="20" w:name="Assistive_Technology"/>
      <w:r w:rsidRPr="000D2053">
        <w:rPr>
          <w:rFonts w:cs="Arial"/>
          <w:b/>
          <w:color w:val="000000"/>
        </w:rPr>
        <w:t xml:space="preserve">Assistive Technology (AT) </w:t>
      </w:r>
      <w:r w:rsidR="00A912D1">
        <w:rPr>
          <w:rFonts w:cs="Arial"/>
          <w:b/>
          <w:color w:val="000000"/>
        </w:rPr>
        <w:t>Service</w:t>
      </w:r>
    </w:p>
    <w:bookmarkEnd w:id="20"/>
    <w:p w14:paraId="2DC03F68" w14:textId="77777777" w:rsidR="00A912D1" w:rsidRPr="000D2053" w:rsidRDefault="00A912D1" w:rsidP="00B31B97">
      <w:pPr>
        <w:ind w:left="360"/>
        <w:rPr>
          <w:rFonts w:cs="Arial"/>
          <w:i/>
          <w:color w:val="000000"/>
        </w:rPr>
      </w:pPr>
    </w:p>
    <w:p w14:paraId="434D45CF" w14:textId="77777777" w:rsidR="00E40BED" w:rsidRDefault="0021431C" w:rsidP="0021431C">
      <w:pPr>
        <w:ind w:left="720"/>
        <w:rPr>
          <w:rFonts w:cs="Arial"/>
          <w:bCs/>
        </w:rPr>
      </w:pPr>
      <w:r w:rsidRPr="000D2053">
        <w:rPr>
          <w:rFonts w:cs="Arial"/>
          <w:bCs/>
          <w:color w:val="000000"/>
        </w:rPr>
        <w:t xml:space="preserve">Assistive Technology is defined as </w:t>
      </w:r>
      <w:r w:rsidR="00282EFA" w:rsidRPr="00D83A97">
        <w:rPr>
          <w:rFonts w:cs="Arial"/>
        </w:rPr>
        <w:t xml:space="preserve">technology services and supports that enhance independence or substitute for human assistance which are not covered for the client by any other program (such as COPES) or funding source (such as Medicare, Apple Health, or a private insurance carrier). </w:t>
      </w:r>
      <w:r w:rsidRPr="000D2053">
        <w:rPr>
          <w:rFonts w:cs="Arial"/>
          <w:bCs/>
          <w:color w:val="000000"/>
        </w:rPr>
        <w:t xml:space="preserve">This service includes the training of clients and caregivers in the maintenance or up-keep of equipment purchased under this service. </w:t>
      </w:r>
    </w:p>
    <w:p w14:paraId="067BE58D" w14:textId="77777777" w:rsidR="00E40BED" w:rsidRDefault="00E40BED" w:rsidP="0021431C">
      <w:pPr>
        <w:ind w:left="720"/>
        <w:rPr>
          <w:rFonts w:cs="Arial"/>
          <w:bCs/>
          <w:color w:val="000000"/>
        </w:rPr>
      </w:pPr>
    </w:p>
    <w:p w14:paraId="5A221369" w14:textId="77777777" w:rsidR="00830F9C" w:rsidRPr="00785C20" w:rsidRDefault="006A21F9" w:rsidP="00203DB3">
      <w:pPr>
        <w:ind w:left="720"/>
        <w:rPr>
          <w:rFonts w:cs="Arial"/>
          <w:bCs/>
        </w:rPr>
      </w:pPr>
      <w:r w:rsidRPr="00785C20">
        <w:rPr>
          <w:rFonts w:cs="Arial"/>
          <w:bCs/>
        </w:rPr>
        <w:t xml:space="preserve">Prior to receiving Assistive Technology devices, clients must get a </w:t>
      </w:r>
      <w:r w:rsidR="00830F9C" w:rsidRPr="00785C20">
        <w:rPr>
          <w:rFonts w:cs="Arial"/>
          <w:bCs/>
        </w:rPr>
        <w:t>recommendation</w:t>
      </w:r>
      <w:r w:rsidRPr="00785C20">
        <w:rPr>
          <w:rFonts w:cs="Arial"/>
          <w:bCs/>
        </w:rPr>
        <w:t xml:space="preserve"> from a professional</w:t>
      </w:r>
      <w:r w:rsidR="00830F9C" w:rsidRPr="00785C20">
        <w:rPr>
          <w:rFonts w:cs="Arial"/>
          <w:bCs/>
        </w:rPr>
        <w:t>. The professional must have knowledge of the client’s functional level, either through knowledge of the client or an assessment of the client</w:t>
      </w:r>
      <w:r w:rsidR="00470F23">
        <w:rPr>
          <w:rFonts w:cs="Arial"/>
          <w:bCs/>
        </w:rPr>
        <w:t>,</w:t>
      </w:r>
      <w:r w:rsidR="00830F9C" w:rsidRPr="00785C20">
        <w:rPr>
          <w:rFonts w:cs="Arial"/>
          <w:bCs/>
        </w:rPr>
        <w:t xml:space="preserve"> </w:t>
      </w:r>
      <w:r w:rsidR="00A02177">
        <w:rPr>
          <w:rFonts w:cs="Arial"/>
          <w:bCs/>
        </w:rPr>
        <w:t>and</w:t>
      </w:r>
      <w:r w:rsidR="00804046">
        <w:rPr>
          <w:rFonts w:cs="Arial"/>
          <w:bCs/>
        </w:rPr>
        <w:t xml:space="preserve"> </w:t>
      </w:r>
      <w:r w:rsidR="00470F23">
        <w:rPr>
          <w:rFonts w:cs="Arial"/>
          <w:bCs/>
        </w:rPr>
        <w:t xml:space="preserve">must </w:t>
      </w:r>
      <w:r w:rsidR="00804046">
        <w:rPr>
          <w:rFonts w:cs="Arial"/>
          <w:bCs/>
        </w:rPr>
        <w:t>p</w:t>
      </w:r>
      <w:r w:rsidR="00830F9C" w:rsidRPr="00785C20">
        <w:rPr>
          <w:rFonts w:cs="Arial"/>
          <w:bCs/>
        </w:rPr>
        <w:t xml:space="preserve">rovide </w:t>
      </w:r>
      <w:r w:rsidR="00AD3198">
        <w:rPr>
          <w:rFonts w:cs="Arial"/>
          <w:bCs/>
        </w:rPr>
        <w:t>confirmation</w:t>
      </w:r>
      <w:r w:rsidR="00830F9C" w:rsidRPr="00785C20">
        <w:rPr>
          <w:rFonts w:cs="Arial"/>
          <w:bCs/>
        </w:rPr>
        <w:t xml:space="preserve"> that the client is </w:t>
      </w:r>
      <w:r w:rsidR="00AD3198">
        <w:rPr>
          <w:rFonts w:cs="Arial"/>
          <w:bCs/>
        </w:rPr>
        <w:t xml:space="preserve">functionally </w:t>
      </w:r>
      <w:r w:rsidRPr="00785C20">
        <w:rPr>
          <w:rFonts w:cs="Arial"/>
          <w:bCs/>
        </w:rPr>
        <w:t xml:space="preserve">able to use </w:t>
      </w:r>
      <w:r w:rsidR="00830F9C" w:rsidRPr="00785C20">
        <w:rPr>
          <w:rFonts w:cs="Arial"/>
          <w:bCs/>
        </w:rPr>
        <w:t>the item</w:t>
      </w:r>
      <w:r w:rsidR="00722648">
        <w:rPr>
          <w:rFonts w:cs="Arial"/>
          <w:bCs/>
        </w:rPr>
        <w:t xml:space="preserve"> and w</w:t>
      </w:r>
      <w:r w:rsidR="00804046">
        <w:rPr>
          <w:rFonts w:cs="Arial"/>
          <w:bCs/>
        </w:rPr>
        <w:t>ould</w:t>
      </w:r>
      <w:r w:rsidR="00722648">
        <w:rPr>
          <w:rFonts w:cs="Arial"/>
          <w:bCs/>
        </w:rPr>
        <w:t xml:space="preserve"> benefit </w:t>
      </w:r>
      <w:r w:rsidR="00484C4E">
        <w:rPr>
          <w:rFonts w:cs="Arial"/>
          <w:bCs/>
        </w:rPr>
        <w:t xml:space="preserve">from </w:t>
      </w:r>
      <w:r w:rsidR="00804046">
        <w:rPr>
          <w:rFonts w:cs="Arial"/>
          <w:bCs/>
        </w:rPr>
        <w:t>its</w:t>
      </w:r>
      <w:r w:rsidR="00484C4E">
        <w:rPr>
          <w:rFonts w:cs="Arial"/>
          <w:bCs/>
        </w:rPr>
        <w:t xml:space="preserve"> use</w:t>
      </w:r>
      <w:r w:rsidR="00830F9C" w:rsidRPr="00785C20">
        <w:rPr>
          <w:rFonts w:cs="Arial"/>
          <w:bCs/>
        </w:rPr>
        <w:t>.</w:t>
      </w:r>
    </w:p>
    <w:p w14:paraId="684F7E08" w14:textId="77777777" w:rsidR="00830F9C" w:rsidRPr="00785C20" w:rsidRDefault="00830F9C" w:rsidP="0021431C">
      <w:pPr>
        <w:ind w:left="720"/>
        <w:rPr>
          <w:rFonts w:cs="Arial"/>
          <w:bCs/>
        </w:rPr>
      </w:pPr>
    </w:p>
    <w:p w14:paraId="4CA2DF68" w14:textId="77777777" w:rsidR="00E40BED" w:rsidRPr="000D2053" w:rsidRDefault="00830F9C" w:rsidP="00E40BED">
      <w:pPr>
        <w:ind w:left="720"/>
        <w:rPr>
          <w:rFonts w:cs="Arial"/>
          <w:bCs/>
          <w:color w:val="000000"/>
        </w:rPr>
      </w:pPr>
      <w:r w:rsidRPr="00785C20">
        <w:rPr>
          <w:rFonts w:cs="Arial"/>
          <w:bCs/>
        </w:rPr>
        <w:t>To obtain this recommendation, the client may use</w:t>
      </w:r>
      <w:r w:rsidR="00B24A0A">
        <w:rPr>
          <w:rFonts w:cs="Arial"/>
          <w:bCs/>
        </w:rPr>
        <w:t xml:space="preserve"> a provider they are currently using, or may use</w:t>
      </w:r>
      <w:r w:rsidRPr="00785C20">
        <w:rPr>
          <w:rFonts w:cs="Arial"/>
          <w:bCs/>
        </w:rPr>
        <w:t xml:space="preserve"> their medical benefits through Medicare, Apple Health, or a private insurance carrier</w:t>
      </w:r>
      <w:r w:rsidR="00E40BED">
        <w:rPr>
          <w:rFonts w:cs="Arial"/>
          <w:bCs/>
          <w:color w:val="000000"/>
        </w:rPr>
        <w:t xml:space="preserve"> to have an assessment to determine what AT items they may require</w:t>
      </w:r>
      <w:r w:rsidR="00B24A0A">
        <w:rPr>
          <w:rFonts w:cs="Arial"/>
          <w:bCs/>
          <w:color w:val="000000"/>
        </w:rPr>
        <w:t>. To use their medical benefits to obtain an assessment, t</w:t>
      </w:r>
      <w:r w:rsidR="00E40BED">
        <w:rPr>
          <w:rFonts w:cs="Arial"/>
          <w:bCs/>
          <w:color w:val="000000"/>
        </w:rPr>
        <w:t>he client should contact their primary medical provider for help with a referral. The medical provider should coordinate the appropriate assessments and follow up care needed.</w:t>
      </w:r>
    </w:p>
    <w:p w14:paraId="1F618534" w14:textId="77777777" w:rsidR="00830F9C" w:rsidRPr="00785C20" w:rsidRDefault="00830F9C" w:rsidP="0021431C">
      <w:pPr>
        <w:ind w:left="720"/>
        <w:rPr>
          <w:rFonts w:cs="Arial"/>
          <w:bCs/>
        </w:rPr>
      </w:pPr>
    </w:p>
    <w:p w14:paraId="7B3FEF5C" w14:textId="77777777" w:rsidR="00E40BED" w:rsidRDefault="006A21F9" w:rsidP="0021431C">
      <w:pPr>
        <w:ind w:left="720"/>
        <w:rPr>
          <w:rFonts w:cs="Arial"/>
          <w:bCs/>
          <w:color w:val="000000"/>
        </w:rPr>
      </w:pPr>
      <w:r>
        <w:rPr>
          <w:rFonts w:cs="Arial"/>
          <w:bCs/>
          <w:color w:val="000000"/>
        </w:rPr>
        <w:lastRenderedPageBreak/>
        <w:t xml:space="preserve">Once </w:t>
      </w:r>
      <w:r w:rsidR="00830F9C">
        <w:rPr>
          <w:rFonts w:cs="Arial"/>
          <w:bCs/>
          <w:color w:val="000000"/>
        </w:rPr>
        <w:t xml:space="preserve">the </w:t>
      </w:r>
      <w:r>
        <w:rPr>
          <w:rFonts w:cs="Arial"/>
          <w:bCs/>
          <w:color w:val="000000"/>
        </w:rPr>
        <w:t>recommendation</w:t>
      </w:r>
      <w:r w:rsidR="00830F9C">
        <w:rPr>
          <w:rFonts w:cs="Arial"/>
          <w:bCs/>
          <w:color w:val="000000"/>
        </w:rPr>
        <w:t xml:space="preserve"> is </w:t>
      </w:r>
      <w:r>
        <w:rPr>
          <w:rFonts w:cs="Arial"/>
          <w:bCs/>
          <w:color w:val="000000"/>
        </w:rPr>
        <w:t xml:space="preserve">received, the case manager </w:t>
      </w:r>
      <w:r w:rsidR="00470F23">
        <w:rPr>
          <w:rFonts w:cs="Arial"/>
          <w:bCs/>
          <w:color w:val="000000"/>
        </w:rPr>
        <w:t>will verify that the</w:t>
      </w:r>
      <w:r w:rsidR="00722648">
        <w:rPr>
          <w:rFonts w:cs="Arial"/>
          <w:bCs/>
          <w:color w:val="000000"/>
        </w:rPr>
        <w:t xml:space="preserve"> item </w:t>
      </w:r>
      <w:r w:rsidR="00470F23">
        <w:rPr>
          <w:rFonts w:cs="Arial"/>
          <w:bCs/>
          <w:color w:val="000000"/>
        </w:rPr>
        <w:t>is on the</w:t>
      </w:r>
      <w:r w:rsidR="00722648">
        <w:rPr>
          <w:rFonts w:cs="Arial"/>
          <w:bCs/>
          <w:color w:val="000000"/>
        </w:rPr>
        <w:t xml:space="preserve"> CFC</w:t>
      </w:r>
      <w:r w:rsidR="00470F23">
        <w:rPr>
          <w:rFonts w:cs="Arial"/>
          <w:bCs/>
          <w:color w:val="000000"/>
        </w:rPr>
        <w:t xml:space="preserve"> Covered Items List </w:t>
      </w:r>
      <w:r w:rsidR="00EA131D">
        <w:rPr>
          <w:rFonts w:cs="Arial"/>
          <w:bCs/>
          <w:color w:val="000000"/>
        </w:rPr>
        <w:t xml:space="preserve">and </w:t>
      </w:r>
      <w:r w:rsidR="00470F23">
        <w:rPr>
          <w:rFonts w:cs="Arial"/>
          <w:bCs/>
          <w:color w:val="000000"/>
        </w:rPr>
        <w:t xml:space="preserve">is </w:t>
      </w:r>
      <w:r w:rsidR="00EA131D">
        <w:rPr>
          <w:rFonts w:cs="Arial"/>
          <w:bCs/>
          <w:color w:val="000000"/>
        </w:rPr>
        <w:t>within the $500</w:t>
      </w:r>
      <w:r w:rsidR="00470F23">
        <w:rPr>
          <w:rFonts w:cs="Arial"/>
          <w:bCs/>
          <w:color w:val="000000"/>
        </w:rPr>
        <w:t xml:space="preserve"> annual</w:t>
      </w:r>
      <w:r w:rsidR="00EA131D">
        <w:rPr>
          <w:rFonts w:cs="Arial"/>
          <w:bCs/>
          <w:color w:val="000000"/>
        </w:rPr>
        <w:t xml:space="preserve"> limit</w:t>
      </w:r>
      <w:r w:rsidR="00470F23">
        <w:rPr>
          <w:rFonts w:cs="Arial"/>
          <w:bCs/>
          <w:color w:val="000000"/>
        </w:rPr>
        <w:t>.  T</w:t>
      </w:r>
      <w:r w:rsidR="00722648">
        <w:rPr>
          <w:rFonts w:cs="Arial"/>
          <w:bCs/>
          <w:color w:val="000000"/>
        </w:rPr>
        <w:t xml:space="preserve">he case manager </w:t>
      </w:r>
      <w:r>
        <w:rPr>
          <w:rFonts w:cs="Arial"/>
          <w:bCs/>
          <w:color w:val="000000"/>
        </w:rPr>
        <w:t xml:space="preserve">may </w:t>
      </w:r>
      <w:r w:rsidR="00470F23">
        <w:rPr>
          <w:rFonts w:cs="Arial"/>
          <w:bCs/>
          <w:color w:val="000000"/>
        </w:rPr>
        <w:t xml:space="preserve">then </w:t>
      </w:r>
      <w:r>
        <w:rPr>
          <w:rFonts w:cs="Arial"/>
          <w:bCs/>
          <w:color w:val="000000"/>
        </w:rPr>
        <w:t xml:space="preserve">order the </w:t>
      </w:r>
      <w:r w:rsidR="00722648">
        <w:rPr>
          <w:rFonts w:cs="Arial"/>
          <w:bCs/>
          <w:color w:val="000000"/>
        </w:rPr>
        <w:t>item</w:t>
      </w:r>
      <w:r w:rsidR="00E40BED">
        <w:rPr>
          <w:rFonts w:cs="Arial"/>
          <w:bCs/>
          <w:color w:val="000000"/>
        </w:rPr>
        <w:t xml:space="preserve"> from </w:t>
      </w:r>
      <w:r w:rsidR="00470F23">
        <w:rPr>
          <w:rFonts w:cs="Arial"/>
          <w:bCs/>
          <w:color w:val="000000"/>
        </w:rPr>
        <w:t>a</w:t>
      </w:r>
      <w:r w:rsidR="00E40BED">
        <w:rPr>
          <w:rFonts w:cs="Arial"/>
          <w:bCs/>
          <w:color w:val="000000"/>
        </w:rPr>
        <w:t xml:space="preserve"> contracted vendor or </w:t>
      </w:r>
      <w:r w:rsidR="00B24A0A">
        <w:rPr>
          <w:rFonts w:cs="Arial"/>
          <w:bCs/>
          <w:color w:val="000000"/>
        </w:rPr>
        <w:t>may order by contacting</w:t>
      </w:r>
      <w:r w:rsidR="00E40BED">
        <w:rPr>
          <w:rFonts w:cs="Arial"/>
          <w:bCs/>
          <w:color w:val="000000"/>
        </w:rPr>
        <w:t xml:space="preserve"> headquarters </w:t>
      </w:r>
      <w:r w:rsidR="00B24A0A">
        <w:rPr>
          <w:rFonts w:cs="Arial"/>
          <w:bCs/>
          <w:color w:val="000000"/>
        </w:rPr>
        <w:t>(</w:t>
      </w:r>
      <w:r w:rsidR="00E40BED">
        <w:rPr>
          <w:rFonts w:cs="Arial"/>
          <w:bCs/>
          <w:color w:val="000000"/>
        </w:rPr>
        <w:t>or an authorized agent of headquarters</w:t>
      </w:r>
      <w:r w:rsidR="00B24A0A">
        <w:rPr>
          <w:rFonts w:cs="Arial"/>
          <w:bCs/>
          <w:color w:val="000000"/>
        </w:rPr>
        <w:t>)</w:t>
      </w:r>
      <w:r w:rsidR="00E40BED">
        <w:rPr>
          <w:rFonts w:cs="Arial"/>
          <w:bCs/>
          <w:color w:val="000000"/>
        </w:rPr>
        <w:t xml:space="preserve"> if using a provider </w:t>
      </w:r>
      <w:r w:rsidR="00470F23">
        <w:rPr>
          <w:rFonts w:cs="Arial"/>
          <w:bCs/>
          <w:color w:val="000000"/>
        </w:rPr>
        <w:t>contracted through headquarters where instructions have been given to request purchases through headquarters or an authorized agent.</w:t>
      </w:r>
    </w:p>
    <w:p w14:paraId="5ECE8399" w14:textId="77777777" w:rsidR="00E40BED" w:rsidRDefault="00E40BED" w:rsidP="0021431C">
      <w:pPr>
        <w:ind w:left="720"/>
        <w:rPr>
          <w:rFonts w:cs="Arial"/>
          <w:bCs/>
          <w:color w:val="000000"/>
        </w:rPr>
      </w:pPr>
    </w:p>
    <w:p w14:paraId="339B6311" w14:textId="77777777" w:rsidR="00E40BED" w:rsidRDefault="00E40BED" w:rsidP="0021431C">
      <w:pPr>
        <w:ind w:left="720"/>
        <w:rPr>
          <w:rFonts w:cs="Arial"/>
          <w:bCs/>
          <w:color w:val="000000"/>
        </w:rPr>
      </w:pPr>
      <w:r>
        <w:rPr>
          <w:rFonts w:cs="Arial"/>
          <w:bCs/>
          <w:color w:val="000000"/>
        </w:rPr>
        <w:t>To determine whether an item is a covered item:</w:t>
      </w:r>
    </w:p>
    <w:p w14:paraId="6B345EE3" w14:textId="77777777" w:rsidR="00E40BED" w:rsidRDefault="00E40BED" w:rsidP="00203DB3">
      <w:pPr>
        <w:numPr>
          <w:ilvl w:val="0"/>
          <w:numId w:val="63"/>
        </w:numPr>
        <w:rPr>
          <w:rFonts w:cs="Arial"/>
          <w:bCs/>
          <w:color w:val="000000"/>
        </w:rPr>
      </w:pPr>
      <w:r>
        <w:rPr>
          <w:rFonts w:cs="Arial"/>
          <w:bCs/>
          <w:color w:val="000000"/>
        </w:rPr>
        <w:t>Consult the “</w:t>
      </w:r>
      <w:r w:rsidR="00470F23">
        <w:rPr>
          <w:rFonts w:cs="Arial"/>
          <w:bCs/>
          <w:color w:val="000000"/>
        </w:rPr>
        <w:t>C</w:t>
      </w:r>
      <w:r>
        <w:rPr>
          <w:rFonts w:cs="Arial"/>
          <w:bCs/>
          <w:color w:val="000000"/>
        </w:rPr>
        <w:t xml:space="preserve">overed </w:t>
      </w:r>
      <w:r w:rsidR="00470F23">
        <w:rPr>
          <w:rFonts w:cs="Arial"/>
          <w:bCs/>
          <w:color w:val="000000"/>
        </w:rPr>
        <w:t>I</w:t>
      </w:r>
      <w:r>
        <w:rPr>
          <w:rFonts w:cs="Arial"/>
          <w:bCs/>
          <w:color w:val="000000"/>
        </w:rPr>
        <w:t xml:space="preserve">tem </w:t>
      </w:r>
      <w:r w:rsidR="00470F23">
        <w:rPr>
          <w:rFonts w:cs="Arial"/>
          <w:bCs/>
          <w:color w:val="000000"/>
        </w:rPr>
        <w:t>L</w:t>
      </w:r>
      <w:r>
        <w:rPr>
          <w:rFonts w:cs="Arial"/>
          <w:bCs/>
          <w:color w:val="000000"/>
        </w:rPr>
        <w:t>ist”.</w:t>
      </w:r>
    </w:p>
    <w:p w14:paraId="532910E4" w14:textId="77777777" w:rsidR="00470F23" w:rsidRDefault="00E40BED" w:rsidP="00203DB3">
      <w:pPr>
        <w:numPr>
          <w:ilvl w:val="1"/>
          <w:numId w:val="63"/>
        </w:numPr>
        <w:rPr>
          <w:rFonts w:cs="Arial"/>
          <w:bCs/>
          <w:color w:val="000000"/>
        </w:rPr>
      </w:pPr>
      <w:r w:rsidRPr="00470F23">
        <w:rPr>
          <w:rFonts w:cs="Arial"/>
          <w:bCs/>
          <w:color w:val="000000"/>
        </w:rPr>
        <w:t xml:space="preserve">If the item is on the list, it may be purchased </w:t>
      </w:r>
      <w:r w:rsidR="00470F23">
        <w:rPr>
          <w:rFonts w:cs="Arial"/>
          <w:bCs/>
          <w:color w:val="000000"/>
        </w:rPr>
        <w:t xml:space="preserve">from a contracted provider </w:t>
      </w:r>
      <w:r w:rsidRPr="00470F23">
        <w:rPr>
          <w:rFonts w:cs="Arial"/>
          <w:bCs/>
          <w:color w:val="000000"/>
        </w:rPr>
        <w:t>using CFC</w:t>
      </w:r>
      <w:r w:rsidR="00470F23">
        <w:rPr>
          <w:rFonts w:cs="Arial"/>
          <w:bCs/>
          <w:color w:val="000000"/>
        </w:rPr>
        <w:t>.</w:t>
      </w:r>
    </w:p>
    <w:p w14:paraId="6979E05B" w14:textId="77777777" w:rsidR="00BD370B" w:rsidRPr="00470F23" w:rsidRDefault="00E40BED" w:rsidP="00203DB3">
      <w:pPr>
        <w:numPr>
          <w:ilvl w:val="1"/>
          <w:numId w:val="63"/>
        </w:numPr>
        <w:rPr>
          <w:rFonts w:cs="Arial"/>
          <w:bCs/>
          <w:color w:val="000000"/>
        </w:rPr>
      </w:pPr>
      <w:r w:rsidRPr="00470F23">
        <w:rPr>
          <w:rFonts w:cs="Arial"/>
          <w:bCs/>
          <w:color w:val="000000"/>
        </w:rPr>
        <w:t>If the item is not on the list</w:t>
      </w:r>
      <w:r w:rsidR="00470F23">
        <w:rPr>
          <w:rFonts w:cs="Arial"/>
          <w:bCs/>
          <w:color w:val="000000"/>
        </w:rPr>
        <w:t xml:space="preserve"> and it should be considered for addition to the list</w:t>
      </w:r>
      <w:r w:rsidRPr="00470F23">
        <w:rPr>
          <w:rFonts w:cs="Arial"/>
          <w:bCs/>
          <w:color w:val="000000"/>
        </w:rPr>
        <w:t>, contact your supervisor or JRP so that they may request consideration from the CFC Program Management Team for HCS and DDA.</w:t>
      </w:r>
    </w:p>
    <w:p w14:paraId="03A0E19F" w14:textId="77777777" w:rsidR="00E40BED" w:rsidRDefault="00E40BED" w:rsidP="0021431C">
      <w:pPr>
        <w:ind w:left="720"/>
        <w:rPr>
          <w:rFonts w:cs="Arial"/>
          <w:bCs/>
          <w:color w:val="000000"/>
        </w:rPr>
      </w:pPr>
    </w:p>
    <w:p w14:paraId="4DFC4D14" w14:textId="77777777" w:rsidR="00BD370B" w:rsidRDefault="0021431C" w:rsidP="00F028D5">
      <w:pPr>
        <w:ind w:left="720"/>
        <w:rPr>
          <w:rFonts w:cs="Arial"/>
          <w:color w:val="000000"/>
        </w:rPr>
      </w:pPr>
      <w:r w:rsidRPr="000D2053">
        <w:rPr>
          <w:rFonts w:cs="Arial"/>
          <w:bCs/>
          <w:color w:val="000000"/>
        </w:rPr>
        <w:t>Clients may purchase up to</w:t>
      </w:r>
      <w:r w:rsidR="00B24A0A">
        <w:rPr>
          <w:rFonts w:cs="Arial"/>
          <w:bCs/>
          <w:color w:val="000000"/>
        </w:rPr>
        <w:t xml:space="preserve"> a combined limit of</w:t>
      </w:r>
      <w:r w:rsidRPr="000D2053">
        <w:rPr>
          <w:rFonts w:cs="Arial"/>
          <w:bCs/>
          <w:color w:val="000000"/>
        </w:rPr>
        <w:t xml:space="preserve"> $500 per fiscal year of Assistive Technology </w:t>
      </w:r>
      <w:r w:rsidR="00B24A0A">
        <w:rPr>
          <w:rFonts w:cs="Arial"/>
          <w:bCs/>
          <w:color w:val="000000"/>
        </w:rPr>
        <w:t>and</w:t>
      </w:r>
      <w:r w:rsidRPr="000D2053">
        <w:rPr>
          <w:rFonts w:cs="Arial"/>
          <w:bCs/>
          <w:color w:val="000000"/>
        </w:rPr>
        <w:t xml:space="preserve"> Skills Acquisition Training.  </w:t>
      </w:r>
      <w:r w:rsidR="00F028D5" w:rsidRPr="000D2053">
        <w:rPr>
          <w:rFonts w:cs="Arial"/>
          <w:color w:val="000000"/>
        </w:rPr>
        <w:t>Prior to authorizing payment, obtain documentation (receipt, invoice, etc.) which should be used to verify costs. Documentation should be placed in the client’s file.</w:t>
      </w:r>
      <w:r w:rsidR="00F028D5">
        <w:rPr>
          <w:rFonts w:cs="Arial"/>
          <w:color w:val="000000"/>
        </w:rPr>
        <w:t xml:space="preserve">  </w:t>
      </w:r>
    </w:p>
    <w:p w14:paraId="6325DA92" w14:textId="77777777" w:rsidR="00BD370B" w:rsidRDefault="00BD370B" w:rsidP="00F028D5">
      <w:pPr>
        <w:ind w:left="720"/>
        <w:rPr>
          <w:rFonts w:cs="Arial"/>
          <w:color w:val="000000"/>
        </w:rPr>
      </w:pPr>
    </w:p>
    <w:p w14:paraId="3E3EF8DE" w14:textId="77777777" w:rsidR="00F028D5" w:rsidRDefault="0021431C" w:rsidP="00F028D5">
      <w:pPr>
        <w:ind w:left="720"/>
        <w:rPr>
          <w:rFonts w:cs="Arial"/>
          <w:bCs/>
          <w:color w:val="000000"/>
        </w:rPr>
      </w:pPr>
      <w:r w:rsidRPr="000D2053">
        <w:rPr>
          <w:rFonts w:cs="Arial"/>
          <w:bCs/>
          <w:color w:val="000000"/>
        </w:rPr>
        <w:t xml:space="preserve">For every purchase of Assistive Technology, the Case Manager </w:t>
      </w:r>
      <w:r w:rsidR="00D165AD">
        <w:rPr>
          <w:rFonts w:cs="Arial"/>
          <w:bCs/>
          <w:color w:val="000000"/>
        </w:rPr>
        <w:t>will</w:t>
      </w:r>
      <w:r w:rsidRPr="000D2053">
        <w:rPr>
          <w:rFonts w:cs="Arial"/>
          <w:bCs/>
          <w:color w:val="000000"/>
        </w:rPr>
        <w:t xml:space="preserve"> note the purchase</w:t>
      </w:r>
      <w:r w:rsidR="005E1792" w:rsidRPr="000D2053">
        <w:rPr>
          <w:rFonts w:cs="Arial"/>
          <w:bCs/>
          <w:color w:val="000000"/>
        </w:rPr>
        <w:t xml:space="preserve"> date, type of purchase, and</w:t>
      </w:r>
      <w:r w:rsidR="00F028D5">
        <w:rPr>
          <w:rFonts w:cs="Arial"/>
          <w:bCs/>
          <w:color w:val="000000"/>
        </w:rPr>
        <w:t xml:space="preserve"> dollar</w:t>
      </w:r>
      <w:r w:rsidRPr="000D2053">
        <w:rPr>
          <w:rFonts w:cs="Arial"/>
          <w:bCs/>
          <w:color w:val="000000"/>
        </w:rPr>
        <w:t xml:space="preserve"> amount in the </w:t>
      </w:r>
      <w:r w:rsidR="00F028D5">
        <w:rPr>
          <w:rFonts w:cs="Arial"/>
          <w:bCs/>
          <w:color w:val="000000"/>
        </w:rPr>
        <w:t>annual</w:t>
      </w:r>
      <w:r w:rsidRPr="000D2053">
        <w:rPr>
          <w:rFonts w:cs="Arial"/>
          <w:bCs/>
          <w:color w:val="000000"/>
        </w:rPr>
        <w:t xml:space="preserve"> limit calculator.  Once the client has reached $500 in purchases of Assistive Technology and/or Skills Acquisition Training Services, they will have reached their limit.</w:t>
      </w:r>
      <w:r w:rsidR="005E1792" w:rsidRPr="000D2053">
        <w:rPr>
          <w:rFonts w:cs="Arial"/>
          <w:bCs/>
          <w:color w:val="000000"/>
        </w:rPr>
        <w:t xml:space="preserve"> </w:t>
      </w:r>
      <w:r w:rsidR="00282EFA" w:rsidRPr="000D2053">
        <w:rPr>
          <w:rFonts w:cs="Arial"/>
          <w:bCs/>
          <w:color w:val="000000"/>
        </w:rPr>
        <w:t xml:space="preserve">There </w:t>
      </w:r>
      <w:r w:rsidR="00B24A0A">
        <w:rPr>
          <w:rFonts w:cs="Arial"/>
          <w:bCs/>
          <w:color w:val="000000"/>
        </w:rPr>
        <w:t>is no</w:t>
      </w:r>
      <w:r w:rsidR="00282EFA" w:rsidRPr="000D2053">
        <w:rPr>
          <w:rFonts w:cs="Arial"/>
          <w:bCs/>
          <w:color w:val="000000"/>
        </w:rPr>
        <w:t xml:space="preserve"> edit </w:t>
      </w:r>
      <w:r w:rsidR="00B24A0A">
        <w:rPr>
          <w:rFonts w:cs="Arial"/>
          <w:bCs/>
          <w:color w:val="000000"/>
        </w:rPr>
        <w:t xml:space="preserve">currently available in </w:t>
      </w:r>
      <w:r w:rsidR="00282EFA" w:rsidRPr="000D2053">
        <w:rPr>
          <w:rFonts w:cs="Arial"/>
          <w:bCs/>
          <w:color w:val="000000"/>
        </w:rPr>
        <w:t>Provider</w:t>
      </w:r>
      <w:r w:rsidR="00D165AD">
        <w:rPr>
          <w:rFonts w:cs="Arial"/>
          <w:bCs/>
          <w:color w:val="000000"/>
        </w:rPr>
        <w:t>One</w:t>
      </w:r>
      <w:r w:rsidR="00282EFA" w:rsidRPr="000D2053">
        <w:rPr>
          <w:rFonts w:cs="Arial"/>
          <w:bCs/>
          <w:color w:val="000000"/>
        </w:rPr>
        <w:t xml:space="preserve"> </w:t>
      </w:r>
      <w:r w:rsidR="00BD370B">
        <w:rPr>
          <w:rFonts w:cs="Arial"/>
          <w:bCs/>
          <w:color w:val="000000"/>
        </w:rPr>
        <w:t>to</w:t>
      </w:r>
      <w:r w:rsidR="00282EFA" w:rsidRPr="000D2053">
        <w:rPr>
          <w:rFonts w:cs="Arial"/>
          <w:bCs/>
          <w:color w:val="000000"/>
        </w:rPr>
        <w:t xml:space="preserve"> prevent authorizing greater than $500 per fiscal year. </w:t>
      </w:r>
      <w:r w:rsidR="00B24A0A">
        <w:rPr>
          <w:rFonts w:cs="Arial"/>
          <w:bCs/>
          <w:color w:val="000000"/>
        </w:rPr>
        <w:t>As such</w:t>
      </w:r>
      <w:r w:rsidR="00BD370B">
        <w:rPr>
          <w:rFonts w:cs="Arial"/>
          <w:bCs/>
          <w:color w:val="000000"/>
        </w:rPr>
        <w:t xml:space="preserve">, the case manager </w:t>
      </w:r>
      <w:r w:rsidR="00653ED8">
        <w:rPr>
          <w:rFonts w:cs="Arial"/>
          <w:bCs/>
          <w:color w:val="000000"/>
        </w:rPr>
        <w:t xml:space="preserve">must </w:t>
      </w:r>
      <w:r w:rsidR="00BD370B">
        <w:rPr>
          <w:rFonts w:cs="Arial"/>
          <w:bCs/>
          <w:color w:val="000000"/>
        </w:rPr>
        <w:t xml:space="preserve">review all prior </w:t>
      </w:r>
      <w:r w:rsidR="008119FE">
        <w:rPr>
          <w:rFonts w:cs="Arial"/>
          <w:bCs/>
          <w:color w:val="000000"/>
        </w:rPr>
        <w:t>purchases</w:t>
      </w:r>
      <w:r w:rsidR="00B24A0A">
        <w:rPr>
          <w:rFonts w:cs="Arial"/>
          <w:bCs/>
          <w:color w:val="000000"/>
        </w:rPr>
        <w:t>,</w:t>
      </w:r>
      <w:r w:rsidR="00BD370B">
        <w:rPr>
          <w:rFonts w:cs="Arial"/>
          <w:bCs/>
          <w:color w:val="000000"/>
        </w:rPr>
        <w:t xml:space="preserve"> including PERS add-</w:t>
      </w:r>
      <w:r w:rsidR="00A912D1">
        <w:rPr>
          <w:rFonts w:cs="Arial"/>
          <w:bCs/>
          <w:color w:val="000000"/>
        </w:rPr>
        <w:t>ons;</w:t>
      </w:r>
      <w:r w:rsidR="00BD370B">
        <w:rPr>
          <w:rFonts w:cs="Arial"/>
          <w:bCs/>
          <w:color w:val="000000"/>
        </w:rPr>
        <w:t xml:space="preserve"> to be sure the limit is not exceeded as this would result in an overpayment. </w:t>
      </w:r>
    </w:p>
    <w:p w14:paraId="10DE30B9" w14:textId="77777777" w:rsidR="00F028D5" w:rsidRPr="000D2053" w:rsidRDefault="00F028D5" w:rsidP="0021431C">
      <w:pPr>
        <w:ind w:left="720"/>
        <w:rPr>
          <w:rFonts w:cs="Arial"/>
          <w:bCs/>
          <w:color w:val="000000"/>
        </w:rPr>
      </w:pPr>
    </w:p>
    <w:p w14:paraId="36FFD50A" w14:textId="05544F16" w:rsidR="00282EFA" w:rsidRPr="00D83A97" w:rsidRDefault="00282EFA" w:rsidP="00D83A97">
      <w:pPr>
        <w:ind w:firstLine="720"/>
        <w:rPr>
          <w:rFonts w:cs="Arial"/>
        </w:rPr>
      </w:pPr>
      <w:r w:rsidRPr="00D83A97">
        <w:rPr>
          <w:rFonts w:cs="Arial"/>
        </w:rPr>
        <w:t xml:space="preserve">Examples of </w:t>
      </w:r>
      <w:r w:rsidR="000A7178">
        <w:rPr>
          <w:rFonts w:cs="Arial"/>
        </w:rPr>
        <w:t>assistive</w:t>
      </w:r>
      <w:r w:rsidRPr="00D83A97">
        <w:rPr>
          <w:rFonts w:cs="Arial"/>
        </w:rPr>
        <w:t xml:space="preserve"> technology:</w:t>
      </w:r>
    </w:p>
    <w:p w14:paraId="0F9CC471" w14:textId="77777777" w:rsidR="00282EFA" w:rsidRPr="00D83A97" w:rsidRDefault="00282EFA" w:rsidP="009862C2">
      <w:pPr>
        <w:numPr>
          <w:ilvl w:val="0"/>
          <w:numId w:val="48"/>
        </w:numPr>
        <w:ind w:left="1440"/>
        <w:rPr>
          <w:rFonts w:cs="Arial"/>
        </w:rPr>
      </w:pPr>
      <w:r w:rsidRPr="00D83A97">
        <w:rPr>
          <w:rFonts w:cs="Arial"/>
        </w:rPr>
        <w:t>Devices that monitor movement and automatically turn off appliances if there is no motion detected within a specific timeframe.</w:t>
      </w:r>
    </w:p>
    <w:p w14:paraId="0C28D46F" w14:textId="77777777" w:rsidR="00282EFA" w:rsidRPr="00D83A97" w:rsidRDefault="00282EFA" w:rsidP="009862C2">
      <w:pPr>
        <w:numPr>
          <w:ilvl w:val="0"/>
          <w:numId w:val="48"/>
        </w:numPr>
        <w:ind w:left="1440"/>
        <w:rPr>
          <w:rFonts w:cs="Arial"/>
        </w:rPr>
      </w:pPr>
      <w:r w:rsidRPr="00D83A97">
        <w:rPr>
          <w:rFonts w:cs="Arial"/>
        </w:rPr>
        <w:t xml:space="preserve">Devices that enhance sound or allow a non-speaker to achieve communication. </w:t>
      </w:r>
    </w:p>
    <w:p w14:paraId="156A4E57" w14:textId="77777777" w:rsidR="00282EFA" w:rsidRPr="00D83A97" w:rsidRDefault="00282EFA" w:rsidP="009862C2">
      <w:pPr>
        <w:numPr>
          <w:ilvl w:val="0"/>
          <w:numId w:val="48"/>
        </w:numPr>
        <w:ind w:left="1440"/>
        <w:rPr>
          <w:rFonts w:cs="Arial"/>
        </w:rPr>
      </w:pPr>
      <w:r w:rsidRPr="00D83A97">
        <w:rPr>
          <w:rFonts w:cs="Arial"/>
        </w:rPr>
        <w:t>Devices that monitor and sense motion to passively detect falls or loss of balance or to detect location of a person to substitute for supervision</w:t>
      </w:r>
      <w:r w:rsidR="00653ED8">
        <w:rPr>
          <w:rFonts w:cs="Arial"/>
        </w:rPr>
        <w:t xml:space="preserve"> as long as the sub-eligibility criteria are met</w:t>
      </w:r>
      <w:r w:rsidRPr="00D83A97">
        <w:rPr>
          <w:rFonts w:cs="Arial"/>
        </w:rPr>
        <w:t>.</w:t>
      </w:r>
    </w:p>
    <w:p w14:paraId="2A4C12EF" w14:textId="77777777" w:rsidR="003075C5" w:rsidRPr="003075C5" w:rsidRDefault="00282EFA" w:rsidP="003075C5">
      <w:pPr>
        <w:numPr>
          <w:ilvl w:val="0"/>
          <w:numId w:val="48"/>
        </w:numPr>
        <w:ind w:left="1440"/>
        <w:rPr>
          <w:rFonts w:cs="Arial"/>
        </w:rPr>
      </w:pPr>
      <w:r w:rsidRPr="00D83A97">
        <w:rPr>
          <w:rFonts w:cs="Arial"/>
        </w:rPr>
        <w:t>Devices that magnify or read and speak small print to enable the reader to read things such as medication labels and care instructions.</w:t>
      </w:r>
    </w:p>
    <w:p w14:paraId="437F1E8F" w14:textId="77777777" w:rsidR="00282EFA" w:rsidRDefault="00282EFA" w:rsidP="009862C2">
      <w:pPr>
        <w:numPr>
          <w:ilvl w:val="0"/>
          <w:numId w:val="48"/>
        </w:numPr>
        <w:ind w:left="1440"/>
        <w:rPr>
          <w:rFonts w:cs="Arial"/>
        </w:rPr>
      </w:pPr>
      <w:r w:rsidRPr="00D83A97">
        <w:rPr>
          <w:rFonts w:cs="Arial"/>
        </w:rPr>
        <w:t xml:space="preserve">Portable computing devices that can, or have an application </w:t>
      </w:r>
      <w:r w:rsidR="00653ED8">
        <w:rPr>
          <w:rFonts w:cs="Arial"/>
        </w:rPr>
        <w:t>to</w:t>
      </w:r>
      <w:r w:rsidR="00653ED8" w:rsidRPr="00D83A97">
        <w:rPr>
          <w:rFonts w:cs="Arial"/>
        </w:rPr>
        <w:t xml:space="preserve"> </w:t>
      </w:r>
      <w:r w:rsidRPr="00D83A97">
        <w:rPr>
          <w:rFonts w:cs="Arial"/>
        </w:rPr>
        <w:t xml:space="preserve">increase an individual’s independence or substitute for human assistance, to the extent that expenditures would otherwise be made for the human assistance.  </w:t>
      </w:r>
    </w:p>
    <w:p w14:paraId="7EC43594" w14:textId="77777777" w:rsidR="00E8031D" w:rsidRDefault="00E8031D" w:rsidP="009862C2">
      <w:pPr>
        <w:numPr>
          <w:ilvl w:val="3"/>
          <w:numId w:val="50"/>
        </w:numPr>
        <w:ind w:left="1800"/>
        <w:rPr>
          <w:rFonts w:cs="Arial"/>
          <w:bCs/>
          <w:color w:val="000000"/>
        </w:rPr>
      </w:pPr>
      <w:r w:rsidRPr="00E8031D">
        <w:rPr>
          <w:rFonts w:cs="Arial"/>
        </w:rPr>
        <w:t>Portable device purchases are covered at the base model level</w:t>
      </w:r>
      <w:r>
        <w:rPr>
          <w:rFonts w:cs="Arial"/>
        </w:rPr>
        <w:t>.</w:t>
      </w:r>
    </w:p>
    <w:p w14:paraId="4848629B" w14:textId="77777777" w:rsidR="00E8031D" w:rsidRPr="00E8031D" w:rsidRDefault="00E8031D" w:rsidP="009862C2">
      <w:pPr>
        <w:numPr>
          <w:ilvl w:val="3"/>
          <w:numId w:val="50"/>
        </w:numPr>
        <w:ind w:left="1800"/>
        <w:rPr>
          <w:rFonts w:cs="Arial"/>
          <w:bCs/>
          <w:color w:val="000000"/>
        </w:rPr>
      </w:pPr>
      <w:r>
        <w:rPr>
          <w:rFonts w:cs="Arial"/>
          <w:bCs/>
          <w:color w:val="000000"/>
        </w:rPr>
        <w:lastRenderedPageBreak/>
        <w:t>Clients may use private funds to purchase additional memory or capabilities.</w:t>
      </w:r>
    </w:p>
    <w:p w14:paraId="1BFBA742" w14:textId="77777777" w:rsidR="005E1792" w:rsidRPr="000D2053" w:rsidRDefault="005E1792" w:rsidP="0021431C">
      <w:pPr>
        <w:ind w:left="720"/>
        <w:rPr>
          <w:rFonts w:cs="Arial"/>
          <w:bCs/>
          <w:color w:val="000000"/>
        </w:rPr>
      </w:pPr>
    </w:p>
    <w:p w14:paraId="204C4560" w14:textId="77777777" w:rsidR="00D74904" w:rsidRPr="000D2053" w:rsidRDefault="00D74904" w:rsidP="005E1792">
      <w:pPr>
        <w:pStyle w:val="ListParagraph"/>
        <w:ind w:left="0" w:firstLine="360"/>
        <w:rPr>
          <w:rFonts w:cs="Arial"/>
          <w:b/>
        </w:rPr>
      </w:pPr>
      <w:r w:rsidRPr="000D2053">
        <w:rPr>
          <w:rFonts w:cs="Arial"/>
          <w:b/>
        </w:rPr>
        <w:t>Exclusions and limits:</w:t>
      </w:r>
    </w:p>
    <w:p w14:paraId="290E48C5" w14:textId="77777777" w:rsidR="00E8031D" w:rsidRDefault="00E8031D" w:rsidP="009862C2">
      <w:pPr>
        <w:pStyle w:val="ListParagraph"/>
        <w:numPr>
          <w:ilvl w:val="0"/>
          <w:numId w:val="16"/>
        </w:numPr>
        <w:ind w:left="1080"/>
        <w:rPr>
          <w:rFonts w:cs="Arial"/>
          <w:szCs w:val="20"/>
        </w:rPr>
      </w:pPr>
      <w:r>
        <w:rPr>
          <w:rFonts w:cs="Arial"/>
          <w:szCs w:val="20"/>
        </w:rPr>
        <w:t xml:space="preserve">Any item or similar item with the same function may </w:t>
      </w:r>
      <w:r w:rsidR="00476539">
        <w:rPr>
          <w:rFonts w:cs="Arial"/>
          <w:szCs w:val="20"/>
        </w:rPr>
        <w:t>not</w:t>
      </w:r>
      <w:r>
        <w:rPr>
          <w:rFonts w:cs="Arial"/>
          <w:szCs w:val="20"/>
        </w:rPr>
        <w:t xml:space="preserve"> be purchased</w:t>
      </w:r>
      <w:r w:rsidR="00476539">
        <w:rPr>
          <w:rFonts w:cs="Arial"/>
          <w:szCs w:val="20"/>
        </w:rPr>
        <w:t xml:space="preserve"> more than</w:t>
      </w:r>
      <w:r>
        <w:rPr>
          <w:rFonts w:cs="Arial"/>
          <w:szCs w:val="20"/>
        </w:rPr>
        <w:t xml:space="preserve"> once every two years.</w:t>
      </w:r>
    </w:p>
    <w:p w14:paraId="240A7FB1" w14:textId="77777777" w:rsidR="00F028D5" w:rsidRDefault="00F028D5" w:rsidP="009862C2">
      <w:pPr>
        <w:pStyle w:val="ListParagraph"/>
        <w:numPr>
          <w:ilvl w:val="0"/>
          <w:numId w:val="16"/>
        </w:numPr>
        <w:ind w:left="1080"/>
        <w:rPr>
          <w:rFonts w:cs="Arial"/>
          <w:szCs w:val="20"/>
        </w:rPr>
      </w:pPr>
      <w:r>
        <w:rPr>
          <w:rFonts w:cs="Arial"/>
          <w:szCs w:val="20"/>
        </w:rPr>
        <w:t>Portable computing device</w:t>
      </w:r>
      <w:r w:rsidR="00E8031D">
        <w:rPr>
          <w:rFonts w:cs="Arial"/>
          <w:szCs w:val="20"/>
        </w:rPr>
        <w:t xml:space="preserve"> purchases include base model levels, additions such as added memory or storage, mobile wireless capabilities (cellular), and accessories such as keyboards, cases, sleeves, and </w:t>
      </w:r>
      <w:r w:rsidR="00653ED8">
        <w:rPr>
          <w:rFonts w:cs="Arial"/>
          <w:szCs w:val="20"/>
        </w:rPr>
        <w:t xml:space="preserve">decorative </w:t>
      </w:r>
      <w:r w:rsidR="00E8031D">
        <w:rPr>
          <w:rFonts w:cs="Arial"/>
          <w:szCs w:val="20"/>
        </w:rPr>
        <w:t xml:space="preserve">covers/coatings are not covered. </w:t>
      </w:r>
    </w:p>
    <w:p w14:paraId="41D15FC6" w14:textId="77777777" w:rsidR="00D74904" w:rsidRPr="00F028D5" w:rsidRDefault="00D74904" w:rsidP="009862C2">
      <w:pPr>
        <w:pStyle w:val="ListParagraph"/>
        <w:numPr>
          <w:ilvl w:val="0"/>
          <w:numId w:val="16"/>
        </w:numPr>
        <w:ind w:left="1080"/>
        <w:rPr>
          <w:rFonts w:cs="Arial"/>
          <w:szCs w:val="20"/>
        </w:rPr>
      </w:pPr>
      <w:r w:rsidRPr="00F028D5">
        <w:rPr>
          <w:rFonts w:cs="Arial"/>
          <w:szCs w:val="20"/>
        </w:rPr>
        <w:t>The $500 limit cannot be carried over, divided</w:t>
      </w:r>
      <w:r w:rsidR="005E1792" w:rsidRPr="00F028D5">
        <w:rPr>
          <w:rFonts w:cs="Arial"/>
          <w:szCs w:val="20"/>
        </w:rPr>
        <w:t xml:space="preserve">, or </w:t>
      </w:r>
      <w:r w:rsidRPr="00F028D5">
        <w:rPr>
          <w:rFonts w:cs="Arial"/>
          <w:szCs w:val="20"/>
        </w:rPr>
        <w:t xml:space="preserve">combined between fiscal years.  </w:t>
      </w:r>
    </w:p>
    <w:p w14:paraId="18540ACB" w14:textId="77777777" w:rsidR="00D74904" w:rsidRPr="000D2053" w:rsidRDefault="00D74904" w:rsidP="009862C2">
      <w:pPr>
        <w:pStyle w:val="ListParagraph"/>
        <w:numPr>
          <w:ilvl w:val="0"/>
          <w:numId w:val="16"/>
        </w:numPr>
        <w:ind w:left="1080"/>
        <w:rPr>
          <w:rFonts w:cs="Arial"/>
          <w:szCs w:val="20"/>
        </w:rPr>
      </w:pPr>
      <w:r w:rsidRPr="000D2053">
        <w:rPr>
          <w:rFonts w:cs="Arial"/>
          <w:szCs w:val="20"/>
        </w:rPr>
        <w:t xml:space="preserve">This limit </w:t>
      </w:r>
      <w:r w:rsidRPr="000D2053">
        <w:rPr>
          <w:rFonts w:cs="Arial"/>
          <w:color w:val="000000"/>
        </w:rPr>
        <w:t>cannot be used to supplement the rate paid by Medicare or Medicaid for a purchase.</w:t>
      </w:r>
    </w:p>
    <w:p w14:paraId="6B2EDBBE" w14:textId="77777777" w:rsidR="00D74904" w:rsidRPr="000D2053" w:rsidRDefault="00D74904" w:rsidP="009862C2">
      <w:pPr>
        <w:pStyle w:val="ListParagraph"/>
        <w:numPr>
          <w:ilvl w:val="0"/>
          <w:numId w:val="16"/>
        </w:numPr>
        <w:ind w:left="1080"/>
        <w:rPr>
          <w:rFonts w:cs="Arial"/>
          <w:szCs w:val="20"/>
        </w:rPr>
      </w:pPr>
      <w:r w:rsidRPr="000D2053">
        <w:rPr>
          <w:rFonts w:cs="Arial"/>
          <w:szCs w:val="20"/>
        </w:rPr>
        <w:t>Purchases may not be solely for recreational purposes.</w:t>
      </w:r>
    </w:p>
    <w:p w14:paraId="7FB10B98" w14:textId="77777777" w:rsidR="00D74904" w:rsidRDefault="00D74904" w:rsidP="009862C2">
      <w:pPr>
        <w:numPr>
          <w:ilvl w:val="0"/>
          <w:numId w:val="16"/>
        </w:numPr>
        <w:ind w:left="1080"/>
        <w:rPr>
          <w:rFonts w:cs="Arial"/>
          <w:bCs/>
          <w:color w:val="000000"/>
        </w:rPr>
      </w:pPr>
      <w:r w:rsidRPr="000D2053">
        <w:rPr>
          <w:rFonts w:cs="Arial"/>
          <w:bCs/>
          <w:color w:val="000000"/>
        </w:rPr>
        <w:t xml:space="preserve">If a higher limit is medically necessary, the Case Manager may use </w:t>
      </w:r>
      <w:r w:rsidR="005E1792" w:rsidRPr="000D2053">
        <w:rPr>
          <w:rFonts w:cs="Arial"/>
          <w:bCs/>
          <w:color w:val="000000"/>
        </w:rPr>
        <w:t>the</w:t>
      </w:r>
      <w:r w:rsidRPr="000D2053">
        <w:rPr>
          <w:rFonts w:cs="Arial"/>
          <w:bCs/>
          <w:color w:val="000000"/>
        </w:rPr>
        <w:t xml:space="preserve"> Exception to Rule (ETR) </w:t>
      </w:r>
      <w:r w:rsidR="005E1792" w:rsidRPr="000D2053">
        <w:rPr>
          <w:rFonts w:cs="Arial"/>
          <w:bCs/>
          <w:color w:val="000000"/>
        </w:rPr>
        <w:t xml:space="preserve">process </w:t>
      </w:r>
      <w:r w:rsidRPr="000D2053">
        <w:rPr>
          <w:rFonts w:cs="Arial"/>
          <w:bCs/>
          <w:color w:val="000000"/>
        </w:rPr>
        <w:t>to request a higher limit.</w:t>
      </w:r>
    </w:p>
    <w:p w14:paraId="26AD7F04" w14:textId="5766DF72" w:rsidR="00E57A01" w:rsidRPr="000D2053" w:rsidRDefault="00E57A01" w:rsidP="00083918">
      <w:pPr>
        <w:numPr>
          <w:ilvl w:val="1"/>
          <w:numId w:val="16"/>
        </w:numPr>
        <w:rPr>
          <w:rFonts w:cs="Arial"/>
          <w:bCs/>
          <w:color w:val="000000"/>
        </w:rPr>
      </w:pPr>
      <w:r>
        <w:rPr>
          <w:rFonts w:cs="Arial"/>
          <w:bCs/>
          <w:color w:val="000000"/>
        </w:rPr>
        <w:t>ETRs expire on June 30</w:t>
      </w:r>
      <w:r w:rsidRPr="00083918">
        <w:rPr>
          <w:rFonts w:cs="Arial"/>
          <w:bCs/>
          <w:color w:val="000000"/>
          <w:vertAlign w:val="superscript"/>
        </w:rPr>
        <w:t>th</w:t>
      </w:r>
      <w:r>
        <w:rPr>
          <w:rFonts w:cs="Arial"/>
          <w:bCs/>
          <w:color w:val="000000"/>
        </w:rPr>
        <w:t xml:space="preserve"> every year. If your ETR is for an ongoing service, a new ETR will need to be submitted and approved before July 1</w:t>
      </w:r>
      <w:r w:rsidRPr="00083918">
        <w:rPr>
          <w:rFonts w:cs="Arial"/>
          <w:bCs/>
          <w:color w:val="000000"/>
          <w:vertAlign w:val="superscript"/>
        </w:rPr>
        <w:t>st</w:t>
      </w:r>
      <w:r>
        <w:rPr>
          <w:rFonts w:cs="Arial"/>
          <w:bCs/>
          <w:color w:val="000000"/>
        </w:rPr>
        <w:t>.</w:t>
      </w:r>
    </w:p>
    <w:p w14:paraId="4616C4EC" w14:textId="77777777" w:rsidR="00D74904" w:rsidRPr="000D2053" w:rsidRDefault="00D74904" w:rsidP="009862C2">
      <w:pPr>
        <w:numPr>
          <w:ilvl w:val="0"/>
          <w:numId w:val="16"/>
        </w:numPr>
        <w:ind w:left="1080"/>
        <w:rPr>
          <w:rFonts w:cs="Arial"/>
          <w:bCs/>
          <w:color w:val="000000"/>
        </w:rPr>
      </w:pPr>
      <w:r w:rsidRPr="000D2053">
        <w:rPr>
          <w:rFonts w:cs="Arial"/>
          <w:bCs/>
          <w:color w:val="000000"/>
        </w:rPr>
        <w:t>Medicare</w:t>
      </w:r>
      <w:r w:rsidR="005E1792" w:rsidRPr="000D2053">
        <w:rPr>
          <w:rFonts w:cs="Arial"/>
          <w:bCs/>
          <w:color w:val="000000"/>
        </w:rPr>
        <w:t xml:space="preserve">, </w:t>
      </w:r>
      <w:r w:rsidRPr="000D2053">
        <w:rPr>
          <w:rFonts w:cs="Arial"/>
          <w:bCs/>
          <w:color w:val="000000"/>
        </w:rPr>
        <w:t>Medicaid</w:t>
      </w:r>
      <w:r w:rsidR="005E1792" w:rsidRPr="000D2053">
        <w:rPr>
          <w:rFonts w:cs="Arial"/>
          <w:bCs/>
          <w:color w:val="000000"/>
        </w:rPr>
        <w:t xml:space="preserve">, or any other third party payment source must deny payment for the item prior to payment from CFC. </w:t>
      </w:r>
    </w:p>
    <w:p w14:paraId="728D7191" w14:textId="77777777" w:rsidR="005E1792" w:rsidRPr="000D2053" w:rsidRDefault="005E1792" w:rsidP="009862C2">
      <w:pPr>
        <w:numPr>
          <w:ilvl w:val="0"/>
          <w:numId w:val="16"/>
        </w:numPr>
        <w:rPr>
          <w:rFonts w:cs="Arial"/>
          <w:bCs/>
          <w:color w:val="000000"/>
        </w:rPr>
      </w:pPr>
      <w:r w:rsidRPr="000D2053">
        <w:rPr>
          <w:rFonts w:cs="Arial"/>
          <w:bCs/>
          <w:color w:val="000000"/>
        </w:rPr>
        <w:t>Exempted trust funds are not considered a third party payment source and clients must not be required to use these funds prior to using state or federal funding.</w:t>
      </w:r>
    </w:p>
    <w:p w14:paraId="374AADBB" w14:textId="77777777" w:rsidR="00282EFA" w:rsidRPr="00D83A97" w:rsidRDefault="00282EFA" w:rsidP="009862C2">
      <w:pPr>
        <w:numPr>
          <w:ilvl w:val="0"/>
          <w:numId w:val="16"/>
        </w:numPr>
        <w:ind w:left="1080"/>
        <w:rPr>
          <w:rFonts w:cs="Arial"/>
          <w:bCs/>
          <w:color w:val="000000"/>
        </w:rPr>
      </w:pPr>
      <w:r w:rsidRPr="00D83A97">
        <w:rPr>
          <w:rFonts w:cs="Arial"/>
        </w:rPr>
        <w:t xml:space="preserve">Examples of items </w:t>
      </w:r>
      <w:r w:rsidRPr="00161336">
        <w:rPr>
          <w:rFonts w:cs="Arial"/>
        </w:rPr>
        <w:t xml:space="preserve">not </w:t>
      </w:r>
      <w:r w:rsidRPr="00D83A97">
        <w:rPr>
          <w:rFonts w:cs="Arial"/>
        </w:rPr>
        <w:t>covered under CFC Assistive Technology:</w:t>
      </w:r>
    </w:p>
    <w:p w14:paraId="46F7A1B2" w14:textId="77777777" w:rsidR="00282EFA" w:rsidRDefault="00282EFA" w:rsidP="009862C2">
      <w:pPr>
        <w:numPr>
          <w:ilvl w:val="0"/>
          <w:numId w:val="49"/>
        </w:numPr>
        <w:ind w:left="1800"/>
        <w:rPr>
          <w:rFonts w:cs="Arial"/>
        </w:rPr>
      </w:pPr>
      <w:r w:rsidRPr="00D83A97">
        <w:rPr>
          <w:rFonts w:cs="Arial"/>
        </w:rPr>
        <w:t xml:space="preserve">Items considered Durable Medical Equipment (DME) or Specialized Medical Equipment (SME). </w:t>
      </w:r>
    </w:p>
    <w:p w14:paraId="2502FD70" w14:textId="77777777" w:rsidR="00653ED8" w:rsidRDefault="00653ED8" w:rsidP="009862C2">
      <w:pPr>
        <w:numPr>
          <w:ilvl w:val="0"/>
          <w:numId w:val="49"/>
        </w:numPr>
        <w:ind w:left="1800"/>
        <w:rPr>
          <w:rFonts w:cs="Arial"/>
        </w:rPr>
      </w:pPr>
      <w:r>
        <w:rPr>
          <w:rFonts w:cs="Arial"/>
        </w:rPr>
        <w:t>Hearing aids, prescription eye glasses, reading glasses.</w:t>
      </w:r>
    </w:p>
    <w:p w14:paraId="7EC16802" w14:textId="77777777" w:rsidR="00785C20" w:rsidRPr="00785C20" w:rsidRDefault="00785C20" w:rsidP="00785C20">
      <w:pPr>
        <w:numPr>
          <w:ilvl w:val="0"/>
          <w:numId w:val="49"/>
        </w:numPr>
        <w:ind w:left="1800"/>
        <w:rPr>
          <w:rFonts w:cs="Arial"/>
        </w:rPr>
      </w:pPr>
      <w:r>
        <w:rPr>
          <w:rFonts w:cs="Arial"/>
        </w:rPr>
        <w:t>Modifications to a home or living environment.</w:t>
      </w:r>
    </w:p>
    <w:p w14:paraId="5CC00904" w14:textId="77777777" w:rsidR="00282EFA" w:rsidRPr="00D83A97" w:rsidRDefault="00282EFA" w:rsidP="009862C2">
      <w:pPr>
        <w:numPr>
          <w:ilvl w:val="0"/>
          <w:numId w:val="49"/>
        </w:numPr>
        <w:ind w:left="1800"/>
        <w:rPr>
          <w:rFonts w:cs="Arial"/>
        </w:rPr>
      </w:pPr>
      <w:r w:rsidRPr="00D83A97">
        <w:rPr>
          <w:rFonts w:cs="Arial"/>
        </w:rPr>
        <w:t xml:space="preserve">Subscriptions or items that require a monthly recurring cost such as connection fees, internet service or data plans, are not covered </w:t>
      </w:r>
      <w:r w:rsidR="00F028D5">
        <w:rPr>
          <w:rFonts w:cs="Arial"/>
        </w:rPr>
        <w:t>(w</w:t>
      </w:r>
      <w:r w:rsidRPr="00D83A97">
        <w:rPr>
          <w:rFonts w:cs="Arial"/>
        </w:rPr>
        <w:t>ith the exception of Personal Emergency Response System add-ons</w:t>
      </w:r>
      <w:r w:rsidR="00F028D5">
        <w:rPr>
          <w:rFonts w:cs="Arial"/>
        </w:rPr>
        <w:t>)</w:t>
      </w:r>
      <w:r w:rsidRPr="00D83A97">
        <w:rPr>
          <w:rFonts w:cs="Arial"/>
        </w:rPr>
        <w:t>.</w:t>
      </w:r>
    </w:p>
    <w:p w14:paraId="4E26B4B2" w14:textId="77777777" w:rsidR="00282EFA" w:rsidRDefault="00282EFA" w:rsidP="009862C2">
      <w:pPr>
        <w:numPr>
          <w:ilvl w:val="0"/>
          <w:numId w:val="49"/>
        </w:numPr>
        <w:ind w:left="1800"/>
        <w:rPr>
          <w:rFonts w:cs="Arial"/>
        </w:rPr>
      </w:pPr>
      <w:r w:rsidRPr="00D83A97">
        <w:rPr>
          <w:rFonts w:cs="Arial"/>
        </w:rPr>
        <w:t xml:space="preserve">The service covers equipment only. </w:t>
      </w:r>
      <w:r w:rsidR="00785C20">
        <w:rPr>
          <w:rFonts w:cs="Arial"/>
        </w:rPr>
        <w:t>Downloadable s</w:t>
      </w:r>
      <w:r w:rsidRPr="00D83A97">
        <w:rPr>
          <w:rFonts w:cs="Arial"/>
        </w:rPr>
        <w:t>oftware applications (“aps”) are not covered</w:t>
      </w:r>
      <w:r w:rsidR="00785C20">
        <w:rPr>
          <w:rFonts w:cs="Arial"/>
        </w:rPr>
        <w:t xml:space="preserve">; however, software that could be purchased, such as speech to text software </w:t>
      </w:r>
      <w:r w:rsidR="00653ED8">
        <w:rPr>
          <w:rFonts w:cs="Arial"/>
        </w:rPr>
        <w:t xml:space="preserve">may be </w:t>
      </w:r>
      <w:r w:rsidR="00785C20">
        <w:rPr>
          <w:rFonts w:cs="Arial"/>
        </w:rPr>
        <w:t>covered</w:t>
      </w:r>
      <w:r w:rsidR="00653ED8">
        <w:rPr>
          <w:rFonts w:cs="Arial"/>
        </w:rPr>
        <w:t xml:space="preserve"> as long as it appears on the CFC Covered Items List</w:t>
      </w:r>
      <w:r w:rsidR="00785C20">
        <w:rPr>
          <w:rFonts w:cs="Arial"/>
        </w:rPr>
        <w:t>.</w:t>
      </w:r>
    </w:p>
    <w:p w14:paraId="3DEEED20" w14:textId="77777777" w:rsidR="00F028D5" w:rsidRDefault="00F028D5" w:rsidP="009862C2">
      <w:pPr>
        <w:numPr>
          <w:ilvl w:val="0"/>
          <w:numId w:val="49"/>
        </w:numPr>
        <w:ind w:left="1800"/>
        <w:rPr>
          <w:rFonts w:cs="Arial"/>
        </w:rPr>
      </w:pPr>
      <w:r>
        <w:rPr>
          <w:rFonts w:cs="Arial"/>
        </w:rPr>
        <w:t>Items covered by Medicare, Apple Health, or any other insurance or payment source.</w:t>
      </w:r>
    </w:p>
    <w:p w14:paraId="120BC403" w14:textId="77777777" w:rsidR="00F028D5" w:rsidRPr="00D83A97" w:rsidRDefault="00F028D5" w:rsidP="009862C2">
      <w:pPr>
        <w:numPr>
          <w:ilvl w:val="0"/>
          <w:numId w:val="49"/>
        </w:numPr>
        <w:ind w:left="1800"/>
        <w:rPr>
          <w:rFonts w:cs="Arial"/>
        </w:rPr>
      </w:pPr>
      <w:r>
        <w:rPr>
          <w:rFonts w:cs="Arial"/>
        </w:rPr>
        <w:t>Items denied solely because of improper or untimely billing by the provider.</w:t>
      </w:r>
    </w:p>
    <w:p w14:paraId="686B6354" w14:textId="77777777" w:rsidR="00282EFA" w:rsidRPr="00D74904" w:rsidRDefault="00282EFA" w:rsidP="00D83A97">
      <w:pPr>
        <w:ind w:left="1620"/>
        <w:rPr>
          <w:rFonts w:cs="Arial"/>
          <w:bCs/>
          <w:color w:val="000000"/>
        </w:rPr>
      </w:pPr>
    </w:p>
    <w:p w14:paraId="7ACE8F37" w14:textId="77777777" w:rsidR="00B31B97" w:rsidRDefault="00B31B97" w:rsidP="00B31B97">
      <w:pPr>
        <w:ind w:left="360"/>
        <w:rPr>
          <w:rFonts w:cs="Arial"/>
          <w:b/>
        </w:rPr>
      </w:pPr>
      <w:bookmarkStart w:id="21" w:name="Community_trans_srvs_waiver_srvs"/>
      <w:bookmarkStart w:id="22" w:name="Community_transition_services"/>
      <w:bookmarkEnd w:id="21"/>
      <w:r w:rsidRPr="00F67F82">
        <w:rPr>
          <w:rFonts w:cs="Arial"/>
          <w:b/>
        </w:rPr>
        <w:t>Community Transition Services</w:t>
      </w:r>
      <w:r>
        <w:rPr>
          <w:rFonts w:cs="Arial"/>
          <w:b/>
        </w:rPr>
        <w:t xml:space="preserve"> (CTS)</w:t>
      </w:r>
      <w:r w:rsidRPr="00F67F82">
        <w:rPr>
          <w:rFonts w:cs="Arial"/>
          <w:b/>
        </w:rPr>
        <w:t xml:space="preserve"> </w:t>
      </w:r>
    </w:p>
    <w:bookmarkEnd w:id="22"/>
    <w:p w14:paraId="61591AED" w14:textId="77777777" w:rsidR="00A912D1" w:rsidRPr="00F67F82" w:rsidRDefault="00A912D1" w:rsidP="00B31B97">
      <w:pPr>
        <w:ind w:left="360"/>
        <w:rPr>
          <w:rFonts w:cs="Arial"/>
          <w:b/>
        </w:rPr>
      </w:pPr>
    </w:p>
    <w:p w14:paraId="326AF04F" w14:textId="0E6AB4F2" w:rsidR="00B31B97" w:rsidRPr="00F67F82" w:rsidRDefault="00B31B97" w:rsidP="009862C2">
      <w:pPr>
        <w:numPr>
          <w:ilvl w:val="0"/>
          <w:numId w:val="23"/>
        </w:numPr>
        <w:ind w:left="1121"/>
        <w:rPr>
          <w:rFonts w:cs="Arial"/>
        </w:rPr>
      </w:pPr>
      <w:r>
        <w:rPr>
          <w:rFonts w:cs="Arial"/>
        </w:rPr>
        <w:lastRenderedPageBreak/>
        <w:t>Can be used i</w:t>
      </w:r>
      <w:r w:rsidRPr="00F67F82">
        <w:rPr>
          <w:rFonts w:cs="Arial"/>
        </w:rPr>
        <w:t xml:space="preserve">f the </w:t>
      </w:r>
      <w:r>
        <w:rPr>
          <w:rFonts w:cs="Arial"/>
        </w:rPr>
        <w:t>participant</w:t>
      </w:r>
      <w:r w:rsidRPr="00F67F82">
        <w:rPr>
          <w:rFonts w:cs="Arial"/>
        </w:rPr>
        <w:t xml:space="preserve"> is being discharged from </w:t>
      </w:r>
      <w:r w:rsidR="00F95333">
        <w:rPr>
          <w:rFonts w:cs="Arial"/>
        </w:rPr>
        <w:t>a</w:t>
      </w:r>
      <w:r w:rsidR="00F95333" w:rsidRPr="00F67F82">
        <w:rPr>
          <w:rFonts w:cs="Arial"/>
        </w:rPr>
        <w:t xml:space="preserve"> </w:t>
      </w:r>
      <w:r w:rsidRPr="00F67F82">
        <w:rPr>
          <w:rFonts w:cs="Arial"/>
        </w:rPr>
        <w:t>nursing facility</w:t>
      </w:r>
      <w:r w:rsidR="00F95333">
        <w:rPr>
          <w:rFonts w:cs="Arial"/>
        </w:rPr>
        <w:t xml:space="preserve">, </w:t>
      </w:r>
      <w:r w:rsidR="00653ED8">
        <w:rPr>
          <w:rFonts w:cs="Arial"/>
        </w:rPr>
        <w:t xml:space="preserve">a </w:t>
      </w:r>
      <w:r w:rsidR="00F95333">
        <w:rPr>
          <w:rFonts w:cs="Arial"/>
        </w:rPr>
        <w:t>state hospital</w:t>
      </w:r>
      <w:r w:rsidR="00653ED8">
        <w:rPr>
          <w:rFonts w:cs="Arial"/>
        </w:rPr>
        <w:t>,</w:t>
      </w:r>
      <w:r w:rsidR="00F95333">
        <w:rPr>
          <w:rFonts w:cs="Arial"/>
        </w:rPr>
        <w:t xml:space="preserve"> or </w:t>
      </w:r>
      <w:r w:rsidR="00653ED8">
        <w:rPr>
          <w:rFonts w:cs="Arial"/>
        </w:rPr>
        <w:t xml:space="preserve">an </w:t>
      </w:r>
      <w:r w:rsidR="00F95333">
        <w:rPr>
          <w:rFonts w:cs="Arial"/>
        </w:rPr>
        <w:t>ICF/ID</w:t>
      </w:r>
      <w:r w:rsidRPr="00F67F82">
        <w:rPr>
          <w:rFonts w:cs="Arial"/>
        </w:rPr>
        <w:t xml:space="preserve"> and if services are necessary for the </w:t>
      </w:r>
      <w:r>
        <w:rPr>
          <w:rFonts w:cs="Arial"/>
        </w:rPr>
        <w:t>participant</w:t>
      </w:r>
      <w:r w:rsidRPr="00F67F82">
        <w:rPr>
          <w:rFonts w:cs="Arial"/>
        </w:rPr>
        <w:t xml:space="preserve"> to set up his/her own home. Services:</w:t>
      </w:r>
    </w:p>
    <w:p w14:paraId="4B91C3FD" w14:textId="77777777" w:rsidR="00B31B97" w:rsidRPr="00F67F82" w:rsidRDefault="00B31B97" w:rsidP="009862C2">
      <w:pPr>
        <w:pStyle w:val="ListParagraph"/>
        <w:numPr>
          <w:ilvl w:val="0"/>
          <w:numId w:val="22"/>
        </w:numPr>
        <w:ind w:left="1440"/>
        <w:rPr>
          <w:rFonts w:cs="Arial"/>
        </w:rPr>
      </w:pPr>
      <w:r w:rsidRPr="00F67F82">
        <w:rPr>
          <w:rFonts w:cs="Arial"/>
        </w:rPr>
        <w:t>May include: S</w:t>
      </w:r>
      <w:r>
        <w:rPr>
          <w:rFonts w:cs="Arial"/>
        </w:rPr>
        <w:t>ecurity</w:t>
      </w:r>
      <w:r w:rsidRPr="00F67F82">
        <w:rPr>
          <w:rFonts w:cs="Arial"/>
        </w:rPr>
        <w:t xml:space="preserve"> deposits, utility set-up fees or deposits, health and safety assurances such as pest eradication, allergen control or one-time cleaning prior to occupancy, moving fees, furniture, essential furnishings, and basic items essential for basic living outside the institution; and</w:t>
      </w:r>
    </w:p>
    <w:p w14:paraId="3218B114" w14:textId="77777777" w:rsidR="00B31B97" w:rsidRDefault="00B31B97" w:rsidP="009862C2">
      <w:pPr>
        <w:pStyle w:val="ListParagraph"/>
        <w:numPr>
          <w:ilvl w:val="0"/>
          <w:numId w:val="22"/>
        </w:numPr>
        <w:ind w:left="1440"/>
        <w:rPr>
          <w:rFonts w:cs="Arial"/>
        </w:rPr>
      </w:pPr>
      <w:r>
        <w:rPr>
          <w:rFonts w:cs="Arial"/>
        </w:rPr>
        <w:t>Cannot be used for</w:t>
      </w:r>
      <w:r w:rsidRPr="00F67F82">
        <w:rPr>
          <w:rFonts w:cs="Arial"/>
        </w:rPr>
        <w:t xml:space="preserve"> rent, recreational items such as TV, cable or VCRs</w:t>
      </w:r>
      <w:r>
        <w:rPr>
          <w:rFonts w:cs="Arial"/>
        </w:rPr>
        <w:t>.</w:t>
      </w:r>
    </w:p>
    <w:p w14:paraId="60D245CC" w14:textId="77777777" w:rsidR="00A30D82" w:rsidRPr="00F67F82" w:rsidRDefault="00A30D82" w:rsidP="00A30D82">
      <w:pPr>
        <w:pStyle w:val="ListParagraph"/>
        <w:ind w:left="1440"/>
        <w:rPr>
          <w:rFonts w:cs="Arial"/>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B31B97" w:rsidRPr="00F67F82" w14:paraId="6CA39DD9" w14:textId="77777777" w:rsidTr="00D239D5">
        <w:tc>
          <w:tcPr>
            <w:tcW w:w="8496" w:type="dxa"/>
            <w:tcBorders>
              <w:top w:val="single" w:sz="4" w:space="0" w:color="auto"/>
              <w:left w:val="single" w:sz="4" w:space="0" w:color="auto"/>
              <w:bottom w:val="single" w:sz="4" w:space="0" w:color="auto"/>
              <w:right w:val="single" w:sz="4" w:space="0" w:color="auto"/>
            </w:tcBorders>
            <w:shd w:val="clear" w:color="auto" w:fill="CCFFCC"/>
          </w:tcPr>
          <w:p w14:paraId="689D110A" w14:textId="77777777" w:rsidR="00B31B97" w:rsidRPr="00F67F82" w:rsidRDefault="00B31B97">
            <w:pPr>
              <w:ind w:left="-2"/>
              <w:rPr>
                <w:rFonts w:cs="Arial"/>
              </w:rPr>
            </w:pPr>
            <w:r w:rsidRPr="00331B1D">
              <w:rPr>
                <w:rFonts w:cs="Arial"/>
                <w:b/>
              </w:rPr>
              <w:t>Note:</w:t>
            </w:r>
            <w:r w:rsidRPr="00F67F82">
              <w:rPr>
                <w:rFonts w:cs="Arial"/>
              </w:rPr>
              <w:t xml:space="preserve"> When Community Transition Services are furnished to individuals returning to the community from </w:t>
            </w:r>
            <w:r w:rsidR="00A912D1" w:rsidRPr="00F67F82">
              <w:rPr>
                <w:rFonts w:cs="Arial"/>
              </w:rPr>
              <w:t>a</w:t>
            </w:r>
            <w:r w:rsidR="00A912D1">
              <w:rPr>
                <w:rFonts w:cs="Arial"/>
              </w:rPr>
              <w:t>n</w:t>
            </w:r>
            <w:r w:rsidRPr="00F67F82">
              <w:rPr>
                <w:rFonts w:cs="Arial"/>
              </w:rPr>
              <w:t xml:space="preserve"> institutional </w:t>
            </w:r>
            <w:r w:rsidR="006B543A" w:rsidRPr="00F67F82">
              <w:rPr>
                <w:rFonts w:cs="Arial"/>
              </w:rPr>
              <w:t>setting</w:t>
            </w:r>
            <w:r w:rsidR="00F95333">
              <w:rPr>
                <w:rFonts w:cs="Arial"/>
              </w:rPr>
              <w:t>, the service is not</w:t>
            </w:r>
            <w:r w:rsidRPr="00F67F82">
              <w:rPr>
                <w:rFonts w:cs="Arial"/>
              </w:rPr>
              <w:t xml:space="preserve"> considered complete and may not be billed until the participant leaves the institution and </w:t>
            </w:r>
            <w:r w:rsidR="00D239D5">
              <w:rPr>
                <w:rFonts w:cs="Arial"/>
              </w:rPr>
              <w:t>is enrolled in</w:t>
            </w:r>
            <w:r w:rsidRPr="00F67F82">
              <w:rPr>
                <w:rFonts w:cs="Arial"/>
              </w:rPr>
              <w:t xml:space="preserve"> the </w:t>
            </w:r>
            <w:r w:rsidR="00D239D5">
              <w:rPr>
                <w:rFonts w:cs="Arial"/>
              </w:rPr>
              <w:t>CFC program</w:t>
            </w:r>
            <w:r w:rsidRPr="00F67F82">
              <w:rPr>
                <w:rStyle w:val="CommentReference"/>
                <w:rFonts w:cs="Arial"/>
              </w:rPr>
              <w:t>.  </w:t>
            </w:r>
          </w:p>
        </w:tc>
      </w:tr>
    </w:tbl>
    <w:p w14:paraId="5BEB7947" w14:textId="77777777" w:rsidR="00B31B97" w:rsidRPr="00F67F82" w:rsidRDefault="00B31B97" w:rsidP="00B31B97">
      <w:pPr>
        <w:pStyle w:val="ListParagraph"/>
        <w:ind w:left="1440"/>
        <w:rPr>
          <w:rFonts w:cs="Arial"/>
          <w:b/>
          <w:i/>
        </w:rPr>
      </w:pPr>
    </w:p>
    <w:p w14:paraId="739884E9" w14:textId="77777777" w:rsidR="00B31B97" w:rsidRPr="00F67F82" w:rsidRDefault="00B31B97" w:rsidP="00B31B97">
      <w:pPr>
        <w:pStyle w:val="ListParagraph"/>
        <w:ind w:left="1080"/>
        <w:rPr>
          <w:rFonts w:cs="Arial"/>
          <w:b/>
          <w:i/>
        </w:rPr>
      </w:pPr>
      <w:r w:rsidRPr="00F67F82">
        <w:rPr>
          <w:rFonts w:cs="Arial"/>
          <w:b/>
          <w:i/>
        </w:rPr>
        <w:t>Community Transition Services Definition</w:t>
      </w:r>
    </w:p>
    <w:p w14:paraId="3D2FE2F8" w14:textId="77777777" w:rsidR="00B31B97" w:rsidRPr="00F67F82" w:rsidRDefault="00B31B97" w:rsidP="009862C2">
      <w:pPr>
        <w:pStyle w:val="ListParagraph"/>
        <w:numPr>
          <w:ilvl w:val="0"/>
          <w:numId w:val="24"/>
        </w:numPr>
        <w:ind w:left="2160"/>
        <w:rPr>
          <w:rFonts w:cs="Arial"/>
        </w:rPr>
      </w:pPr>
      <w:r w:rsidRPr="00F67F82">
        <w:rPr>
          <w:rFonts w:cs="Arial"/>
        </w:rPr>
        <w:t xml:space="preserve">Community Transitions Services are non-recurring set-up expenses for individuals who are transitioning from an institutional </w:t>
      </w:r>
      <w:r w:rsidR="00F95333">
        <w:rPr>
          <w:rFonts w:cs="Arial"/>
        </w:rPr>
        <w:t>setting t</w:t>
      </w:r>
      <w:r w:rsidRPr="00F67F82">
        <w:rPr>
          <w:rFonts w:cs="Arial"/>
        </w:rPr>
        <w:t xml:space="preserve">o a </w:t>
      </w:r>
      <w:r w:rsidR="003362B2">
        <w:rPr>
          <w:rFonts w:cs="Arial"/>
        </w:rPr>
        <w:t>home and community based setting. Purchases may not be made for items that are required to be furnished by AFH, ARC, EARC or AL facility.</w:t>
      </w:r>
    </w:p>
    <w:p w14:paraId="7123158A" w14:textId="77777777" w:rsidR="00B31B97" w:rsidRPr="00F67F82" w:rsidRDefault="00B31B97" w:rsidP="009862C2">
      <w:pPr>
        <w:pStyle w:val="ListParagraph"/>
        <w:numPr>
          <w:ilvl w:val="0"/>
          <w:numId w:val="24"/>
        </w:numPr>
        <w:ind w:left="2160"/>
        <w:rPr>
          <w:rFonts w:cs="Arial"/>
        </w:rPr>
      </w:pPr>
      <w:r w:rsidRPr="00F67F82">
        <w:rPr>
          <w:rFonts w:cs="Arial"/>
        </w:rPr>
        <w:t xml:space="preserve">Allowable expenses are those necessary to enable a person to establish a basic household that do not constitute room and board and may include: </w:t>
      </w:r>
    </w:p>
    <w:p w14:paraId="69FE39FA" w14:textId="77777777" w:rsidR="00B31B97" w:rsidRPr="00F67F82" w:rsidRDefault="00B31B97" w:rsidP="009862C2">
      <w:pPr>
        <w:pStyle w:val="ListParagraph"/>
        <w:numPr>
          <w:ilvl w:val="0"/>
          <w:numId w:val="25"/>
        </w:numPr>
        <w:ind w:left="2880"/>
        <w:rPr>
          <w:rFonts w:cs="Arial"/>
        </w:rPr>
      </w:pPr>
      <w:r w:rsidRPr="00F67F82">
        <w:rPr>
          <w:rFonts w:cs="Arial"/>
        </w:rPr>
        <w:t>Security deposits that are required to obtain a lease on an apartment or home;</w:t>
      </w:r>
    </w:p>
    <w:p w14:paraId="59032CEC" w14:textId="77777777" w:rsidR="00B31B97" w:rsidRPr="00F67F82" w:rsidRDefault="00B31B97" w:rsidP="009862C2">
      <w:pPr>
        <w:pStyle w:val="ListParagraph"/>
        <w:numPr>
          <w:ilvl w:val="0"/>
          <w:numId w:val="25"/>
        </w:numPr>
        <w:ind w:left="2880"/>
        <w:rPr>
          <w:rFonts w:cs="Arial"/>
        </w:rPr>
      </w:pPr>
      <w:r w:rsidRPr="00F67F82">
        <w:rPr>
          <w:rFonts w:cs="Arial"/>
        </w:rPr>
        <w:t xml:space="preserve">Essential household furnishings and moving expense required to occupy and use a community domicile, including furniture, window coverings, food preparation items, and bed/bath linens; </w:t>
      </w:r>
    </w:p>
    <w:p w14:paraId="69DF324C" w14:textId="77777777" w:rsidR="00B31B97" w:rsidRPr="00F67F82" w:rsidRDefault="00B31B97" w:rsidP="009862C2">
      <w:pPr>
        <w:pStyle w:val="ListParagraph"/>
        <w:numPr>
          <w:ilvl w:val="0"/>
          <w:numId w:val="25"/>
        </w:numPr>
        <w:ind w:left="2880"/>
        <w:rPr>
          <w:rFonts w:cs="Arial"/>
        </w:rPr>
      </w:pPr>
      <w:r w:rsidRPr="00F67F82">
        <w:rPr>
          <w:rFonts w:cs="Arial"/>
        </w:rPr>
        <w:t xml:space="preserve">Set-up fees or deposits for utility or service access, including telephone, electricity, heating and water; </w:t>
      </w:r>
    </w:p>
    <w:p w14:paraId="32998246" w14:textId="77777777" w:rsidR="00B31B97" w:rsidRPr="00F67F82" w:rsidRDefault="00B31B97" w:rsidP="009862C2">
      <w:pPr>
        <w:pStyle w:val="ListParagraph"/>
        <w:numPr>
          <w:ilvl w:val="0"/>
          <w:numId w:val="25"/>
        </w:numPr>
        <w:ind w:left="2880"/>
        <w:rPr>
          <w:rFonts w:cs="Arial"/>
        </w:rPr>
      </w:pPr>
      <w:r w:rsidRPr="00F67F82">
        <w:rPr>
          <w:rFonts w:cs="Arial"/>
        </w:rPr>
        <w:t xml:space="preserve">Services necessary for the individual’s health and safety such as pest eradication and one-time cleaning prior to occupancy; </w:t>
      </w:r>
    </w:p>
    <w:p w14:paraId="46278A27" w14:textId="77777777" w:rsidR="00B31B97" w:rsidRPr="00F67F82" w:rsidRDefault="00B31B97" w:rsidP="009862C2">
      <w:pPr>
        <w:pStyle w:val="ListParagraph"/>
        <w:numPr>
          <w:ilvl w:val="0"/>
          <w:numId w:val="25"/>
        </w:numPr>
        <w:ind w:left="2880"/>
        <w:rPr>
          <w:rFonts w:cs="Arial"/>
        </w:rPr>
      </w:pPr>
      <w:r>
        <w:rPr>
          <w:rFonts w:cs="Arial"/>
        </w:rPr>
        <w:t>M</w:t>
      </w:r>
      <w:r w:rsidRPr="00F67F82">
        <w:rPr>
          <w:rFonts w:cs="Arial"/>
        </w:rPr>
        <w:t xml:space="preserve">oving expenses; </w:t>
      </w:r>
      <w:r w:rsidR="00D239D5">
        <w:rPr>
          <w:rFonts w:cs="Arial"/>
        </w:rPr>
        <w:t>and</w:t>
      </w:r>
    </w:p>
    <w:p w14:paraId="75EBC205" w14:textId="77777777" w:rsidR="00B31B97" w:rsidRPr="00F67F82" w:rsidRDefault="00B31B97" w:rsidP="009862C2">
      <w:pPr>
        <w:pStyle w:val="ListParagraph"/>
        <w:numPr>
          <w:ilvl w:val="0"/>
          <w:numId w:val="25"/>
        </w:numPr>
        <w:ind w:left="2880"/>
        <w:rPr>
          <w:rFonts w:cs="Arial"/>
        </w:rPr>
      </w:pPr>
      <w:r w:rsidRPr="00F67F82">
        <w:rPr>
          <w:rFonts w:cs="Arial"/>
        </w:rPr>
        <w:t>Activities to assess need, arrange for, and procure need</w:t>
      </w:r>
      <w:r>
        <w:rPr>
          <w:rFonts w:cs="Arial"/>
        </w:rPr>
        <w:t>ed</w:t>
      </w:r>
      <w:r w:rsidRPr="00F67F82">
        <w:rPr>
          <w:rFonts w:cs="Arial"/>
        </w:rPr>
        <w:t xml:space="preserve"> resources.  </w:t>
      </w:r>
    </w:p>
    <w:p w14:paraId="707F416F" w14:textId="77777777" w:rsidR="00B31B97" w:rsidRPr="00F67F82" w:rsidRDefault="00B31B97" w:rsidP="009862C2">
      <w:pPr>
        <w:pStyle w:val="ListParagraph"/>
        <w:numPr>
          <w:ilvl w:val="0"/>
          <w:numId w:val="26"/>
        </w:numPr>
        <w:ind w:left="2160"/>
        <w:rPr>
          <w:rFonts w:cs="Arial"/>
        </w:rPr>
      </w:pPr>
      <w:r w:rsidRPr="00F67F82">
        <w:rPr>
          <w:rFonts w:cs="Arial"/>
        </w:rPr>
        <w:t>This service includes the training of participants and caregivers</w:t>
      </w:r>
      <w:r>
        <w:rPr>
          <w:rFonts w:cs="Arial"/>
        </w:rPr>
        <w:t>,</w:t>
      </w:r>
      <w:r w:rsidRPr="00F67F82">
        <w:rPr>
          <w:rFonts w:cs="Arial"/>
        </w:rPr>
        <w:t xml:space="preserve"> in the maintenance or upkeep of equipment purchased only under the service and does not duplicate training provided under other waiver services.</w:t>
      </w:r>
    </w:p>
    <w:p w14:paraId="5CFE36D5" w14:textId="77777777" w:rsidR="00B31B97" w:rsidRDefault="00B31B97" w:rsidP="009862C2">
      <w:pPr>
        <w:pStyle w:val="ListParagraph"/>
        <w:numPr>
          <w:ilvl w:val="0"/>
          <w:numId w:val="26"/>
        </w:numPr>
        <w:ind w:left="2160"/>
        <w:rPr>
          <w:rFonts w:cs="Arial"/>
        </w:rPr>
      </w:pPr>
      <w:r w:rsidRPr="00F67F82">
        <w:rPr>
          <w:rFonts w:cs="Arial"/>
        </w:rPr>
        <w:t>Community Transition Services are fu</w:t>
      </w:r>
      <w:r>
        <w:rPr>
          <w:rFonts w:cs="Arial"/>
        </w:rPr>
        <w:t>rnished only to the extent that the:</w:t>
      </w:r>
    </w:p>
    <w:p w14:paraId="1F8A7ECB" w14:textId="77777777" w:rsidR="00B31B97" w:rsidRDefault="00B31B97" w:rsidP="009862C2">
      <w:pPr>
        <w:pStyle w:val="ListParagraph"/>
        <w:numPr>
          <w:ilvl w:val="1"/>
          <w:numId w:val="26"/>
        </w:numPr>
        <w:ind w:left="2880"/>
        <w:rPr>
          <w:rFonts w:cs="Arial"/>
        </w:rPr>
      </w:pPr>
      <w:r>
        <w:rPr>
          <w:rFonts w:cs="Arial"/>
        </w:rPr>
        <w:t xml:space="preserve">Services are </w:t>
      </w:r>
      <w:r w:rsidRPr="00F67F82">
        <w:rPr>
          <w:rFonts w:cs="Arial"/>
        </w:rPr>
        <w:t>reasonable and necessary as determined through the service plan development process</w:t>
      </w:r>
      <w:r>
        <w:rPr>
          <w:rFonts w:cs="Arial"/>
        </w:rPr>
        <w:t>,</w:t>
      </w:r>
      <w:r w:rsidRPr="00F67F82">
        <w:rPr>
          <w:rFonts w:cs="Arial"/>
        </w:rPr>
        <w:t xml:space="preserve"> </w:t>
      </w:r>
      <w:r>
        <w:rPr>
          <w:rFonts w:cs="Arial"/>
        </w:rPr>
        <w:t>and</w:t>
      </w:r>
    </w:p>
    <w:p w14:paraId="1F2EFD6D" w14:textId="77777777" w:rsidR="00B31B97" w:rsidRDefault="00B31B97" w:rsidP="009862C2">
      <w:pPr>
        <w:pStyle w:val="ListParagraph"/>
        <w:numPr>
          <w:ilvl w:val="1"/>
          <w:numId w:val="26"/>
        </w:numPr>
        <w:ind w:left="2880"/>
        <w:rPr>
          <w:rFonts w:cs="Arial"/>
        </w:rPr>
      </w:pPr>
      <w:r>
        <w:rPr>
          <w:rFonts w:cs="Arial"/>
        </w:rPr>
        <w:t xml:space="preserve">Services are </w:t>
      </w:r>
      <w:r w:rsidRPr="00F67F82">
        <w:rPr>
          <w:rFonts w:cs="Arial"/>
        </w:rPr>
        <w:t>clearly identified in the service plan</w:t>
      </w:r>
      <w:r>
        <w:rPr>
          <w:rFonts w:cs="Arial"/>
        </w:rPr>
        <w:t>,</w:t>
      </w:r>
      <w:r w:rsidRPr="00F67F82">
        <w:rPr>
          <w:rFonts w:cs="Arial"/>
        </w:rPr>
        <w:t xml:space="preserve"> and </w:t>
      </w:r>
    </w:p>
    <w:p w14:paraId="68BD039B" w14:textId="77777777" w:rsidR="00B31B97" w:rsidRDefault="00B31B97" w:rsidP="009862C2">
      <w:pPr>
        <w:pStyle w:val="ListParagraph"/>
        <w:numPr>
          <w:ilvl w:val="1"/>
          <w:numId w:val="26"/>
        </w:numPr>
        <w:ind w:left="2880"/>
        <w:rPr>
          <w:rFonts w:cs="Arial"/>
        </w:rPr>
      </w:pPr>
      <w:r>
        <w:rPr>
          <w:rFonts w:cs="Arial"/>
        </w:rPr>
        <w:lastRenderedPageBreak/>
        <w:t>P</w:t>
      </w:r>
      <w:r w:rsidRPr="00F67F82">
        <w:rPr>
          <w:rFonts w:cs="Arial"/>
        </w:rPr>
        <w:t>erson is unable to meet such expense</w:t>
      </w:r>
      <w:r>
        <w:rPr>
          <w:rFonts w:cs="Arial"/>
        </w:rPr>
        <w:t>, and</w:t>
      </w:r>
    </w:p>
    <w:p w14:paraId="36403650" w14:textId="77777777" w:rsidR="00B31B97" w:rsidRPr="00F67F82" w:rsidRDefault="00B31B97" w:rsidP="009862C2">
      <w:pPr>
        <w:pStyle w:val="ListParagraph"/>
        <w:numPr>
          <w:ilvl w:val="1"/>
          <w:numId w:val="26"/>
        </w:numPr>
        <w:ind w:left="2880"/>
        <w:rPr>
          <w:rFonts w:cs="Arial"/>
        </w:rPr>
      </w:pPr>
      <w:r>
        <w:rPr>
          <w:rFonts w:cs="Arial"/>
        </w:rPr>
        <w:t>S</w:t>
      </w:r>
      <w:r w:rsidRPr="00F67F82">
        <w:rPr>
          <w:rFonts w:cs="Arial"/>
        </w:rPr>
        <w:t xml:space="preserve">ervices cannot be obtained from other sources. </w:t>
      </w:r>
    </w:p>
    <w:p w14:paraId="58706F35" w14:textId="77777777" w:rsidR="00B31B97" w:rsidRPr="00F67F82" w:rsidRDefault="00B31B97" w:rsidP="009862C2">
      <w:pPr>
        <w:pStyle w:val="ListParagraph"/>
        <w:numPr>
          <w:ilvl w:val="0"/>
          <w:numId w:val="26"/>
        </w:numPr>
        <w:ind w:left="2160"/>
        <w:rPr>
          <w:rFonts w:cs="Arial"/>
        </w:rPr>
      </w:pPr>
      <w:r w:rsidRPr="00F67F82">
        <w:rPr>
          <w:rFonts w:cs="Arial"/>
        </w:rPr>
        <w:t>Community Transition Services do not include:</w:t>
      </w:r>
    </w:p>
    <w:p w14:paraId="6C671D6B" w14:textId="77777777" w:rsidR="00B31B97" w:rsidRPr="00F67F82" w:rsidRDefault="00B31B97" w:rsidP="009862C2">
      <w:pPr>
        <w:pStyle w:val="ListParagraph"/>
        <w:numPr>
          <w:ilvl w:val="1"/>
          <w:numId w:val="26"/>
        </w:numPr>
        <w:ind w:left="2880"/>
        <w:rPr>
          <w:rFonts w:cs="Arial"/>
        </w:rPr>
      </w:pPr>
      <w:r>
        <w:rPr>
          <w:rFonts w:cs="Arial"/>
        </w:rPr>
        <w:t>M</w:t>
      </w:r>
      <w:r w:rsidRPr="00F67F82">
        <w:rPr>
          <w:rFonts w:cs="Arial"/>
        </w:rPr>
        <w:t xml:space="preserve">onthly rental or mortgage expense; </w:t>
      </w:r>
    </w:p>
    <w:p w14:paraId="4AE0718E" w14:textId="77777777" w:rsidR="00B31B97" w:rsidRPr="00F67F82" w:rsidRDefault="00B31B97" w:rsidP="009862C2">
      <w:pPr>
        <w:pStyle w:val="ListParagraph"/>
        <w:numPr>
          <w:ilvl w:val="1"/>
          <w:numId w:val="26"/>
        </w:numPr>
        <w:ind w:left="2880"/>
        <w:rPr>
          <w:rFonts w:cs="Arial"/>
        </w:rPr>
      </w:pPr>
      <w:r>
        <w:rPr>
          <w:rFonts w:cs="Arial"/>
        </w:rPr>
        <w:t>R</w:t>
      </w:r>
      <w:r w:rsidRPr="00F67F82">
        <w:rPr>
          <w:rFonts w:cs="Arial"/>
        </w:rPr>
        <w:t xml:space="preserve">oom and board; </w:t>
      </w:r>
    </w:p>
    <w:p w14:paraId="1F712CC7" w14:textId="77777777" w:rsidR="00B31B97" w:rsidRPr="00F67F82" w:rsidRDefault="00B31B97" w:rsidP="009862C2">
      <w:pPr>
        <w:pStyle w:val="ListParagraph"/>
        <w:numPr>
          <w:ilvl w:val="1"/>
          <w:numId w:val="26"/>
        </w:numPr>
        <w:ind w:left="2880"/>
        <w:rPr>
          <w:rFonts w:cs="Arial"/>
        </w:rPr>
      </w:pPr>
      <w:r>
        <w:rPr>
          <w:rFonts w:cs="Arial"/>
        </w:rPr>
        <w:t>Food;</w:t>
      </w:r>
      <w:r w:rsidRPr="00F67F82">
        <w:rPr>
          <w:rFonts w:cs="Arial"/>
        </w:rPr>
        <w:t xml:space="preserve"> </w:t>
      </w:r>
    </w:p>
    <w:p w14:paraId="53CFA01D" w14:textId="77777777" w:rsidR="00B31B97" w:rsidRPr="00F67F82" w:rsidRDefault="00B31B97" w:rsidP="009862C2">
      <w:pPr>
        <w:pStyle w:val="ListParagraph"/>
        <w:numPr>
          <w:ilvl w:val="1"/>
          <w:numId w:val="26"/>
        </w:numPr>
        <w:ind w:left="2880"/>
        <w:rPr>
          <w:rFonts w:cs="Arial"/>
        </w:rPr>
      </w:pPr>
      <w:r>
        <w:rPr>
          <w:rFonts w:cs="Arial"/>
        </w:rPr>
        <w:t>R</w:t>
      </w:r>
      <w:r w:rsidR="00D239D5">
        <w:rPr>
          <w:rFonts w:cs="Arial"/>
        </w:rPr>
        <w:t xml:space="preserve">egular utility charges; </w:t>
      </w:r>
    </w:p>
    <w:p w14:paraId="5F3E5FDC" w14:textId="77777777" w:rsidR="00D239D5" w:rsidRDefault="00D239D5" w:rsidP="009862C2">
      <w:pPr>
        <w:pStyle w:val="ListParagraph"/>
        <w:numPr>
          <w:ilvl w:val="1"/>
          <w:numId w:val="26"/>
        </w:numPr>
        <w:ind w:left="2880"/>
        <w:rPr>
          <w:rFonts w:cs="Arial"/>
        </w:rPr>
      </w:pPr>
      <w:r>
        <w:rPr>
          <w:rFonts w:cs="Arial"/>
        </w:rPr>
        <w:t>Home modifications or adaptations; and/or</w:t>
      </w:r>
    </w:p>
    <w:p w14:paraId="76F06744" w14:textId="77777777" w:rsidR="00B31B97" w:rsidRDefault="00B31B97" w:rsidP="009862C2">
      <w:pPr>
        <w:pStyle w:val="ListParagraph"/>
        <w:numPr>
          <w:ilvl w:val="1"/>
          <w:numId w:val="26"/>
        </w:numPr>
        <w:ind w:left="2880"/>
        <w:rPr>
          <w:rFonts w:cs="Arial"/>
        </w:rPr>
      </w:pPr>
      <w:r>
        <w:rPr>
          <w:rFonts w:cs="Arial"/>
        </w:rPr>
        <w:t>H</w:t>
      </w:r>
      <w:r w:rsidRPr="00F67F82">
        <w:rPr>
          <w:rFonts w:cs="Arial"/>
        </w:rPr>
        <w:t>ousehold appliances or items that are intended for purely diversion/recreational purposes.</w:t>
      </w:r>
    </w:p>
    <w:p w14:paraId="7FB68E91" w14:textId="77777777" w:rsidR="00B31B97" w:rsidRPr="003362B2" w:rsidRDefault="00B31B97" w:rsidP="00B31B97">
      <w:pPr>
        <w:pStyle w:val="ListParagraph"/>
        <w:numPr>
          <w:ilvl w:val="0"/>
          <w:numId w:val="26"/>
        </w:numPr>
        <w:ind w:left="1080"/>
        <w:rPr>
          <w:rFonts w:cs="Arial"/>
        </w:rPr>
      </w:pPr>
      <w:r w:rsidRPr="003362B2">
        <w:rPr>
          <w:rFonts w:cs="Arial"/>
        </w:rPr>
        <w:t>Community Transition Services may not be used to furnish or set up living arrangements that are owned or leased by a</w:t>
      </w:r>
      <w:r w:rsidR="003362B2">
        <w:rPr>
          <w:rFonts w:cs="Arial"/>
        </w:rPr>
        <w:t>n</w:t>
      </w:r>
      <w:r w:rsidRPr="003362B2">
        <w:rPr>
          <w:rFonts w:cs="Arial"/>
        </w:rPr>
        <w:t xml:space="preserve"> </w:t>
      </w:r>
      <w:r w:rsidR="003362B2">
        <w:rPr>
          <w:rFonts w:cs="Arial"/>
        </w:rPr>
        <w:t>AFH, ARC, EARC or AL facility</w:t>
      </w:r>
      <w:r w:rsidR="00D514C3">
        <w:rPr>
          <w:rFonts w:cs="Arial"/>
        </w:rPr>
        <w:t>.</w:t>
      </w:r>
      <w:r w:rsidR="003362B2" w:rsidRPr="00F67F82" w:rsidDel="003362B2">
        <w:rPr>
          <w:rFonts w:cs="Arial"/>
        </w:rPr>
        <w:t xml:space="preserve"> </w:t>
      </w:r>
    </w:p>
    <w:p w14:paraId="19883C0D" w14:textId="77777777" w:rsidR="0011591D" w:rsidRDefault="0011591D" w:rsidP="00B31B97">
      <w:pPr>
        <w:pStyle w:val="ListParagraph"/>
        <w:ind w:left="1080"/>
        <w:rPr>
          <w:rFonts w:cs="Arial"/>
          <w:b/>
          <w:i/>
        </w:rPr>
      </w:pPr>
    </w:p>
    <w:p w14:paraId="1A747D71" w14:textId="77777777" w:rsidR="00B31B97" w:rsidRPr="00F67F82" w:rsidRDefault="00B31B97" w:rsidP="00203DB3">
      <w:pPr>
        <w:pStyle w:val="ListParagraph"/>
        <w:ind w:left="360" w:firstLine="720"/>
        <w:rPr>
          <w:rFonts w:cs="Arial"/>
          <w:b/>
          <w:i/>
        </w:rPr>
      </w:pPr>
      <w:r w:rsidRPr="00F67F82">
        <w:rPr>
          <w:rFonts w:cs="Arial"/>
          <w:b/>
          <w:i/>
        </w:rPr>
        <w:t>Community Transition Service Providers</w:t>
      </w:r>
    </w:p>
    <w:p w14:paraId="01FD0CCE" w14:textId="77777777" w:rsidR="00B31B97" w:rsidRPr="00F67F82" w:rsidRDefault="00B31B97" w:rsidP="009862C2">
      <w:pPr>
        <w:numPr>
          <w:ilvl w:val="0"/>
          <w:numId w:val="27"/>
        </w:numPr>
        <w:ind w:left="2160"/>
        <w:rPr>
          <w:rFonts w:cs="Arial"/>
        </w:rPr>
      </w:pPr>
      <w:r w:rsidRPr="00F67F82">
        <w:rPr>
          <w:rFonts w:cs="Arial"/>
        </w:rPr>
        <w:t xml:space="preserve">The providers of </w:t>
      </w:r>
      <w:r>
        <w:rPr>
          <w:rFonts w:cs="Arial"/>
        </w:rPr>
        <w:t>CTS</w:t>
      </w:r>
      <w:r w:rsidRPr="00F67F82">
        <w:rPr>
          <w:rFonts w:cs="Arial"/>
        </w:rPr>
        <w:t xml:space="preserve"> vary based on the needs of the individual client. </w:t>
      </w:r>
    </w:p>
    <w:p w14:paraId="63E0E984" w14:textId="77777777" w:rsidR="00B31B97" w:rsidRPr="00F67F82" w:rsidRDefault="00B31B97" w:rsidP="009862C2">
      <w:pPr>
        <w:numPr>
          <w:ilvl w:val="0"/>
          <w:numId w:val="27"/>
        </w:numPr>
        <w:ind w:left="2160"/>
        <w:rPr>
          <w:rFonts w:cs="Arial"/>
        </w:rPr>
      </w:pPr>
      <w:r w:rsidRPr="00F67F82">
        <w:rPr>
          <w:rFonts w:cs="Arial"/>
        </w:rPr>
        <w:t xml:space="preserve">Providers must meet any licensing or certification required by </w:t>
      </w:r>
      <w:r>
        <w:rPr>
          <w:rFonts w:cs="Arial"/>
        </w:rPr>
        <w:t>s</w:t>
      </w:r>
      <w:r w:rsidRPr="00F67F82">
        <w:rPr>
          <w:rFonts w:cs="Arial"/>
        </w:rPr>
        <w:t>tate statute or regulation to provide their services</w:t>
      </w:r>
      <w:r>
        <w:rPr>
          <w:rFonts w:cs="Arial"/>
        </w:rPr>
        <w:t xml:space="preserve"> and be contracted with the AAA</w:t>
      </w:r>
      <w:r w:rsidRPr="00F67F82">
        <w:rPr>
          <w:rFonts w:cs="Arial"/>
        </w:rPr>
        <w:t xml:space="preserve">. </w:t>
      </w:r>
    </w:p>
    <w:p w14:paraId="466B4D03" w14:textId="77777777" w:rsidR="00B31B97" w:rsidRPr="00F67F82" w:rsidRDefault="00B31B97" w:rsidP="009862C2">
      <w:pPr>
        <w:numPr>
          <w:ilvl w:val="0"/>
          <w:numId w:val="27"/>
        </w:numPr>
        <w:ind w:left="2160"/>
        <w:rPr>
          <w:rFonts w:cs="Arial"/>
        </w:rPr>
      </w:pPr>
      <w:r w:rsidRPr="00F67F82">
        <w:rPr>
          <w:rFonts w:cs="Arial"/>
        </w:rPr>
        <w:t>Additionally</w:t>
      </w:r>
      <w:r>
        <w:rPr>
          <w:rFonts w:cs="Arial"/>
        </w:rPr>
        <w:t>,</w:t>
      </w:r>
      <w:r w:rsidRPr="00F67F82">
        <w:rPr>
          <w:rFonts w:cs="Arial"/>
        </w:rPr>
        <w:t xml:space="preserve"> if the needed service is not one that is regulated, the State will ensure that such services are delivered as specified by</w:t>
      </w:r>
      <w:r>
        <w:rPr>
          <w:rFonts w:cs="Arial"/>
        </w:rPr>
        <w:t xml:space="preserve"> the</w:t>
      </w:r>
      <w:r w:rsidRPr="00F67F82">
        <w:rPr>
          <w:rFonts w:cs="Arial"/>
        </w:rPr>
        <w:t xml:space="preserve"> waiver beneficiary and detailed in the plan of care.</w:t>
      </w:r>
    </w:p>
    <w:p w14:paraId="1D7657B0" w14:textId="77777777" w:rsidR="00B31B97" w:rsidRDefault="00B31B97">
      <w:pPr>
        <w:rPr>
          <w:rFonts w:cs="Arial"/>
        </w:rPr>
      </w:pPr>
    </w:p>
    <w:p w14:paraId="600ECE7B" w14:textId="77777777" w:rsidR="00ED0DEA" w:rsidRDefault="00ED0DEA">
      <w:pPr>
        <w:rPr>
          <w:rFonts w:cs="Arial"/>
          <w:b/>
          <w:i/>
        </w:rPr>
      </w:pPr>
      <w:bookmarkStart w:id="23" w:name="Caregiver_Management"/>
      <w:r>
        <w:rPr>
          <w:rFonts w:cs="Arial"/>
          <w:b/>
          <w:i/>
        </w:rPr>
        <w:t>Caregiver Management Training Service</w:t>
      </w:r>
    </w:p>
    <w:bookmarkEnd w:id="23"/>
    <w:p w14:paraId="331432D4" w14:textId="77777777" w:rsidR="00A912D1" w:rsidRDefault="00A912D1">
      <w:pPr>
        <w:rPr>
          <w:rFonts w:cs="Arial"/>
          <w:b/>
          <w:i/>
        </w:rPr>
      </w:pPr>
    </w:p>
    <w:p w14:paraId="28EEC94E" w14:textId="77777777" w:rsidR="006B3A95" w:rsidRPr="006B3A95" w:rsidRDefault="006B3A95" w:rsidP="006B3A95">
      <w:pPr>
        <w:ind w:left="720"/>
        <w:rPr>
          <w:rFonts w:cs="Arial"/>
        </w:rPr>
      </w:pPr>
      <w:r>
        <w:rPr>
          <w:rFonts w:cs="Arial"/>
        </w:rPr>
        <w:t xml:space="preserve">Caregiver Management Training is designed to help clients understand how to select, manage, and dismiss their personal care providers. </w:t>
      </w:r>
      <w:r w:rsidRPr="006B3A95">
        <w:rPr>
          <w:rFonts w:cs="Arial"/>
        </w:rPr>
        <w:t>Training topics include:</w:t>
      </w:r>
    </w:p>
    <w:p w14:paraId="6BAD8A74" w14:textId="77777777" w:rsidR="006B3A95" w:rsidRPr="006B3A95" w:rsidRDefault="006B3A95" w:rsidP="009862C2">
      <w:pPr>
        <w:numPr>
          <w:ilvl w:val="1"/>
          <w:numId w:val="17"/>
        </w:numPr>
        <w:rPr>
          <w:rFonts w:cs="Arial"/>
        </w:rPr>
      </w:pPr>
      <w:r w:rsidRPr="006B3A95">
        <w:rPr>
          <w:rFonts w:cs="Arial"/>
        </w:rPr>
        <w:t>Understanding the Service Plan</w:t>
      </w:r>
      <w:r w:rsidR="00575063">
        <w:rPr>
          <w:rFonts w:cs="Arial"/>
        </w:rPr>
        <w:t>;</w:t>
      </w:r>
    </w:p>
    <w:p w14:paraId="7BA56B2A" w14:textId="77777777" w:rsidR="006B3A95" w:rsidRPr="006B3A95" w:rsidRDefault="00575063" w:rsidP="009862C2">
      <w:pPr>
        <w:numPr>
          <w:ilvl w:val="1"/>
          <w:numId w:val="17"/>
        </w:numPr>
        <w:rPr>
          <w:rFonts w:cs="Arial"/>
        </w:rPr>
      </w:pPr>
      <w:r>
        <w:rPr>
          <w:rFonts w:cs="Arial"/>
        </w:rPr>
        <w:t>C</w:t>
      </w:r>
      <w:r w:rsidR="006B3A95" w:rsidRPr="006B3A95">
        <w:rPr>
          <w:rFonts w:cs="Arial"/>
        </w:rPr>
        <w:t>reating job descriptions</w:t>
      </w:r>
      <w:r>
        <w:rPr>
          <w:rFonts w:cs="Arial"/>
        </w:rPr>
        <w:t>;</w:t>
      </w:r>
      <w:r w:rsidR="006B3A95" w:rsidRPr="006B3A95">
        <w:rPr>
          <w:rFonts w:cs="Arial"/>
        </w:rPr>
        <w:t xml:space="preserve"> </w:t>
      </w:r>
    </w:p>
    <w:p w14:paraId="140D212C" w14:textId="77777777" w:rsidR="006B3A95" w:rsidRPr="006B3A95" w:rsidRDefault="00575063" w:rsidP="009862C2">
      <w:pPr>
        <w:numPr>
          <w:ilvl w:val="1"/>
          <w:numId w:val="17"/>
        </w:numPr>
        <w:rPr>
          <w:rFonts w:cs="Arial"/>
        </w:rPr>
      </w:pPr>
      <w:r>
        <w:rPr>
          <w:rFonts w:cs="Arial"/>
        </w:rPr>
        <w:t>L</w:t>
      </w:r>
      <w:r w:rsidR="006B3A95" w:rsidRPr="006B3A95">
        <w:rPr>
          <w:rFonts w:cs="Arial"/>
        </w:rPr>
        <w:t>ocating employees</w:t>
      </w:r>
      <w:r>
        <w:rPr>
          <w:rFonts w:cs="Arial"/>
        </w:rPr>
        <w:t>;</w:t>
      </w:r>
    </w:p>
    <w:p w14:paraId="56BE52A6" w14:textId="77777777" w:rsidR="006B3A95" w:rsidRPr="006B3A95" w:rsidRDefault="00575063" w:rsidP="009862C2">
      <w:pPr>
        <w:numPr>
          <w:ilvl w:val="1"/>
          <w:numId w:val="17"/>
        </w:numPr>
        <w:rPr>
          <w:rFonts w:cs="Arial"/>
        </w:rPr>
      </w:pPr>
      <w:r>
        <w:rPr>
          <w:rFonts w:cs="Arial"/>
        </w:rPr>
        <w:t>P</w:t>
      </w:r>
      <w:r w:rsidR="006B3A95" w:rsidRPr="006B3A95">
        <w:rPr>
          <w:rFonts w:cs="Arial"/>
        </w:rPr>
        <w:t>re-screening, interviewing and completing reference checks</w:t>
      </w:r>
      <w:r>
        <w:rPr>
          <w:rFonts w:cs="Arial"/>
        </w:rPr>
        <w:t>;</w:t>
      </w:r>
      <w:r w:rsidR="006B3A95" w:rsidRPr="006B3A95">
        <w:rPr>
          <w:rFonts w:cs="Arial"/>
        </w:rPr>
        <w:t xml:space="preserve"> </w:t>
      </w:r>
    </w:p>
    <w:p w14:paraId="5E7596F3" w14:textId="77777777" w:rsidR="006B3A95" w:rsidRPr="006B3A95" w:rsidRDefault="00575063" w:rsidP="009862C2">
      <w:pPr>
        <w:numPr>
          <w:ilvl w:val="1"/>
          <w:numId w:val="17"/>
        </w:numPr>
        <w:rPr>
          <w:rFonts w:cs="Arial"/>
        </w:rPr>
      </w:pPr>
      <w:r>
        <w:rPr>
          <w:rFonts w:cs="Arial"/>
        </w:rPr>
        <w:t>T</w:t>
      </w:r>
      <w:r w:rsidR="006B3A95" w:rsidRPr="006B3A95">
        <w:rPr>
          <w:rFonts w:cs="Arial"/>
        </w:rPr>
        <w:t>raining, supervising and communicating effectively with employees</w:t>
      </w:r>
      <w:r>
        <w:rPr>
          <w:rFonts w:cs="Arial"/>
        </w:rPr>
        <w:t>;</w:t>
      </w:r>
      <w:r w:rsidR="006B3A95" w:rsidRPr="006B3A95">
        <w:rPr>
          <w:rFonts w:cs="Arial"/>
        </w:rPr>
        <w:t xml:space="preserve"> </w:t>
      </w:r>
    </w:p>
    <w:p w14:paraId="602CD0A7" w14:textId="77777777" w:rsidR="006B3A95" w:rsidRPr="006B3A95" w:rsidRDefault="00575063" w:rsidP="009862C2">
      <w:pPr>
        <w:numPr>
          <w:ilvl w:val="1"/>
          <w:numId w:val="17"/>
        </w:numPr>
        <w:rPr>
          <w:rFonts w:cs="Arial"/>
        </w:rPr>
      </w:pPr>
      <w:r>
        <w:rPr>
          <w:rFonts w:cs="Arial"/>
        </w:rPr>
        <w:t>T</w:t>
      </w:r>
      <w:r w:rsidRPr="006B3A95">
        <w:rPr>
          <w:rFonts w:cs="Arial"/>
        </w:rPr>
        <w:t xml:space="preserve">racking </w:t>
      </w:r>
      <w:r w:rsidR="006B3A95" w:rsidRPr="006B3A95">
        <w:rPr>
          <w:rFonts w:cs="Arial"/>
        </w:rPr>
        <w:t>authorized hours worked</w:t>
      </w:r>
      <w:r>
        <w:rPr>
          <w:rFonts w:cs="Arial"/>
        </w:rPr>
        <w:t>;</w:t>
      </w:r>
      <w:r w:rsidR="006B3A95" w:rsidRPr="006B3A95">
        <w:rPr>
          <w:rFonts w:cs="Arial"/>
        </w:rPr>
        <w:t xml:space="preserve"> </w:t>
      </w:r>
    </w:p>
    <w:p w14:paraId="324D717B" w14:textId="77777777" w:rsidR="006B3A95" w:rsidRPr="006B3A95" w:rsidRDefault="00575063" w:rsidP="009862C2">
      <w:pPr>
        <w:numPr>
          <w:ilvl w:val="1"/>
          <w:numId w:val="17"/>
        </w:numPr>
        <w:rPr>
          <w:rFonts w:cs="Arial"/>
        </w:rPr>
      </w:pPr>
      <w:r>
        <w:rPr>
          <w:rFonts w:cs="Arial"/>
        </w:rPr>
        <w:t>R</w:t>
      </w:r>
      <w:r w:rsidR="006B3A95" w:rsidRPr="006B3A95">
        <w:rPr>
          <w:rFonts w:cs="Arial"/>
        </w:rPr>
        <w:t>ecognizing, discussing and attempting to correct any employee performance deficiencies</w:t>
      </w:r>
      <w:r>
        <w:rPr>
          <w:rFonts w:cs="Arial"/>
        </w:rPr>
        <w:t>;</w:t>
      </w:r>
      <w:r w:rsidR="006B3A95" w:rsidRPr="006B3A95">
        <w:rPr>
          <w:rFonts w:cs="Arial"/>
        </w:rPr>
        <w:t xml:space="preserve"> </w:t>
      </w:r>
    </w:p>
    <w:p w14:paraId="60075B37" w14:textId="77777777" w:rsidR="006B3A95" w:rsidRPr="006B3A95" w:rsidRDefault="00575063" w:rsidP="009862C2">
      <w:pPr>
        <w:numPr>
          <w:ilvl w:val="1"/>
          <w:numId w:val="17"/>
        </w:numPr>
        <w:rPr>
          <w:rFonts w:cs="Arial"/>
        </w:rPr>
      </w:pPr>
      <w:r>
        <w:rPr>
          <w:rFonts w:cs="Arial"/>
        </w:rPr>
        <w:t>D</w:t>
      </w:r>
      <w:r w:rsidR="006B3A95" w:rsidRPr="006B3A95">
        <w:rPr>
          <w:rFonts w:cs="Arial"/>
        </w:rPr>
        <w:t>ischarging unsatisfactory workers</w:t>
      </w:r>
      <w:r>
        <w:rPr>
          <w:rFonts w:cs="Arial"/>
        </w:rPr>
        <w:t>;</w:t>
      </w:r>
      <w:r w:rsidR="006B3A95" w:rsidRPr="006B3A95">
        <w:rPr>
          <w:rFonts w:cs="Arial"/>
        </w:rPr>
        <w:t xml:space="preserve"> and </w:t>
      </w:r>
    </w:p>
    <w:p w14:paraId="15433D87" w14:textId="77777777" w:rsidR="006B3A95" w:rsidRDefault="00575063" w:rsidP="009862C2">
      <w:pPr>
        <w:numPr>
          <w:ilvl w:val="1"/>
          <w:numId w:val="17"/>
        </w:numPr>
        <w:rPr>
          <w:rFonts w:cs="Arial"/>
        </w:rPr>
      </w:pPr>
      <w:r>
        <w:rPr>
          <w:rFonts w:cs="Arial"/>
        </w:rPr>
        <w:t>D</w:t>
      </w:r>
      <w:r w:rsidR="006B3A95" w:rsidRPr="006B3A95">
        <w:rPr>
          <w:rFonts w:cs="Arial"/>
        </w:rPr>
        <w:t>eveloping a back-up plan for coverage of services when the regular care provider is not available or requires relief.</w:t>
      </w:r>
    </w:p>
    <w:p w14:paraId="4F9C10C6" w14:textId="77777777" w:rsidR="006B3A95" w:rsidRDefault="006B3A95" w:rsidP="006B3A95">
      <w:pPr>
        <w:ind w:firstLine="720"/>
        <w:rPr>
          <w:rFonts w:cs="Arial"/>
        </w:rPr>
      </w:pPr>
    </w:p>
    <w:p w14:paraId="313C66A1" w14:textId="77777777" w:rsidR="006B3A95" w:rsidRDefault="006B3A95" w:rsidP="0056147D">
      <w:pPr>
        <w:ind w:left="720"/>
        <w:rPr>
          <w:rFonts w:cs="Arial"/>
        </w:rPr>
      </w:pPr>
      <w:r w:rsidRPr="006B3A95">
        <w:rPr>
          <w:rFonts w:cs="Arial"/>
        </w:rPr>
        <w:t xml:space="preserve">Training is provided </w:t>
      </w:r>
      <w:r w:rsidR="00A912D1" w:rsidRPr="006B3A95">
        <w:rPr>
          <w:rFonts w:cs="Arial"/>
        </w:rPr>
        <w:t xml:space="preserve">in </w:t>
      </w:r>
      <w:r w:rsidR="00A912D1">
        <w:rPr>
          <w:rFonts w:cs="Arial"/>
        </w:rPr>
        <w:t>book</w:t>
      </w:r>
      <w:r w:rsidRPr="006B3A95">
        <w:rPr>
          <w:rFonts w:cs="Arial"/>
        </w:rPr>
        <w:t>, DVD, and web-based formats.</w:t>
      </w:r>
      <w:r w:rsidR="0056147D">
        <w:rPr>
          <w:rFonts w:cs="Arial"/>
        </w:rPr>
        <w:t xml:space="preserve">  Training should be provided to any client that requests this information.  This t</w:t>
      </w:r>
      <w:r w:rsidR="000F3287">
        <w:rPr>
          <w:rFonts w:cs="Arial"/>
        </w:rPr>
        <w:t xml:space="preserve">raining is designed </w:t>
      </w:r>
      <w:r w:rsidR="00A977FE">
        <w:rPr>
          <w:rFonts w:cs="Arial"/>
        </w:rPr>
        <w:t>to be self</w:t>
      </w:r>
      <w:r w:rsidR="000F3287">
        <w:rPr>
          <w:rFonts w:cs="Arial"/>
        </w:rPr>
        <w:t>-study training.</w:t>
      </w:r>
    </w:p>
    <w:p w14:paraId="10B191D3" w14:textId="77777777" w:rsidR="00CF3EB3" w:rsidRDefault="00CF3EB3" w:rsidP="0056147D">
      <w:pPr>
        <w:ind w:left="720"/>
        <w:rPr>
          <w:rFonts w:cs="Arial"/>
        </w:rPr>
      </w:pPr>
    </w:p>
    <w:p w14:paraId="0733FBFC" w14:textId="7056AC17" w:rsidR="00CF3EB3" w:rsidRDefault="00CF3EB3" w:rsidP="0056147D">
      <w:pPr>
        <w:ind w:left="720"/>
        <w:rPr>
          <w:rFonts w:cs="Arial"/>
        </w:rPr>
      </w:pPr>
      <w:r>
        <w:rPr>
          <w:rFonts w:cs="Arial"/>
        </w:rPr>
        <w:t>Note in the Community First Choice folder in the CARE demographics tree the date when training materials were last provided to the client.</w:t>
      </w:r>
    </w:p>
    <w:p w14:paraId="7539FB23" w14:textId="0C3F1BB8" w:rsidR="00B90211" w:rsidRDefault="00CE2B77" w:rsidP="00CE2B77">
      <w:pPr>
        <w:jc w:val="center"/>
        <w:rPr>
          <w:rFonts w:cs="Arial"/>
        </w:rPr>
      </w:pPr>
      <w:r>
        <w:rPr>
          <w:noProof/>
        </w:rPr>
        <w:lastRenderedPageBreak/>
        <w:drawing>
          <wp:inline distT="0" distB="0" distL="0" distR="0" wp14:anchorId="6C1729B3" wp14:editId="616726BF">
            <wp:extent cx="4800600" cy="1528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24759" t="31547" r="25338" b="38885"/>
                    <a:stretch/>
                  </pic:blipFill>
                  <pic:spPr bwMode="auto">
                    <a:xfrm>
                      <a:off x="0" y="0"/>
                      <a:ext cx="4805561" cy="1530386"/>
                    </a:xfrm>
                    <a:prstGeom prst="rect">
                      <a:avLst/>
                    </a:prstGeom>
                    <a:ln>
                      <a:noFill/>
                    </a:ln>
                    <a:extLst>
                      <a:ext uri="{53640926-AAD7-44D8-BBD7-CCE9431645EC}">
                        <a14:shadowObscured xmlns:a14="http://schemas.microsoft.com/office/drawing/2010/main"/>
                      </a:ext>
                    </a:extLst>
                  </pic:spPr>
                </pic:pic>
              </a:graphicData>
            </a:graphic>
          </wp:inline>
        </w:drawing>
      </w:r>
    </w:p>
    <w:p w14:paraId="1BBB9374" w14:textId="77777777" w:rsidR="00CF3EB3" w:rsidRDefault="00CF3EB3" w:rsidP="00B90211">
      <w:pPr>
        <w:rPr>
          <w:rFonts w:cs="Arial"/>
        </w:rPr>
      </w:pPr>
    </w:p>
    <w:p w14:paraId="4C6466F3" w14:textId="77777777" w:rsidR="00B90211" w:rsidRDefault="00B90211" w:rsidP="00B90211">
      <w:pPr>
        <w:rPr>
          <w:rFonts w:cs="Arial"/>
          <w:b/>
          <w:i/>
        </w:rPr>
      </w:pPr>
      <w:bookmarkStart w:id="24" w:name="Annual_Limit"/>
      <w:r w:rsidRPr="00B90211">
        <w:rPr>
          <w:rFonts w:cs="Arial"/>
          <w:b/>
          <w:i/>
        </w:rPr>
        <w:t>Annual Limit</w:t>
      </w:r>
    </w:p>
    <w:bookmarkEnd w:id="24"/>
    <w:p w14:paraId="42CE4E38" w14:textId="77777777" w:rsidR="00A912D1" w:rsidRDefault="00A912D1" w:rsidP="00B90211">
      <w:pPr>
        <w:rPr>
          <w:rFonts w:cs="Arial"/>
          <w:b/>
          <w:i/>
        </w:rPr>
      </w:pPr>
    </w:p>
    <w:p w14:paraId="7F9BA14B" w14:textId="77777777" w:rsidR="000E6FD3" w:rsidRDefault="00B90211" w:rsidP="00203DB3">
      <w:pPr>
        <w:ind w:left="720"/>
        <w:rPr>
          <w:rFonts w:cs="Arial"/>
        </w:rPr>
      </w:pPr>
      <w:r>
        <w:rPr>
          <w:rFonts w:cs="Arial"/>
        </w:rPr>
        <w:t>Each client enrolled in CFC is eligible to receive Assistive Technology a</w:t>
      </w:r>
      <w:r w:rsidR="000E6FD3">
        <w:rPr>
          <w:rFonts w:cs="Arial"/>
        </w:rPr>
        <w:t>nd Skills Acquisition Training s</w:t>
      </w:r>
      <w:r>
        <w:rPr>
          <w:rFonts w:cs="Arial"/>
        </w:rPr>
        <w:t>ervices.</w:t>
      </w:r>
      <w:r w:rsidR="001A7600">
        <w:rPr>
          <w:rFonts w:cs="Arial"/>
        </w:rPr>
        <w:t xml:space="preserve"> Purchases of these items </w:t>
      </w:r>
      <w:r w:rsidR="003B668B">
        <w:rPr>
          <w:rFonts w:cs="Arial"/>
        </w:rPr>
        <w:t xml:space="preserve">using the annual limit </w:t>
      </w:r>
      <w:r w:rsidR="000E6FD3">
        <w:rPr>
          <w:rFonts w:cs="Arial"/>
        </w:rPr>
        <w:t>may not exceed</w:t>
      </w:r>
      <w:r w:rsidR="001A7600">
        <w:rPr>
          <w:rFonts w:cs="Arial"/>
        </w:rPr>
        <w:t xml:space="preserve"> $500 per</w:t>
      </w:r>
      <w:r w:rsidR="002B731E">
        <w:rPr>
          <w:rFonts w:cs="Arial"/>
        </w:rPr>
        <w:t xml:space="preserve"> </w:t>
      </w:r>
      <w:r w:rsidR="001A7600">
        <w:rPr>
          <w:rFonts w:cs="Arial"/>
        </w:rPr>
        <w:t xml:space="preserve">fiscal year. This is an aggregate total of all purchases </w:t>
      </w:r>
      <w:r w:rsidR="000E6FD3">
        <w:rPr>
          <w:rFonts w:cs="Arial"/>
        </w:rPr>
        <w:t>for Skills Acquisition Training or Assistive Technology</w:t>
      </w:r>
      <w:r w:rsidR="001A7600">
        <w:rPr>
          <w:rFonts w:cs="Arial"/>
        </w:rPr>
        <w:t>. This limit applies only to the Skills Acquisition Training</w:t>
      </w:r>
      <w:r w:rsidR="000E6FD3">
        <w:rPr>
          <w:rFonts w:cs="Arial"/>
        </w:rPr>
        <w:t xml:space="preserve"> that is</w:t>
      </w:r>
      <w:r w:rsidR="002B731E">
        <w:rPr>
          <w:rFonts w:cs="Arial"/>
        </w:rPr>
        <w:t xml:space="preserve"> n</w:t>
      </w:r>
      <w:r w:rsidR="003362B2">
        <w:rPr>
          <w:rFonts w:cs="Arial"/>
        </w:rPr>
        <w:t>ot obtained through the use of personal care hours or prov</w:t>
      </w:r>
      <w:r w:rsidR="002B731E">
        <w:rPr>
          <w:rFonts w:cs="Arial"/>
        </w:rPr>
        <w:t>ided</w:t>
      </w:r>
      <w:r w:rsidR="003362B2">
        <w:rPr>
          <w:rFonts w:cs="Arial"/>
        </w:rPr>
        <w:t xml:space="preserve"> by a Home Health Agency.</w:t>
      </w:r>
    </w:p>
    <w:p w14:paraId="1087AA1E" w14:textId="77777777" w:rsidR="001A7600" w:rsidRDefault="001A7600" w:rsidP="00B90211">
      <w:pPr>
        <w:ind w:left="720"/>
        <w:rPr>
          <w:rFonts w:cs="Arial"/>
        </w:rPr>
      </w:pPr>
    </w:p>
    <w:p w14:paraId="3F95FBB8" w14:textId="77777777" w:rsidR="000E6FD3" w:rsidRDefault="001A7600" w:rsidP="00B90211">
      <w:pPr>
        <w:ind w:left="720"/>
        <w:rPr>
          <w:rFonts w:cs="Arial"/>
        </w:rPr>
      </w:pPr>
      <w:r>
        <w:rPr>
          <w:rFonts w:cs="Arial"/>
        </w:rPr>
        <w:t xml:space="preserve">This annual limit </w:t>
      </w:r>
      <w:r w:rsidR="008119FE">
        <w:rPr>
          <w:rFonts w:cs="Arial"/>
        </w:rPr>
        <w:t>follows</w:t>
      </w:r>
      <w:r>
        <w:rPr>
          <w:rFonts w:cs="Arial"/>
        </w:rPr>
        <w:t xml:space="preserve"> the state’s fiscal year and does not coincide with the client’s plan year. The fiscal year is defined as July 1 through June 30. When clients have annual or significant change assessments during the ye</w:t>
      </w:r>
      <w:r w:rsidR="000E6FD3">
        <w:rPr>
          <w:rFonts w:cs="Arial"/>
        </w:rPr>
        <w:t>ar, this limit is not reset. This</w:t>
      </w:r>
      <w:r>
        <w:rPr>
          <w:rFonts w:cs="Arial"/>
        </w:rPr>
        <w:t xml:space="preserve"> limit resets once per </w:t>
      </w:r>
      <w:r w:rsidR="008119FE">
        <w:rPr>
          <w:rFonts w:cs="Arial"/>
        </w:rPr>
        <w:t xml:space="preserve">fiscal </w:t>
      </w:r>
      <w:r>
        <w:rPr>
          <w:rFonts w:cs="Arial"/>
        </w:rPr>
        <w:t>year for each client</w:t>
      </w:r>
      <w:r w:rsidR="000E6FD3">
        <w:rPr>
          <w:rFonts w:cs="Arial"/>
        </w:rPr>
        <w:t xml:space="preserve"> on July 1</w:t>
      </w:r>
      <w:r w:rsidR="000E6FD3" w:rsidRPr="000E6FD3">
        <w:rPr>
          <w:rFonts w:cs="Arial"/>
          <w:vertAlign w:val="superscript"/>
        </w:rPr>
        <w:t>st</w:t>
      </w:r>
      <w:r>
        <w:rPr>
          <w:rFonts w:cs="Arial"/>
        </w:rPr>
        <w:t>.</w:t>
      </w:r>
      <w:r w:rsidR="008119FE">
        <w:rPr>
          <w:rFonts w:cs="Arial"/>
        </w:rPr>
        <w:t xml:space="preserve">  </w:t>
      </w:r>
      <w:r w:rsidR="000E6FD3">
        <w:rPr>
          <w:rFonts w:cs="Arial"/>
        </w:rPr>
        <w:t>Unused funds will not be available for use after July 1 and may not be combined with funds from other fiscal years.</w:t>
      </w:r>
      <w:r w:rsidR="008119FE">
        <w:rPr>
          <w:rFonts w:cs="Arial"/>
        </w:rPr>
        <w:t xml:space="preserve">  The limit is not pro-rated based on when services start.</w:t>
      </w:r>
    </w:p>
    <w:p w14:paraId="77E68BDF" w14:textId="77777777" w:rsidR="000E6FD3" w:rsidRDefault="000E6FD3" w:rsidP="00B90211">
      <w:pPr>
        <w:ind w:left="720"/>
        <w:rPr>
          <w:rFonts w:cs="Arial"/>
        </w:rPr>
      </w:pPr>
    </w:p>
    <w:p w14:paraId="6290D588" w14:textId="77777777" w:rsidR="001A7600" w:rsidRDefault="000E6FD3" w:rsidP="00B90211">
      <w:pPr>
        <w:ind w:left="720"/>
        <w:rPr>
          <w:rFonts w:cs="Arial"/>
        </w:rPr>
      </w:pPr>
      <w:r>
        <w:rPr>
          <w:rFonts w:cs="Arial"/>
        </w:rPr>
        <w:t xml:space="preserve">Case managers will receive one tickler in June to remind them that the annual calculator will be reset for the following year. The tickler will include only one message, not one for each client. </w:t>
      </w:r>
    </w:p>
    <w:p w14:paraId="695CB56B" w14:textId="77777777" w:rsidR="005B07E7" w:rsidRDefault="005B07E7" w:rsidP="00B90211">
      <w:pPr>
        <w:ind w:left="720"/>
        <w:rPr>
          <w:rFonts w:cs="Arial"/>
        </w:rPr>
      </w:pPr>
    </w:p>
    <w:p w14:paraId="24A8C31B" w14:textId="77777777" w:rsidR="005B07E7" w:rsidRDefault="005B07E7" w:rsidP="009862C2">
      <w:pPr>
        <w:numPr>
          <w:ilvl w:val="0"/>
          <w:numId w:val="51"/>
        </w:numPr>
        <w:rPr>
          <w:rFonts w:cs="Arial"/>
        </w:rPr>
      </w:pPr>
      <w:r>
        <w:rPr>
          <w:rFonts w:cs="Arial"/>
        </w:rPr>
        <w:t>Annual Tracking Calculator:</w:t>
      </w:r>
    </w:p>
    <w:p w14:paraId="7951B899" w14:textId="77777777" w:rsidR="00A977FE" w:rsidRDefault="00A977FE" w:rsidP="009862C2">
      <w:pPr>
        <w:numPr>
          <w:ilvl w:val="1"/>
          <w:numId w:val="51"/>
        </w:numPr>
        <w:rPr>
          <w:rFonts w:cs="Arial"/>
        </w:rPr>
      </w:pPr>
      <w:r>
        <w:rPr>
          <w:rFonts w:cs="Arial"/>
        </w:rPr>
        <w:t>When authorizing a purchase from the annual limit in ProviderOne, a note describing the purchase must be made in the notes section of the ProviderOne authorization.</w:t>
      </w:r>
    </w:p>
    <w:p w14:paraId="4F23C4F6" w14:textId="77777777" w:rsidR="005B07E7" w:rsidRDefault="00A977FE" w:rsidP="009862C2">
      <w:pPr>
        <w:numPr>
          <w:ilvl w:val="1"/>
          <w:numId w:val="51"/>
        </w:numPr>
        <w:rPr>
          <w:rFonts w:cs="Arial"/>
        </w:rPr>
      </w:pPr>
      <w:r>
        <w:rPr>
          <w:rFonts w:cs="Arial"/>
        </w:rPr>
        <w:t>Once</w:t>
      </w:r>
      <w:r w:rsidR="005B07E7">
        <w:rPr>
          <w:rFonts w:cs="Arial"/>
        </w:rPr>
        <w:t xml:space="preserve"> purchases are authorized, the case manager </w:t>
      </w:r>
      <w:r w:rsidR="00A23C9E">
        <w:rPr>
          <w:rFonts w:cs="Arial"/>
        </w:rPr>
        <w:t>will use</w:t>
      </w:r>
      <w:r w:rsidR="005B07E7">
        <w:rPr>
          <w:rFonts w:cs="Arial"/>
        </w:rPr>
        <w:t xml:space="preserve"> the annual </w:t>
      </w:r>
      <w:r>
        <w:rPr>
          <w:rFonts w:cs="Arial"/>
        </w:rPr>
        <w:t>calculator</w:t>
      </w:r>
      <w:r w:rsidR="005B07E7">
        <w:rPr>
          <w:rFonts w:cs="Arial"/>
        </w:rPr>
        <w:t xml:space="preserve"> to note </w:t>
      </w:r>
      <w:r>
        <w:rPr>
          <w:rFonts w:cs="Arial"/>
        </w:rPr>
        <w:t>the type of purchase, date, and amount</w:t>
      </w:r>
      <w:r w:rsidR="005B07E7">
        <w:rPr>
          <w:rFonts w:cs="Arial"/>
        </w:rPr>
        <w:t xml:space="preserve">. </w:t>
      </w:r>
    </w:p>
    <w:p w14:paraId="2A47E31E" w14:textId="77777777" w:rsidR="005B07E7" w:rsidRDefault="005B07E7" w:rsidP="009862C2">
      <w:pPr>
        <w:numPr>
          <w:ilvl w:val="1"/>
          <w:numId w:val="51"/>
        </w:numPr>
        <w:rPr>
          <w:rFonts w:cs="Arial"/>
        </w:rPr>
      </w:pPr>
      <w:r>
        <w:rPr>
          <w:rFonts w:cs="Arial"/>
        </w:rPr>
        <w:t>When authorizing Skills Acquisition Training provided by an IP</w:t>
      </w:r>
      <w:r w:rsidR="00A23C9E">
        <w:rPr>
          <w:rFonts w:cs="Arial"/>
        </w:rPr>
        <w:t>,</w:t>
      </w:r>
      <w:r>
        <w:rPr>
          <w:rFonts w:cs="Arial"/>
        </w:rPr>
        <w:t xml:space="preserve"> </w:t>
      </w:r>
      <w:r w:rsidR="00A23C9E">
        <w:rPr>
          <w:rFonts w:cs="Arial"/>
        </w:rPr>
        <w:t>an</w:t>
      </w:r>
      <w:r>
        <w:rPr>
          <w:rFonts w:cs="Arial"/>
        </w:rPr>
        <w:t xml:space="preserve"> Agency Provider,</w:t>
      </w:r>
      <w:r w:rsidR="00A23C9E">
        <w:rPr>
          <w:rFonts w:cs="Arial"/>
        </w:rPr>
        <w:t xml:space="preserve"> or </w:t>
      </w:r>
      <w:r w:rsidR="004D4612">
        <w:rPr>
          <w:rFonts w:cs="Arial"/>
        </w:rPr>
        <w:t>supported living agency</w:t>
      </w:r>
      <w:r w:rsidR="00A23C9E">
        <w:rPr>
          <w:rFonts w:cs="Arial"/>
        </w:rPr>
        <w:t xml:space="preserve"> </w:t>
      </w:r>
      <w:r>
        <w:rPr>
          <w:rFonts w:cs="Arial"/>
        </w:rPr>
        <w:t xml:space="preserve">the case manager will deduct the standard deduction </w:t>
      </w:r>
      <w:r w:rsidR="003B668B">
        <w:rPr>
          <w:rFonts w:cs="Arial"/>
        </w:rPr>
        <w:t xml:space="preserve">per </w:t>
      </w:r>
      <w:r>
        <w:rPr>
          <w:rFonts w:cs="Arial"/>
        </w:rPr>
        <w:t xml:space="preserve">hour </w:t>
      </w:r>
      <w:r w:rsidR="00370C47">
        <w:rPr>
          <w:rFonts w:cs="Arial"/>
        </w:rPr>
        <w:t xml:space="preserve">($20.17 </w:t>
      </w:r>
      <w:r w:rsidR="002B731E">
        <w:rPr>
          <w:rFonts w:cs="Arial"/>
        </w:rPr>
        <w:t>through June 30, 2016</w:t>
      </w:r>
      <w:r w:rsidR="00370C47">
        <w:rPr>
          <w:rFonts w:cs="Arial"/>
        </w:rPr>
        <w:t xml:space="preserve">) </w:t>
      </w:r>
      <w:r>
        <w:rPr>
          <w:rFonts w:cs="Arial"/>
        </w:rPr>
        <w:t>regardless of the amount paid to the provider</w:t>
      </w:r>
      <w:r w:rsidR="00463C80">
        <w:rPr>
          <w:rFonts w:cs="Arial"/>
        </w:rPr>
        <w:t xml:space="preserve"> in the annual calculator</w:t>
      </w:r>
      <w:r>
        <w:rPr>
          <w:rFonts w:cs="Arial"/>
        </w:rPr>
        <w:t>.</w:t>
      </w:r>
      <w:r w:rsidR="00463C80">
        <w:rPr>
          <w:rFonts w:cs="Arial"/>
        </w:rPr>
        <w:t xml:space="preserve"> The provider does not get </w:t>
      </w:r>
      <w:r w:rsidR="003B668B">
        <w:rPr>
          <w:rFonts w:cs="Arial"/>
        </w:rPr>
        <w:t xml:space="preserve">paid </w:t>
      </w:r>
      <w:r w:rsidR="00463C80">
        <w:rPr>
          <w:rFonts w:cs="Arial"/>
        </w:rPr>
        <w:t>this rate; they get paid their standard rate. We use this rate in the calculator because:</w:t>
      </w:r>
    </w:p>
    <w:p w14:paraId="22E0AFE5" w14:textId="77777777" w:rsidR="00463C80" w:rsidRDefault="00463C80" w:rsidP="009862C2">
      <w:pPr>
        <w:numPr>
          <w:ilvl w:val="2"/>
          <w:numId w:val="51"/>
        </w:numPr>
        <w:rPr>
          <w:rFonts w:cs="Arial"/>
        </w:rPr>
      </w:pPr>
      <w:r>
        <w:rPr>
          <w:rFonts w:cs="Arial"/>
        </w:rPr>
        <w:t>The state pays fringe benefits to IPs that amount to more tha</w:t>
      </w:r>
      <w:r w:rsidR="00A977FE">
        <w:rPr>
          <w:rFonts w:cs="Arial"/>
        </w:rPr>
        <w:t>n just the person’s hourly rate. T</w:t>
      </w:r>
      <w:r>
        <w:rPr>
          <w:rFonts w:cs="Arial"/>
        </w:rPr>
        <w:t>his deduction reflect</w:t>
      </w:r>
      <w:r w:rsidR="00A977FE">
        <w:rPr>
          <w:rFonts w:cs="Arial"/>
        </w:rPr>
        <w:t>s the total cost to the state and is not what the provider will be paid.</w:t>
      </w:r>
    </w:p>
    <w:p w14:paraId="20C8AE4C" w14:textId="77777777" w:rsidR="00463C80" w:rsidRDefault="00463C80" w:rsidP="009862C2">
      <w:pPr>
        <w:numPr>
          <w:ilvl w:val="2"/>
          <w:numId w:val="51"/>
        </w:numPr>
        <w:rPr>
          <w:rFonts w:cs="Arial"/>
        </w:rPr>
      </w:pPr>
      <w:r>
        <w:rPr>
          <w:rFonts w:cs="Arial"/>
        </w:rPr>
        <w:lastRenderedPageBreak/>
        <w:t>The benefit available should be equitable between all clients regardless of the provider type they choose to employ.</w:t>
      </w:r>
    </w:p>
    <w:p w14:paraId="4DD365BC" w14:textId="77777777" w:rsidR="00A23C9E" w:rsidRDefault="00A23C9E" w:rsidP="009862C2">
      <w:pPr>
        <w:numPr>
          <w:ilvl w:val="1"/>
          <w:numId w:val="51"/>
        </w:numPr>
        <w:rPr>
          <w:rFonts w:cs="Arial"/>
        </w:rPr>
      </w:pPr>
      <w:r>
        <w:rPr>
          <w:rFonts w:cs="Arial"/>
        </w:rPr>
        <w:t>When authorizing Skills Acquisition Trai</w:t>
      </w:r>
      <w:r w:rsidR="00A977FE">
        <w:rPr>
          <w:rFonts w:cs="Arial"/>
        </w:rPr>
        <w:t>ning provided by a Home Health Agency</w:t>
      </w:r>
      <w:r>
        <w:rPr>
          <w:rFonts w:cs="Arial"/>
        </w:rPr>
        <w:t xml:space="preserve"> the case manager must:</w:t>
      </w:r>
    </w:p>
    <w:p w14:paraId="41F2CC1E" w14:textId="77777777" w:rsidR="00A23C9E" w:rsidRDefault="00A23C9E" w:rsidP="009862C2">
      <w:pPr>
        <w:numPr>
          <w:ilvl w:val="2"/>
          <w:numId w:val="51"/>
        </w:numPr>
        <w:rPr>
          <w:rFonts w:cs="Arial"/>
        </w:rPr>
      </w:pPr>
      <w:r>
        <w:rPr>
          <w:rFonts w:cs="Arial"/>
        </w:rPr>
        <w:t xml:space="preserve">Document the denial of </w:t>
      </w:r>
      <w:r w:rsidR="00A977FE">
        <w:rPr>
          <w:rFonts w:cs="Arial"/>
        </w:rPr>
        <w:t>services</w:t>
      </w:r>
      <w:r>
        <w:rPr>
          <w:rFonts w:cs="Arial"/>
        </w:rPr>
        <w:t xml:space="preserve"> through</w:t>
      </w:r>
      <w:r w:rsidR="00463C80">
        <w:rPr>
          <w:rFonts w:cs="Arial"/>
        </w:rPr>
        <w:t xml:space="preserve"> Medicaid, </w:t>
      </w:r>
      <w:r>
        <w:rPr>
          <w:rFonts w:cs="Arial"/>
        </w:rPr>
        <w:t>their HMO plan</w:t>
      </w:r>
      <w:r w:rsidR="00463C80">
        <w:rPr>
          <w:rFonts w:cs="Arial"/>
        </w:rPr>
        <w:t>,</w:t>
      </w:r>
      <w:r>
        <w:rPr>
          <w:rFonts w:cs="Arial"/>
        </w:rPr>
        <w:t xml:space="preserve"> </w:t>
      </w:r>
      <w:r w:rsidR="00463C80">
        <w:rPr>
          <w:rFonts w:cs="Arial"/>
        </w:rPr>
        <w:t>the Health Care Authority, or their private insurance or other health plan.</w:t>
      </w:r>
    </w:p>
    <w:p w14:paraId="1A8D672E" w14:textId="77777777" w:rsidR="00A23C9E" w:rsidRDefault="00A23C9E" w:rsidP="009862C2">
      <w:pPr>
        <w:numPr>
          <w:ilvl w:val="2"/>
          <w:numId w:val="51"/>
        </w:numPr>
        <w:rPr>
          <w:rFonts w:cs="Arial"/>
        </w:rPr>
      </w:pPr>
      <w:r>
        <w:rPr>
          <w:rFonts w:cs="Arial"/>
        </w:rPr>
        <w:t xml:space="preserve">Authorize only up to the $500 limit </w:t>
      </w:r>
      <w:r w:rsidR="004D4612">
        <w:rPr>
          <w:rFonts w:cs="Arial"/>
        </w:rPr>
        <w:t>(</w:t>
      </w:r>
      <w:r>
        <w:rPr>
          <w:rFonts w:cs="Arial"/>
        </w:rPr>
        <w:t xml:space="preserve">in </w:t>
      </w:r>
      <w:r w:rsidR="004D4612">
        <w:rPr>
          <w:rFonts w:cs="Arial"/>
        </w:rPr>
        <w:t>combination with AT) in</w:t>
      </w:r>
      <w:r w:rsidR="00370C47">
        <w:rPr>
          <w:rFonts w:cs="Arial"/>
        </w:rPr>
        <w:t xml:space="preserve"> </w:t>
      </w:r>
      <w:r>
        <w:rPr>
          <w:rFonts w:cs="Arial"/>
        </w:rPr>
        <w:t>ProviderOne.</w:t>
      </w:r>
    </w:p>
    <w:p w14:paraId="3DBBFFBE" w14:textId="77777777" w:rsidR="00A23C9E" w:rsidRDefault="00A23C9E" w:rsidP="009862C2">
      <w:pPr>
        <w:numPr>
          <w:ilvl w:val="2"/>
          <w:numId w:val="51"/>
        </w:numPr>
        <w:rPr>
          <w:rFonts w:cs="Arial"/>
        </w:rPr>
      </w:pPr>
      <w:r>
        <w:rPr>
          <w:rFonts w:cs="Arial"/>
        </w:rPr>
        <w:t xml:space="preserve">Pay the provider at their </w:t>
      </w:r>
      <w:r w:rsidR="004D4612">
        <w:rPr>
          <w:rFonts w:cs="Arial"/>
        </w:rPr>
        <w:t xml:space="preserve">contracted </w:t>
      </w:r>
      <w:r>
        <w:rPr>
          <w:rFonts w:cs="Arial"/>
        </w:rPr>
        <w:t>rate.</w:t>
      </w:r>
    </w:p>
    <w:p w14:paraId="704EE00E" w14:textId="77777777" w:rsidR="00A23C9E" w:rsidRDefault="00A23C9E" w:rsidP="009862C2">
      <w:pPr>
        <w:numPr>
          <w:ilvl w:val="2"/>
          <w:numId w:val="51"/>
        </w:numPr>
        <w:rPr>
          <w:rFonts w:cs="Arial"/>
        </w:rPr>
      </w:pPr>
      <w:r>
        <w:rPr>
          <w:rFonts w:cs="Arial"/>
        </w:rPr>
        <w:t xml:space="preserve">Note the </w:t>
      </w:r>
      <w:r w:rsidRPr="00463C80">
        <w:rPr>
          <w:rFonts w:cs="Arial"/>
          <w:i/>
        </w:rPr>
        <w:t>actual amount paid to that provider</w:t>
      </w:r>
      <w:r>
        <w:rPr>
          <w:rFonts w:cs="Arial"/>
        </w:rPr>
        <w:t xml:space="preserve"> in the annual</w:t>
      </w:r>
      <w:r w:rsidR="002B731E">
        <w:rPr>
          <w:rFonts w:cs="Arial"/>
        </w:rPr>
        <w:t xml:space="preserve"> limit</w:t>
      </w:r>
      <w:r>
        <w:rPr>
          <w:rFonts w:cs="Arial"/>
        </w:rPr>
        <w:t xml:space="preserve"> calculator in CARE.</w:t>
      </w:r>
    </w:p>
    <w:p w14:paraId="4616A230" w14:textId="77777777" w:rsidR="00CE2B77" w:rsidRDefault="00CE2B77" w:rsidP="00C82351">
      <w:pPr>
        <w:ind w:left="2880"/>
        <w:rPr>
          <w:rFonts w:cs="Arial"/>
        </w:rPr>
      </w:pPr>
    </w:p>
    <w:p w14:paraId="1CF67698" w14:textId="281EAD13" w:rsidR="005B07E7" w:rsidRDefault="00CF3EB3" w:rsidP="005B07E7">
      <w:pPr>
        <w:rPr>
          <w:rFonts w:cs="Arial"/>
        </w:rPr>
      </w:pPr>
      <w:r>
        <w:rPr>
          <w:noProof/>
        </w:rPr>
        <w:drawing>
          <wp:inline distT="0" distB="0" distL="0" distR="0" wp14:anchorId="3BE26D05" wp14:editId="7690A426">
            <wp:extent cx="615696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l="26298" t="34606" r="26366" b="33786"/>
                    <a:stretch/>
                  </pic:blipFill>
                  <pic:spPr bwMode="auto">
                    <a:xfrm>
                      <a:off x="0" y="0"/>
                      <a:ext cx="6156960" cy="2209800"/>
                    </a:xfrm>
                    <a:prstGeom prst="rect">
                      <a:avLst/>
                    </a:prstGeom>
                    <a:ln>
                      <a:noFill/>
                    </a:ln>
                    <a:extLst>
                      <a:ext uri="{53640926-AAD7-44D8-BBD7-CCE9431645EC}">
                        <a14:shadowObscured xmlns:a14="http://schemas.microsoft.com/office/drawing/2010/main"/>
                      </a:ext>
                    </a:extLst>
                  </pic:spPr>
                </pic:pic>
              </a:graphicData>
            </a:graphic>
          </wp:inline>
        </w:drawing>
      </w:r>
    </w:p>
    <w:p w14:paraId="1668E190" w14:textId="605CFE06" w:rsidR="0088012B" w:rsidRDefault="0088012B" w:rsidP="005B07E7">
      <w:pPr>
        <w:rPr>
          <w:rFonts w:cs="Arial"/>
        </w:rPr>
      </w:pPr>
    </w:p>
    <w:p w14:paraId="50A2162C" w14:textId="77777777" w:rsidR="0088012B" w:rsidRPr="00B90211" w:rsidRDefault="0088012B" w:rsidP="005B07E7">
      <w:pPr>
        <w:rPr>
          <w:rFonts w:cs="Arial"/>
        </w:rPr>
      </w:pPr>
    </w:p>
    <w:p w14:paraId="36306249" w14:textId="77777777" w:rsidR="001A7600" w:rsidRPr="000D2053" w:rsidRDefault="001A7600" w:rsidP="001A7600">
      <w:pPr>
        <w:pStyle w:val="ListParagraph"/>
        <w:ind w:left="0" w:firstLine="360"/>
        <w:rPr>
          <w:rFonts w:cs="Arial"/>
          <w:b/>
        </w:rPr>
      </w:pPr>
      <w:r w:rsidRPr="000D2053">
        <w:rPr>
          <w:rFonts w:cs="Arial"/>
          <w:b/>
        </w:rPr>
        <w:t>Exclusions and limits:</w:t>
      </w:r>
    </w:p>
    <w:p w14:paraId="793765C7" w14:textId="77777777" w:rsidR="001A7600" w:rsidRDefault="001A7600" w:rsidP="009862C2">
      <w:pPr>
        <w:pStyle w:val="ListParagraph"/>
        <w:numPr>
          <w:ilvl w:val="0"/>
          <w:numId w:val="16"/>
        </w:numPr>
        <w:ind w:left="1080"/>
        <w:rPr>
          <w:rFonts w:cs="Arial"/>
          <w:szCs w:val="20"/>
        </w:rPr>
      </w:pPr>
      <w:r>
        <w:rPr>
          <w:rFonts w:cs="Arial"/>
          <w:szCs w:val="20"/>
        </w:rPr>
        <w:t>None of the $500 limit amount may be carried over between years. Any amount left at the end of the fiscal year may not be used</w:t>
      </w:r>
      <w:r w:rsidR="006B543A">
        <w:rPr>
          <w:rFonts w:cs="Arial"/>
          <w:szCs w:val="20"/>
        </w:rPr>
        <w:t xml:space="preserve"> in the next fiscal year</w:t>
      </w:r>
      <w:r>
        <w:rPr>
          <w:rFonts w:cs="Arial"/>
          <w:szCs w:val="20"/>
        </w:rPr>
        <w:t xml:space="preserve">. </w:t>
      </w:r>
    </w:p>
    <w:p w14:paraId="5D488CA3" w14:textId="77777777" w:rsidR="005B07E7" w:rsidRDefault="005B07E7" w:rsidP="009862C2">
      <w:pPr>
        <w:pStyle w:val="ListParagraph"/>
        <w:numPr>
          <w:ilvl w:val="0"/>
          <w:numId w:val="16"/>
        </w:numPr>
        <w:ind w:left="1080"/>
        <w:rPr>
          <w:rFonts w:cs="Arial"/>
          <w:szCs w:val="20"/>
        </w:rPr>
      </w:pPr>
      <w:r>
        <w:rPr>
          <w:rFonts w:cs="Arial"/>
          <w:szCs w:val="20"/>
        </w:rPr>
        <w:t>Aggregate purchases may not exceed the $500 fiscal year limit without a Headquarters approved Exception to Rule (ETR)</w:t>
      </w:r>
      <w:r w:rsidR="004D4612">
        <w:rPr>
          <w:rFonts w:cs="Arial"/>
          <w:szCs w:val="20"/>
        </w:rPr>
        <w:t>.</w:t>
      </w:r>
    </w:p>
    <w:p w14:paraId="4348211B" w14:textId="77777777" w:rsidR="001A7600" w:rsidRDefault="005B07E7" w:rsidP="009862C2">
      <w:pPr>
        <w:pStyle w:val="ListParagraph"/>
        <w:numPr>
          <w:ilvl w:val="0"/>
          <w:numId w:val="16"/>
        </w:numPr>
        <w:ind w:left="1080"/>
        <w:rPr>
          <w:rFonts w:cs="Arial"/>
          <w:szCs w:val="20"/>
        </w:rPr>
      </w:pPr>
      <w:r>
        <w:rPr>
          <w:rFonts w:cs="Arial"/>
          <w:szCs w:val="20"/>
        </w:rPr>
        <w:t>Purchases must follow the guidelines provided for that benefit. See Assistive Technology and Skills Acquisition Training benefit descriptions above.</w:t>
      </w:r>
    </w:p>
    <w:p w14:paraId="412AE51F" w14:textId="77777777" w:rsidR="00FD2B8F" w:rsidRDefault="00FD2B8F" w:rsidP="006B3A95">
      <w:pPr>
        <w:rPr>
          <w:rFonts w:cs="Arial"/>
          <w:b/>
          <w:i/>
        </w:rPr>
      </w:pPr>
    </w:p>
    <w:p w14:paraId="25A4A7B6" w14:textId="77777777" w:rsidR="00223083" w:rsidRPr="00083918" w:rsidRDefault="00223083" w:rsidP="006B3A95">
      <w:pPr>
        <w:rPr>
          <w:rFonts w:cs="Arial"/>
          <w:b/>
          <w:sz w:val="28"/>
        </w:rPr>
      </w:pPr>
      <w:bookmarkStart w:id="25" w:name="Can_Clients_Switch_Programs"/>
      <w:r w:rsidRPr="00083918">
        <w:rPr>
          <w:rFonts w:cs="Arial"/>
          <w:b/>
          <w:sz w:val="28"/>
        </w:rPr>
        <w:t>Can clients switch between programs?</w:t>
      </w:r>
    </w:p>
    <w:bookmarkEnd w:id="25"/>
    <w:p w14:paraId="38C2B59A" w14:textId="77777777" w:rsidR="00870ED8" w:rsidRDefault="00870ED8" w:rsidP="00223083">
      <w:pPr>
        <w:rPr>
          <w:rFonts w:cs="Arial"/>
          <w:b/>
        </w:rPr>
      </w:pPr>
    </w:p>
    <w:p w14:paraId="20BDAF89" w14:textId="77777777" w:rsidR="00223083" w:rsidRPr="00870ED8" w:rsidRDefault="00223083" w:rsidP="00223083">
      <w:pPr>
        <w:rPr>
          <w:rFonts w:cs="Arial"/>
          <w:b/>
        </w:rPr>
      </w:pPr>
      <w:bookmarkStart w:id="26" w:name="MPC_who_want_CFC"/>
      <w:r w:rsidRPr="00870ED8">
        <w:rPr>
          <w:rFonts w:cs="Arial"/>
          <w:b/>
        </w:rPr>
        <w:t xml:space="preserve">Clients on MPC who want to </w:t>
      </w:r>
      <w:r w:rsidR="00870ED8" w:rsidRPr="00870ED8">
        <w:rPr>
          <w:rFonts w:cs="Arial"/>
          <w:b/>
        </w:rPr>
        <w:t xml:space="preserve">enroll in </w:t>
      </w:r>
      <w:r w:rsidR="00870ED8">
        <w:rPr>
          <w:rFonts w:cs="Arial"/>
          <w:b/>
        </w:rPr>
        <w:t>CFC</w:t>
      </w:r>
      <w:r w:rsidRPr="00870ED8">
        <w:rPr>
          <w:rFonts w:cs="Arial"/>
          <w:b/>
        </w:rPr>
        <w:t>:</w:t>
      </w:r>
    </w:p>
    <w:bookmarkEnd w:id="26"/>
    <w:p w14:paraId="2803E566" w14:textId="77777777" w:rsidR="00223083" w:rsidRDefault="00223083" w:rsidP="00223083">
      <w:pPr>
        <w:rPr>
          <w:rFonts w:cs="Arial"/>
        </w:rPr>
      </w:pPr>
      <w:r>
        <w:rPr>
          <w:rFonts w:cs="Arial"/>
        </w:rPr>
        <w:t xml:space="preserve">Any client who is on MPC wishing to </w:t>
      </w:r>
      <w:r w:rsidR="008119FE">
        <w:rPr>
          <w:rFonts w:cs="Arial"/>
        </w:rPr>
        <w:t>enroll in</w:t>
      </w:r>
      <w:r>
        <w:rPr>
          <w:rFonts w:cs="Arial"/>
        </w:rPr>
        <w:t xml:space="preserve"> CFC requires a functional eligibility determination before they may </w:t>
      </w:r>
      <w:r w:rsidR="008119FE">
        <w:rPr>
          <w:rFonts w:cs="Arial"/>
        </w:rPr>
        <w:t>enroll in</w:t>
      </w:r>
      <w:r>
        <w:rPr>
          <w:rFonts w:cs="Arial"/>
        </w:rPr>
        <w:t xml:space="preserve"> CFC.  </w:t>
      </w:r>
      <w:r w:rsidR="00D239D5">
        <w:rPr>
          <w:rFonts w:cs="Arial"/>
        </w:rPr>
        <w:t>MPC eligible clients were determined not to meet institutional level of care criteria and do</w:t>
      </w:r>
      <w:r>
        <w:rPr>
          <w:rFonts w:cs="Arial"/>
        </w:rPr>
        <w:t xml:space="preserve"> not qualify functionally for CFC services.  If they are </w:t>
      </w:r>
      <w:r w:rsidR="00870ED8">
        <w:rPr>
          <w:rFonts w:cs="Arial"/>
        </w:rPr>
        <w:t>re-</w:t>
      </w:r>
      <w:r>
        <w:rPr>
          <w:rFonts w:cs="Arial"/>
        </w:rPr>
        <w:t xml:space="preserve">assessed and found to meet </w:t>
      </w:r>
      <w:r w:rsidR="004D4612">
        <w:rPr>
          <w:rFonts w:cs="Arial"/>
        </w:rPr>
        <w:t xml:space="preserve">institutional </w:t>
      </w:r>
      <w:r w:rsidR="00D239D5">
        <w:rPr>
          <w:rFonts w:cs="Arial"/>
        </w:rPr>
        <w:t>level of care criteria</w:t>
      </w:r>
      <w:r>
        <w:rPr>
          <w:rFonts w:cs="Arial"/>
        </w:rPr>
        <w:t xml:space="preserve">, they </w:t>
      </w:r>
      <w:r w:rsidRPr="00870ED8">
        <w:rPr>
          <w:rFonts w:cs="Arial"/>
          <w:i/>
        </w:rPr>
        <w:t>must</w:t>
      </w:r>
      <w:r>
        <w:rPr>
          <w:rFonts w:cs="Arial"/>
        </w:rPr>
        <w:t xml:space="preserve"> </w:t>
      </w:r>
      <w:r w:rsidR="008119FE">
        <w:rPr>
          <w:rFonts w:cs="Arial"/>
        </w:rPr>
        <w:t>change programs</w:t>
      </w:r>
      <w:r>
        <w:rPr>
          <w:rFonts w:cs="Arial"/>
        </w:rPr>
        <w:t xml:space="preserve"> from MPC to CFC </w:t>
      </w:r>
      <w:r w:rsidR="003B668B">
        <w:rPr>
          <w:rFonts w:cs="Arial"/>
        </w:rPr>
        <w:t>as</w:t>
      </w:r>
      <w:r w:rsidR="00870ED8">
        <w:rPr>
          <w:rFonts w:cs="Arial"/>
        </w:rPr>
        <w:t xml:space="preserve"> they are no longer functionally eligible</w:t>
      </w:r>
      <w:r>
        <w:rPr>
          <w:rFonts w:cs="Arial"/>
        </w:rPr>
        <w:t xml:space="preserve"> for MPC. </w:t>
      </w:r>
    </w:p>
    <w:p w14:paraId="38845099" w14:textId="77777777" w:rsidR="00870ED8" w:rsidRDefault="00870ED8" w:rsidP="00870ED8">
      <w:pPr>
        <w:rPr>
          <w:rFonts w:cs="Arial"/>
          <w:b/>
        </w:rPr>
      </w:pPr>
    </w:p>
    <w:p w14:paraId="4714CF8E" w14:textId="77777777" w:rsidR="00870ED8" w:rsidRPr="00870ED8" w:rsidRDefault="00870ED8" w:rsidP="00870ED8">
      <w:pPr>
        <w:rPr>
          <w:rFonts w:cs="Arial"/>
          <w:b/>
        </w:rPr>
      </w:pPr>
      <w:bookmarkStart w:id="27" w:name="MPC_who_want_CFC_COPES"/>
      <w:r w:rsidRPr="00870ED8">
        <w:rPr>
          <w:rFonts w:cs="Arial"/>
          <w:b/>
        </w:rPr>
        <w:lastRenderedPageBreak/>
        <w:t xml:space="preserve">Clients on </w:t>
      </w:r>
      <w:r>
        <w:rPr>
          <w:rFonts w:cs="Arial"/>
          <w:b/>
        </w:rPr>
        <w:t>MPC</w:t>
      </w:r>
      <w:r w:rsidRPr="00870ED8">
        <w:rPr>
          <w:rFonts w:cs="Arial"/>
          <w:b/>
        </w:rPr>
        <w:t xml:space="preserve"> who want to enroll in CFC + COPES</w:t>
      </w:r>
      <w:r>
        <w:rPr>
          <w:rFonts w:cs="Arial"/>
          <w:b/>
        </w:rPr>
        <w:t>:</w:t>
      </w:r>
    </w:p>
    <w:bookmarkEnd w:id="27"/>
    <w:p w14:paraId="046B497D" w14:textId="77777777" w:rsidR="009E2999" w:rsidRDefault="003B668B" w:rsidP="006B3A95">
      <w:pPr>
        <w:rPr>
          <w:rFonts w:cs="Arial"/>
        </w:rPr>
      </w:pPr>
      <w:r>
        <w:rPr>
          <w:rFonts w:cs="Arial"/>
        </w:rPr>
        <w:t>A</w:t>
      </w:r>
      <w:r w:rsidR="00223083">
        <w:rPr>
          <w:rFonts w:cs="Arial"/>
        </w:rPr>
        <w:t xml:space="preserve">ny client who is on MPC </w:t>
      </w:r>
      <w:r w:rsidR="008119FE">
        <w:rPr>
          <w:rFonts w:cs="Arial"/>
        </w:rPr>
        <w:t>and wishes</w:t>
      </w:r>
      <w:r w:rsidR="00223083">
        <w:rPr>
          <w:rFonts w:cs="Arial"/>
        </w:rPr>
        <w:t xml:space="preserve"> to </w:t>
      </w:r>
      <w:r w:rsidR="008119FE">
        <w:rPr>
          <w:rFonts w:cs="Arial"/>
        </w:rPr>
        <w:t>be enrolled in both</w:t>
      </w:r>
      <w:r w:rsidR="00223083">
        <w:rPr>
          <w:rFonts w:cs="Arial"/>
        </w:rPr>
        <w:t xml:space="preserve"> CFC </w:t>
      </w:r>
      <w:r w:rsidR="008119FE">
        <w:rPr>
          <w:rFonts w:cs="Arial"/>
        </w:rPr>
        <w:t>and</w:t>
      </w:r>
      <w:r w:rsidR="00223083">
        <w:rPr>
          <w:rFonts w:cs="Arial"/>
        </w:rPr>
        <w:t xml:space="preserve"> COPES </w:t>
      </w:r>
      <w:r w:rsidR="001E1455">
        <w:rPr>
          <w:rFonts w:cs="Arial"/>
        </w:rPr>
        <w:t xml:space="preserve">also </w:t>
      </w:r>
      <w:r w:rsidR="00223083">
        <w:rPr>
          <w:rFonts w:cs="Arial"/>
        </w:rPr>
        <w:t>requires a functional eligibility determination before they may switch to CFC + COPES.  MPC</w:t>
      </w:r>
      <w:r w:rsidR="00D239D5">
        <w:rPr>
          <w:rFonts w:cs="Arial"/>
        </w:rPr>
        <w:t xml:space="preserve"> clients </w:t>
      </w:r>
      <w:r w:rsidR="00223083">
        <w:rPr>
          <w:rFonts w:cs="Arial"/>
        </w:rPr>
        <w:t xml:space="preserve">were determined to not meet </w:t>
      </w:r>
      <w:r w:rsidR="00D239D5">
        <w:rPr>
          <w:rFonts w:cs="Arial"/>
        </w:rPr>
        <w:t xml:space="preserve">institutional level of care </w:t>
      </w:r>
      <w:r w:rsidR="00223083">
        <w:rPr>
          <w:rFonts w:cs="Arial"/>
        </w:rPr>
        <w:t xml:space="preserve">and do not qualify functionally for CFC services.  </w:t>
      </w:r>
      <w:r>
        <w:rPr>
          <w:rFonts w:cs="Arial"/>
        </w:rPr>
        <w:t>If they are re-assessed and found to meet level of care criteria, they are no longer functionally eligible for MPC</w:t>
      </w:r>
      <w:r w:rsidR="008F2EEA">
        <w:rPr>
          <w:rFonts w:cs="Arial"/>
        </w:rPr>
        <w:t xml:space="preserve"> and must enroll in CFC</w:t>
      </w:r>
      <w:r>
        <w:rPr>
          <w:rFonts w:cs="Arial"/>
        </w:rPr>
        <w:t>.</w:t>
      </w:r>
    </w:p>
    <w:p w14:paraId="22EEFE27" w14:textId="77777777" w:rsidR="004D4612" w:rsidRDefault="004D4612" w:rsidP="006B3A95">
      <w:pPr>
        <w:rPr>
          <w:rFonts w:cs="Arial"/>
        </w:rPr>
      </w:pPr>
    </w:p>
    <w:p w14:paraId="4598EB6B" w14:textId="77777777" w:rsidR="004D4612" w:rsidRDefault="004D4612" w:rsidP="004D4612">
      <w:pPr>
        <w:rPr>
          <w:rFonts w:cs="Arial"/>
        </w:rPr>
      </w:pPr>
      <w:r>
        <w:rPr>
          <w:rFonts w:cs="Arial"/>
        </w:rPr>
        <w:t xml:space="preserve">In addition to functional eligibility, clients must have a financial eligibility review as the </w:t>
      </w:r>
      <w:r w:rsidR="006B543A">
        <w:rPr>
          <w:rFonts w:cs="Arial"/>
        </w:rPr>
        <w:t xml:space="preserve">financial </w:t>
      </w:r>
      <w:r>
        <w:rPr>
          <w:rFonts w:cs="Arial"/>
        </w:rPr>
        <w:t xml:space="preserve">criteria for the COPES waiver is different than for the CFC program and financial </w:t>
      </w:r>
      <w:r w:rsidR="006B543A">
        <w:rPr>
          <w:rFonts w:cs="Arial"/>
        </w:rPr>
        <w:t xml:space="preserve">services </w:t>
      </w:r>
      <w:r>
        <w:rPr>
          <w:rFonts w:cs="Arial"/>
        </w:rPr>
        <w:t xml:space="preserve">must approve eligibility before a client may be enrolled in the COPES waiver. </w:t>
      </w:r>
    </w:p>
    <w:p w14:paraId="168C4C21" w14:textId="77777777" w:rsidR="004D4612" w:rsidRDefault="004D4612" w:rsidP="006B3A95">
      <w:pPr>
        <w:rPr>
          <w:rFonts w:cs="Arial"/>
        </w:rPr>
      </w:pPr>
    </w:p>
    <w:p w14:paraId="1F5142D1" w14:textId="77777777" w:rsidR="00142193" w:rsidRDefault="00142193" w:rsidP="00142193">
      <w:pPr>
        <w:rPr>
          <w:rFonts w:cs="Arial"/>
          <w:b/>
        </w:rPr>
      </w:pPr>
      <w:bookmarkStart w:id="28" w:name="MAGI_ABP_MPC_who_want_CFC_COPES"/>
      <w:r>
        <w:rPr>
          <w:rFonts w:cs="Arial"/>
          <w:b/>
        </w:rPr>
        <w:t xml:space="preserve">MAGI-based </w:t>
      </w:r>
      <w:r w:rsidRPr="00870ED8">
        <w:rPr>
          <w:rFonts w:cs="Arial"/>
          <w:b/>
        </w:rPr>
        <w:t xml:space="preserve">Clients on </w:t>
      </w:r>
      <w:r>
        <w:rPr>
          <w:rFonts w:cs="Arial"/>
          <w:b/>
        </w:rPr>
        <w:t>ABP MPC</w:t>
      </w:r>
      <w:r w:rsidRPr="00870ED8">
        <w:rPr>
          <w:rFonts w:cs="Arial"/>
          <w:b/>
        </w:rPr>
        <w:t xml:space="preserve"> who want to enroll in CFC + COPES</w:t>
      </w:r>
      <w:r>
        <w:rPr>
          <w:rFonts w:cs="Arial"/>
          <w:b/>
        </w:rPr>
        <w:t>:</w:t>
      </w:r>
    </w:p>
    <w:bookmarkEnd w:id="28"/>
    <w:p w14:paraId="0B7D0194" w14:textId="77777777" w:rsidR="00142193" w:rsidRDefault="00142193" w:rsidP="00142193">
      <w:pPr>
        <w:rPr>
          <w:rFonts w:cs="Arial"/>
        </w:rPr>
      </w:pPr>
    </w:p>
    <w:p w14:paraId="55B24057" w14:textId="1144EA92" w:rsidR="00142193" w:rsidRDefault="00F14C0A" w:rsidP="00142193">
      <w:pPr>
        <w:rPr>
          <w:rFonts w:cs="Arial"/>
        </w:rPr>
      </w:pPr>
      <w:r>
        <w:rPr>
          <w:rFonts w:cs="Arial"/>
        </w:rPr>
        <w:t xml:space="preserve">Because MAGI-based clients are not part of the Aged, Blind, Disabled population that is eligible for waiver services, the client must complete a </w:t>
      </w:r>
      <w:r w:rsidR="00E573B6">
        <w:rPr>
          <w:rFonts w:cs="Arial"/>
        </w:rPr>
        <w:t xml:space="preserve">Social Security </w:t>
      </w:r>
      <w:r>
        <w:rPr>
          <w:rFonts w:cs="Arial"/>
        </w:rPr>
        <w:t xml:space="preserve">disability determination </w:t>
      </w:r>
      <w:r w:rsidR="00E573B6">
        <w:rPr>
          <w:rFonts w:cs="Arial"/>
        </w:rPr>
        <w:t>(</w:t>
      </w:r>
      <w:r>
        <w:rPr>
          <w:rFonts w:cs="Arial"/>
        </w:rPr>
        <w:t xml:space="preserve">or </w:t>
      </w:r>
      <w:r w:rsidR="00E573B6">
        <w:rPr>
          <w:rFonts w:cs="Arial"/>
        </w:rPr>
        <w:t xml:space="preserve">the </w:t>
      </w:r>
      <w:r>
        <w:rPr>
          <w:rFonts w:cs="Arial"/>
        </w:rPr>
        <w:t>Non-Grant Medical Assistance (NGMA)</w:t>
      </w:r>
      <w:r w:rsidR="00E573B6">
        <w:rPr>
          <w:rFonts w:cs="Arial"/>
        </w:rPr>
        <w:t xml:space="preserve"> process)</w:t>
      </w:r>
      <w:r>
        <w:rPr>
          <w:rFonts w:cs="Arial"/>
        </w:rPr>
        <w:t xml:space="preserve"> before being considered for COPES or any other waiver service.</w:t>
      </w:r>
      <w:r w:rsidR="00FF6D61">
        <w:rPr>
          <w:rFonts w:cs="Arial"/>
        </w:rPr>
        <w:t xml:space="preserve">  These clients must also apply for SSI related medical using form </w:t>
      </w:r>
      <w:hyperlink r:id="rId44" w:history="1">
        <w:r w:rsidR="00FF6D61" w:rsidRPr="006D3F51">
          <w:rPr>
            <w:rStyle w:val="Hyperlink"/>
            <w:rFonts w:cs="Arial"/>
          </w:rPr>
          <w:t>18-005</w:t>
        </w:r>
      </w:hyperlink>
      <w:r w:rsidR="00FF6D61">
        <w:rPr>
          <w:rFonts w:cs="Arial"/>
        </w:rPr>
        <w:t>.</w:t>
      </w:r>
    </w:p>
    <w:p w14:paraId="325B1E93" w14:textId="77777777" w:rsidR="00E573B6" w:rsidRDefault="00E573B6" w:rsidP="00142193">
      <w:pPr>
        <w:rPr>
          <w:rFonts w:cs="Arial"/>
        </w:rPr>
      </w:pPr>
    </w:p>
    <w:p w14:paraId="6CB0C67D" w14:textId="77777777" w:rsidR="00142193" w:rsidRDefault="00E573B6" w:rsidP="00142193">
      <w:pPr>
        <w:rPr>
          <w:rFonts w:cs="Arial"/>
        </w:rPr>
      </w:pPr>
      <w:r>
        <w:rPr>
          <w:rFonts w:cs="Arial"/>
        </w:rPr>
        <w:t>Clients who are on ABP MPC through MAGI-based programs who wish to be enrolled in both CFC and COPES and who have completed the disability determination process, require a functional eligibility determination as all MPC clients were determined to not meet institutional level of care and do not qualify functionally for any CFC program.  If the client is re-assessed and found to meet level of care criteria,</w:t>
      </w:r>
      <w:r w:rsidR="003316D5">
        <w:rPr>
          <w:rFonts w:cs="Arial"/>
        </w:rPr>
        <w:t xml:space="preserve"> they</w:t>
      </w:r>
      <w:r>
        <w:rPr>
          <w:rFonts w:cs="Arial"/>
        </w:rPr>
        <w:t xml:space="preserve"> </w:t>
      </w:r>
      <w:r w:rsidR="003316D5">
        <w:rPr>
          <w:rFonts w:cs="Arial"/>
        </w:rPr>
        <w:t xml:space="preserve">are functionally eligible for </w:t>
      </w:r>
      <w:r w:rsidR="00A912D1">
        <w:rPr>
          <w:rFonts w:cs="Arial"/>
        </w:rPr>
        <w:t>CFC</w:t>
      </w:r>
      <w:r w:rsidR="003316D5">
        <w:rPr>
          <w:rFonts w:cs="Arial"/>
        </w:rPr>
        <w:t xml:space="preserve"> or </w:t>
      </w:r>
      <w:r w:rsidR="00A912D1">
        <w:rPr>
          <w:rFonts w:cs="Arial"/>
        </w:rPr>
        <w:t xml:space="preserve">for </w:t>
      </w:r>
      <w:r w:rsidR="003316D5">
        <w:rPr>
          <w:rFonts w:cs="Arial"/>
        </w:rPr>
        <w:t>CFC + COPES.</w:t>
      </w:r>
    </w:p>
    <w:p w14:paraId="54BBA87D" w14:textId="77777777" w:rsidR="00E573B6" w:rsidRDefault="00E573B6" w:rsidP="00142193">
      <w:pPr>
        <w:rPr>
          <w:rFonts w:cs="Arial"/>
        </w:rPr>
      </w:pPr>
    </w:p>
    <w:p w14:paraId="3E3B9FA6" w14:textId="77777777" w:rsidR="00142193" w:rsidRPr="00870ED8" w:rsidRDefault="00142193" w:rsidP="00142193">
      <w:pPr>
        <w:rPr>
          <w:rFonts w:cs="Arial"/>
          <w:b/>
        </w:rPr>
      </w:pPr>
      <w:r>
        <w:rPr>
          <w:rFonts w:cs="Arial"/>
        </w:rPr>
        <w:t xml:space="preserve">In addition to functional eligibility, clients must have a financial eligibility review as the financial criteria for the COPES waiver is different than for CFC and financial services must approve eligibility before a client may be enrolled in the COPES waiver. </w:t>
      </w:r>
    </w:p>
    <w:p w14:paraId="10686DC9" w14:textId="77777777" w:rsidR="00142193" w:rsidRDefault="00142193" w:rsidP="006B3A95">
      <w:pPr>
        <w:rPr>
          <w:rFonts w:cs="Arial"/>
        </w:rPr>
      </w:pPr>
    </w:p>
    <w:p w14:paraId="114880A1" w14:textId="77777777" w:rsidR="00870ED8" w:rsidRDefault="00870ED8" w:rsidP="006B3A95">
      <w:pPr>
        <w:rPr>
          <w:rFonts w:cs="Arial"/>
        </w:rPr>
      </w:pPr>
    </w:p>
    <w:p w14:paraId="257B5457" w14:textId="77777777" w:rsidR="00870ED8" w:rsidRPr="00870ED8" w:rsidRDefault="00870ED8" w:rsidP="006B3A95">
      <w:pPr>
        <w:rPr>
          <w:rFonts w:cs="Arial"/>
          <w:b/>
        </w:rPr>
      </w:pPr>
      <w:bookmarkStart w:id="29" w:name="Clients_on_CFC_who_want_CFC_COPES"/>
      <w:r w:rsidRPr="00870ED8">
        <w:rPr>
          <w:rFonts w:cs="Arial"/>
          <w:b/>
        </w:rPr>
        <w:t>Clients on CFC who want to enroll in CFC + COPES</w:t>
      </w:r>
      <w:r>
        <w:rPr>
          <w:rFonts w:cs="Arial"/>
          <w:b/>
        </w:rPr>
        <w:t>:</w:t>
      </w:r>
    </w:p>
    <w:bookmarkEnd w:id="29"/>
    <w:p w14:paraId="075F5BC2" w14:textId="77777777" w:rsidR="00B36B86" w:rsidRDefault="00B36B86" w:rsidP="006B3A95">
      <w:pPr>
        <w:rPr>
          <w:rFonts w:cs="Arial"/>
          <w:b/>
        </w:rPr>
      </w:pPr>
    </w:p>
    <w:p w14:paraId="704FE642" w14:textId="77777777" w:rsidR="00601344" w:rsidRPr="00203DB3" w:rsidRDefault="00601344" w:rsidP="006B3A95">
      <w:pPr>
        <w:rPr>
          <w:rFonts w:cs="Arial"/>
          <w:b/>
        </w:rPr>
      </w:pPr>
      <w:r w:rsidRPr="00203DB3">
        <w:rPr>
          <w:rFonts w:cs="Arial"/>
          <w:b/>
        </w:rPr>
        <w:t>HCS Clients:</w:t>
      </w:r>
    </w:p>
    <w:p w14:paraId="44416870" w14:textId="77777777" w:rsidR="00601344" w:rsidRDefault="00601344" w:rsidP="006B3A95">
      <w:pPr>
        <w:rPr>
          <w:rFonts w:cs="Arial"/>
        </w:rPr>
      </w:pPr>
      <w:r>
        <w:rPr>
          <w:rFonts w:cs="Arial"/>
        </w:rPr>
        <w:t>HCS Clients</w:t>
      </w:r>
      <w:r w:rsidR="00870ED8">
        <w:rPr>
          <w:rFonts w:cs="Arial"/>
        </w:rPr>
        <w:t xml:space="preserve"> on CFC </w:t>
      </w:r>
      <w:r>
        <w:rPr>
          <w:rFonts w:cs="Arial"/>
        </w:rPr>
        <w:t xml:space="preserve">who wish </w:t>
      </w:r>
      <w:r w:rsidR="00870ED8">
        <w:rPr>
          <w:rFonts w:cs="Arial"/>
        </w:rPr>
        <w:t xml:space="preserve">to also enroll in the COPES waiver </w:t>
      </w:r>
      <w:r>
        <w:rPr>
          <w:rFonts w:cs="Arial"/>
        </w:rPr>
        <w:t xml:space="preserve">are not </w:t>
      </w:r>
      <w:r w:rsidR="00870ED8">
        <w:rPr>
          <w:rFonts w:cs="Arial"/>
        </w:rPr>
        <w:t>require</w:t>
      </w:r>
      <w:r>
        <w:rPr>
          <w:rFonts w:cs="Arial"/>
        </w:rPr>
        <w:t>d to have</w:t>
      </w:r>
      <w:r w:rsidR="00870ED8">
        <w:rPr>
          <w:rFonts w:cs="Arial"/>
        </w:rPr>
        <w:t xml:space="preserve"> an additional functional assessment </w:t>
      </w:r>
      <w:r w:rsidR="006B543A">
        <w:rPr>
          <w:rFonts w:cs="Arial"/>
        </w:rPr>
        <w:t xml:space="preserve">because </w:t>
      </w:r>
      <w:r w:rsidR="00870ED8">
        <w:rPr>
          <w:rFonts w:cs="Arial"/>
        </w:rPr>
        <w:t xml:space="preserve">the </w:t>
      </w:r>
      <w:r w:rsidR="009E2999">
        <w:rPr>
          <w:rFonts w:cs="Arial"/>
        </w:rPr>
        <w:t xml:space="preserve">institutional level of care </w:t>
      </w:r>
      <w:r w:rsidR="00870ED8">
        <w:rPr>
          <w:rFonts w:cs="Arial"/>
        </w:rPr>
        <w:t xml:space="preserve">criteria applies to both CFC and to COPES.  </w:t>
      </w:r>
    </w:p>
    <w:p w14:paraId="1C507146" w14:textId="77777777" w:rsidR="00601344" w:rsidRDefault="00601344" w:rsidP="006B3A95">
      <w:pPr>
        <w:rPr>
          <w:rFonts w:cs="Arial"/>
        </w:rPr>
      </w:pPr>
    </w:p>
    <w:p w14:paraId="55164313" w14:textId="77777777" w:rsidR="00601344" w:rsidRPr="00203DB3" w:rsidRDefault="00601344" w:rsidP="006B3A95">
      <w:pPr>
        <w:rPr>
          <w:rFonts w:cs="Arial"/>
          <w:b/>
        </w:rPr>
      </w:pPr>
      <w:r w:rsidRPr="00203DB3">
        <w:rPr>
          <w:rFonts w:cs="Arial"/>
          <w:b/>
        </w:rPr>
        <w:t>DDA Clients:</w:t>
      </w:r>
    </w:p>
    <w:p w14:paraId="52181607" w14:textId="77777777" w:rsidR="009E2999" w:rsidRDefault="00601344" w:rsidP="006B3A95">
      <w:pPr>
        <w:rPr>
          <w:rFonts w:cs="Arial"/>
        </w:rPr>
      </w:pPr>
      <w:r>
        <w:rPr>
          <w:rFonts w:cs="Arial"/>
        </w:rPr>
        <w:t xml:space="preserve">DDA Clients who are enrolled in CFC have not been assessed to meet the same level of care criteria required by COPES. </w:t>
      </w:r>
      <w:r w:rsidR="00142193">
        <w:rPr>
          <w:rFonts w:cs="Arial"/>
        </w:rPr>
        <w:t xml:space="preserve"> DDA clients wishing to enroll in COPES would need to have a new functional assessment to determine whether they meet the COPES functional eligibility criteria.</w:t>
      </w:r>
      <w:r>
        <w:rPr>
          <w:rFonts w:cs="Arial"/>
        </w:rPr>
        <w:t xml:space="preserve"> </w:t>
      </w:r>
    </w:p>
    <w:p w14:paraId="0111FA7D" w14:textId="77777777" w:rsidR="00B36B86" w:rsidRDefault="00B36B86" w:rsidP="006B3A95">
      <w:pPr>
        <w:rPr>
          <w:rFonts w:cs="Arial"/>
        </w:rPr>
      </w:pPr>
    </w:p>
    <w:p w14:paraId="29C34F20" w14:textId="77777777" w:rsidR="00B36B86" w:rsidRPr="00203DB3" w:rsidRDefault="00B36B86" w:rsidP="006B3A95">
      <w:pPr>
        <w:rPr>
          <w:rFonts w:cs="Arial"/>
          <w:b/>
        </w:rPr>
      </w:pPr>
      <w:r>
        <w:rPr>
          <w:rFonts w:cs="Arial"/>
          <w:b/>
        </w:rPr>
        <w:t>Both DDA and HCS Clients:</w:t>
      </w:r>
    </w:p>
    <w:p w14:paraId="44BF3D91" w14:textId="23F8EB7D" w:rsidR="007A7A8A" w:rsidRDefault="009E2999" w:rsidP="006B3A95">
      <w:pPr>
        <w:rPr>
          <w:rFonts w:cs="Arial"/>
        </w:rPr>
      </w:pPr>
      <w:r>
        <w:rPr>
          <w:rFonts w:cs="Arial"/>
        </w:rPr>
        <w:lastRenderedPageBreak/>
        <w:t>The</w:t>
      </w:r>
      <w:r w:rsidR="00870ED8">
        <w:rPr>
          <w:rFonts w:cs="Arial"/>
        </w:rPr>
        <w:t xml:space="preserve"> financial criteria for CFC and COPES are different. Before the client is enrolled in COPES, financial must approve the enrollment; which </w:t>
      </w:r>
      <w:r>
        <w:rPr>
          <w:rFonts w:cs="Arial"/>
        </w:rPr>
        <w:t>may</w:t>
      </w:r>
      <w:r w:rsidR="00870ED8">
        <w:rPr>
          <w:rFonts w:cs="Arial"/>
        </w:rPr>
        <w:t xml:space="preserve"> require a financial eligibility review.  You must have an approval from a Financial Services Specialist before enrolling any client into COPES.  </w:t>
      </w:r>
      <w:r w:rsidR="001E1455">
        <w:rPr>
          <w:rFonts w:cs="Arial"/>
        </w:rPr>
        <w:t xml:space="preserve">Contact financial through Barcode form </w:t>
      </w:r>
      <w:r w:rsidR="00FF6D61">
        <w:rPr>
          <w:rFonts w:cs="Arial"/>
        </w:rPr>
        <w:t>07-104</w:t>
      </w:r>
      <w:r w:rsidR="001E1455">
        <w:rPr>
          <w:rFonts w:cs="Arial"/>
        </w:rPr>
        <w:t xml:space="preserve"> as soon as you are aware the participant wishes to enroll in COPES.</w:t>
      </w:r>
    </w:p>
    <w:p w14:paraId="77A9B8D4" w14:textId="77777777" w:rsidR="001E1455" w:rsidRDefault="001E1455" w:rsidP="006B3A95">
      <w:pPr>
        <w:rPr>
          <w:rFonts w:cs="Arial"/>
        </w:rPr>
      </w:pPr>
    </w:p>
    <w:p w14:paraId="45249ABF" w14:textId="77777777" w:rsidR="009E2999" w:rsidRDefault="00870ED8" w:rsidP="006B3A95">
      <w:pPr>
        <w:rPr>
          <w:rFonts w:cs="Arial"/>
        </w:rPr>
      </w:pPr>
      <w:r>
        <w:rPr>
          <w:rFonts w:cs="Arial"/>
        </w:rPr>
        <w:t xml:space="preserve">Clients enrolled in COPES are required to continue to receive a service from </w:t>
      </w:r>
      <w:r w:rsidR="009E2999">
        <w:rPr>
          <w:rFonts w:cs="Arial"/>
        </w:rPr>
        <w:t>COPES</w:t>
      </w:r>
      <w:r>
        <w:rPr>
          <w:rFonts w:cs="Arial"/>
        </w:rPr>
        <w:t xml:space="preserve"> </w:t>
      </w:r>
      <w:r w:rsidRPr="00203DB3">
        <w:rPr>
          <w:rFonts w:cs="Arial"/>
          <w:i/>
        </w:rPr>
        <w:t>every month</w:t>
      </w:r>
      <w:r>
        <w:rPr>
          <w:rFonts w:cs="Arial"/>
        </w:rPr>
        <w:t xml:space="preserve"> in order to maintain </w:t>
      </w:r>
      <w:r w:rsidR="006B543A">
        <w:rPr>
          <w:rFonts w:cs="Arial"/>
        </w:rPr>
        <w:t xml:space="preserve">waiver </w:t>
      </w:r>
      <w:r>
        <w:rPr>
          <w:rFonts w:cs="Arial"/>
        </w:rPr>
        <w:t xml:space="preserve">eligibility. </w:t>
      </w:r>
      <w:r w:rsidR="007A7A8A">
        <w:rPr>
          <w:rFonts w:cs="Arial"/>
        </w:rPr>
        <w:t xml:space="preserve">Clients who need a non-monthly service from </w:t>
      </w:r>
      <w:r w:rsidR="009E2999">
        <w:rPr>
          <w:rFonts w:cs="Arial"/>
        </w:rPr>
        <w:t>COPES</w:t>
      </w:r>
      <w:r w:rsidR="007A7A8A">
        <w:rPr>
          <w:rFonts w:cs="Arial"/>
        </w:rPr>
        <w:t xml:space="preserve">, such as medical supplies or equipment, may </w:t>
      </w:r>
      <w:r w:rsidR="004D4612">
        <w:rPr>
          <w:rFonts w:cs="Arial"/>
        </w:rPr>
        <w:t>only remain</w:t>
      </w:r>
      <w:r w:rsidR="007A7A8A">
        <w:rPr>
          <w:rFonts w:cs="Arial"/>
        </w:rPr>
        <w:t xml:space="preserve"> on the waiver if they </w:t>
      </w:r>
      <w:r w:rsidR="004D4612">
        <w:rPr>
          <w:rFonts w:cs="Arial"/>
        </w:rPr>
        <w:t>receive a</w:t>
      </w:r>
      <w:r w:rsidR="007A7A8A">
        <w:rPr>
          <w:rFonts w:cs="Arial"/>
        </w:rPr>
        <w:t xml:space="preserve"> </w:t>
      </w:r>
      <w:r w:rsidR="004D4612">
        <w:rPr>
          <w:rFonts w:cs="Arial"/>
        </w:rPr>
        <w:t xml:space="preserve">monthly COPES waiver </w:t>
      </w:r>
      <w:r w:rsidR="009E2999">
        <w:rPr>
          <w:rFonts w:cs="Arial"/>
        </w:rPr>
        <w:t>service</w:t>
      </w:r>
      <w:r w:rsidR="004D4612">
        <w:rPr>
          <w:rFonts w:cs="Arial"/>
        </w:rPr>
        <w:t>.</w:t>
      </w:r>
    </w:p>
    <w:p w14:paraId="2851636F" w14:textId="77777777" w:rsidR="00B36B86" w:rsidRDefault="00B36B86" w:rsidP="006B3A95">
      <w:pPr>
        <w:rPr>
          <w:rFonts w:cs="Arial"/>
        </w:rPr>
      </w:pPr>
    </w:p>
    <w:p w14:paraId="55606F31" w14:textId="77777777" w:rsidR="00870ED8" w:rsidRDefault="009E2999" w:rsidP="006B3A95">
      <w:pPr>
        <w:rPr>
          <w:rFonts w:cs="Arial"/>
        </w:rPr>
      </w:pPr>
      <w:r>
        <w:rPr>
          <w:rFonts w:cs="Arial"/>
        </w:rPr>
        <w:t xml:space="preserve">Examples of </w:t>
      </w:r>
      <w:r w:rsidR="00870ED8">
        <w:rPr>
          <w:rFonts w:cs="Arial"/>
        </w:rPr>
        <w:t>COPES services</w:t>
      </w:r>
      <w:r>
        <w:rPr>
          <w:rFonts w:cs="Arial"/>
        </w:rPr>
        <w:t xml:space="preserve"> that may occur monthly</w:t>
      </w:r>
      <w:r w:rsidR="00870ED8">
        <w:rPr>
          <w:rFonts w:cs="Arial"/>
        </w:rPr>
        <w:t xml:space="preserve"> include:</w:t>
      </w:r>
    </w:p>
    <w:p w14:paraId="6F968AC8" w14:textId="77777777" w:rsidR="00870ED8" w:rsidRDefault="00870ED8" w:rsidP="009862C2">
      <w:pPr>
        <w:numPr>
          <w:ilvl w:val="0"/>
          <w:numId w:val="28"/>
        </w:numPr>
        <w:ind w:left="1080"/>
        <w:rPr>
          <w:rFonts w:cs="Arial"/>
        </w:rPr>
      </w:pPr>
      <w:r>
        <w:rPr>
          <w:rFonts w:cs="Arial"/>
        </w:rPr>
        <w:t>Wellness Education</w:t>
      </w:r>
    </w:p>
    <w:p w14:paraId="7D570EA4" w14:textId="77777777" w:rsidR="00870ED8" w:rsidRDefault="00870ED8" w:rsidP="009862C2">
      <w:pPr>
        <w:numPr>
          <w:ilvl w:val="0"/>
          <w:numId w:val="28"/>
        </w:numPr>
        <w:ind w:left="1080"/>
        <w:rPr>
          <w:rFonts w:cs="Arial"/>
        </w:rPr>
      </w:pPr>
      <w:r>
        <w:rPr>
          <w:rFonts w:cs="Arial"/>
        </w:rPr>
        <w:t>Home Delivered Meals</w:t>
      </w:r>
    </w:p>
    <w:p w14:paraId="0FD9B0AD" w14:textId="77777777" w:rsidR="00870ED8" w:rsidRDefault="00870ED8" w:rsidP="009862C2">
      <w:pPr>
        <w:numPr>
          <w:ilvl w:val="0"/>
          <w:numId w:val="28"/>
        </w:numPr>
        <w:ind w:left="1080"/>
        <w:rPr>
          <w:rFonts w:cs="Arial"/>
        </w:rPr>
      </w:pPr>
      <w:r>
        <w:rPr>
          <w:rFonts w:cs="Arial"/>
        </w:rPr>
        <w:t xml:space="preserve">Adult Day </w:t>
      </w:r>
      <w:r w:rsidR="006B543A">
        <w:rPr>
          <w:rFonts w:cs="Arial"/>
        </w:rPr>
        <w:t xml:space="preserve">Services </w:t>
      </w:r>
      <w:r>
        <w:rPr>
          <w:rFonts w:cs="Arial"/>
        </w:rPr>
        <w:t>Programs</w:t>
      </w:r>
    </w:p>
    <w:p w14:paraId="2D5BA382" w14:textId="77777777" w:rsidR="00870ED8" w:rsidRDefault="00870ED8" w:rsidP="009862C2">
      <w:pPr>
        <w:numPr>
          <w:ilvl w:val="0"/>
          <w:numId w:val="28"/>
        </w:numPr>
        <w:ind w:left="1080"/>
        <w:rPr>
          <w:rFonts w:cs="Arial"/>
        </w:rPr>
      </w:pPr>
      <w:r>
        <w:rPr>
          <w:rFonts w:cs="Arial"/>
        </w:rPr>
        <w:t>Home Health Aide</w:t>
      </w:r>
    </w:p>
    <w:p w14:paraId="2F9C70B8" w14:textId="77777777" w:rsidR="009E2999" w:rsidRDefault="009E2999" w:rsidP="009862C2">
      <w:pPr>
        <w:numPr>
          <w:ilvl w:val="0"/>
          <w:numId w:val="28"/>
        </w:numPr>
        <w:ind w:left="1080"/>
        <w:rPr>
          <w:rFonts w:cs="Arial"/>
        </w:rPr>
      </w:pPr>
      <w:r>
        <w:rPr>
          <w:rFonts w:cs="Arial"/>
        </w:rPr>
        <w:t>Skilled Nursing services</w:t>
      </w:r>
    </w:p>
    <w:p w14:paraId="1F9D090E" w14:textId="77777777" w:rsidR="007A7A8A" w:rsidRDefault="007A7A8A" w:rsidP="007A7A8A">
      <w:pPr>
        <w:rPr>
          <w:rFonts w:cs="Arial"/>
        </w:rPr>
      </w:pPr>
    </w:p>
    <w:p w14:paraId="66711921" w14:textId="77777777" w:rsidR="007A7A8A" w:rsidRDefault="007A7A8A" w:rsidP="007A7A8A">
      <w:pPr>
        <w:rPr>
          <w:rFonts w:cs="Arial"/>
          <w:b/>
          <w:i/>
        </w:rPr>
      </w:pPr>
      <w:bookmarkStart w:id="30" w:name="Where_can_individuals_receive_CFC"/>
      <w:r>
        <w:rPr>
          <w:rFonts w:cs="Arial"/>
          <w:b/>
          <w:i/>
        </w:rPr>
        <w:t xml:space="preserve">Where can individuals receive </w:t>
      </w:r>
      <w:r w:rsidR="00453CB2">
        <w:rPr>
          <w:rFonts w:cs="Arial"/>
          <w:b/>
          <w:i/>
        </w:rPr>
        <w:t xml:space="preserve">CFC </w:t>
      </w:r>
      <w:r>
        <w:rPr>
          <w:rFonts w:cs="Arial"/>
          <w:b/>
          <w:i/>
        </w:rPr>
        <w:t>services?</w:t>
      </w:r>
    </w:p>
    <w:bookmarkEnd w:id="30"/>
    <w:p w14:paraId="1BDDE5ED" w14:textId="77777777" w:rsidR="00A912D1" w:rsidRDefault="00A912D1" w:rsidP="007A7A8A">
      <w:pPr>
        <w:rPr>
          <w:rFonts w:cs="Arial"/>
          <w:b/>
          <w:i/>
        </w:rPr>
      </w:pPr>
    </w:p>
    <w:p w14:paraId="2ACA6DE5" w14:textId="77777777" w:rsidR="007A7A8A" w:rsidRDefault="007A7A8A" w:rsidP="007A7A8A">
      <w:pPr>
        <w:rPr>
          <w:rFonts w:cs="Arial"/>
        </w:rPr>
      </w:pPr>
      <w:r>
        <w:rPr>
          <w:rFonts w:cs="Arial"/>
        </w:rPr>
        <w:t>Clients enrolled in CFC may choose to receive services in one of the following Home and Community Based Settings:</w:t>
      </w:r>
    </w:p>
    <w:p w14:paraId="32E6B7E5" w14:textId="77777777" w:rsidR="007A7A8A" w:rsidRDefault="007A7A8A" w:rsidP="009862C2">
      <w:pPr>
        <w:numPr>
          <w:ilvl w:val="0"/>
          <w:numId w:val="29"/>
        </w:numPr>
        <w:ind w:left="1080"/>
        <w:rPr>
          <w:rFonts w:cs="Arial"/>
        </w:rPr>
      </w:pPr>
      <w:r>
        <w:rPr>
          <w:rFonts w:cs="Arial"/>
        </w:rPr>
        <w:t xml:space="preserve">The home where the </w:t>
      </w:r>
      <w:r w:rsidR="008F2EEA">
        <w:rPr>
          <w:rFonts w:cs="Arial"/>
        </w:rPr>
        <w:t xml:space="preserve">client </w:t>
      </w:r>
      <w:r>
        <w:rPr>
          <w:rFonts w:cs="Arial"/>
        </w:rPr>
        <w:t xml:space="preserve">resides </w:t>
      </w:r>
    </w:p>
    <w:p w14:paraId="58298D87" w14:textId="77777777" w:rsidR="007A7A8A" w:rsidRDefault="007A7A8A" w:rsidP="009862C2">
      <w:pPr>
        <w:numPr>
          <w:ilvl w:val="0"/>
          <w:numId w:val="29"/>
        </w:numPr>
        <w:ind w:left="1080"/>
        <w:rPr>
          <w:rFonts w:cs="Arial"/>
        </w:rPr>
      </w:pPr>
      <w:r>
        <w:rPr>
          <w:rFonts w:cs="Arial"/>
        </w:rPr>
        <w:t>Adult Family Home (AFH)</w:t>
      </w:r>
    </w:p>
    <w:p w14:paraId="4D275CDE" w14:textId="77777777" w:rsidR="007A7A8A" w:rsidRDefault="007A7A8A" w:rsidP="009862C2">
      <w:pPr>
        <w:numPr>
          <w:ilvl w:val="0"/>
          <w:numId w:val="29"/>
        </w:numPr>
        <w:ind w:left="1080"/>
        <w:rPr>
          <w:rFonts w:cs="Arial"/>
        </w:rPr>
      </w:pPr>
      <w:r>
        <w:rPr>
          <w:rFonts w:cs="Arial"/>
        </w:rPr>
        <w:t>Assisted Living Facility (ALF)</w:t>
      </w:r>
    </w:p>
    <w:p w14:paraId="7A228EE8" w14:textId="77777777" w:rsidR="007A7A8A" w:rsidRDefault="007A7A8A" w:rsidP="009862C2">
      <w:pPr>
        <w:numPr>
          <w:ilvl w:val="0"/>
          <w:numId w:val="29"/>
        </w:numPr>
        <w:ind w:left="1080"/>
        <w:rPr>
          <w:rFonts w:cs="Arial"/>
        </w:rPr>
      </w:pPr>
      <w:r>
        <w:rPr>
          <w:rFonts w:cs="Arial"/>
        </w:rPr>
        <w:t>Adult Residential Care Facility (ARC)</w:t>
      </w:r>
    </w:p>
    <w:p w14:paraId="1AD14774" w14:textId="77777777" w:rsidR="00A912D1" w:rsidRDefault="007A7A8A" w:rsidP="00A912D1">
      <w:pPr>
        <w:numPr>
          <w:ilvl w:val="0"/>
          <w:numId w:val="29"/>
        </w:numPr>
        <w:ind w:left="1080"/>
        <w:rPr>
          <w:rFonts w:cs="Arial"/>
        </w:rPr>
      </w:pPr>
      <w:r>
        <w:rPr>
          <w:rFonts w:cs="Arial"/>
        </w:rPr>
        <w:t>Enhanced Adult Residential Care Facility (EARC)</w:t>
      </w:r>
    </w:p>
    <w:p w14:paraId="69AEF9A4" w14:textId="77777777" w:rsidR="00A912D1" w:rsidRPr="00020B95" w:rsidRDefault="00A912D1" w:rsidP="00A912D1">
      <w:pPr>
        <w:numPr>
          <w:ilvl w:val="0"/>
          <w:numId w:val="29"/>
        </w:numPr>
        <w:ind w:left="1080"/>
        <w:rPr>
          <w:rFonts w:cs="Arial"/>
        </w:rPr>
      </w:pPr>
      <w:r w:rsidRPr="00020B95">
        <w:rPr>
          <w:rFonts w:cs="Arial"/>
        </w:rPr>
        <w:t xml:space="preserve">In community settings, personal care </w:t>
      </w:r>
      <w:r w:rsidR="00D514C3" w:rsidRPr="00020B95">
        <w:rPr>
          <w:rFonts w:cs="Arial"/>
        </w:rPr>
        <w:t xml:space="preserve">tasks specified on the service plan </w:t>
      </w:r>
      <w:r w:rsidRPr="00020B95">
        <w:rPr>
          <w:rFonts w:cs="Arial"/>
        </w:rPr>
        <w:t>may be provided</w:t>
      </w:r>
      <w:r w:rsidR="00D514C3" w:rsidRPr="00020B95">
        <w:rPr>
          <w:rFonts w:cs="Arial"/>
        </w:rPr>
        <w:t xml:space="preserve"> outside the client’s home</w:t>
      </w:r>
      <w:r w:rsidRPr="00020B95">
        <w:rPr>
          <w:rFonts w:cs="Arial"/>
        </w:rPr>
        <w:t>:</w:t>
      </w:r>
    </w:p>
    <w:p w14:paraId="77B7B668" w14:textId="77777777" w:rsidR="00A912D1" w:rsidRPr="00020B95" w:rsidRDefault="00A912D1" w:rsidP="00A912D1">
      <w:pPr>
        <w:numPr>
          <w:ilvl w:val="1"/>
          <w:numId w:val="29"/>
        </w:numPr>
        <w:rPr>
          <w:rFonts w:cs="Arial"/>
        </w:rPr>
      </w:pPr>
      <w:r w:rsidRPr="00020B95">
        <w:rPr>
          <w:rFonts w:cs="Arial"/>
          <w:color w:val="000000"/>
        </w:rPr>
        <w:t>T</w:t>
      </w:r>
      <w:r w:rsidR="00E656AF" w:rsidRPr="00020B95">
        <w:rPr>
          <w:rFonts w:cs="Arial"/>
          <w:color w:val="000000"/>
        </w:rPr>
        <w:t xml:space="preserve">o support clients in community activities or to access other services in the community. </w:t>
      </w:r>
    </w:p>
    <w:p w14:paraId="5DDDB27C" w14:textId="77777777" w:rsidR="00E656AF" w:rsidRPr="00020B95" w:rsidRDefault="00A912D1" w:rsidP="00A912D1">
      <w:pPr>
        <w:numPr>
          <w:ilvl w:val="1"/>
          <w:numId w:val="29"/>
        </w:numPr>
        <w:rPr>
          <w:rFonts w:cs="Arial"/>
        </w:rPr>
      </w:pPr>
      <w:r w:rsidRPr="00020B95">
        <w:rPr>
          <w:rFonts w:cs="Arial"/>
          <w:color w:val="000000"/>
        </w:rPr>
        <w:t>To</w:t>
      </w:r>
      <w:r w:rsidR="00E656AF" w:rsidRPr="00020B95">
        <w:rPr>
          <w:rFonts w:cs="Arial"/>
          <w:color w:val="000000"/>
        </w:rPr>
        <w:t xml:space="preserve"> assist a person to function in the work place or as an adjunct to the provision of employment services.</w:t>
      </w:r>
    </w:p>
    <w:p w14:paraId="1D151EE2" w14:textId="77777777" w:rsidR="00E656AF" w:rsidRDefault="00E656AF" w:rsidP="006B3A95">
      <w:pPr>
        <w:rPr>
          <w:rFonts w:cs="Arial"/>
          <w:b/>
          <w:i/>
        </w:rPr>
      </w:pPr>
    </w:p>
    <w:p w14:paraId="4E4E83CA" w14:textId="77777777" w:rsidR="00453CB2" w:rsidRDefault="00453CB2" w:rsidP="00453CB2">
      <w:pPr>
        <w:pStyle w:val="Heading2"/>
        <w:ind w:firstLine="0"/>
      </w:pPr>
      <w:bookmarkStart w:id="31" w:name="Use_of_Acknowledgement_of_Services_Form"/>
      <w:r>
        <w:t xml:space="preserve">Use of the </w:t>
      </w:r>
      <w:r w:rsidRPr="00F67F82">
        <w:t>Acknowledgement of Services F</w:t>
      </w:r>
      <w:r>
        <w:t xml:space="preserve">orm </w:t>
      </w:r>
    </w:p>
    <w:bookmarkEnd w:id="31"/>
    <w:p w14:paraId="3522C55C" w14:textId="77777777" w:rsidR="00A912D1" w:rsidRPr="00A912D1" w:rsidRDefault="00A912D1" w:rsidP="00A912D1"/>
    <w:p w14:paraId="11FA2042" w14:textId="7B44BB22" w:rsidR="00453CB2" w:rsidRDefault="00214568" w:rsidP="00453CB2">
      <w:pPr>
        <w:rPr>
          <w:rFonts w:cs="Arial"/>
        </w:rPr>
      </w:pPr>
      <w:r>
        <w:rPr>
          <w:rFonts w:cs="Arial"/>
        </w:rPr>
        <w:t>By federal rules, c</w:t>
      </w:r>
      <w:r w:rsidR="00453CB2" w:rsidRPr="00F67F82">
        <w:rPr>
          <w:rFonts w:cs="Arial"/>
        </w:rPr>
        <w:t>lients who are functionally and financially eligible for</w:t>
      </w:r>
      <w:r w:rsidR="00453CB2">
        <w:rPr>
          <w:rFonts w:cs="Arial"/>
        </w:rPr>
        <w:t xml:space="preserve"> </w:t>
      </w:r>
      <w:r w:rsidR="005E1792">
        <w:rPr>
          <w:rFonts w:cs="Arial"/>
        </w:rPr>
        <w:t xml:space="preserve">CFC or </w:t>
      </w:r>
      <w:r w:rsidR="00453CB2">
        <w:rPr>
          <w:rFonts w:cs="Arial"/>
        </w:rPr>
        <w:t xml:space="preserve">both CFC and for </w:t>
      </w:r>
      <w:r w:rsidR="00453CB2" w:rsidRPr="00F67F82">
        <w:rPr>
          <w:rFonts w:cs="Arial"/>
        </w:rPr>
        <w:t>waiver programs can cho</w:t>
      </w:r>
      <w:r w:rsidR="00453CB2">
        <w:rPr>
          <w:rFonts w:cs="Arial"/>
        </w:rPr>
        <w:t>o</w:t>
      </w:r>
      <w:r w:rsidR="00453CB2" w:rsidRPr="00F67F82">
        <w:rPr>
          <w:rFonts w:cs="Arial"/>
        </w:rPr>
        <w:t xml:space="preserve">se </w:t>
      </w:r>
      <w:r w:rsidR="00453CB2">
        <w:rPr>
          <w:rFonts w:cs="Arial"/>
        </w:rPr>
        <w:t>to receive their care in an institution or in the community</w:t>
      </w:r>
      <w:r w:rsidR="00453CB2" w:rsidRPr="00F67F82">
        <w:rPr>
          <w:rFonts w:cs="Arial"/>
        </w:rPr>
        <w:t>.  The Acknowledgment of Services form (</w:t>
      </w:r>
      <w:hyperlink r:id="rId45" w:history="1">
        <w:r w:rsidR="00453CB2" w:rsidRPr="00F67F82">
          <w:rPr>
            <w:rStyle w:val="Hyperlink"/>
            <w:rFonts w:cs="Arial"/>
          </w:rPr>
          <w:t>DSHS 14-225</w:t>
        </w:r>
      </w:hyperlink>
      <w:r w:rsidR="00453CB2" w:rsidRPr="00F67F82">
        <w:rPr>
          <w:rFonts w:cs="Arial"/>
        </w:rPr>
        <w:t>)</w:t>
      </w:r>
      <w:r w:rsidR="00453CB2" w:rsidRPr="00F67F82">
        <w:rPr>
          <w:rFonts w:cs="Arial"/>
          <w:b/>
          <w:bCs/>
          <w:color w:val="FF0000"/>
        </w:rPr>
        <w:t xml:space="preserve"> </w:t>
      </w:r>
      <w:r w:rsidR="00453CB2" w:rsidRPr="00F67F82">
        <w:rPr>
          <w:rFonts w:cs="Arial"/>
        </w:rPr>
        <w:t>is the documentation that the program choices have been explained to the client and the client has acknowledged the</w:t>
      </w:r>
      <w:r w:rsidR="00453CB2">
        <w:rPr>
          <w:rFonts w:cs="Arial"/>
        </w:rPr>
        <w:t>ir</w:t>
      </w:r>
      <w:r w:rsidR="00453CB2" w:rsidRPr="00F67F82">
        <w:rPr>
          <w:rFonts w:cs="Arial"/>
        </w:rPr>
        <w:t xml:space="preserve"> choice of </w:t>
      </w:r>
      <w:r w:rsidR="00FD2B8F">
        <w:rPr>
          <w:rFonts w:cs="Arial"/>
        </w:rPr>
        <w:t>CFC state plan services</w:t>
      </w:r>
      <w:r w:rsidR="00467971">
        <w:rPr>
          <w:rFonts w:cs="Arial"/>
        </w:rPr>
        <w:t xml:space="preserve"> and/or</w:t>
      </w:r>
      <w:r w:rsidR="00FD2B8F">
        <w:rPr>
          <w:rFonts w:cs="Arial"/>
        </w:rPr>
        <w:t xml:space="preserve"> </w:t>
      </w:r>
      <w:r w:rsidR="00453CB2" w:rsidRPr="00F67F82">
        <w:rPr>
          <w:rFonts w:cs="Arial"/>
        </w:rPr>
        <w:t>waiver services o</w:t>
      </w:r>
      <w:r w:rsidR="00467971">
        <w:rPr>
          <w:rFonts w:cs="Arial"/>
        </w:rPr>
        <w:t>ve</w:t>
      </w:r>
      <w:r w:rsidR="00453CB2" w:rsidRPr="00F67F82">
        <w:rPr>
          <w:rFonts w:cs="Arial"/>
        </w:rPr>
        <w:t xml:space="preserve">r nursing home </w:t>
      </w:r>
      <w:r w:rsidR="00467971">
        <w:rPr>
          <w:rFonts w:cs="Arial"/>
        </w:rPr>
        <w:t xml:space="preserve">or institutional </w:t>
      </w:r>
      <w:r w:rsidR="00453CB2" w:rsidRPr="00F67F82">
        <w:rPr>
          <w:rFonts w:cs="Arial"/>
        </w:rPr>
        <w:t>care.</w:t>
      </w:r>
      <w:r w:rsidR="000A7178">
        <w:rPr>
          <w:rFonts w:cs="Arial"/>
        </w:rPr>
        <w:t xml:space="preserve">  For DDA</w:t>
      </w:r>
      <w:r w:rsidR="00074173">
        <w:rPr>
          <w:rFonts w:cs="Arial"/>
        </w:rPr>
        <w:t>,</w:t>
      </w:r>
      <w:r w:rsidR="000A7178">
        <w:rPr>
          <w:rFonts w:cs="Arial"/>
        </w:rPr>
        <w:t xml:space="preserve"> the Voluntary Participation form</w:t>
      </w:r>
      <w:r w:rsidR="00074173">
        <w:rPr>
          <w:rFonts w:cs="Arial"/>
        </w:rPr>
        <w:t xml:space="preserve"> is</w:t>
      </w:r>
      <w:r w:rsidR="000A7178">
        <w:rPr>
          <w:rFonts w:cs="Arial"/>
        </w:rPr>
        <w:t xml:space="preserve"> </w:t>
      </w:r>
      <w:hyperlink r:id="rId46" w:history="1">
        <w:r w:rsidR="000A7178" w:rsidRPr="006D3F51">
          <w:rPr>
            <w:rStyle w:val="Hyperlink"/>
            <w:rFonts w:cs="Arial"/>
          </w:rPr>
          <w:t>DSHS 10-424</w:t>
        </w:r>
      </w:hyperlink>
      <w:r w:rsidR="000A7178">
        <w:rPr>
          <w:rFonts w:cs="Arial"/>
        </w:rPr>
        <w:t>.</w:t>
      </w:r>
    </w:p>
    <w:p w14:paraId="43B4428B" w14:textId="77777777" w:rsidR="00453CB2" w:rsidRPr="00F67F82" w:rsidRDefault="00453CB2" w:rsidP="00453CB2">
      <w:pPr>
        <w:ind w:left="360"/>
        <w:rPr>
          <w:rFonts w:cs="Arial"/>
        </w:rPr>
      </w:pPr>
      <w:r w:rsidRPr="00F67F82">
        <w:rPr>
          <w:rFonts w:cs="Arial"/>
        </w:rPr>
        <w:t xml:space="preserve"> </w:t>
      </w:r>
    </w:p>
    <w:p w14:paraId="75699BAB" w14:textId="5F058027" w:rsidR="00453CB2" w:rsidRPr="00F67F82" w:rsidRDefault="00453CB2" w:rsidP="009862C2">
      <w:pPr>
        <w:numPr>
          <w:ilvl w:val="0"/>
          <w:numId w:val="30"/>
        </w:numPr>
        <w:rPr>
          <w:rFonts w:cs="Arial"/>
          <w:bCs/>
        </w:rPr>
      </w:pPr>
      <w:r w:rsidRPr="00F67F82">
        <w:rPr>
          <w:rFonts w:cs="Arial"/>
          <w:bCs/>
        </w:rPr>
        <w:t xml:space="preserve">This form is </w:t>
      </w:r>
      <w:r w:rsidR="00D514C3">
        <w:rPr>
          <w:rFonts w:cs="Arial"/>
          <w:bCs/>
        </w:rPr>
        <w:t xml:space="preserve">mandatory as it </w:t>
      </w:r>
      <w:r w:rsidR="000705C2">
        <w:rPr>
          <w:rFonts w:cs="Arial"/>
          <w:bCs/>
        </w:rPr>
        <w:t xml:space="preserve">provides documentation </w:t>
      </w:r>
      <w:r w:rsidR="00214568">
        <w:rPr>
          <w:rFonts w:cs="Arial"/>
          <w:bCs/>
        </w:rPr>
        <w:t>that th</w:t>
      </w:r>
      <w:r w:rsidR="000705C2">
        <w:rPr>
          <w:rFonts w:cs="Arial"/>
          <w:bCs/>
        </w:rPr>
        <w:t>e</w:t>
      </w:r>
      <w:r w:rsidRPr="00F67F82">
        <w:rPr>
          <w:rFonts w:cs="Arial"/>
          <w:bCs/>
        </w:rPr>
        <w:t xml:space="preserve"> federal requirement</w:t>
      </w:r>
      <w:r w:rsidR="00214568">
        <w:rPr>
          <w:rFonts w:cs="Arial"/>
          <w:bCs/>
        </w:rPr>
        <w:t xml:space="preserve"> has been met</w:t>
      </w:r>
      <w:r w:rsidRPr="00F67F82">
        <w:rPr>
          <w:rFonts w:cs="Arial"/>
        </w:rPr>
        <w:t xml:space="preserve">. </w:t>
      </w:r>
    </w:p>
    <w:p w14:paraId="6F85F2C4" w14:textId="77777777" w:rsidR="00453CB2" w:rsidRPr="00F67F82" w:rsidRDefault="00453CB2" w:rsidP="009862C2">
      <w:pPr>
        <w:numPr>
          <w:ilvl w:val="1"/>
          <w:numId w:val="30"/>
        </w:numPr>
        <w:tabs>
          <w:tab w:val="clear" w:pos="1440"/>
          <w:tab w:val="num" w:pos="1800"/>
        </w:tabs>
        <w:ind w:left="1800"/>
        <w:rPr>
          <w:rFonts w:cs="Arial"/>
          <w:bCs/>
        </w:rPr>
      </w:pPr>
      <w:r>
        <w:rPr>
          <w:rFonts w:cs="Arial"/>
          <w:bCs/>
        </w:rPr>
        <w:lastRenderedPageBreak/>
        <w:t>CFC</w:t>
      </w:r>
      <w:r w:rsidR="00FD2B8F">
        <w:rPr>
          <w:rFonts w:cs="Arial"/>
          <w:bCs/>
        </w:rPr>
        <w:t xml:space="preserve"> services</w:t>
      </w:r>
      <w:r>
        <w:rPr>
          <w:rFonts w:cs="Arial"/>
          <w:bCs/>
        </w:rPr>
        <w:t xml:space="preserve"> and w</w:t>
      </w:r>
      <w:r w:rsidRPr="00F67F82">
        <w:rPr>
          <w:rFonts w:cs="Arial"/>
          <w:bCs/>
        </w:rPr>
        <w:t xml:space="preserve">aiver services cannot be authorized without the client’s signature on this form. </w:t>
      </w:r>
    </w:p>
    <w:p w14:paraId="00BF4EF4" w14:textId="6EA39570" w:rsidR="00453CB2" w:rsidRPr="00F67F82" w:rsidRDefault="000705C2" w:rsidP="009862C2">
      <w:pPr>
        <w:numPr>
          <w:ilvl w:val="1"/>
          <w:numId w:val="30"/>
        </w:numPr>
        <w:tabs>
          <w:tab w:val="clear" w:pos="1440"/>
          <w:tab w:val="num" w:pos="1800"/>
        </w:tabs>
        <w:ind w:left="1800"/>
        <w:rPr>
          <w:rFonts w:cs="Arial"/>
          <w:bCs/>
        </w:rPr>
      </w:pPr>
      <w:r>
        <w:rPr>
          <w:rFonts w:cs="Arial"/>
        </w:rPr>
        <w:t xml:space="preserve">Check the box next to the appropriate program </w:t>
      </w:r>
      <w:r w:rsidR="00A34A4C">
        <w:rPr>
          <w:rFonts w:cs="Arial"/>
        </w:rPr>
        <w:t xml:space="preserve">to </w:t>
      </w:r>
      <w:r w:rsidR="00A34A4C" w:rsidRPr="00F67F82">
        <w:rPr>
          <w:rFonts w:cs="Arial"/>
        </w:rPr>
        <w:t>indicate</w:t>
      </w:r>
      <w:r w:rsidR="00453CB2" w:rsidRPr="00F67F82">
        <w:rPr>
          <w:rFonts w:cs="Arial"/>
        </w:rPr>
        <w:t xml:space="preserve"> the client’s choice</w:t>
      </w:r>
      <w:r w:rsidR="00453CB2">
        <w:rPr>
          <w:rFonts w:cs="Arial"/>
        </w:rPr>
        <w:t xml:space="preserve"> of Home &amp; Community-</w:t>
      </w:r>
      <w:r w:rsidR="00453CB2" w:rsidRPr="00F67F82">
        <w:rPr>
          <w:rFonts w:cs="Arial"/>
        </w:rPr>
        <w:t>based services (</w:t>
      </w:r>
      <w:r w:rsidR="00453CB2">
        <w:rPr>
          <w:rFonts w:cs="Arial"/>
        </w:rPr>
        <w:t>CFC,</w:t>
      </w:r>
      <w:r w:rsidR="00CB6F9B">
        <w:rPr>
          <w:rFonts w:cs="Arial"/>
        </w:rPr>
        <w:t xml:space="preserve"> </w:t>
      </w:r>
      <w:r w:rsidR="00453CB2">
        <w:rPr>
          <w:rFonts w:cs="Arial"/>
        </w:rPr>
        <w:t>COPES,</w:t>
      </w:r>
      <w:r w:rsidR="00453CB2" w:rsidRPr="00F67F82">
        <w:rPr>
          <w:rFonts w:cs="Arial"/>
        </w:rPr>
        <w:t xml:space="preserve"> New Freedom</w:t>
      </w:r>
      <w:r w:rsidR="00453CB2" w:rsidRPr="00C62775">
        <w:rPr>
          <w:rFonts w:cs="Arial"/>
        </w:rPr>
        <w:t>, or</w:t>
      </w:r>
      <w:r w:rsidR="00453CB2">
        <w:rPr>
          <w:rFonts w:cs="Arial"/>
        </w:rPr>
        <w:t xml:space="preserve"> Residential Support Waiver).</w:t>
      </w:r>
    </w:p>
    <w:p w14:paraId="0E508EFF" w14:textId="77777777" w:rsidR="00453CB2" w:rsidRPr="00F67F82" w:rsidRDefault="00453CB2" w:rsidP="009862C2">
      <w:pPr>
        <w:numPr>
          <w:ilvl w:val="0"/>
          <w:numId w:val="30"/>
        </w:numPr>
        <w:rPr>
          <w:rFonts w:cs="Arial"/>
          <w:b/>
          <w:bCs/>
        </w:rPr>
      </w:pPr>
      <w:r w:rsidRPr="00F67F82">
        <w:rPr>
          <w:rFonts w:cs="Arial"/>
        </w:rPr>
        <w:t xml:space="preserve">If the </w:t>
      </w:r>
      <w:r w:rsidR="005E1792">
        <w:rPr>
          <w:rFonts w:cs="Arial"/>
        </w:rPr>
        <w:t xml:space="preserve">CFC and/or </w:t>
      </w:r>
      <w:r w:rsidRPr="00F67F82">
        <w:rPr>
          <w:rFonts w:cs="Arial"/>
        </w:rPr>
        <w:t xml:space="preserve">waiver client enters the nursing facility, services are terminated on that date. </w:t>
      </w:r>
    </w:p>
    <w:p w14:paraId="438A7253" w14:textId="77777777" w:rsidR="00453CB2" w:rsidRPr="00F67F82" w:rsidRDefault="00453CB2" w:rsidP="009862C2">
      <w:pPr>
        <w:numPr>
          <w:ilvl w:val="1"/>
          <w:numId w:val="30"/>
        </w:numPr>
        <w:tabs>
          <w:tab w:val="clear" w:pos="1440"/>
          <w:tab w:val="num" w:pos="1800"/>
        </w:tabs>
        <w:ind w:left="1800"/>
        <w:rPr>
          <w:rFonts w:cs="Arial"/>
          <w:b/>
          <w:bCs/>
        </w:rPr>
      </w:pPr>
      <w:r w:rsidRPr="00F67F82">
        <w:rPr>
          <w:rFonts w:cs="Arial"/>
        </w:rPr>
        <w:t xml:space="preserve">A new Acknowledgment of Services form is required if the client wants to return to the community on </w:t>
      </w:r>
      <w:r w:rsidR="005E1792">
        <w:rPr>
          <w:rFonts w:cs="Arial"/>
        </w:rPr>
        <w:t xml:space="preserve">CFC and/or on </w:t>
      </w:r>
      <w:r w:rsidRPr="00F67F82">
        <w:rPr>
          <w:rFonts w:cs="Arial"/>
        </w:rPr>
        <w:t xml:space="preserve">waiver services.  The </w:t>
      </w:r>
      <w:r w:rsidR="00FD2B8F" w:rsidRPr="00FD2B8F">
        <w:rPr>
          <w:rFonts w:cs="Arial"/>
        </w:rPr>
        <w:t>14-225</w:t>
      </w:r>
      <w:r w:rsidRPr="00F67F82">
        <w:rPr>
          <w:rFonts w:cs="Arial"/>
        </w:rPr>
        <w:t xml:space="preserve"> is documentation of the client’s choice to receive services outside of the nursing home. </w:t>
      </w:r>
    </w:p>
    <w:p w14:paraId="3150C201" w14:textId="77777777" w:rsidR="00453CB2" w:rsidRPr="00F67F82" w:rsidRDefault="00453CB2" w:rsidP="009862C2">
      <w:pPr>
        <w:numPr>
          <w:ilvl w:val="1"/>
          <w:numId w:val="30"/>
        </w:numPr>
        <w:tabs>
          <w:tab w:val="clear" w:pos="1440"/>
          <w:tab w:val="num" w:pos="1800"/>
        </w:tabs>
        <w:ind w:left="1800"/>
        <w:rPr>
          <w:rFonts w:cs="Arial"/>
          <w:b/>
          <w:bCs/>
        </w:rPr>
      </w:pPr>
      <w:r w:rsidRPr="00F67F82">
        <w:rPr>
          <w:rFonts w:cs="Arial"/>
          <w:color w:val="000000"/>
        </w:rPr>
        <w:t>A new 14-225 is not required if the stay is short</w:t>
      </w:r>
      <w:r>
        <w:rPr>
          <w:rFonts w:cs="Arial"/>
          <w:color w:val="000000"/>
        </w:rPr>
        <w:t>-</w:t>
      </w:r>
      <w:r w:rsidRPr="00F67F82">
        <w:rPr>
          <w:rFonts w:cs="Arial"/>
          <w:color w:val="000000"/>
        </w:rPr>
        <w:t>term</w:t>
      </w:r>
      <w:r>
        <w:rPr>
          <w:rFonts w:cs="Arial"/>
          <w:color w:val="000000"/>
        </w:rPr>
        <w:t xml:space="preserve"> (e.g.</w:t>
      </w:r>
      <w:r w:rsidRPr="00F67F82">
        <w:rPr>
          <w:rFonts w:cs="Arial"/>
          <w:color w:val="000000"/>
        </w:rPr>
        <w:t xml:space="preserve"> </w:t>
      </w:r>
      <w:r>
        <w:rPr>
          <w:rFonts w:cs="Arial"/>
          <w:color w:val="000000"/>
        </w:rPr>
        <w:t>30 days or less, r</w:t>
      </w:r>
      <w:r w:rsidRPr="00F67F82">
        <w:rPr>
          <w:rFonts w:cs="Arial"/>
          <w:color w:val="000000"/>
        </w:rPr>
        <w:t>ecipient is attending rehabilitation and will be returning to place of residence.)</w:t>
      </w:r>
      <w:r w:rsidRPr="00F67F82">
        <w:rPr>
          <w:rFonts w:cs="Arial"/>
          <w:color w:val="FF0000"/>
        </w:rPr>
        <w:t xml:space="preserve">  </w:t>
      </w:r>
    </w:p>
    <w:p w14:paraId="022F70C4" w14:textId="77777777" w:rsidR="00F65D45" w:rsidRPr="000F6C1D" w:rsidRDefault="00453CB2" w:rsidP="009862C2">
      <w:pPr>
        <w:numPr>
          <w:ilvl w:val="0"/>
          <w:numId w:val="30"/>
        </w:numPr>
        <w:rPr>
          <w:rFonts w:cs="Arial"/>
          <w:b/>
          <w:bCs/>
        </w:rPr>
      </w:pPr>
      <w:r w:rsidRPr="00F67F82">
        <w:rPr>
          <w:rFonts w:cs="Arial"/>
        </w:rPr>
        <w:t>Two copies are required - one copy is given to the client and a signed copy is placed in the client file</w:t>
      </w:r>
      <w:r>
        <w:rPr>
          <w:rFonts w:cs="Arial"/>
        </w:rPr>
        <w:t xml:space="preserve"> by sending </w:t>
      </w:r>
      <w:r w:rsidR="00FD2B8F">
        <w:rPr>
          <w:rFonts w:cs="Arial"/>
        </w:rPr>
        <w:t xml:space="preserve">it </w:t>
      </w:r>
      <w:r>
        <w:rPr>
          <w:rFonts w:cs="Arial"/>
        </w:rPr>
        <w:t>to DMS</w:t>
      </w:r>
      <w:r w:rsidRPr="00F67F82">
        <w:rPr>
          <w:rFonts w:cs="Arial"/>
        </w:rPr>
        <w:t xml:space="preserve">. </w:t>
      </w:r>
    </w:p>
    <w:p w14:paraId="7105BEDB" w14:textId="77777777" w:rsidR="000F6C1D" w:rsidRDefault="000F6C1D" w:rsidP="000F6C1D">
      <w:pPr>
        <w:rPr>
          <w:rFonts w:cs="Arial"/>
        </w:rPr>
      </w:pPr>
    </w:p>
    <w:p w14:paraId="0477C57C" w14:textId="77777777" w:rsidR="000F6C1D" w:rsidRPr="000F6C1D" w:rsidRDefault="000F6C1D" w:rsidP="000F6C1D">
      <w:pPr>
        <w:pStyle w:val="Heading1"/>
        <w:spacing w:before="0"/>
        <w:rPr>
          <w:rFonts w:ascii="Arial" w:hAnsi="Arial" w:cs="Arial"/>
          <w:color w:val="auto"/>
          <w:sz w:val="24"/>
        </w:rPr>
      </w:pPr>
      <w:bookmarkStart w:id="32" w:name="_Toc75585070"/>
      <w:bookmarkStart w:id="33" w:name="RSN_Clients"/>
      <w:r w:rsidRPr="000F6C1D">
        <w:rPr>
          <w:rFonts w:ascii="Arial" w:hAnsi="Arial" w:cs="Arial"/>
          <w:color w:val="auto"/>
          <w:sz w:val="24"/>
        </w:rPr>
        <w:t>MPC</w:t>
      </w:r>
      <w:r w:rsidR="00FD2B8F">
        <w:rPr>
          <w:rFonts w:ascii="Arial" w:hAnsi="Arial" w:cs="Arial"/>
          <w:color w:val="auto"/>
          <w:sz w:val="24"/>
        </w:rPr>
        <w:t xml:space="preserve"> and CFC</w:t>
      </w:r>
      <w:r w:rsidRPr="000F6C1D">
        <w:rPr>
          <w:rFonts w:ascii="Arial" w:hAnsi="Arial" w:cs="Arial"/>
          <w:color w:val="auto"/>
          <w:sz w:val="24"/>
        </w:rPr>
        <w:t xml:space="preserve"> (CN and ABP) for Regional Support Network (RSN) Clients</w:t>
      </w:r>
      <w:bookmarkEnd w:id="32"/>
    </w:p>
    <w:bookmarkEnd w:id="33"/>
    <w:p w14:paraId="01DFDC13" w14:textId="77777777" w:rsidR="00A912D1" w:rsidRDefault="00A912D1" w:rsidP="000F6C1D">
      <w:pPr>
        <w:rPr>
          <w:rFonts w:cs="Arial"/>
        </w:rPr>
      </w:pPr>
    </w:p>
    <w:p w14:paraId="040A76F5" w14:textId="16CC0396" w:rsidR="000F6C1D" w:rsidRPr="00F67F82" w:rsidRDefault="000F6C1D" w:rsidP="00A912D1">
      <w:pPr>
        <w:ind w:left="720"/>
        <w:rPr>
          <w:rFonts w:cs="Arial"/>
        </w:rPr>
      </w:pPr>
      <w:r w:rsidRPr="00F67F82">
        <w:rPr>
          <w:rFonts w:cs="Arial"/>
        </w:rPr>
        <w:t xml:space="preserve">The </w:t>
      </w:r>
      <w:r>
        <w:rPr>
          <w:rFonts w:cs="Arial"/>
        </w:rPr>
        <w:t>Behavioral Health and Service Integration Administration (BHSIA)</w:t>
      </w:r>
      <w:r w:rsidRPr="00F67F82">
        <w:rPr>
          <w:rFonts w:cs="Arial"/>
        </w:rPr>
        <w:t xml:space="preserve"> contracts with RSNs to provide medically necessary outpatient mental health services to Medicaid enrollees who meet the </w:t>
      </w:r>
      <w:hyperlink r:id="rId47" w:history="1">
        <w:r w:rsidRPr="00F67F82">
          <w:rPr>
            <w:rStyle w:val="Hyperlink"/>
            <w:rFonts w:cs="Arial"/>
          </w:rPr>
          <w:t>Access to Care Standards</w:t>
        </w:r>
      </w:hyperlink>
      <w:r w:rsidRPr="00F67F82">
        <w:rPr>
          <w:rFonts w:cs="Arial"/>
        </w:rPr>
        <w:t>. In addition</w:t>
      </w:r>
      <w:r>
        <w:rPr>
          <w:rFonts w:cs="Arial"/>
        </w:rPr>
        <w:t>, the RSN</w:t>
      </w:r>
      <w:r w:rsidRPr="00F67F82">
        <w:rPr>
          <w:rFonts w:cs="Arial"/>
        </w:rPr>
        <w:t>s provide crisis services;</w:t>
      </w:r>
      <w:r>
        <w:rPr>
          <w:rFonts w:cs="Arial"/>
        </w:rPr>
        <w:t xml:space="preserve"> authorizing</w:t>
      </w:r>
      <w:r w:rsidRPr="00F67F82">
        <w:rPr>
          <w:rFonts w:cs="Arial"/>
        </w:rPr>
        <w:t xml:space="preserve"> voluntary and involuntary inpatient mental health services. The CARE assessment must document what services the RSN will provide.  </w:t>
      </w:r>
      <w:r w:rsidR="006A1814">
        <w:rPr>
          <w:rFonts w:cs="Arial"/>
        </w:rPr>
        <w:t xml:space="preserve">CFC or MPC personal care </w:t>
      </w:r>
      <w:r w:rsidRPr="00F67F82">
        <w:rPr>
          <w:rFonts w:cs="Arial"/>
        </w:rPr>
        <w:t xml:space="preserve">services must not duplicate services the RSN is required to provide such as medication monitoring.  </w:t>
      </w:r>
      <w:r w:rsidR="006A1814">
        <w:rPr>
          <w:rFonts w:cs="Arial"/>
        </w:rPr>
        <w:t xml:space="preserve">If the client is on CFC, the RSN funds personal care services only, any other CFC services authorized would be funded by HCS. </w:t>
      </w:r>
    </w:p>
    <w:p w14:paraId="2082555F" w14:textId="77777777" w:rsidR="000F6C1D" w:rsidRPr="00F67F82" w:rsidRDefault="000F6C1D" w:rsidP="000F6C1D">
      <w:pPr>
        <w:ind w:left="720"/>
        <w:rPr>
          <w:rFonts w:cs="Arial"/>
        </w:rPr>
      </w:pPr>
    </w:p>
    <w:p w14:paraId="4311E91B" w14:textId="77777777" w:rsidR="000F6C1D" w:rsidRPr="00F67F82" w:rsidRDefault="000F6C1D" w:rsidP="00A912D1">
      <w:pPr>
        <w:ind w:left="720"/>
        <w:rPr>
          <w:rFonts w:cs="Arial"/>
        </w:rPr>
      </w:pPr>
      <w:r w:rsidRPr="00F67F82">
        <w:rPr>
          <w:rFonts w:cs="Arial"/>
        </w:rPr>
        <w:t>A</w:t>
      </w:r>
      <w:r>
        <w:rPr>
          <w:rFonts w:cs="Arial"/>
        </w:rPr>
        <w:t>LT</w:t>
      </w:r>
      <w:r w:rsidRPr="00F67F82">
        <w:rPr>
          <w:rFonts w:cs="Arial"/>
        </w:rPr>
        <w:t xml:space="preserve">SA has an interagency agreement that allows HCS/AAA to share this information with the RSN without a signed release of information from the client. </w:t>
      </w:r>
    </w:p>
    <w:p w14:paraId="212885F8" w14:textId="77777777" w:rsidR="000F6C1D" w:rsidRPr="00F67F82" w:rsidRDefault="000F6C1D" w:rsidP="000F6C1D">
      <w:pPr>
        <w:ind w:left="720"/>
        <w:rPr>
          <w:rFonts w:cs="Arial"/>
        </w:rPr>
      </w:pPr>
    </w:p>
    <w:p w14:paraId="2AA82C19" w14:textId="77777777" w:rsidR="000F6C1D" w:rsidRDefault="000F6C1D" w:rsidP="000F6C1D">
      <w:pPr>
        <w:ind w:left="720"/>
        <w:rPr>
          <w:rFonts w:cs="Arial"/>
        </w:rPr>
      </w:pPr>
      <w:r>
        <w:rPr>
          <w:rFonts w:cs="Arial"/>
        </w:rPr>
        <w:t>MPC and CFC</w:t>
      </w:r>
      <w:r w:rsidRPr="00F67F82">
        <w:rPr>
          <w:rFonts w:cs="Arial"/>
        </w:rPr>
        <w:t xml:space="preserve"> </w:t>
      </w:r>
      <w:r w:rsidR="006A1814">
        <w:rPr>
          <w:rFonts w:cs="Arial"/>
        </w:rPr>
        <w:t xml:space="preserve">personal care </w:t>
      </w:r>
      <w:r w:rsidR="00F62B3E">
        <w:rPr>
          <w:rFonts w:cs="Arial"/>
        </w:rPr>
        <w:t xml:space="preserve">and </w:t>
      </w:r>
      <w:r w:rsidR="008F2EEA">
        <w:rPr>
          <w:rFonts w:cs="Arial"/>
        </w:rPr>
        <w:t>relief</w:t>
      </w:r>
      <w:r w:rsidR="00F62B3E">
        <w:rPr>
          <w:rFonts w:cs="Arial"/>
        </w:rPr>
        <w:t xml:space="preserve"> </w:t>
      </w:r>
      <w:r w:rsidR="008F2EEA">
        <w:rPr>
          <w:rFonts w:cs="Arial"/>
        </w:rPr>
        <w:t>c</w:t>
      </w:r>
      <w:r w:rsidR="00F62B3E">
        <w:rPr>
          <w:rFonts w:cs="Arial"/>
        </w:rPr>
        <w:t>are</w:t>
      </w:r>
      <w:r w:rsidR="008F2EEA">
        <w:rPr>
          <w:rFonts w:cs="Arial"/>
        </w:rPr>
        <w:t xml:space="preserve"> services</w:t>
      </w:r>
      <w:r w:rsidRPr="00F67F82">
        <w:rPr>
          <w:rFonts w:cs="Arial"/>
        </w:rPr>
        <w:t xml:space="preserve"> for individuals with a mental illness are funded in one of the following ways:</w:t>
      </w:r>
    </w:p>
    <w:p w14:paraId="10B08CFB" w14:textId="77777777" w:rsidR="00A912D1" w:rsidRPr="00F67F82" w:rsidRDefault="00A912D1" w:rsidP="000F6C1D">
      <w:pPr>
        <w:ind w:left="720"/>
        <w:rPr>
          <w:rFonts w:cs="Arial"/>
        </w:rPr>
      </w:pPr>
    </w:p>
    <w:p w14:paraId="601D411D" w14:textId="77777777" w:rsidR="000F6C1D" w:rsidRPr="00EF4B64" w:rsidRDefault="000F6C1D" w:rsidP="009862C2">
      <w:pPr>
        <w:pStyle w:val="ListParagraph"/>
        <w:numPr>
          <w:ilvl w:val="0"/>
          <w:numId w:val="37"/>
        </w:numPr>
        <w:rPr>
          <w:rFonts w:cs="Arial"/>
        </w:rPr>
      </w:pPr>
      <w:r w:rsidRPr="00EF4B64">
        <w:rPr>
          <w:rFonts w:cs="Arial"/>
          <w:b/>
          <w:bCs/>
        </w:rPr>
        <w:t xml:space="preserve">RSN Reimbursement – </w:t>
      </w:r>
      <w:r w:rsidRPr="00EF4B64">
        <w:rPr>
          <w:rFonts w:cs="Arial"/>
        </w:rPr>
        <w:t>If all the personal care tasks the client requires are based solely on the mental health diagnosis:</w:t>
      </w:r>
    </w:p>
    <w:p w14:paraId="5D57DDC2" w14:textId="77777777" w:rsidR="008F2EEA" w:rsidRPr="00EF4B64" w:rsidRDefault="000F6C1D" w:rsidP="009862C2">
      <w:pPr>
        <w:pStyle w:val="ListParagraph"/>
        <w:numPr>
          <w:ilvl w:val="1"/>
          <w:numId w:val="37"/>
        </w:numPr>
        <w:tabs>
          <w:tab w:val="num" w:pos="3600"/>
        </w:tabs>
        <w:rPr>
          <w:rFonts w:cs="Arial"/>
        </w:rPr>
      </w:pPr>
      <w:r w:rsidRPr="00EF4B64">
        <w:rPr>
          <w:rFonts w:cs="Arial"/>
        </w:rPr>
        <w:t>You must, prior to authorization, assemble a packet for RSN review.  The packet consists of:</w:t>
      </w:r>
    </w:p>
    <w:p w14:paraId="0EE34EB8" w14:textId="1920EA34" w:rsidR="008F2EEA" w:rsidRPr="008F2EEA" w:rsidRDefault="000F6C1D" w:rsidP="00203DB3">
      <w:pPr>
        <w:pStyle w:val="ListParagraph"/>
        <w:numPr>
          <w:ilvl w:val="3"/>
          <w:numId w:val="37"/>
        </w:numPr>
        <w:tabs>
          <w:tab w:val="clear" w:pos="4032"/>
        </w:tabs>
        <w:ind w:left="2700" w:hanging="396"/>
        <w:rPr>
          <w:rFonts w:cs="Arial"/>
        </w:rPr>
      </w:pPr>
      <w:r w:rsidRPr="008F2EEA">
        <w:rPr>
          <w:rFonts w:cs="Arial"/>
        </w:rPr>
        <w:t xml:space="preserve">A completed </w:t>
      </w:r>
      <w:hyperlink r:id="rId48" w:history="1">
        <w:r w:rsidR="00074173" w:rsidRPr="00074173">
          <w:rPr>
            <w:rStyle w:val="Hyperlink"/>
            <w:rFonts w:cs="Arial"/>
          </w:rPr>
          <w:t>13-712, Medicaid Personal Care Client RSN Tra</w:t>
        </w:r>
        <w:r w:rsidR="00C52234">
          <w:rPr>
            <w:rStyle w:val="Hyperlink"/>
            <w:rFonts w:cs="Arial"/>
          </w:rPr>
          <w:t>n</w:t>
        </w:r>
        <w:r w:rsidR="00074173" w:rsidRPr="00074173">
          <w:rPr>
            <w:rStyle w:val="Hyperlink"/>
            <w:rFonts w:cs="Arial"/>
          </w:rPr>
          <w:t>smittal</w:t>
        </w:r>
      </w:hyperlink>
      <w:r w:rsidR="00074173">
        <w:rPr>
          <w:rFonts w:cs="Arial"/>
        </w:rPr>
        <w:t xml:space="preserve"> </w:t>
      </w:r>
      <w:r w:rsidRPr="008F2EEA">
        <w:rPr>
          <w:rFonts w:cs="Arial"/>
        </w:rPr>
        <w:t>form;</w:t>
      </w:r>
    </w:p>
    <w:p w14:paraId="414FAA42" w14:textId="77777777" w:rsidR="000F6C1D" w:rsidRPr="008F2EEA" w:rsidRDefault="000F6C1D" w:rsidP="00203DB3">
      <w:pPr>
        <w:pStyle w:val="ListParagraph"/>
        <w:numPr>
          <w:ilvl w:val="3"/>
          <w:numId w:val="37"/>
        </w:numPr>
        <w:tabs>
          <w:tab w:val="clear" w:pos="4032"/>
        </w:tabs>
        <w:ind w:left="2700" w:hanging="396"/>
        <w:rPr>
          <w:rFonts w:cs="Arial"/>
        </w:rPr>
      </w:pPr>
      <w:r w:rsidRPr="008F2EEA">
        <w:rPr>
          <w:rFonts w:cs="Arial"/>
        </w:rPr>
        <w:t xml:space="preserve">CARE Service Summary and Assessment Details.  </w:t>
      </w:r>
    </w:p>
    <w:p w14:paraId="28436F68" w14:textId="77777777" w:rsidR="008F2EEA" w:rsidRPr="00EF4B64" w:rsidRDefault="000F6C1D" w:rsidP="009862C2">
      <w:pPr>
        <w:pStyle w:val="ListParagraph"/>
        <w:numPr>
          <w:ilvl w:val="1"/>
          <w:numId w:val="37"/>
        </w:numPr>
        <w:rPr>
          <w:rFonts w:cs="Arial"/>
        </w:rPr>
      </w:pPr>
      <w:r w:rsidRPr="00EF4B64">
        <w:rPr>
          <w:rFonts w:cs="Arial"/>
        </w:rPr>
        <w:t>The RSN will review the packet and determine if:</w:t>
      </w:r>
    </w:p>
    <w:p w14:paraId="3E15C2EC" w14:textId="77777777" w:rsidR="008F2EEA" w:rsidRPr="008F2EEA" w:rsidRDefault="000F6C1D" w:rsidP="00203DB3">
      <w:pPr>
        <w:pStyle w:val="ListParagraph"/>
        <w:numPr>
          <w:ilvl w:val="3"/>
          <w:numId w:val="37"/>
        </w:numPr>
        <w:tabs>
          <w:tab w:val="clear" w:pos="4032"/>
        </w:tabs>
        <w:ind w:left="2700" w:hanging="396"/>
        <w:rPr>
          <w:rFonts w:cs="Arial"/>
        </w:rPr>
      </w:pPr>
      <w:r w:rsidRPr="008F2EEA">
        <w:rPr>
          <w:rFonts w:cs="Arial"/>
        </w:rPr>
        <w:t>The need is based solely on a Mental Health diagnosis;</w:t>
      </w:r>
    </w:p>
    <w:p w14:paraId="63E39EEA" w14:textId="77777777" w:rsidR="008F2EEA" w:rsidRPr="008F2EEA" w:rsidRDefault="000F6C1D" w:rsidP="00203DB3">
      <w:pPr>
        <w:pStyle w:val="ListParagraph"/>
        <w:numPr>
          <w:ilvl w:val="3"/>
          <w:numId w:val="37"/>
        </w:numPr>
        <w:tabs>
          <w:tab w:val="clear" w:pos="4032"/>
        </w:tabs>
        <w:ind w:left="2700" w:hanging="396"/>
        <w:rPr>
          <w:rFonts w:cs="Arial"/>
        </w:rPr>
      </w:pPr>
      <w:r w:rsidRPr="008F2EEA">
        <w:rPr>
          <w:rFonts w:cs="Arial"/>
        </w:rPr>
        <w:t>The client is currently authorized for services from the RSN; and</w:t>
      </w:r>
    </w:p>
    <w:p w14:paraId="2E546647" w14:textId="77777777" w:rsidR="000F6C1D" w:rsidRPr="008F2EEA" w:rsidRDefault="000F6C1D" w:rsidP="00203DB3">
      <w:pPr>
        <w:pStyle w:val="ListParagraph"/>
        <w:numPr>
          <w:ilvl w:val="3"/>
          <w:numId w:val="37"/>
        </w:numPr>
        <w:tabs>
          <w:tab w:val="clear" w:pos="4032"/>
        </w:tabs>
        <w:ind w:left="2700" w:hanging="396"/>
        <w:rPr>
          <w:rFonts w:cs="Arial"/>
        </w:rPr>
      </w:pPr>
      <w:r w:rsidRPr="008F2EEA">
        <w:rPr>
          <w:rFonts w:cs="Arial"/>
        </w:rPr>
        <w:lastRenderedPageBreak/>
        <w:t>The needs can be met by the RSN through other available services.</w:t>
      </w:r>
    </w:p>
    <w:p w14:paraId="76E48183" w14:textId="77777777" w:rsidR="000F6C1D" w:rsidRPr="00EF4B64" w:rsidRDefault="000F6C1D" w:rsidP="009862C2">
      <w:pPr>
        <w:pStyle w:val="ListParagraph"/>
        <w:numPr>
          <w:ilvl w:val="1"/>
          <w:numId w:val="37"/>
        </w:numPr>
        <w:rPr>
          <w:rFonts w:cs="Arial"/>
          <w:color w:val="000000"/>
        </w:rPr>
      </w:pPr>
      <w:r w:rsidRPr="00EF4B64">
        <w:rPr>
          <w:rFonts w:cs="Arial"/>
          <w:color w:val="000000"/>
        </w:rPr>
        <w:t xml:space="preserve">The RSN must respond to requests for </w:t>
      </w:r>
      <w:r>
        <w:rPr>
          <w:rFonts w:cs="Arial"/>
          <w:color w:val="000000"/>
        </w:rPr>
        <w:t>services</w:t>
      </w:r>
      <w:r w:rsidRPr="00EF4B64">
        <w:rPr>
          <w:rFonts w:cs="Arial"/>
          <w:color w:val="000000"/>
        </w:rPr>
        <w:t xml:space="preserve"> from the HCS office within five working days of the request.  </w:t>
      </w:r>
      <w:r>
        <w:rPr>
          <w:rFonts w:cs="Arial"/>
          <w:color w:val="000000"/>
        </w:rPr>
        <w:t>T</w:t>
      </w:r>
      <w:r w:rsidRPr="00EF4B64">
        <w:rPr>
          <w:rFonts w:cs="Arial"/>
          <w:color w:val="000000"/>
        </w:rPr>
        <w:t xml:space="preserve">his timeframe can be extended if agreed in writing.  </w:t>
      </w:r>
    </w:p>
    <w:p w14:paraId="374988FC" w14:textId="77777777" w:rsidR="000F6C1D" w:rsidRPr="00EF4B64" w:rsidRDefault="000F6C1D" w:rsidP="009862C2">
      <w:pPr>
        <w:pStyle w:val="ListParagraph"/>
        <w:numPr>
          <w:ilvl w:val="1"/>
          <w:numId w:val="37"/>
        </w:numPr>
        <w:rPr>
          <w:rFonts w:cs="Arial"/>
          <w:color w:val="000000"/>
        </w:rPr>
      </w:pPr>
      <w:r w:rsidRPr="00EF4B64">
        <w:rPr>
          <w:rFonts w:cs="Arial"/>
          <w:color w:val="000000"/>
        </w:rPr>
        <w:t>The RSN may not limit or restrict authorization for services due to insufficient resources.</w:t>
      </w:r>
    </w:p>
    <w:p w14:paraId="1B18F1E8" w14:textId="77777777" w:rsidR="000F6C1D" w:rsidRPr="00EF4B64" w:rsidRDefault="000F6C1D" w:rsidP="009862C2">
      <w:pPr>
        <w:pStyle w:val="ListParagraph"/>
        <w:numPr>
          <w:ilvl w:val="1"/>
          <w:numId w:val="37"/>
        </w:numPr>
        <w:rPr>
          <w:rFonts w:cs="Arial"/>
          <w:color w:val="000000"/>
          <w:u w:val="single"/>
        </w:rPr>
      </w:pPr>
      <w:r w:rsidRPr="00EF4B64">
        <w:rPr>
          <w:rFonts w:cs="Arial"/>
          <w:color w:val="000000"/>
        </w:rPr>
        <w:t>Denials must be documented in the written response to HCS.</w:t>
      </w:r>
    </w:p>
    <w:p w14:paraId="27051A43" w14:textId="77777777" w:rsidR="008F2EEA" w:rsidRPr="00980E38" w:rsidRDefault="000F6C1D" w:rsidP="008F2EEA">
      <w:pPr>
        <w:numPr>
          <w:ilvl w:val="1"/>
          <w:numId w:val="37"/>
        </w:numPr>
        <w:tabs>
          <w:tab w:val="num" w:pos="3600"/>
        </w:tabs>
        <w:rPr>
          <w:rFonts w:cs="Arial"/>
          <w:bCs/>
        </w:rPr>
      </w:pPr>
      <w:r w:rsidRPr="00F67F82">
        <w:rPr>
          <w:rFonts w:cs="Arial"/>
        </w:rPr>
        <w:t xml:space="preserve">If the RSN agrees to the reimbursement, authorize the </w:t>
      </w:r>
      <w:r w:rsidR="006A1814">
        <w:rPr>
          <w:rFonts w:cs="Arial"/>
        </w:rPr>
        <w:t xml:space="preserve">personal care service </w:t>
      </w:r>
      <w:r w:rsidRPr="00F67F82">
        <w:rPr>
          <w:rFonts w:cs="Arial"/>
        </w:rPr>
        <w:t xml:space="preserve">payment using the </w:t>
      </w:r>
      <w:r>
        <w:rPr>
          <w:rFonts w:cs="Arial"/>
        </w:rPr>
        <w:t>designated RSN reason code.</w:t>
      </w:r>
      <w:r w:rsidRPr="00F67F82">
        <w:rPr>
          <w:rFonts w:cs="Arial"/>
        </w:rPr>
        <w:t xml:space="preserve"> </w:t>
      </w:r>
    </w:p>
    <w:p w14:paraId="09CD5309" w14:textId="77777777" w:rsidR="00980E38" w:rsidRPr="00980E38" w:rsidRDefault="00980E38" w:rsidP="00203DB3">
      <w:pPr>
        <w:numPr>
          <w:ilvl w:val="3"/>
          <w:numId w:val="37"/>
        </w:numPr>
        <w:tabs>
          <w:tab w:val="clear" w:pos="4032"/>
        </w:tabs>
        <w:ind w:left="2700" w:hanging="360"/>
        <w:rPr>
          <w:rFonts w:cs="Arial"/>
          <w:bCs/>
        </w:rPr>
      </w:pPr>
      <w:r>
        <w:rPr>
          <w:rFonts w:cs="Arial"/>
        </w:rPr>
        <w:t>The RSN pays only for personal care services, any other services are not funded by the RSN.</w:t>
      </w:r>
    </w:p>
    <w:p w14:paraId="24F739D1" w14:textId="77777777" w:rsidR="00980E38" w:rsidRDefault="00980E38" w:rsidP="00203DB3">
      <w:pPr>
        <w:numPr>
          <w:ilvl w:val="3"/>
          <w:numId w:val="37"/>
        </w:numPr>
        <w:tabs>
          <w:tab w:val="clear" w:pos="4032"/>
        </w:tabs>
        <w:ind w:left="2700" w:hanging="360"/>
        <w:rPr>
          <w:rFonts w:cs="Arial"/>
          <w:bCs/>
        </w:rPr>
      </w:pPr>
      <w:r>
        <w:rPr>
          <w:rFonts w:cs="Arial"/>
        </w:rPr>
        <w:t>Clients on MPC, CFC, and CFC + COPES may receive RSN funding for personal care services.</w:t>
      </w:r>
    </w:p>
    <w:p w14:paraId="3B71CD95" w14:textId="77777777" w:rsidR="000F6C1D" w:rsidRPr="00EF4B64" w:rsidRDefault="000F6C1D" w:rsidP="009862C2">
      <w:pPr>
        <w:pStyle w:val="ListParagraph"/>
        <w:numPr>
          <w:ilvl w:val="1"/>
          <w:numId w:val="37"/>
        </w:numPr>
        <w:rPr>
          <w:rFonts w:cs="Arial"/>
        </w:rPr>
      </w:pPr>
      <w:r w:rsidRPr="00EF4B64">
        <w:rPr>
          <w:rFonts w:cs="Arial"/>
        </w:rPr>
        <w:t xml:space="preserve">The </w:t>
      </w:r>
      <w:hyperlink r:id="rId49" w:history="1">
        <w:r w:rsidRPr="00EF4B64">
          <w:rPr>
            <w:rFonts w:cs="Arial"/>
          </w:rPr>
          <w:t>13-712, Medicaid Personal Care Client RSN Transmittal</w:t>
        </w:r>
      </w:hyperlink>
      <w:r w:rsidRPr="00EF4B64">
        <w:rPr>
          <w:rFonts w:cs="Arial"/>
        </w:rPr>
        <w:t xml:space="preserve"> form, indicating RSN approval, must be in the client’s file.</w:t>
      </w:r>
    </w:p>
    <w:p w14:paraId="17E8B1FC" w14:textId="77777777" w:rsidR="000F6C1D" w:rsidRPr="00F67F82" w:rsidRDefault="000F6C1D" w:rsidP="000F6C1D">
      <w:pPr>
        <w:ind w:left="540"/>
        <w:rPr>
          <w:rFonts w:cs="Arial"/>
          <w:bCs/>
        </w:rPr>
      </w:pPr>
    </w:p>
    <w:p w14:paraId="5500D6C1" w14:textId="77777777" w:rsidR="000F6C1D" w:rsidRPr="00EF4B64" w:rsidRDefault="000F6C1D" w:rsidP="009862C2">
      <w:pPr>
        <w:pStyle w:val="ListParagraph"/>
        <w:numPr>
          <w:ilvl w:val="0"/>
          <w:numId w:val="37"/>
        </w:numPr>
        <w:rPr>
          <w:rFonts w:cs="Arial"/>
          <w:bCs/>
        </w:rPr>
      </w:pPr>
      <w:r w:rsidRPr="00EF4B64">
        <w:rPr>
          <w:rFonts w:cs="Arial"/>
          <w:b/>
          <w:bCs/>
        </w:rPr>
        <w:t>RSN/ALTSA funded</w:t>
      </w:r>
      <w:r w:rsidRPr="00EF4B64">
        <w:rPr>
          <w:rFonts w:cs="Arial"/>
          <w:bCs/>
        </w:rPr>
        <w:t xml:space="preserve"> – </w:t>
      </w:r>
      <w:r w:rsidRPr="00EF4B64">
        <w:rPr>
          <w:rFonts w:cs="Arial"/>
        </w:rPr>
        <w:t xml:space="preserve">ALTSA may share funding if the personal care tasks the client requires are based on a combination of mental health and medical diagnosis.  To obtain RSN approval, follow steps 1a through </w:t>
      </w:r>
      <w:r w:rsidR="00980E38">
        <w:rPr>
          <w:rFonts w:cs="Arial"/>
        </w:rPr>
        <w:t>f</w:t>
      </w:r>
      <w:r w:rsidRPr="00EF4B64">
        <w:rPr>
          <w:rFonts w:cs="Arial"/>
        </w:rPr>
        <w:t xml:space="preserve">, above.  Authorize the payment in </w:t>
      </w:r>
      <w:r>
        <w:rPr>
          <w:rFonts w:cs="Arial"/>
        </w:rPr>
        <w:t>CARE</w:t>
      </w:r>
      <w:r w:rsidRPr="00EF4B64">
        <w:rPr>
          <w:rFonts w:cs="Arial"/>
        </w:rPr>
        <w:t xml:space="preserve"> using the designated reason code. If the RSN does not agree to share funding, authorize services using the ALTSA-funded reason code, below.</w:t>
      </w:r>
    </w:p>
    <w:p w14:paraId="1C3B8B86" w14:textId="77777777" w:rsidR="000F6C1D" w:rsidRPr="00F67F82" w:rsidRDefault="000F6C1D" w:rsidP="000F6C1D">
      <w:pPr>
        <w:ind w:left="1080"/>
        <w:rPr>
          <w:rFonts w:cs="Arial"/>
          <w:bCs/>
        </w:rPr>
      </w:pPr>
    </w:p>
    <w:p w14:paraId="33644C40" w14:textId="77777777" w:rsidR="000F6C1D" w:rsidRPr="00EF4B64" w:rsidRDefault="000F6C1D" w:rsidP="009862C2">
      <w:pPr>
        <w:pStyle w:val="ListParagraph"/>
        <w:numPr>
          <w:ilvl w:val="0"/>
          <w:numId w:val="37"/>
        </w:numPr>
        <w:rPr>
          <w:rFonts w:cs="Arial"/>
        </w:rPr>
      </w:pPr>
      <w:r w:rsidRPr="00EF4B64">
        <w:rPr>
          <w:rFonts w:cs="Arial"/>
          <w:b/>
          <w:bCs/>
        </w:rPr>
        <w:t>ALTSA-funded</w:t>
      </w:r>
      <w:r w:rsidRPr="00EF4B64">
        <w:rPr>
          <w:rFonts w:cs="Arial"/>
          <w:bCs/>
        </w:rPr>
        <w:t xml:space="preserve"> - </w:t>
      </w:r>
      <w:r w:rsidRPr="00EF4B64">
        <w:rPr>
          <w:rFonts w:cs="Arial"/>
        </w:rPr>
        <w:t xml:space="preserve">If the client has a combination of mental health and medical diagnosis, which make him/her eligible for MPC </w:t>
      </w:r>
      <w:r w:rsidR="006A1814">
        <w:rPr>
          <w:rFonts w:cs="Arial"/>
        </w:rPr>
        <w:t xml:space="preserve">or CFC </w:t>
      </w:r>
      <w:r w:rsidRPr="00EF4B64">
        <w:rPr>
          <w:rFonts w:cs="Arial"/>
        </w:rPr>
        <w:t>and RSN denies funding, the cost of care will be paid by A</w:t>
      </w:r>
      <w:r>
        <w:rPr>
          <w:rFonts w:cs="Arial"/>
        </w:rPr>
        <w:t>L</w:t>
      </w:r>
      <w:r w:rsidRPr="00EF4B64">
        <w:rPr>
          <w:rFonts w:cs="Arial"/>
        </w:rPr>
        <w:t xml:space="preserve">TSA.  Authorize the payment in </w:t>
      </w:r>
      <w:r>
        <w:rPr>
          <w:rFonts w:cs="Arial"/>
        </w:rPr>
        <w:t xml:space="preserve">CARE </w:t>
      </w:r>
      <w:r w:rsidRPr="00EF4B64">
        <w:rPr>
          <w:rFonts w:cs="Arial"/>
        </w:rPr>
        <w:t xml:space="preserve">using the ALTSA-funded reason code. </w:t>
      </w:r>
    </w:p>
    <w:p w14:paraId="29CE1269" w14:textId="77777777" w:rsidR="000F6C1D" w:rsidRPr="00F67F82" w:rsidRDefault="000F6C1D" w:rsidP="000F6C1D">
      <w:pPr>
        <w:pStyle w:val="ListParagraph"/>
        <w:ind w:left="1080"/>
        <w:rPr>
          <w:rFonts w:cs="Arial"/>
        </w:rPr>
      </w:pPr>
    </w:p>
    <w:p w14:paraId="61A513D8" w14:textId="77777777" w:rsidR="000F6C1D" w:rsidRPr="00F67F82" w:rsidRDefault="000F6C1D" w:rsidP="000F6C1D">
      <w:pPr>
        <w:ind w:left="360"/>
        <w:rPr>
          <w:rFonts w:cs="Arial"/>
        </w:rPr>
      </w:pPr>
      <w:r w:rsidRPr="00F67F82">
        <w:rPr>
          <w:rFonts w:cs="Arial"/>
        </w:rPr>
        <w:t>RSN Denials:</w:t>
      </w:r>
    </w:p>
    <w:p w14:paraId="14F72D2C" w14:textId="77777777" w:rsidR="000F6C1D" w:rsidRPr="00161250" w:rsidRDefault="000F6C1D" w:rsidP="009862C2">
      <w:pPr>
        <w:numPr>
          <w:ilvl w:val="0"/>
          <w:numId w:val="38"/>
        </w:numPr>
        <w:tabs>
          <w:tab w:val="clear" w:pos="1080"/>
          <w:tab w:val="num" w:pos="1440"/>
        </w:tabs>
        <w:ind w:left="1440"/>
        <w:rPr>
          <w:rFonts w:cs="Arial"/>
        </w:rPr>
      </w:pPr>
      <w:r>
        <w:rPr>
          <w:rFonts w:cs="Arial"/>
        </w:rPr>
        <w:t>Consult with your supervisor if</w:t>
      </w:r>
      <w:r w:rsidRPr="00161250">
        <w:rPr>
          <w:rFonts w:cs="Arial"/>
        </w:rPr>
        <w:t xml:space="preserve"> you receive a denial for MPC </w:t>
      </w:r>
      <w:r w:rsidR="006A1814">
        <w:rPr>
          <w:rFonts w:cs="Arial"/>
        </w:rPr>
        <w:t xml:space="preserve">or CFC personal care </w:t>
      </w:r>
      <w:r w:rsidRPr="00161250">
        <w:rPr>
          <w:rFonts w:cs="Arial"/>
        </w:rPr>
        <w:t>services funded through the RSN when you believe the pers</w:t>
      </w:r>
      <w:r>
        <w:rPr>
          <w:rFonts w:cs="Arial"/>
        </w:rPr>
        <w:t>onal care is based solely on a mental h</w:t>
      </w:r>
      <w:r w:rsidRPr="00161250">
        <w:rPr>
          <w:rFonts w:cs="Arial"/>
        </w:rPr>
        <w:t xml:space="preserve">ealth diagnosis.  </w:t>
      </w:r>
    </w:p>
    <w:p w14:paraId="698CB372" w14:textId="77777777" w:rsidR="000F6C1D" w:rsidRPr="00F67F82" w:rsidRDefault="000F6C1D" w:rsidP="009862C2">
      <w:pPr>
        <w:numPr>
          <w:ilvl w:val="0"/>
          <w:numId w:val="38"/>
        </w:numPr>
        <w:tabs>
          <w:tab w:val="clear" w:pos="1080"/>
          <w:tab w:val="num" w:pos="1440"/>
        </w:tabs>
        <w:ind w:left="1440"/>
        <w:rPr>
          <w:rFonts w:cs="Arial"/>
        </w:rPr>
      </w:pPr>
      <w:r w:rsidRPr="00F67F82">
        <w:rPr>
          <w:rFonts w:cs="Arial"/>
        </w:rPr>
        <w:t>If the RSN states the individual is not currently authorized to receive mental health services, a referral for an intake assessment by the RSN can be made.  If the person meets the Access to Care Standards</w:t>
      </w:r>
      <w:r>
        <w:rPr>
          <w:rFonts w:cs="Arial"/>
        </w:rPr>
        <w:t>,</w:t>
      </w:r>
      <w:r w:rsidRPr="00F67F82">
        <w:rPr>
          <w:rFonts w:cs="Arial"/>
        </w:rPr>
        <w:t xml:space="preserve"> the RSN can be asked re-consider the referral</w:t>
      </w:r>
      <w:r>
        <w:rPr>
          <w:rFonts w:cs="Arial"/>
        </w:rPr>
        <w:t>.  I</w:t>
      </w:r>
      <w:r w:rsidRPr="00F67F82">
        <w:rPr>
          <w:rFonts w:cs="Arial"/>
        </w:rPr>
        <w:t xml:space="preserve">f no referral is made or the client does not meet the </w:t>
      </w:r>
      <w:hyperlink r:id="rId50" w:history="1">
        <w:r w:rsidRPr="00F67F82">
          <w:rPr>
            <w:rStyle w:val="Hyperlink"/>
            <w:rFonts w:cs="Arial"/>
          </w:rPr>
          <w:t>Access to Care Standards</w:t>
        </w:r>
      </w:hyperlink>
      <w:r w:rsidRPr="00F67F82">
        <w:rPr>
          <w:rFonts w:cs="Arial"/>
        </w:rPr>
        <w:t xml:space="preserve"> - authorize the payment to be paid by A</w:t>
      </w:r>
      <w:r>
        <w:rPr>
          <w:rFonts w:cs="Arial"/>
        </w:rPr>
        <w:t>LT</w:t>
      </w:r>
      <w:r w:rsidRPr="00F67F82">
        <w:rPr>
          <w:rFonts w:cs="Arial"/>
        </w:rPr>
        <w:t>SA</w:t>
      </w:r>
      <w:r>
        <w:rPr>
          <w:rFonts w:cs="Arial"/>
        </w:rPr>
        <w:t>.</w:t>
      </w:r>
    </w:p>
    <w:p w14:paraId="55CCFAAC" w14:textId="77777777" w:rsidR="000F6C1D" w:rsidRPr="00F67F82" w:rsidRDefault="000F6C1D" w:rsidP="009862C2">
      <w:pPr>
        <w:numPr>
          <w:ilvl w:val="0"/>
          <w:numId w:val="38"/>
        </w:numPr>
        <w:tabs>
          <w:tab w:val="clear" w:pos="1080"/>
          <w:tab w:val="num" w:pos="1440"/>
        </w:tabs>
        <w:ind w:left="1440"/>
        <w:rPr>
          <w:rFonts w:cs="Arial"/>
        </w:rPr>
      </w:pPr>
      <w:r>
        <w:rPr>
          <w:rFonts w:cs="Arial"/>
        </w:rPr>
        <w:t>If t</w:t>
      </w:r>
      <w:r w:rsidRPr="00F67F82">
        <w:rPr>
          <w:rFonts w:cs="Arial"/>
        </w:rPr>
        <w:t>he RSN states the need can be met using other RSN services</w:t>
      </w:r>
      <w:r>
        <w:rPr>
          <w:rFonts w:cs="Arial"/>
        </w:rPr>
        <w:t xml:space="preserve">, then the </w:t>
      </w:r>
      <w:r w:rsidRPr="00F67F82">
        <w:rPr>
          <w:rFonts w:cs="Arial"/>
        </w:rPr>
        <w:t xml:space="preserve">RSN must provide written documentation of how the needs will be met. </w:t>
      </w:r>
    </w:p>
    <w:p w14:paraId="33B985A8" w14:textId="77777777" w:rsidR="000F6C1D" w:rsidRPr="00F67F82" w:rsidRDefault="000F6C1D" w:rsidP="000F6C1D">
      <w:pPr>
        <w:ind w:left="1080"/>
        <w:rPr>
          <w:rFonts w:cs="Arial"/>
        </w:rPr>
      </w:pPr>
    </w:p>
    <w:p w14:paraId="6F494A75" w14:textId="77777777" w:rsidR="000F6C1D" w:rsidRPr="00F67F82" w:rsidRDefault="000F6C1D" w:rsidP="000F6C1D">
      <w:pPr>
        <w:ind w:left="1800"/>
        <w:rPr>
          <w:rFonts w:cs="Arial"/>
        </w:rPr>
      </w:pPr>
    </w:p>
    <w:p w14:paraId="69BA4ED5" w14:textId="77777777" w:rsidR="000F6C1D" w:rsidRPr="00F67F82" w:rsidRDefault="000F6C1D" w:rsidP="000F6C1D">
      <w:pPr>
        <w:pBdr>
          <w:top w:val="single" w:sz="4" w:space="1" w:color="auto"/>
          <w:left w:val="single" w:sz="4" w:space="4" w:color="auto"/>
          <w:bottom w:val="single" w:sz="4" w:space="1" w:color="auto"/>
          <w:right w:val="single" w:sz="4" w:space="4" w:color="auto"/>
        </w:pBdr>
        <w:shd w:val="clear" w:color="auto" w:fill="CCFFCC"/>
        <w:ind w:left="1800"/>
        <w:rPr>
          <w:rFonts w:cs="Arial"/>
        </w:rPr>
      </w:pPr>
      <w:r w:rsidRPr="00F67F82">
        <w:rPr>
          <w:rFonts w:cs="Arial"/>
          <w:b/>
          <w:caps/>
        </w:rPr>
        <w:t>N</w:t>
      </w:r>
      <w:r>
        <w:rPr>
          <w:rFonts w:cs="Arial"/>
          <w:b/>
        </w:rPr>
        <w:t>ote</w:t>
      </w:r>
      <w:r w:rsidRPr="00F67F82">
        <w:rPr>
          <w:rFonts w:cs="Arial"/>
        </w:rPr>
        <w:t>: Refer to your local area agreement with the RSN.</w:t>
      </w:r>
    </w:p>
    <w:sectPr w:rsidR="000F6C1D" w:rsidRPr="00F67F82">
      <w:footerReference w:type="default" r:id="rId5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F921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B46FF" w14:textId="77777777" w:rsidR="004C536B" w:rsidRDefault="004C536B" w:rsidP="00F65D45">
      <w:r>
        <w:separator/>
      </w:r>
    </w:p>
  </w:endnote>
  <w:endnote w:type="continuationSeparator" w:id="0">
    <w:p w14:paraId="7D5F254F" w14:textId="77777777" w:rsidR="004C536B" w:rsidRDefault="004C536B" w:rsidP="00F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B1358" w14:textId="47DD542E" w:rsidR="009515CA" w:rsidRDefault="009515CA">
    <w:pPr>
      <w:pStyle w:val="Footer"/>
    </w:pPr>
    <w:r>
      <w:t xml:space="preserve">Rev. 12/2015 </w:t>
    </w:r>
  </w:p>
  <w:p w14:paraId="276F7531" w14:textId="77777777" w:rsidR="004C536B" w:rsidRDefault="004C5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929D7" w14:textId="77777777" w:rsidR="004C536B" w:rsidRDefault="004C536B" w:rsidP="00F65D45">
      <w:r>
        <w:separator/>
      </w:r>
    </w:p>
  </w:footnote>
  <w:footnote w:type="continuationSeparator" w:id="0">
    <w:p w14:paraId="73B18549" w14:textId="77777777" w:rsidR="004C536B" w:rsidRDefault="004C536B" w:rsidP="00F65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D41"/>
    <w:multiLevelType w:val="hybridMultilevel"/>
    <w:tmpl w:val="4EEAC6D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4DA2C412">
      <w:start w:val="3"/>
      <w:numFmt w:val="bullet"/>
      <w:lvlText w:val="-"/>
      <w:lvlJc w:val="left"/>
      <w:pPr>
        <w:ind w:left="1800" w:hanging="360"/>
      </w:pPr>
      <w:rPr>
        <w:rFonts w:ascii="Arial" w:eastAsia="Times New Roma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C657F"/>
    <w:multiLevelType w:val="hybridMultilevel"/>
    <w:tmpl w:val="053E5674"/>
    <w:lvl w:ilvl="0" w:tplc="1916E518">
      <w:start w:val="1"/>
      <w:numFmt w:val="bullet"/>
      <w:lvlText w:val="Ü"/>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8B3FD7"/>
    <w:multiLevelType w:val="hybridMultilevel"/>
    <w:tmpl w:val="D30296F0"/>
    <w:lvl w:ilvl="0" w:tplc="725EF55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A4240A0"/>
    <w:multiLevelType w:val="hybridMultilevel"/>
    <w:tmpl w:val="114C11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6372A"/>
    <w:multiLevelType w:val="hybridMultilevel"/>
    <w:tmpl w:val="562E8626"/>
    <w:lvl w:ilvl="0" w:tplc="9B4C627A">
      <w:start w:val="1"/>
      <w:numFmt w:val="lowerLetter"/>
      <w:lvlText w:val="%1."/>
      <w:lvlJc w:val="left"/>
      <w:pPr>
        <w:ind w:left="1440" w:hanging="360"/>
      </w:pPr>
      <w:rPr>
        <w:b w:val="0"/>
        <w:i w:val="0"/>
      </w:rPr>
    </w:lvl>
    <w:lvl w:ilvl="1" w:tplc="0409000F">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466879"/>
    <w:multiLevelType w:val="hybridMultilevel"/>
    <w:tmpl w:val="79B6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E21FB"/>
    <w:multiLevelType w:val="hybridMultilevel"/>
    <w:tmpl w:val="BEE4C2C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4DA2C412">
      <w:start w:val="3"/>
      <w:numFmt w:val="bullet"/>
      <w:lvlText w:val="-"/>
      <w:lvlJc w:val="left"/>
      <w:pPr>
        <w:ind w:left="1800" w:hanging="360"/>
      </w:pPr>
      <w:rPr>
        <w:rFonts w:ascii="Arial" w:eastAsia="Times New Roma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0B5B94"/>
    <w:multiLevelType w:val="multilevel"/>
    <w:tmpl w:val="837EF550"/>
    <w:styleLink w:val="Style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10B521E7"/>
    <w:multiLevelType w:val="hybridMultilevel"/>
    <w:tmpl w:val="C5BE93B2"/>
    <w:lvl w:ilvl="0" w:tplc="A4D6393A">
      <w:start w:val="1"/>
      <w:numFmt w:val="decimal"/>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2160"/>
        </w:tabs>
        <w:ind w:left="2160" w:hanging="360"/>
      </w:pPr>
    </w:lvl>
    <w:lvl w:ilvl="2" w:tplc="B1662A9C">
      <w:start w:val="1"/>
      <w:numFmt w:val="lowerRoman"/>
      <w:lvlText w:val="%3."/>
      <w:lvlJc w:val="left"/>
      <w:pPr>
        <w:tabs>
          <w:tab w:val="num" w:pos="1152"/>
        </w:tabs>
        <w:ind w:left="792" w:hanging="360"/>
      </w:pPr>
      <w:rPr>
        <w:rFonts w:hint="default"/>
      </w:rPr>
    </w:lvl>
    <w:lvl w:ilvl="3" w:tplc="CD501CF0">
      <w:start w:val="1"/>
      <w:numFmt w:val="lowerRoman"/>
      <w:lvlText w:val="%4."/>
      <w:lvlJc w:val="left"/>
      <w:pPr>
        <w:tabs>
          <w:tab w:val="num" w:pos="4032"/>
        </w:tabs>
        <w:ind w:left="4032" w:hanging="576"/>
      </w:pPr>
      <w:rPr>
        <w:rFonts w:hint="default"/>
      </w:rPr>
    </w:lvl>
    <w:lvl w:ilvl="4" w:tplc="0409001B">
      <w:start w:val="1"/>
      <w:numFmt w:val="lowerRoman"/>
      <w:lvlText w:val="%5."/>
      <w:lvlJc w:val="right"/>
      <w:pPr>
        <w:tabs>
          <w:tab w:val="num" w:pos="2970"/>
        </w:tabs>
        <w:ind w:left="297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186071C"/>
    <w:multiLevelType w:val="hybridMultilevel"/>
    <w:tmpl w:val="D0689AD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4DA2C412">
      <w:start w:val="3"/>
      <w:numFmt w:val="bullet"/>
      <w:lvlText w:val="-"/>
      <w:lvlJc w:val="left"/>
      <w:pPr>
        <w:ind w:left="1800" w:hanging="360"/>
      </w:pPr>
      <w:rPr>
        <w:rFonts w:ascii="Arial" w:eastAsia="Times New Roma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941224"/>
    <w:multiLevelType w:val="hybridMultilevel"/>
    <w:tmpl w:val="2418347C"/>
    <w:lvl w:ilvl="0" w:tplc="04090001">
      <w:start w:val="1"/>
      <w:numFmt w:val="bullet"/>
      <w:lvlText w:val=""/>
      <w:lvlJc w:val="left"/>
      <w:pPr>
        <w:ind w:left="1524" w:hanging="360"/>
      </w:pPr>
      <w:rPr>
        <w:rFonts w:ascii="Symbol" w:hAnsi="Symbol" w:hint="default"/>
      </w:rPr>
    </w:lvl>
    <w:lvl w:ilvl="1" w:tplc="04090003">
      <w:start w:val="1"/>
      <w:numFmt w:val="bullet"/>
      <w:lvlText w:val="o"/>
      <w:lvlJc w:val="left"/>
      <w:pPr>
        <w:ind w:left="2244" w:hanging="360"/>
      </w:pPr>
      <w:rPr>
        <w:rFonts w:ascii="Courier New" w:hAnsi="Courier New" w:cs="Courier New" w:hint="default"/>
      </w:rPr>
    </w:lvl>
    <w:lvl w:ilvl="2" w:tplc="04090005">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1">
    <w:nsid w:val="13654E14"/>
    <w:multiLevelType w:val="hybridMultilevel"/>
    <w:tmpl w:val="A2AACA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6D5050"/>
    <w:multiLevelType w:val="hybridMultilevel"/>
    <w:tmpl w:val="8D8CC8AA"/>
    <w:lvl w:ilvl="0" w:tplc="C7860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E230B4"/>
    <w:multiLevelType w:val="hybridMultilevel"/>
    <w:tmpl w:val="5E240FBC"/>
    <w:lvl w:ilvl="0" w:tplc="4DA2C412">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6271C85"/>
    <w:multiLevelType w:val="hybridMultilevel"/>
    <w:tmpl w:val="B76C3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6740CF2"/>
    <w:multiLevelType w:val="hybridMultilevel"/>
    <w:tmpl w:val="A4BADC68"/>
    <w:lvl w:ilvl="0" w:tplc="4DA2C41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4DA2C412">
      <w:start w:val="3"/>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146CEA"/>
    <w:multiLevelType w:val="hybridMultilevel"/>
    <w:tmpl w:val="1FB84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0E583F"/>
    <w:multiLevelType w:val="hybridMultilevel"/>
    <w:tmpl w:val="81424C0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B1662A9C">
      <w:start w:val="1"/>
      <w:numFmt w:val="lowerRoman"/>
      <w:lvlText w:val="%3."/>
      <w:lvlJc w:val="left"/>
      <w:pPr>
        <w:tabs>
          <w:tab w:val="num" w:pos="1152"/>
        </w:tabs>
        <w:ind w:left="792" w:hanging="360"/>
      </w:pPr>
      <w:rPr>
        <w:rFonts w:hint="default"/>
      </w:rPr>
    </w:lvl>
    <w:lvl w:ilvl="3" w:tplc="E6F8399E">
      <w:start w:val="1"/>
      <w:numFmt w:val="decimal"/>
      <w:lvlText w:val="%4."/>
      <w:lvlJc w:val="center"/>
      <w:pPr>
        <w:tabs>
          <w:tab w:val="num" w:pos="4032"/>
        </w:tabs>
        <w:ind w:left="4032" w:hanging="576"/>
      </w:pPr>
      <w:rPr>
        <w:rFonts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93B2EF8"/>
    <w:multiLevelType w:val="hybridMultilevel"/>
    <w:tmpl w:val="216A3882"/>
    <w:lvl w:ilvl="0" w:tplc="C7860B62">
      <w:start w:val="1"/>
      <w:numFmt w:val="lowerLetter"/>
      <w:lvlText w:val="%1."/>
      <w:lvlJc w:val="left"/>
      <w:pPr>
        <w:ind w:left="1080" w:hanging="360"/>
      </w:pPr>
      <w:rPr>
        <w:rFonts w:hint="default"/>
      </w:rPr>
    </w:lvl>
    <w:lvl w:ilvl="1" w:tplc="61D23FD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42636E"/>
    <w:multiLevelType w:val="hybridMultilevel"/>
    <w:tmpl w:val="8D0CA26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584383"/>
    <w:multiLevelType w:val="hybridMultilevel"/>
    <w:tmpl w:val="8E1AE39A"/>
    <w:lvl w:ilvl="0" w:tplc="4094EA34">
      <w:start w:val="1"/>
      <w:numFmt w:val="bullet"/>
      <w:lvlText w:val=""/>
      <w:lvlJc w:val="left"/>
      <w:pPr>
        <w:tabs>
          <w:tab w:val="num" w:pos="360"/>
        </w:tabs>
        <w:ind w:left="360" w:hanging="360"/>
      </w:pPr>
      <w:rPr>
        <w:rFonts w:ascii="Wingdings" w:hAnsi="Wingdings" w:hint="default"/>
      </w:rPr>
    </w:lvl>
    <w:lvl w:ilvl="1" w:tplc="804A12AC">
      <w:start w:val="1"/>
      <w:numFmt w:val="bullet"/>
      <w:lvlText w:val=""/>
      <w:lvlJc w:val="left"/>
      <w:pPr>
        <w:tabs>
          <w:tab w:val="num" w:pos="1080"/>
        </w:tabs>
        <w:ind w:left="1080" w:hanging="360"/>
      </w:pPr>
      <w:rPr>
        <w:rFonts w:ascii="Wingdings" w:hAnsi="Wingdings" w:hint="default"/>
      </w:rPr>
    </w:lvl>
    <w:lvl w:ilvl="2" w:tplc="A5D43B44" w:tentative="1">
      <w:start w:val="1"/>
      <w:numFmt w:val="bullet"/>
      <w:lvlText w:val=""/>
      <w:lvlJc w:val="left"/>
      <w:pPr>
        <w:tabs>
          <w:tab w:val="num" w:pos="1800"/>
        </w:tabs>
        <w:ind w:left="1800" w:hanging="360"/>
      </w:pPr>
      <w:rPr>
        <w:rFonts w:ascii="Wingdings" w:hAnsi="Wingdings" w:hint="default"/>
      </w:rPr>
    </w:lvl>
    <w:lvl w:ilvl="3" w:tplc="320657E8" w:tentative="1">
      <w:start w:val="1"/>
      <w:numFmt w:val="bullet"/>
      <w:lvlText w:val=""/>
      <w:lvlJc w:val="left"/>
      <w:pPr>
        <w:tabs>
          <w:tab w:val="num" w:pos="2520"/>
        </w:tabs>
        <w:ind w:left="2520" w:hanging="360"/>
      </w:pPr>
      <w:rPr>
        <w:rFonts w:ascii="Wingdings" w:hAnsi="Wingdings" w:hint="default"/>
      </w:rPr>
    </w:lvl>
    <w:lvl w:ilvl="4" w:tplc="DDB05CEA" w:tentative="1">
      <w:start w:val="1"/>
      <w:numFmt w:val="bullet"/>
      <w:lvlText w:val=""/>
      <w:lvlJc w:val="left"/>
      <w:pPr>
        <w:tabs>
          <w:tab w:val="num" w:pos="3240"/>
        </w:tabs>
        <w:ind w:left="3240" w:hanging="360"/>
      </w:pPr>
      <w:rPr>
        <w:rFonts w:ascii="Wingdings" w:hAnsi="Wingdings" w:hint="default"/>
      </w:rPr>
    </w:lvl>
    <w:lvl w:ilvl="5" w:tplc="F1FA96EC" w:tentative="1">
      <w:start w:val="1"/>
      <w:numFmt w:val="bullet"/>
      <w:lvlText w:val=""/>
      <w:lvlJc w:val="left"/>
      <w:pPr>
        <w:tabs>
          <w:tab w:val="num" w:pos="3960"/>
        </w:tabs>
        <w:ind w:left="3960" w:hanging="360"/>
      </w:pPr>
      <w:rPr>
        <w:rFonts w:ascii="Wingdings" w:hAnsi="Wingdings" w:hint="default"/>
      </w:rPr>
    </w:lvl>
    <w:lvl w:ilvl="6" w:tplc="6CDA5264" w:tentative="1">
      <w:start w:val="1"/>
      <w:numFmt w:val="bullet"/>
      <w:lvlText w:val=""/>
      <w:lvlJc w:val="left"/>
      <w:pPr>
        <w:tabs>
          <w:tab w:val="num" w:pos="4680"/>
        </w:tabs>
        <w:ind w:left="4680" w:hanging="360"/>
      </w:pPr>
      <w:rPr>
        <w:rFonts w:ascii="Wingdings" w:hAnsi="Wingdings" w:hint="default"/>
      </w:rPr>
    </w:lvl>
    <w:lvl w:ilvl="7" w:tplc="4EBE5386" w:tentative="1">
      <w:start w:val="1"/>
      <w:numFmt w:val="bullet"/>
      <w:lvlText w:val=""/>
      <w:lvlJc w:val="left"/>
      <w:pPr>
        <w:tabs>
          <w:tab w:val="num" w:pos="5400"/>
        </w:tabs>
        <w:ind w:left="5400" w:hanging="360"/>
      </w:pPr>
      <w:rPr>
        <w:rFonts w:ascii="Wingdings" w:hAnsi="Wingdings" w:hint="default"/>
      </w:rPr>
    </w:lvl>
    <w:lvl w:ilvl="8" w:tplc="BF7464EA" w:tentative="1">
      <w:start w:val="1"/>
      <w:numFmt w:val="bullet"/>
      <w:lvlText w:val=""/>
      <w:lvlJc w:val="left"/>
      <w:pPr>
        <w:tabs>
          <w:tab w:val="num" w:pos="6120"/>
        </w:tabs>
        <w:ind w:left="6120" w:hanging="360"/>
      </w:pPr>
      <w:rPr>
        <w:rFonts w:ascii="Wingdings" w:hAnsi="Wingdings" w:hint="default"/>
      </w:rPr>
    </w:lvl>
  </w:abstractNum>
  <w:abstractNum w:abstractNumId="21">
    <w:nsid w:val="1C907B0F"/>
    <w:multiLevelType w:val="hybridMultilevel"/>
    <w:tmpl w:val="D86C61A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E0850F6"/>
    <w:multiLevelType w:val="hybridMultilevel"/>
    <w:tmpl w:val="8D8833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FD61388"/>
    <w:multiLevelType w:val="hybridMultilevel"/>
    <w:tmpl w:val="DA5A5B4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4DA2C412">
      <w:start w:val="3"/>
      <w:numFmt w:val="bullet"/>
      <w:lvlText w:val="-"/>
      <w:lvlJc w:val="left"/>
      <w:pPr>
        <w:ind w:left="1800" w:hanging="360"/>
      </w:pPr>
      <w:rPr>
        <w:rFonts w:ascii="Arial" w:eastAsia="Times New Roma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11B31B9"/>
    <w:multiLevelType w:val="hybridMultilevel"/>
    <w:tmpl w:val="A68E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3E0D56"/>
    <w:multiLevelType w:val="hybridMultilevel"/>
    <w:tmpl w:val="7DBA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062176">
      <w:start w:val="1"/>
      <w:numFmt w:val="bullet"/>
      <w:lvlText w:val=""/>
      <w:lvlJc w:val="left"/>
      <w:pPr>
        <w:ind w:left="2160" w:hanging="360"/>
      </w:pPr>
      <w:rPr>
        <w:rFonts w:ascii="Symbol" w:hAnsi="Symbol" w:hint="default"/>
        <w:color w:val="auto"/>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7763CB"/>
    <w:multiLevelType w:val="hybridMultilevel"/>
    <w:tmpl w:val="3B907894"/>
    <w:lvl w:ilvl="0" w:tplc="47FC194C">
      <w:start w:val="1"/>
      <w:numFmt w:val="bullet"/>
      <w:lvlText w:val=""/>
      <w:lvlJc w:val="left"/>
      <w:pPr>
        <w:tabs>
          <w:tab w:val="num" w:pos="720"/>
        </w:tabs>
        <w:ind w:left="720" w:hanging="360"/>
      </w:pPr>
      <w:rPr>
        <w:rFonts w:ascii="Wingdings" w:hAnsi="Wingdings" w:hint="default"/>
      </w:rPr>
    </w:lvl>
    <w:lvl w:ilvl="1" w:tplc="C8807F8C">
      <w:start w:val="1"/>
      <w:numFmt w:val="bullet"/>
      <w:lvlText w:val=""/>
      <w:lvlJc w:val="left"/>
      <w:pPr>
        <w:tabs>
          <w:tab w:val="num" w:pos="1440"/>
        </w:tabs>
        <w:ind w:left="1440" w:hanging="360"/>
      </w:pPr>
      <w:rPr>
        <w:rFonts w:ascii="Wingdings" w:hAnsi="Wingdings" w:hint="default"/>
      </w:rPr>
    </w:lvl>
    <w:lvl w:ilvl="2" w:tplc="B51ED498" w:tentative="1">
      <w:start w:val="1"/>
      <w:numFmt w:val="bullet"/>
      <w:lvlText w:val=""/>
      <w:lvlJc w:val="left"/>
      <w:pPr>
        <w:tabs>
          <w:tab w:val="num" w:pos="2160"/>
        </w:tabs>
        <w:ind w:left="2160" w:hanging="360"/>
      </w:pPr>
      <w:rPr>
        <w:rFonts w:ascii="Wingdings" w:hAnsi="Wingdings" w:hint="default"/>
      </w:rPr>
    </w:lvl>
    <w:lvl w:ilvl="3" w:tplc="74F08D8E" w:tentative="1">
      <w:start w:val="1"/>
      <w:numFmt w:val="bullet"/>
      <w:lvlText w:val=""/>
      <w:lvlJc w:val="left"/>
      <w:pPr>
        <w:tabs>
          <w:tab w:val="num" w:pos="2880"/>
        </w:tabs>
        <w:ind w:left="2880" w:hanging="360"/>
      </w:pPr>
      <w:rPr>
        <w:rFonts w:ascii="Wingdings" w:hAnsi="Wingdings" w:hint="default"/>
      </w:rPr>
    </w:lvl>
    <w:lvl w:ilvl="4" w:tplc="29F28A86" w:tentative="1">
      <w:start w:val="1"/>
      <w:numFmt w:val="bullet"/>
      <w:lvlText w:val=""/>
      <w:lvlJc w:val="left"/>
      <w:pPr>
        <w:tabs>
          <w:tab w:val="num" w:pos="3600"/>
        </w:tabs>
        <w:ind w:left="3600" w:hanging="360"/>
      </w:pPr>
      <w:rPr>
        <w:rFonts w:ascii="Wingdings" w:hAnsi="Wingdings" w:hint="default"/>
      </w:rPr>
    </w:lvl>
    <w:lvl w:ilvl="5" w:tplc="BB6CBFCC" w:tentative="1">
      <w:start w:val="1"/>
      <w:numFmt w:val="bullet"/>
      <w:lvlText w:val=""/>
      <w:lvlJc w:val="left"/>
      <w:pPr>
        <w:tabs>
          <w:tab w:val="num" w:pos="4320"/>
        </w:tabs>
        <w:ind w:left="4320" w:hanging="360"/>
      </w:pPr>
      <w:rPr>
        <w:rFonts w:ascii="Wingdings" w:hAnsi="Wingdings" w:hint="default"/>
      </w:rPr>
    </w:lvl>
    <w:lvl w:ilvl="6" w:tplc="7DCC82DE" w:tentative="1">
      <w:start w:val="1"/>
      <w:numFmt w:val="bullet"/>
      <w:lvlText w:val=""/>
      <w:lvlJc w:val="left"/>
      <w:pPr>
        <w:tabs>
          <w:tab w:val="num" w:pos="5040"/>
        </w:tabs>
        <w:ind w:left="5040" w:hanging="360"/>
      </w:pPr>
      <w:rPr>
        <w:rFonts w:ascii="Wingdings" w:hAnsi="Wingdings" w:hint="default"/>
      </w:rPr>
    </w:lvl>
    <w:lvl w:ilvl="7" w:tplc="F08A772E" w:tentative="1">
      <w:start w:val="1"/>
      <w:numFmt w:val="bullet"/>
      <w:lvlText w:val=""/>
      <w:lvlJc w:val="left"/>
      <w:pPr>
        <w:tabs>
          <w:tab w:val="num" w:pos="5760"/>
        </w:tabs>
        <w:ind w:left="5760" w:hanging="360"/>
      </w:pPr>
      <w:rPr>
        <w:rFonts w:ascii="Wingdings" w:hAnsi="Wingdings" w:hint="default"/>
      </w:rPr>
    </w:lvl>
    <w:lvl w:ilvl="8" w:tplc="83721A90" w:tentative="1">
      <w:start w:val="1"/>
      <w:numFmt w:val="bullet"/>
      <w:lvlText w:val=""/>
      <w:lvlJc w:val="left"/>
      <w:pPr>
        <w:tabs>
          <w:tab w:val="num" w:pos="6480"/>
        </w:tabs>
        <w:ind w:left="6480" w:hanging="360"/>
      </w:pPr>
      <w:rPr>
        <w:rFonts w:ascii="Wingdings" w:hAnsi="Wingdings" w:hint="default"/>
      </w:rPr>
    </w:lvl>
  </w:abstractNum>
  <w:abstractNum w:abstractNumId="27">
    <w:nsid w:val="228B726C"/>
    <w:multiLevelType w:val="hybridMultilevel"/>
    <w:tmpl w:val="E6501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0D2E44"/>
    <w:multiLevelType w:val="hybridMultilevel"/>
    <w:tmpl w:val="494073CA"/>
    <w:lvl w:ilvl="0" w:tplc="F4DA1A8A">
      <w:start w:val="1"/>
      <w:numFmt w:val="decimal"/>
      <w:lvlText w:val="%1."/>
      <w:lvlJc w:val="center"/>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335F9B"/>
    <w:multiLevelType w:val="hybridMultilevel"/>
    <w:tmpl w:val="7CB49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7101F1"/>
    <w:multiLevelType w:val="hybridMultilevel"/>
    <w:tmpl w:val="3AE6FBD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B2D0E68"/>
    <w:multiLevelType w:val="hybridMultilevel"/>
    <w:tmpl w:val="CEB8002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4DA2C412">
      <w:start w:val="3"/>
      <w:numFmt w:val="bullet"/>
      <w:lvlText w:val="-"/>
      <w:lvlJc w:val="left"/>
      <w:pPr>
        <w:ind w:left="1800" w:hanging="360"/>
      </w:pPr>
      <w:rPr>
        <w:rFonts w:ascii="Arial" w:eastAsia="Times New Roma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20D4766"/>
    <w:multiLevelType w:val="hybridMultilevel"/>
    <w:tmpl w:val="A2365F7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30F0897"/>
    <w:multiLevelType w:val="hybridMultilevel"/>
    <w:tmpl w:val="0DBADE14"/>
    <w:lvl w:ilvl="0" w:tplc="F2EA9A7C">
      <w:numFmt w:val="bullet"/>
      <w:lvlText w:val="-"/>
      <w:lvlJc w:val="left"/>
      <w:pPr>
        <w:ind w:left="720" w:hanging="360"/>
      </w:pPr>
      <w:rPr>
        <w:rFonts w:ascii="Century Gothic" w:eastAsia="Times New Roman" w:hAnsi="Century Gothic" w:cs="Arial" w:hint="default"/>
        <w:color w:val="000000" w:themeColor="dark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F87427"/>
    <w:multiLevelType w:val="hybridMultilevel"/>
    <w:tmpl w:val="845C4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F205B0"/>
    <w:multiLevelType w:val="hybridMultilevel"/>
    <w:tmpl w:val="83640B24"/>
    <w:lvl w:ilvl="0" w:tplc="23DC00A0">
      <w:start w:val="1"/>
      <w:numFmt w:val="decimal"/>
      <w:lvlText w:val="%1."/>
      <w:lvlJc w:val="center"/>
      <w:pPr>
        <w:ind w:left="504" w:hanging="360"/>
      </w:pPr>
      <w:rPr>
        <w:rFonts w:hint="default"/>
      </w:rPr>
    </w:lvl>
    <w:lvl w:ilvl="1" w:tplc="D4681940">
      <w:start w:val="1"/>
      <w:numFmt w:val="decimal"/>
      <w:lvlText w:val="%2."/>
      <w:lvlJc w:val="left"/>
      <w:pPr>
        <w:ind w:left="1224" w:hanging="360"/>
      </w:pPr>
      <w:rPr>
        <w:rFonts w:ascii="Arial" w:eastAsia="Times New Roman" w:hAnsi="Arial" w:cs="Arial" w:hint="default"/>
      </w:r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nsid w:val="3DC324CA"/>
    <w:multiLevelType w:val="hybridMultilevel"/>
    <w:tmpl w:val="95F691B6"/>
    <w:lvl w:ilvl="0" w:tplc="7C6EE960">
      <w:start w:val="1"/>
      <w:numFmt w:val="decimal"/>
      <w:lvlText w:val="(%1)"/>
      <w:lvlJc w:val="left"/>
      <w:pPr>
        <w:ind w:left="1056" w:hanging="69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F2604B"/>
    <w:multiLevelType w:val="hybridMultilevel"/>
    <w:tmpl w:val="CB8A1AA8"/>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482D3D2C"/>
    <w:multiLevelType w:val="multilevel"/>
    <w:tmpl w:val="DACEB5EE"/>
    <w:lvl w:ilvl="0">
      <w:start w:val="1"/>
      <w:numFmt w:val="decimal"/>
      <w:lvlText w:val="%1)"/>
      <w:lvlJc w:val="left"/>
      <w:pPr>
        <w:ind w:left="1800" w:hanging="360"/>
      </w:pPr>
    </w:lvl>
    <w:lvl w:ilvl="1">
      <w:start w:val="1"/>
      <w:numFmt w:val="lowerLetter"/>
      <w:lvlText w:val="%2."/>
      <w:lvlJc w:val="left"/>
      <w:pPr>
        <w:ind w:left="2160" w:hanging="360"/>
      </w:pPr>
      <w:rPr>
        <w:rFonts w:ascii="Times New Roman" w:hAnsi="Times New Roman" w:cs="Times New Roman" w:hint="default"/>
        <w:b w:val="0"/>
        <w:i w:val="0"/>
        <w:sz w:val="24"/>
      </w:r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9">
    <w:nsid w:val="4B802414"/>
    <w:multiLevelType w:val="hybridMultilevel"/>
    <w:tmpl w:val="843ECCBC"/>
    <w:lvl w:ilvl="0" w:tplc="D828373E">
      <w:start w:val="1"/>
      <w:numFmt w:val="decimal"/>
      <w:lvlText w:val="%1."/>
      <w:lvlJc w:val="center"/>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5E59DC"/>
    <w:multiLevelType w:val="hybridMultilevel"/>
    <w:tmpl w:val="4CA490F0"/>
    <w:lvl w:ilvl="0" w:tplc="F4DA1A8A">
      <w:start w:val="1"/>
      <w:numFmt w:val="decimal"/>
      <w:lvlText w:val="%1."/>
      <w:lvlJc w:val="center"/>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525174"/>
    <w:multiLevelType w:val="hybridMultilevel"/>
    <w:tmpl w:val="15D83CEA"/>
    <w:lvl w:ilvl="0" w:tplc="04090005">
      <w:start w:val="1"/>
      <w:numFmt w:val="bullet"/>
      <w:lvlText w:val=""/>
      <w:lvlJc w:val="left"/>
      <w:pPr>
        <w:ind w:left="360" w:hanging="360"/>
      </w:pPr>
      <w:rPr>
        <w:rFonts w:ascii="Wingdings" w:hAnsi="Wingdings" w:hint="default"/>
      </w:rPr>
    </w:lvl>
    <w:lvl w:ilvl="1" w:tplc="F1062176">
      <w:start w:val="1"/>
      <w:numFmt w:val="bullet"/>
      <w:lvlText w:val=""/>
      <w:lvlJc w:val="left"/>
      <w:pPr>
        <w:ind w:left="1080" w:hanging="360"/>
      </w:pPr>
      <w:rPr>
        <w:rFonts w:ascii="Symbol" w:hAnsi="Symbol" w:hint="default"/>
        <w:color w:val="auto"/>
        <w:sz w:val="24"/>
      </w:rPr>
    </w:lvl>
    <w:lvl w:ilvl="2" w:tplc="0409000D">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2BD7640"/>
    <w:multiLevelType w:val="hybridMultilevel"/>
    <w:tmpl w:val="A1AE0B4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4F20DF5"/>
    <w:multiLevelType w:val="hybridMultilevel"/>
    <w:tmpl w:val="5E94B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E4388C"/>
    <w:multiLevelType w:val="hybridMultilevel"/>
    <w:tmpl w:val="4AB4312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6F52A39"/>
    <w:multiLevelType w:val="hybridMultilevel"/>
    <w:tmpl w:val="F9CA6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DAC6312"/>
    <w:multiLevelType w:val="hybridMultilevel"/>
    <w:tmpl w:val="EEACD27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nsid w:val="5DD4480D"/>
    <w:multiLevelType w:val="hybridMultilevel"/>
    <w:tmpl w:val="C5A619CC"/>
    <w:lvl w:ilvl="0" w:tplc="4DA2C41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4DA2C412">
      <w:start w:val="3"/>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D452DA"/>
    <w:multiLevelType w:val="hybridMultilevel"/>
    <w:tmpl w:val="6AC80DC0"/>
    <w:lvl w:ilvl="0" w:tplc="0409000F">
      <w:start w:val="1"/>
      <w:numFmt w:val="decimal"/>
      <w:lvlText w:val="%1."/>
      <w:lvlJc w:val="left"/>
      <w:pPr>
        <w:ind w:left="158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1E83D22"/>
    <w:multiLevelType w:val="hybridMultilevel"/>
    <w:tmpl w:val="E8267BD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2C60B72"/>
    <w:multiLevelType w:val="hybridMultilevel"/>
    <w:tmpl w:val="9724AA34"/>
    <w:lvl w:ilvl="0" w:tplc="B18A74A0">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B18A74A0">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2E68F1"/>
    <w:multiLevelType w:val="hybridMultilevel"/>
    <w:tmpl w:val="8DEADBBA"/>
    <w:lvl w:ilvl="0" w:tplc="DA28F280">
      <w:start w:val="1"/>
      <w:numFmt w:val="upperLetter"/>
      <w:pStyle w:val="SectionSubheading"/>
      <w:lvlText w:val="%1."/>
      <w:lvlJc w:val="left"/>
      <w:pPr>
        <w:tabs>
          <w:tab w:val="num" w:pos="360"/>
        </w:tabs>
        <w:ind w:left="288" w:hanging="288"/>
      </w:pPr>
      <w:rPr>
        <w:rFonts w:ascii="Tahoma" w:hAnsi="Tahoma" w:hint="default"/>
        <w:b/>
        <w:i w:val="0"/>
        <w:color w:val="auto"/>
        <w:sz w:val="24"/>
      </w:rPr>
    </w:lvl>
    <w:lvl w:ilvl="1" w:tplc="23DC00A0">
      <w:start w:val="1"/>
      <w:numFmt w:val="decimal"/>
      <w:lvlText w:val="%2."/>
      <w:lvlJc w:val="center"/>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A3C4B0D"/>
    <w:multiLevelType w:val="hybridMultilevel"/>
    <w:tmpl w:val="7E8E736E"/>
    <w:lvl w:ilvl="0" w:tplc="9B4C627A">
      <w:start w:val="1"/>
      <w:numFmt w:val="lowerLetter"/>
      <w:lvlText w:val="%1."/>
      <w:lvlJc w:val="left"/>
      <w:pPr>
        <w:ind w:left="1440" w:hanging="360"/>
      </w:pPr>
      <w:rPr>
        <w:b w:val="0"/>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B4F049F"/>
    <w:multiLevelType w:val="hybridMultilevel"/>
    <w:tmpl w:val="F74E0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12C6BD7"/>
    <w:multiLevelType w:val="hybridMultilevel"/>
    <w:tmpl w:val="C9FED2B8"/>
    <w:lvl w:ilvl="0" w:tplc="19424EDC">
      <w:start w:val="1"/>
      <w:numFmt w:val="decimal"/>
      <w:lvlText w:val="%1."/>
      <w:lvlJc w:val="center"/>
      <w:pPr>
        <w:ind w:left="7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A2117F"/>
    <w:multiLevelType w:val="hybridMultilevel"/>
    <w:tmpl w:val="842859B2"/>
    <w:lvl w:ilvl="0" w:tplc="2CBEFA78">
      <w:start w:val="1"/>
      <w:numFmt w:val="decimal"/>
      <w:lvlText w:val="%1."/>
      <w:lvlJc w:val="left"/>
      <w:pPr>
        <w:tabs>
          <w:tab w:val="num" w:pos="1080"/>
        </w:tabs>
        <w:ind w:left="1080" w:hanging="360"/>
      </w:pPr>
      <w:rPr>
        <w:rFonts w:hint="default"/>
        <w:b w:val="0"/>
      </w:rPr>
    </w:lvl>
    <w:lvl w:ilvl="1" w:tplc="953CA25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6D7706D"/>
    <w:multiLevelType w:val="hybridMultilevel"/>
    <w:tmpl w:val="C2C0C2F0"/>
    <w:lvl w:ilvl="0" w:tplc="4DA2C41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4DA2C412">
      <w:start w:val="3"/>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C0719B"/>
    <w:multiLevelType w:val="hybridMultilevel"/>
    <w:tmpl w:val="48A2D2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7E4B546C"/>
    <w:multiLevelType w:val="hybridMultilevel"/>
    <w:tmpl w:val="D3F85BA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4DA2C412">
      <w:start w:val="3"/>
      <w:numFmt w:val="bullet"/>
      <w:lvlText w:val="-"/>
      <w:lvlJc w:val="left"/>
      <w:pPr>
        <w:ind w:left="1800" w:hanging="360"/>
      </w:pPr>
      <w:rPr>
        <w:rFonts w:ascii="Arial" w:eastAsia="Times New Roman"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9E1D08"/>
    <w:multiLevelType w:val="hybridMultilevel"/>
    <w:tmpl w:val="8AB6E0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51"/>
  </w:num>
  <w:num w:numId="3">
    <w:abstractNumId w:val="29"/>
  </w:num>
  <w:num w:numId="4">
    <w:abstractNumId w:val="26"/>
  </w:num>
  <w:num w:numId="5">
    <w:abstractNumId w:val="20"/>
  </w:num>
  <w:num w:numId="6">
    <w:abstractNumId w:val="4"/>
  </w:num>
  <w:num w:numId="7">
    <w:abstractNumId w:val="46"/>
  </w:num>
  <w:num w:numId="8">
    <w:abstractNumId w:val="35"/>
  </w:num>
  <w:num w:numId="9">
    <w:abstractNumId w:val="14"/>
  </w:num>
  <w:num w:numId="10">
    <w:abstractNumId w:val="11"/>
  </w:num>
  <w:num w:numId="11">
    <w:abstractNumId w:val="44"/>
  </w:num>
  <w:num w:numId="12">
    <w:abstractNumId w:val="3"/>
  </w:num>
  <w:num w:numId="13">
    <w:abstractNumId w:val="39"/>
  </w:num>
  <w:num w:numId="14">
    <w:abstractNumId w:val="28"/>
  </w:num>
  <w:num w:numId="15">
    <w:abstractNumId w:val="40"/>
  </w:num>
  <w:num w:numId="16">
    <w:abstractNumId w:val="10"/>
  </w:num>
  <w:num w:numId="17">
    <w:abstractNumId w:val="36"/>
  </w:num>
  <w:num w:numId="18">
    <w:abstractNumId w:val="50"/>
  </w:num>
  <w:num w:numId="19">
    <w:abstractNumId w:val="12"/>
  </w:num>
  <w:num w:numId="20">
    <w:abstractNumId w:val="32"/>
  </w:num>
  <w:num w:numId="21">
    <w:abstractNumId w:val="37"/>
  </w:num>
  <w:num w:numId="22">
    <w:abstractNumId w:val="18"/>
  </w:num>
  <w:num w:numId="23">
    <w:abstractNumId w:val="54"/>
  </w:num>
  <w:num w:numId="24">
    <w:abstractNumId w:val="42"/>
  </w:num>
  <w:num w:numId="25">
    <w:abstractNumId w:val="2"/>
  </w:num>
  <w:num w:numId="26">
    <w:abstractNumId w:val="19"/>
  </w:num>
  <w:num w:numId="27">
    <w:abstractNumId w:val="49"/>
  </w:num>
  <w:num w:numId="28">
    <w:abstractNumId w:val="5"/>
  </w:num>
  <w:num w:numId="29">
    <w:abstractNumId w:val="43"/>
  </w:num>
  <w:num w:numId="30">
    <w:abstractNumId w:val="55"/>
  </w:num>
  <w:num w:numId="31">
    <w:abstractNumId w:val="9"/>
  </w:num>
  <w:num w:numId="32">
    <w:abstractNumId w:val="6"/>
  </w:num>
  <w:num w:numId="33">
    <w:abstractNumId w:val="0"/>
  </w:num>
  <w:num w:numId="34">
    <w:abstractNumId w:val="47"/>
  </w:num>
  <w:num w:numId="35">
    <w:abstractNumId w:val="56"/>
  </w:num>
  <w:num w:numId="36">
    <w:abstractNumId w:val="15"/>
  </w:num>
  <w:num w:numId="37">
    <w:abstractNumId w:val="8"/>
  </w:num>
  <w:num w:numId="38">
    <w:abstractNumId w:val="17"/>
  </w:num>
  <w:num w:numId="39">
    <w:abstractNumId w:val="33"/>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3"/>
  </w:num>
  <w:num w:numId="44">
    <w:abstractNumId w:val="13"/>
  </w:num>
  <w:num w:numId="45">
    <w:abstractNumId w:val="31"/>
  </w:num>
  <w:num w:numId="46">
    <w:abstractNumId w:val="58"/>
  </w:num>
  <w:num w:numId="47">
    <w:abstractNumId w:val="41"/>
  </w:num>
  <w:num w:numId="48">
    <w:abstractNumId w:val="34"/>
  </w:num>
  <w:num w:numId="49">
    <w:abstractNumId w:val="24"/>
  </w:num>
  <w:num w:numId="50">
    <w:abstractNumId w:val="25"/>
  </w:num>
  <w:num w:numId="51">
    <w:abstractNumId w:val="48"/>
  </w:num>
  <w:num w:numId="52">
    <w:abstractNumId w:val="38"/>
  </w:num>
  <w:num w:numId="53">
    <w:abstractNumId w:val="41"/>
  </w:num>
  <w:num w:numId="54">
    <w:abstractNumId w:val="31"/>
  </w:num>
  <w:num w:numId="55">
    <w:abstractNumId w:val="23"/>
  </w:num>
  <w:num w:numId="56">
    <w:abstractNumId w:val="53"/>
  </w:num>
  <w:num w:numId="57">
    <w:abstractNumId w:val="21"/>
  </w:num>
  <w:num w:numId="58">
    <w:abstractNumId w:val="52"/>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57"/>
  </w:num>
  <w:num w:numId="63">
    <w:abstractNumId w:val="30"/>
  </w:num>
  <w:num w:numId="64">
    <w:abstractNumId w:val="45"/>
  </w:num>
  <w:num w:numId="65">
    <w:abstractNumId w:val="16"/>
  </w:num>
  <w:num w:numId="66">
    <w:abstractNumId w:val="1"/>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eman, Barbara (DSHS/ALTSA/HCS)">
    <w15:presenceInfo w15:providerId="AD" w15:userId="S-1-5-21-2431200171-2229045319-550352214-98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F7"/>
    <w:rsid w:val="00003273"/>
    <w:rsid w:val="00004DFF"/>
    <w:rsid w:val="000064BA"/>
    <w:rsid w:val="00020B95"/>
    <w:rsid w:val="0003323A"/>
    <w:rsid w:val="00066B87"/>
    <w:rsid w:val="000705C2"/>
    <w:rsid w:val="00074173"/>
    <w:rsid w:val="00083918"/>
    <w:rsid w:val="00083D35"/>
    <w:rsid w:val="00084623"/>
    <w:rsid w:val="000922DA"/>
    <w:rsid w:val="000A5E01"/>
    <w:rsid w:val="000A7178"/>
    <w:rsid w:val="000B08E3"/>
    <w:rsid w:val="000C4B0A"/>
    <w:rsid w:val="000D2053"/>
    <w:rsid w:val="000E4786"/>
    <w:rsid w:val="000E6FD3"/>
    <w:rsid w:val="000F3287"/>
    <w:rsid w:val="000F4983"/>
    <w:rsid w:val="000F6C1D"/>
    <w:rsid w:val="001102E4"/>
    <w:rsid w:val="0011591D"/>
    <w:rsid w:val="001410DC"/>
    <w:rsid w:val="00142193"/>
    <w:rsid w:val="00161336"/>
    <w:rsid w:val="00183F86"/>
    <w:rsid w:val="00190C98"/>
    <w:rsid w:val="001A7600"/>
    <w:rsid w:val="001B2A85"/>
    <w:rsid w:val="001B7D18"/>
    <w:rsid w:val="001D2C9F"/>
    <w:rsid w:val="001E0509"/>
    <w:rsid w:val="001E1455"/>
    <w:rsid w:val="001F53C2"/>
    <w:rsid w:val="00203DB3"/>
    <w:rsid w:val="002040CA"/>
    <w:rsid w:val="00207C54"/>
    <w:rsid w:val="0021431C"/>
    <w:rsid w:val="00214568"/>
    <w:rsid w:val="00217A9C"/>
    <w:rsid w:val="00223083"/>
    <w:rsid w:val="00237E53"/>
    <w:rsid w:val="00252E8C"/>
    <w:rsid w:val="00280B33"/>
    <w:rsid w:val="00282EFA"/>
    <w:rsid w:val="002976FD"/>
    <w:rsid w:val="002A6205"/>
    <w:rsid w:val="002B2750"/>
    <w:rsid w:val="002B731E"/>
    <w:rsid w:val="00300996"/>
    <w:rsid w:val="003075C5"/>
    <w:rsid w:val="00323FF9"/>
    <w:rsid w:val="003316D5"/>
    <w:rsid w:val="003362B2"/>
    <w:rsid w:val="003522B6"/>
    <w:rsid w:val="003604D2"/>
    <w:rsid w:val="00363416"/>
    <w:rsid w:val="00366B1F"/>
    <w:rsid w:val="00370C47"/>
    <w:rsid w:val="003777E4"/>
    <w:rsid w:val="00384478"/>
    <w:rsid w:val="00391C70"/>
    <w:rsid w:val="00393A1A"/>
    <w:rsid w:val="003B256E"/>
    <w:rsid w:val="003B2826"/>
    <w:rsid w:val="003B668B"/>
    <w:rsid w:val="003C0395"/>
    <w:rsid w:val="003C4DF3"/>
    <w:rsid w:val="003D279E"/>
    <w:rsid w:val="003E4EF7"/>
    <w:rsid w:val="003F070C"/>
    <w:rsid w:val="003F1E2B"/>
    <w:rsid w:val="003F6FEB"/>
    <w:rsid w:val="00427E80"/>
    <w:rsid w:val="00430723"/>
    <w:rsid w:val="00431FD5"/>
    <w:rsid w:val="00440044"/>
    <w:rsid w:val="00447164"/>
    <w:rsid w:val="004533B2"/>
    <w:rsid w:val="00453CB2"/>
    <w:rsid w:val="00454CAA"/>
    <w:rsid w:val="00463C80"/>
    <w:rsid w:val="00467971"/>
    <w:rsid w:val="00470F23"/>
    <w:rsid w:val="00476539"/>
    <w:rsid w:val="00484C4E"/>
    <w:rsid w:val="004A0499"/>
    <w:rsid w:val="004B355B"/>
    <w:rsid w:val="004C536B"/>
    <w:rsid w:val="004D0203"/>
    <w:rsid w:val="004D4612"/>
    <w:rsid w:val="004E57AB"/>
    <w:rsid w:val="00501E69"/>
    <w:rsid w:val="00507438"/>
    <w:rsid w:val="0052007B"/>
    <w:rsid w:val="00520839"/>
    <w:rsid w:val="0052483D"/>
    <w:rsid w:val="005266C3"/>
    <w:rsid w:val="00540629"/>
    <w:rsid w:val="005548AC"/>
    <w:rsid w:val="00561283"/>
    <w:rsid w:val="0056147D"/>
    <w:rsid w:val="00574A3E"/>
    <w:rsid w:val="00575063"/>
    <w:rsid w:val="00577064"/>
    <w:rsid w:val="00596B4A"/>
    <w:rsid w:val="005A45B0"/>
    <w:rsid w:val="005B07E7"/>
    <w:rsid w:val="005B0C00"/>
    <w:rsid w:val="005B3DC9"/>
    <w:rsid w:val="005D535F"/>
    <w:rsid w:val="005D6179"/>
    <w:rsid w:val="005E1792"/>
    <w:rsid w:val="00601344"/>
    <w:rsid w:val="00627ABD"/>
    <w:rsid w:val="006307F2"/>
    <w:rsid w:val="006362B3"/>
    <w:rsid w:val="00641052"/>
    <w:rsid w:val="00653ED8"/>
    <w:rsid w:val="006657DF"/>
    <w:rsid w:val="00685094"/>
    <w:rsid w:val="006856D5"/>
    <w:rsid w:val="00691D32"/>
    <w:rsid w:val="0069518E"/>
    <w:rsid w:val="00696ED7"/>
    <w:rsid w:val="006A1814"/>
    <w:rsid w:val="006A21F9"/>
    <w:rsid w:val="006B3A95"/>
    <w:rsid w:val="006B543A"/>
    <w:rsid w:val="006C6CB5"/>
    <w:rsid w:val="006D1BC9"/>
    <w:rsid w:val="006D33CE"/>
    <w:rsid w:val="006D3F51"/>
    <w:rsid w:val="006F29F0"/>
    <w:rsid w:val="00701097"/>
    <w:rsid w:val="00717E8A"/>
    <w:rsid w:val="00722648"/>
    <w:rsid w:val="007257F8"/>
    <w:rsid w:val="00747B30"/>
    <w:rsid w:val="00755EDA"/>
    <w:rsid w:val="0076660B"/>
    <w:rsid w:val="00774053"/>
    <w:rsid w:val="00776C31"/>
    <w:rsid w:val="00785C20"/>
    <w:rsid w:val="00787DEC"/>
    <w:rsid w:val="007A7A8A"/>
    <w:rsid w:val="007B0B3A"/>
    <w:rsid w:val="007B2957"/>
    <w:rsid w:val="007C1F9F"/>
    <w:rsid w:val="00804046"/>
    <w:rsid w:val="00804B58"/>
    <w:rsid w:val="008119FE"/>
    <w:rsid w:val="00821004"/>
    <w:rsid w:val="00830F9C"/>
    <w:rsid w:val="00835989"/>
    <w:rsid w:val="00840095"/>
    <w:rsid w:val="0084054E"/>
    <w:rsid w:val="00857A0D"/>
    <w:rsid w:val="00870ED8"/>
    <w:rsid w:val="00873325"/>
    <w:rsid w:val="0088012B"/>
    <w:rsid w:val="00883A00"/>
    <w:rsid w:val="008873BE"/>
    <w:rsid w:val="00894213"/>
    <w:rsid w:val="008A2E70"/>
    <w:rsid w:val="008A4C18"/>
    <w:rsid w:val="008E761B"/>
    <w:rsid w:val="008E7673"/>
    <w:rsid w:val="008F2EEA"/>
    <w:rsid w:val="008F3661"/>
    <w:rsid w:val="009030CD"/>
    <w:rsid w:val="00903FF4"/>
    <w:rsid w:val="00912FCD"/>
    <w:rsid w:val="00921D9B"/>
    <w:rsid w:val="009325F9"/>
    <w:rsid w:val="0094101E"/>
    <w:rsid w:val="009515CA"/>
    <w:rsid w:val="00953296"/>
    <w:rsid w:val="0095466C"/>
    <w:rsid w:val="009556B2"/>
    <w:rsid w:val="00961734"/>
    <w:rsid w:val="0097701E"/>
    <w:rsid w:val="00980E38"/>
    <w:rsid w:val="009862C2"/>
    <w:rsid w:val="00986D0E"/>
    <w:rsid w:val="009B7EF3"/>
    <w:rsid w:val="009C57D1"/>
    <w:rsid w:val="009C726F"/>
    <w:rsid w:val="009D1A3B"/>
    <w:rsid w:val="009E2999"/>
    <w:rsid w:val="009E5295"/>
    <w:rsid w:val="009E5874"/>
    <w:rsid w:val="009F1F24"/>
    <w:rsid w:val="009F5D68"/>
    <w:rsid w:val="00A02177"/>
    <w:rsid w:val="00A036C5"/>
    <w:rsid w:val="00A17649"/>
    <w:rsid w:val="00A23C9E"/>
    <w:rsid w:val="00A2624A"/>
    <w:rsid w:val="00A26CA5"/>
    <w:rsid w:val="00A30D82"/>
    <w:rsid w:val="00A34A4C"/>
    <w:rsid w:val="00A37249"/>
    <w:rsid w:val="00A470E6"/>
    <w:rsid w:val="00A5276C"/>
    <w:rsid w:val="00A7787F"/>
    <w:rsid w:val="00A805B7"/>
    <w:rsid w:val="00A845C8"/>
    <w:rsid w:val="00A9048B"/>
    <w:rsid w:val="00A912D1"/>
    <w:rsid w:val="00A9234B"/>
    <w:rsid w:val="00A977FE"/>
    <w:rsid w:val="00AA1649"/>
    <w:rsid w:val="00AA2379"/>
    <w:rsid w:val="00AA3D1F"/>
    <w:rsid w:val="00AC3663"/>
    <w:rsid w:val="00AC467A"/>
    <w:rsid w:val="00AD3198"/>
    <w:rsid w:val="00AE6B7E"/>
    <w:rsid w:val="00AF677C"/>
    <w:rsid w:val="00B0577D"/>
    <w:rsid w:val="00B24A0A"/>
    <w:rsid w:val="00B31B97"/>
    <w:rsid w:val="00B36B86"/>
    <w:rsid w:val="00B467AC"/>
    <w:rsid w:val="00B874FA"/>
    <w:rsid w:val="00B90211"/>
    <w:rsid w:val="00BA1185"/>
    <w:rsid w:val="00BC0BAC"/>
    <w:rsid w:val="00BC13E9"/>
    <w:rsid w:val="00BD370B"/>
    <w:rsid w:val="00BD4C5B"/>
    <w:rsid w:val="00C319E2"/>
    <w:rsid w:val="00C52234"/>
    <w:rsid w:val="00C82351"/>
    <w:rsid w:val="00C830A0"/>
    <w:rsid w:val="00C90DAE"/>
    <w:rsid w:val="00C961E6"/>
    <w:rsid w:val="00CA0318"/>
    <w:rsid w:val="00CA4E75"/>
    <w:rsid w:val="00CB022B"/>
    <w:rsid w:val="00CB0475"/>
    <w:rsid w:val="00CB6F9B"/>
    <w:rsid w:val="00CE2B77"/>
    <w:rsid w:val="00CE344D"/>
    <w:rsid w:val="00CE5774"/>
    <w:rsid w:val="00CE5EB2"/>
    <w:rsid w:val="00CF3EB3"/>
    <w:rsid w:val="00D0607F"/>
    <w:rsid w:val="00D105D0"/>
    <w:rsid w:val="00D14B22"/>
    <w:rsid w:val="00D165AD"/>
    <w:rsid w:val="00D239D5"/>
    <w:rsid w:val="00D36B26"/>
    <w:rsid w:val="00D514C3"/>
    <w:rsid w:val="00D67C66"/>
    <w:rsid w:val="00D74904"/>
    <w:rsid w:val="00D80BFF"/>
    <w:rsid w:val="00D83A97"/>
    <w:rsid w:val="00D90E71"/>
    <w:rsid w:val="00D97604"/>
    <w:rsid w:val="00DA14B4"/>
    <w:rsid w:val="00DA2BCA"/>
    <w:rsid w:val="00DC4AA3"/>
    <w:rsid w:val="00DC5D78"/>
    <w:rsid w:val="00DD5D52"/>
    <w:rsid w:val="00E03960"/>
    <w:rsid w:val="00E40BED"/>
    <w:rsid w:val="00E532BF"/>
    <w:rsid w:val="00E573B6"/>
    <w:rsid w:val="00E57A01"/>
    <w:rsid w:val="00E6516C"/>
    <w:rsid w:val="00E656AF"/>
    <w:rsid w:val="00E8031D"/>
    <w:rsid w:val="00E8476A"/>
    <w:rsid w:val="00EA131D"/>
    <w:rsid w:val="00EA4E9C"/>
    <w:rsid w:val="00EB024D"/>
    <w:rsid w:val="00ED0DEA"/>
    <w:rsid w:val="00ED1A64"/>
    <w:rsid w:val="00ED3988"/>
    <w:rsid w:val="00EE5467"/>
    <w:rsid w:val="00EF641D"/>
    <w:rsid w:val="00F013B0"/>
    <w:rsid w:val="00F028D5"/>
    <w:rsid w:val="00F05CA0"/>
    <w:rsid w:val="00F1177C"/>
    <w:rsid w:val="00F14C0A"/>
    <w:rsid w:val="00F212CF"/>
    <w:rsid w:val="00F30DC9"/>
    <w:rsid w:val="00F43D98"/>
    <w:rsid w:val="00F62B3E"/>
    <w:rsid w:val="00F6308E"/>
    <w:rsid w:val="00F63D5B"/>
    <w:rsid w:val="00F65D45"/>
    <w:rsid w:val="00F7383E"/>
    <w:rsid w:val="00F7597E"/>
    <w:rsid w:val="00F77F5C"/>
    <w:rsid w:val="00F8484A"/>
    <w:rsid w:val="00F95333"/>
    <w:rsid w:val="00FD2B8F"/>
    <w:rsid w:val="00FE750F"/>
    <w:rsid w:val="00FF4636"/>
    <w:rsid w:val="00FF4D41"/>
    <w:rsid w:val="00FF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4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F7"/>
    <w:rPr>
      <w:rFonts w:ascii="Arial" w:eastAsia="Times New Roman" w:hAnsi="Arial" w:cs="Times New Roman"/>
      <w:sz w:val="24"/>
      <w:szCs w:val="24"/>
    </w:rPr>
  </w:style>
  <w:style w:type="paragraph" w:styleId="Heading1">
    <w:name w:val="heading 1"/>
    <w:basedOn w:val="Normal"/>
    <w:next w:val="Normal"/>
    <w:link w:val="Heading1Char"/>
    <w:uiPriority w:val="9"/>
    <w:qFormat/>
    <w:rsid w:val="00EE5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E4EF7"/>
    <w:pPr>
      <w:keepNext/>
      <w:ind w:firstLine="360"/>
      <w:outlineLvl w:val="1"/>
    </w:pPr>
    <w:rPr>
      <w:rFonts w:cs="Arial"/>
      <w:b/>
      <w:bCs/>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D6179"/>
    <w:pPr>
      <w:numPr>
        <w:numId w:val="1"/>
      </w:numPr>
    </w:pPr>
  </w:style>
  <w:style w:type="character" w:customStyle="1" w:styleId="Heading2Char">
    <w:name w:val="Heading 2 Char"/>
    <w:basedOn w:val="DefaultParagraphFont"/>
    <w:link w:val="Heading2"/>
    <w:rsid w:val="003E4EF7"/>
    <w:rPr>
      <w:rFonts w:ascii="Arial" w:eastAsia="Times New Roman" w:hAnsi="Arial" w:cs="Arial"/>
      <w:b/>
      <w:bCs/>
      <w:i/>
      <w:color w:val="000000"/>
      <w:sz w:val="24"/>
      <w:szCs w:val="24"/>
    </w:rPr>
  </w:style>
  <w:style w:type="paragraph" w:styleId="Header">
    <w:name w:val="header"/>
    <w:basedOn w:val="Normal"/>
    <w:link w:val="HeaderChar"/>
    <w:uiPriority w:val="99"/>
    <w:rsid w:val="003E4EF7"/>
    <w:pPr>
      <w:tabs>
        <w:tab w:val="center" w:pos="4680"/>
        <w:tab w:val="right" w:pos="9360"/>
      </w:tabs>
    </w:pPr>
  </w:style>
  <w:style w:type="character" w:customStyle="1" w:styleId="HeaderChar">
    <w:name w:val="Header Char"/>
    <w:basedOn w:val="DefaultParagraphFont"/>
    <w:link w:val="Header"/>
    <w:uiPriority w:val="99"/>
    <w:rsid w:val="003E4EF7"/>
    <w:rPr>
      <w:rFonts w:ascii="Arial" w:eastAsia="Times New Roman" w:hAnsi="Arial" w:cs="Times New Roman"/>
      <w:sz w:val="24"/>
      <w:szCs w:val="24"/>
    </w:rPr>
  </w:style>
  <w:style w:type="paragraph" w:customStyle="1" w:styleId="SectionSubheading">
    <w:name w:val="Section Subheading"/>
    <w:basedOn w:val="Normal"/>
    <w:rsid w:val="003E4EF7"/>
    <w:pPr>
      <w:numPr>
        <w:numId w:val="2"/>
      </w:numPr>
    </w:pPr>
    <w:rPr>
      <w:rFonts w:ascii="Tahoma" w:hAnsi="Tahoma"/>
      <w:b/>
    </w:rPr>
  </w:style>
  <w:style w:type="character" w:styleId="Hyperlink">
    <w:name w:val="Hyperlink"/>
    <w:uiPriority w:val="99"/>
    <w:rsid w:val="00857A0D"/>
    <w:rPr>
      <w:color w:val="0000FF"/>
      <w:u w:val="single"/>
    </w:rPr>
  </w:style>
  <w:style w:type="character" w:styleId="CommentReference">
    <w:name w:val="annotation reference"/>
    <w:basedOn w:val="DefaultParagraphFont"/>
    <w:uiPriority w:val="99"/>
    <w:unhideWhenUsed/>
    <w:rsid w:val="00857A0D"/>
    <w:rPr>
      <w:sz w:val="16"/>
      <w:szCs w:val="16"/>
    </w:rPr>
  </w:style>
  <w:style w:type="paragraph" w:styleId="CommentText">
    <w:name w:val="annotation text"/>
    <w:basedOn w:val="Normal"/>
    <w:link w:val="CommentTextChar"/>
    <w:uiPriority w:val="99"/>
    <w:semiHidden/>
    <w:unhideWhenUsed/>
    <w:rsid w:val="00857A0D"/>
    <w:rPr>
      <w:sz w:val="20"/>
      <w:szCs w:val="20"/>
    </w:rPr>
  </w:style>
  <w:style w:type="character" w:customStyle="1" w:styleId="CommentTextChar">
    <w:name w:val="Comment Text Char"/>
    <w:basedOn w:val="DefaultParagraphFont"/>
    <w:link w:val="CommentText"/>
    <w:uiPriority w:val="99"/>
    <w:semiHidden/>
    <w:rsid w:val="00857A0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7A0D"/>
    <w:rPr>
      <w:b/>
      <w:bCs/>
    </w:rPr>
  </w:style>
  <w:style w:type="character" w:customStyle="1" w:styleId="CommentSubjectChar">
    <w:name w:val="Comment Subject Char"/>
    <w:basedOn w:val="CommentTextChar"/>
    <w:link w:val="CommentSubject"/>
    <w:uiPriority w:val="99"/>
    <w:semiHidden/>
    <w:rsid w:val="00857A0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57A0D"/>
    <w:rPr>
      <w:rFonts w:ascii="Tahoma" w:hAnsi="Tahoma" w:cs="Tahoma"/>
      <w:sz w:val="16"/>
      <w:szCs w:val="16"/>
    </w:rPr>
  </w:style>
  <w:style w:type="character" w:customStyle="1" w:styleId="BalloonTextChar">
    <w:name w:val="Balloon Text Char"/>
    <w:basedOn w:val="DefaultParagraphFont"/>
    <w:link w:val="BalloonText"/>
    <w:uiPriority w:val="99"/>
    <w:semiHidden/>
    <w:rsid w:val="00857A0D"/>
    <w:rPr>
      <w:rFonts w:ascii="Tahoma" w:eastAsia="Times New Roman" w:hAnsi="Tahoma" w:cs="Tahoma"/>
      <w:sz w:val="16"/>
      <w:szCs w:val="16"/>
    </w:rPr>
  </w:style>
  <w:style w:type="paragraph" w:styleId="ListParagraph">
    <w:name w:val="List Paragraph"/>
    <w:basedOn w:val="Normal"/>
    <w:uiPriority w:val="34"/>
    <w:qFormat/>
    <w:rsid w:val="00857A0D"/>
    <w:pPr>
      <w:ind w:left="720"/>
      <w:contextualSpacing/>
    </w:pPr>
  </w:style>
  <w:style w:type="paragraph" w:customStyle="1" w:styleId="TextunderSubheadingCharCharCharCharChar">
    <w:name w:val="Text under Subheading Char Char Char Char Char"/>
    <w:basedOn w:val="Normal"/>
    <w:next w:val="BlockText"/>
    <w:rsid w:val="00857A0D"/>
    <w:pPr>
      <w:overflowPunct w:val="0"/>
      <w:autoSpaceDE w:val="0"/>
      <w:autoSpaceDN w:val="0"/>
      <w:adjustRightInd w:val="0"/>
      <w:spacing w:before="120" w:after="120" w:line="220" w:lineRule="atLeast"/>
      <w:ind w:left="360"/>
      <w:textAlignment w:val="baseline"/>
    </w:pPr>
    <w:rPr>
      <w:szCs w:val="20"/>
    </w:rPr>
  </w:style>
  <w:style w:type="paragraph" w:styleId="BlockText">
    <w:name w:val="Block Text"/>
    <w:basedOn w:val="Normal"/>
    <w:rsid w:val="00857A0D"/>
    <w:pPr>
      <w:widowControl w:val="0"/>
      <w:tabs>
        <w:tab w:val="left" w:pos="0"/>
        <w:tab w:val="left" w:pos="720"/>
      </w:tabs>
      <w:suppressAutoHyphens/>
      <w:ind w:left="-576" w:right="-288" w:firstLine="288"/>
    </w:pPr>
    <w:rPr>
      <w:rFonts w:ascii="CG Times" w:hAnsi="CG Times"/>
      <w:snapToGrid w:val="0"/>
      <w:szCs w:val="20"/>
    </w:rPr>
  </w:style>
  <w:style w:type="character" w:customStyle="1" w:styleId="Heading1Char">
    <w:name w:val="Heading 1 Char"/>
    <w:basedOn w:val="DefaultParagraphFont"/>
    <w:link w:val="Heading1"/>
    <w:uiPriority w:val="9"/>
    <w:rsid w:val="00EE546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E546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604D2"/>
    <w:rPr>
      <w:color w:val="800080" w:themeColor="followedHyperlink"/>
      <w:u w:val="single"/>
    </w:rPr>
  </w:style>
  <w:style w:type="paragraph" w:customStyle="1" w:styleId="SectionHeading">
    <w:name w:val="Section Heading"/>
    <w:basedOn w:val="Normal"/>
    <w:rsid w:val="00217A9C"/>
    <w:pPr>
      <w:overflowPunct w:val="0"/>
      <w:autoSpaceDE w:val="0"/>
      <w:autoSpaceDN w:val="0"/>
      <w:adjustRightInd w:val="0"/>
      <w:textAlignment w:val="baseline"/>
    </w:pPr>
    <w:rPr>
      <w:rFonts w:ascii="Tahoma" w:hAnsi="Tahoma"/>
      <w:b/>
      <w:caps/>
      <w:sz w:val="28"/>
      <w:szCs w:val="20"/>
    </w:rPr>
  </w:style>
  <w:style w:type="paragraph" w:styleId="Footer">
    <w:name w:val="footer"/>
    <w:basedOn w:val="Normal"/>
    <w:link w:val="FooterChar"/>
    <w:uiPriority w:val="99"/>
    <w:unhideWhenUsed/>
    <w:rsid w:val="00F65D45"/>
    <w:pPr>
      <w:tabs>
        <w:tab w:val="center" w:pos="4680"/>
        <w:tab w:val="right" w:pos="9360"/>
      </w:tabs>
    </w:pPr>
  </w:style>
  <w:style w:type="character" w:customStyle="1" w:styleId="FooterChar">
    <w:name w:val="Footer Char"/>
    <w:basedOn w:val="DefaultParagraphFont"/>
    <w:link w:val="Footer"/>
    <w:uiPriority w:val="99"/>
    <w:rsid w:val="00F65D45"/>
    <w:rPr>
      <w:rFonts w:ascii="Arial" w:eastAsia="Times New Roman" w:hAnsi="Arial" w:cs="Times New Roman"/>
      <w:sz w:val="24"/>
      <w:szCs w:val="24"/>
    </w:rPr>
  </w:style>
  <w:style w:type="table" w:styleId="LightList-Accent1">
    <w:name w:val="Light List Accent 1"/>
    <w:basedOn w:val="TableNormal"/>
    <w:uiPriority w:val="61"/>
    <w:rsid w:val="00323FF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FE750F"/>
    <w:rPr>
      <w:rFonts w:ascii="Arial" w:eastAsia="Times New Roman" w:hAnsi="Arial" w:cs="Times New Roman"/>
      <w:sz w:val="24"/>
      <w:szCs w:val="24"/>
    </w:rPr>
  </w:style>
  <w:style w:type="table" w:styleId="MediumList1-Accent1">
    <w:name w:val="Medium List 1 Accent 1"/>
    <w:basedOn w:val="TableNormal"/>
    <w:uiPriority w:val="65"/>
    <w:rsid w:val="007257F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6">
    <w:name w:val="Light Shading Accent 6"/>
    <w:basedOn w:val="TableNormal"/>
    <w:uiPriority w:val="60"/>
    <w:rsid w:val="007257F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A262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30099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F7"/>
    <w:rPr>
      <w:rFonts w:ascii="Arial" w:eastAsia="Times New Roman" w:hAnsi="Arial" w:cs="Times New Roman"/>
      <w:sz w:val="24"/>
      <w:szCs w:val="24"/>
    </w:rPr>
  </w:style>
  <w:style w:type="paragraph" w:styleId="Heading1">
    <w:name w:val="heading 1"/>
    <w:basedOn w:val="Normal"/>
    <w:next w:val="Normal"/>
    <w:link w:val="Heading1Char"/>
    <w:uiPriority w:val="9"/>
    <w:qFormat/>
    <w:rsid w:val="00EE5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E4EF7"/>
    <w:pPr>
      <w:keepNext/>
      <w:ind w:firstLine="360"/>
      <w:outlineLvl w:val="1"/>
    </w:pPr>
    <w:rPr>
      <w:rFonts w:cs="Arial"/>
      <w:b/>
      <w:bCs/>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D6179"/>
    <w:pPr>
      <w:numPr>
        <w:numId w:val="1"/>
      </w:numPr>
    </w:pPr>
  </w:style>
  <w:style w:type="character" w:customStyle="1" w:styleId="Heading2Char">
    <w:name w:val="Heading 2 Char"/>
    <w:basedOn w:val="DefaultParagraphFont"/>
    <w:link w:val="Heading2"/>
    <w:rsid w:val="003E4EF7"/>
    <w:rPr>
      <w:rFonts w:ascii="Arial" w:eastAsia="Times New Roman" w:hAnsi="Arial" w:cs="Arial"/>
      <w:b/>
      <w:bCs/>
      <w:i/>
      <w:color w:val="000000"/>
      <w:sz w:val="24"/>
      <w:szCs w:val="24"/>
    </w:rPr>
  </w:style>
  <w:style w:type="paragraph" w:styleId="Header">
    <w:name w:val="header"/>
    <w:basedOn w:val="Normal"/>
    <w:link w:val="HeaderChar"/>
    <w:uiPriority w:val="99"/>
    <w:rsid w:val="003E4EF7"/>
    <w:pPr>
      <w:tabs>
        <w:tab w:val="center" w:pos="4680"/>
        <w:tab w:val="right" w:pos="9360"/>
      </w:tabs>
    </w:pPr>
  </w:style>
  <w:style w:type="character" w:customStyle="1" w:styleId="HeaderChar">
    <w:name w:val="Header Char"/>
    <w:basedOn w:val="DefaultParagraphFont"/>
    <w:link w:val="Header"/>
    <w:uiPriority w:val="99"/>
    <w:rsid w:val="003E4EF7"/>
    <w:rPr>
      <w:rFonts w:ascii="Arial" w:eastAsia="Times New Roman" w:hAnsi="Arial" w:cs="Times New Roman"/>
      <w:sz w:val="24"/>
      <w:szCs w:val="24"/>
    </w:rPr>
  </w:style>
  <w:style w:type="paragraph" w:customStyle="1" w:styleId="SectionSubheading">
    <w:name w:val="Section Subheading"/>
    <w:basedOn w:val="Normal"/>
    <w:rsid w:val="003E4EF7"/>
    <w:pPr>
      <w:numPr>
        <w:numId w:val="2"/>
      </w:numPr>
    </w:pPr>
    <w:rPr>
      <w:rFonts w:ascii="Tahoma" w:hAnsi="Tahoma"/>
      <w:b/>
    </w:rPr>
  </w:style>
  <w:style w:type="character" w:styleId="Hyperlink">
    <w:name w:val="Hyperlink"/>
    <w:uiPriority w:val="99"/>
    <w:rsid w:val="00857A0D"/>
    <w:rPr>
      <w:color w:val="0000FF"/>
      <w:u w:val="single"/>
    </w:rPr>
  </w:style>
  <w:style w:type="character" w:styleId="CommentReference">
    <w:name w:val="annotation reference"/>
    <w:basedOn w:val="DefaultParagraphFont"/>
    <w:uiPriority w:val="99"/>
    <w:unhideWhenUsed/>
    <w:rsid w:val="00857A0D"/>
    <w:rPr>
      <w:sz w:val="16"/>
      <w:szCs w:val="16"/>
    </w:rPr>
  </w:style>
  <w:style w:type="paragraph" w:styleId="CommentText">
    <w:name w:val="annotation text"/>
    <w:basedOn w:val="Normal"/>
    <w:link w:val="CommentTextChar"/>
    <w:uiPriority w:val="99"/>
    <w:semiHidden/>
    <w:unhideWhenUsed/>
    <w:rsid w:val="00857A0D"/>
    <w:rPr>
      <w:sz w:val="20"/>
      <w:szCs w:val="20"/>
    </w:rPr>
  </w:style>
  <w:style w:type="character" w:customStyle="1" w:styleId="CommentTextChar">
    <w:name w:val="Comment Text Char"/>
    <w:basedOn w:val="DefaultParagraphFont"/>
    <w:link w:val="CommentText"/>
    <w:uiPriority w:val="99"/>
    <w:semiHidden/>
    <w:rsid w:val="00857A0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7A0D"/>
    <w:rPr>
      <w:b/>
      <w:bCs/>
    </w:rPr>
  </w:style>
  <w:style w:type="character" w:customStyle="1" w:styleId="CommentSubjectChar">
    <w:name w:val="Comment Subject Char"/>
    <w:basedOn w:val="CommentTextChar"/>
    <w:link w:val="CommentSubject"/>
    <w:uiPriority w:val="99"/>
    <w:semiHidden/>
    <w:rsid w:val="00857A0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57A0D"/>
    <w:rPr>
      <w:rFonts w:ascii="Tahoma" w:hAnsi="Tahoma" w:cs="Tahoma"/>
      <w:sz w:val="16"/>
      <w:szCs w:val="16"/>
    </w:rPr>
  </w:style>
  <w:style w:type="character" w:customStyle="1" w:styleId="BalloonTextChar">
    <w:name w:val="Balloon Text Char"/>
    <w:basedOn w:val="DefaultParagraphFont"/>
    <w:link w:val="BalloonText"/>
    <w:uiPriority w:val="99"/>
    <w:semiHidden/>
    <w:rsid w:val="00857A0D"/>
    <w:rPr>
      <w:rFonts w:ascii="Tahoma" w:eastAsia="Times New Roman" w:hAnsi="Tahoma" w:cs="Tahoma"/>
      <w:sz w:val="16"/>
      <w:szCs w:val="16"/>
    </w:rPr>
  </w:style>
  <w:style w:type="paragraph" w:styleId="ListParagraph">
    <w:name w:val="List Paragraph"/>
    <w:basedOn w:val="Normal"/>
    <w:uiPriority w:val="34"/>
    <w:qFormat/>
    <w:rsid w:val="00857A0D"/>
    <w:pPr>
      <w:ind w:left="720"/>
      <w:contextualSpacing/>
    </w:pPr>
  </w:style>
  <w:style w:type="paragraph" w:customStyle="1" w:styleId="TextunderSubheadingCharCharCharCharChar">
    <w:name w:val="Text under Subheading Char Char Char Char Char"/>
    <w:basedOn w:val="Normal"/>
    <w:next w:val="BlockText"/>
    <w:rsid w:val="00857A0D"/>
    <w:pPr>
      <w:overflowPunct w:val="0"/>
      <w:autoSpaceDE w:val="0"/>
      <w:autoSpaceDN w:val="0"/>
      <w:adjustRightInd w:val="0"/>
      <w:spacing w:before="120" w:after="120" w:line="220" w:lineRule="atLeast"/>
      <w:ind w:left="360"/>
      <w:textAlignment w:val="baseline"/>
    </w:pPr>
    <w:rPr>
      <w:szCs w:val="20"/>
    </w:rPr>
  </w:style>
  <w:style w:type="paragraph" w:styleId="BlockText">
    <w:name w:val="Block Text"/>
    <w:basedOn w:val="Normal"/>
    <w:rsid w:val="00857A0D"/>
    <w:pPr>
      <w:widowControl w:val="0"/>
      <w:tabs>
        <w:tab w:val="left" w:pos="0"/>
        <w:tab w:val="left" w:pos="720"/>
      </w:tabs>
      <w:suppressAutoHyphens/>
      <w:ind w:left="-576" w:right="-288" w:firstLine="288"/>
    </w:pPr>
    <w:rPr>
      <w:rFonts w:ascii="CG Times" w:hAnsi="CG Times"/>
      <w:snapToGrid w:val="0"/>
      <w:szCs w:val="20"/>
    </w:rPr>
  </w:style>
  <w:style w:type="character" w:customStyle="1" w:styleId="Heading1Char">
    <w:name w:val="Heading 1 Char"/>
    <w:basedOn w:val="DefaultParagraphFont"/>
    <w:link w:val="Heading1"/>
    <w:uiPriority w:val="9"/>
    <w:rsid w:val="00EE546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E546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604D2"/>
    <w:rPr>
      <w:color w:val="800080" w:themeColor="followedHyperlink"/>
      <w:u w:val="single"/>
    </w:rPr>
  </w:style>
  <w:style w:type="paragraph" w:customStyle="1" w:styleId="SectionHeading">
    <w:name w:val="Section Heading"/>
    <w:basedOn w:val="Normal"/>
    <w:rsid w:val="00217A9C"/>
    <w:pPr>
      <w:overflowPunct w:val="0"/>
      <w:autoSpaceDE w:val="0"/>
      <w:autoSpaceDN w:val="0"/>
      <w:adjustRightInd w:val="0"/>
      <w:textAlignment w:val="baseline"/>
    </w:pPr>
    <w:rPr>
      <w:rFonts w:ascii="Tahoma" w:hAnsi="Tahoma"/>
      <w:b/>
      <w:caps/>
      <w:sz w:val="28"/>
      <w:szCs w:val="20"/>
    </w:rPr>
  </w:style>
  <w:style w:type="paragraph" w:styleId="Footer">
    <w:name w:val="footer"/>
    <w:basedOn w:val="Normal"/>
    <w:link w:val="FooterChar"/>
    <w:uiPriority w:val="99"/>
    <w:unhideWhenUsed/>
    <w:rsid w:val="00F65D45"/>
    <w:pPr>
      <w:tabs>
        <w:tab w:val="center" w:pos="4680"/>
        <w:tab w:val="right" w:pos="9360"/>
      </w:tabs>
    </w:pPr>
  </w:style>
  <w:style w:type="character" w:customStyle="1" w:styleId="FooterChar">
    <w:name w:val="Footer Char"/>
    <w:basedOn w:val="DefaultParagraphFont"/>
    <w:link w:val="Footer"/>
    <w:uiPriority w:val="99"/>
    <w:rsid w:val="00F65D45"/>
    <w:rPr>
      <w:rFonts w:ascii="Arial" w:eastAsia="Times New Roman" w:hAnsi="Arial" w:cs="Times New Roman"/>
      <w:sz w:val="24"/>
      <w:szCs w:val="24"/>
    </w:rPr>
  </w:style>
  <w:style w:type="table" w:styleId="LightList-Accent1">
    <w:name w:val="Light List Accent 1"/>
    <w:basedOn w:val="TableNormal"/>
    <w:uiPriority w:val="61"/>
    <w:rsid w:val="00323FF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FE750F"/>
    <w:rPr>
      <w:rFonts w:ascii="Arial" w:eastAsia="Times New Roman" w:hAnsi="Arial" w:cs="Times New Roman"/>
      <w:sz w:val="24"/>
      <w:szCs w:val="24"/>
    </w:rPr>
  </w:style>
  <w:style w:type="table" w:styleId="MediumList1-Accent1">
    <w:name w:val="Medium List 1 Accent 1"/>
    <w:basedOn w:val="TableNormal"/>
    <w:uiPriority w:val="65"/>
    <w:rsid w:val="007257F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6">
    <w:name w:val="Light Shading Accent 6"/>
    <w:basedOn w:val="TableNormal"/>
    <w:uiPriority w:val="60"/>
    <w:rsid w:val="007257F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A262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30099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91">
      <w:bodyDiv w:val="1"/>
      <w:marLeft w:val="0"/>
      <w:marRight w:val="0"/>
      <w:marTop w:val="0"/>
      <w:marBottom w:val="0"/>
      <w:divBdr>
        <w:top w:val="none" w:sz="0" w:space="0" w:color="auto"/>
        <w:left w:val="none" w:sz="0" w:space="0" w:color="auto"/>
        <w:bottom w:val="none" w:sz="0" w:space="0" w:color="auto"/>
        <w:right w:val="none" w:sz="0" w:space="0" w:color="auto"/>
      </w:divBdr>
    </w:div>
    <w:div w:id="875042914">
      <w:bodyDiv w:val="1"/>
      <w:marLeft w:val="0"/>
      <w:marRight w:val="0"/>
      <w:marTop w:val="0"/>
      <w:marBottom w:val="0"/>
      <w:divBdr>
        <w:top w:val="none" w:sz="0" w:space="0" w:color="auto"/>
        <w:left w:val="none" w:sz="0" w:space="0" w:color="auto"/>
        <w:bottom w:val="none" w:sz="0" w:space="0" w:color="auto"/>
        <w:right w:val="none" w:sz="0" w:space="0" w:color="auto"/>
      </w:divBdr>
    </w:div>
    <w:div w:id="1014235309">
      <w:bodyDiv w:val="1"/>
      <w:marLeft w:val="0"/>
      <w:marRight w:val="0"/>
      <w:marTop w:val="0"/>
      <w:marBottom w:val="0"/>
      <w:divBdr>
        <w:top w:val="none" w:sz="0" w:space="0" w:color="auto"/>
        <w:left w:val="none" w:sz="0" w:space="0" w:color="auto"/>
        <w:bottom w:val="none" w:sz="0" w:space="0" w:color="auto"/>
        <w:right w:val="none" w:sz="0" w:space="0" w:color="auto"/>
      </w:divBdr>
    </w:div>
    <w:div w:id="12263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ca.wa.gov/medicaid/eligibility/pages/standards.aspx" TargetMode="External"/><Relationship Id="rId18" Type="http://schemas.openxmlformats.org/officeDocument/2006/relationships/hyperlink" Target="https://www.dshs.wa.gov/sites/default/files/FSA/forms/pdf/14-416.pdf" TargetMode="External"/><Relationship Id="rId26" Type="http://schemas.openxmlformats.org/officeDocument/2006/relationships/hyperlink" Target="http://apps.leg.wa.gov/WAC/default.aspx?cite=388-71" TargetMode="External"/><Relationship Id="rId39" Type="http://schemas.openxmlformats.org/officeDocument/2006/relationships/hyperlink" Target="http://apps.leg.wa.gov/RCW/default.aspx?cite=18.79" TargetMode="External"/><Relationship Id="rId21" Type="http://schemas.openxmlformats.org/officeDocument/2006/relationships/hyperlink" Target="https://www.dshs.wa.gov/sites/default/files/FSA/forms/pdf/07-104.pdf" TargetMode="External"/><Relationship Id="rId34" Type="http://schemas.openxmlformats.org/officeDocument/2006/relationships/hyperlink" Target="http://intra.altsa.dshs.wa.gov/docufind/LTCManual/" TargetMode="External"/><Relationship Id="rId42" Type="http://schemas.openxmlformats.org/officeDocument/2006/relationships/image" Target="media/image1.png"/><Relationship Id="rId47" Type="http://schemas.openxmlformats.org/officeDocument/2006/relationships/hyperlink" Target="https://www.dshs.wa.gov/sites/default/files/BHSIA/dbh/Mental%20Health/Access%20to%20Care%20Standards%20v20150701.1.pdf" TargetMode="External"/><Relationship Id="rId50" Type="http://schemas.openxmlformats.org/officeDocument/2006/relationships/hyperlink" Target="http://www.dshs.wa.gov/pdf/hrsa/mh/Access_to_Care_Standards20060101.pdf" TargetMode="Externa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pps.leg.wa.gov/wac/default.aspx?cite=182-516" TargetMode="External"/><Relationship Id="rId29" Type="http://schemas.openxmlformats.org/officeDocument/2006/relationships/hyperlink" Target="http://apps.leg.wa.gov/rcw/default.aspx?cite=18.20" TargetMode="External"/><Relationship Id="rId11" Type="http://schemas.openxmlformats.org/officeDocument/2006/relationships/hyperlink" Target="http://apps.leg.wa.gov/wac/default.aspx?cite=388-828-4400" TargetMode="External"/><Relationship Id="rId24" Type="http://schemas.openxmlformats.org/officeDocument/2006/relationships/hyperlink" Target="http://intra.altsa.dshs.wa.gov/docufind/LTCManual/" TargetMode="External"/><Relationship Id="rId32" Type="http://schemas.openxmlformats.org/officeDocument/2006/relationships/hyperlink" Target="http://apps.leg.wa.gov/wac/default.aspx?cite=388-76" TargetMode="External"/><Relationship Id="rId37" Type="http://schemas.openxmlformats.org/officeDocument/2006/relationships/hyperlink" Target="http://apps.leg.wa.gov/WAC/default.aspx?cite=246-840-930" TargetMode="External"/><Relationship Id="rId40" Type="http://schemas.openxmlformats.org/officeDocument/2006/relationships/hyperlink" Target="http://apps.leg.wa.gov/RCW/default.aspx?cite=246.840" TargetMode="External"/><Relationship Id="rId45" Type="http://schemas.openxmlformats.org/officeDocument/2006/relationships/hyperlink" Target="https://www.dshs.wa.gov/sites/default/files/FSA/forms/pdf/14-225.pdf"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apps.leg.wa.gov/wac/default.aspx?cite=388-828-3080" TargetMode="External"/><Relationship Id="rId19" Type="http://schemas.openxmlformats.org/officeDocument/2006/relationships/hyperlink" Target="https://www.dshs.wa.gov/sites/default/files/FSA/forms/pdf/07-104.pdf" TargetMode="External"/><Relationship Id="rId31" Type="http://schemas.openxmlformats.org/officeDocument/2006/relationships/hyperlink" Target="http://apps.leg.wa.gov/rcw/default.aspx?cite=70.128" TargetMode="External"/><Relationship Id="rId44" Type="http://schemas.openxmlformats.org/officeDocument/2006/relationships/hyperlink" Target="http://www.hca.wa.gov/medicaid/forms/Documents/18-005.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pps.leg.wa.gov/WAC/default.aspx?cite=388-106-0355" TargetMode="External"/><Relationship Id="rId14" Type="http://schemas.openxmlformats.org/officeDocument/2006/relationships/hyperlink" Target="http://apps.leg.wa.gov/wac/default.aspx?cite=182-516" TargetMode="External"/><Relationship Id="rId22" Type="http://schemas.openxmlformats.org/officeDocument/2006/relationships/hyperlink" Target="http://asd.dshs.https:/www.dshs.wa.gov/sites/default/files/FSA/forms/pdf/07-104.pdfwa.gov/FormsMan/FormPicker.aspx" TargetMode="External"/><Relationship Id="rId27" Type="http://schemas.openxmlformats.org/officeDocument/2006/relationships/hyperlink" Target="http://apps.leg.wa.gov/RCW/default.aspx?cite=70.127" TargetMode="External"/><Relationship Id="rId30" Type="http://schemas.openxmlformats.org/officeDocument/2006/relationships/hyperlink" Target="http://apps.leg.wa.gov/wac/default.aspx?cite=388-110" TargetMode="External"/><Relationship Id="rId35" Type="http://schemas.openxmlformats.org/officeDocument/2006/relationships/hyperlink" Target="http://apps.leg.wa.gov/RCW/default.aspx?cite=70.127" TargetMode="External"/><Relationship Id="rId43" Type="http://schemas.openxmlformats.org/officeDocument/2006/relationships/image" Target="media/image2.png"/><Relationship Id="rId48" Type="http://schemas.openxmlformats.org/officeDocument/2006/relationships/hyperlink" Target="https://www.dshs.wa.gov/sites/default/files/FSA/forms/pdf/13-712.pdf"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hcrr.wa.gov/" TargetMode="External"/><Relationship Id="rId17" Type="http://schemas.openxmlformats.org/officeDocument/2006/relationships/hyperlink" Target="https://www.dshs.wa.gov/sites/default/files/FSA/forms/pdf/14-416.pdf" TargetMode="External"/><Relationship Id="rId25" Type="http://schemas.openxmlformats.org/officeDocument/2006/relationships/hyperlink" Target="http://apps.leg.wa.gov/WAC/default.aspx?cite=388-71" TargetMode="External"/><Relationship Id="rId33" Type="http://schemas.openxmlformats.org/officeDocument/2006/relationships/hyperlink" Target="http://intra.altsa.dshs.wa.gov/docufind/LTCManual/" TargetMode="External"/><Relationship Id="rId38" Type="http://schemas.openxmlformats.org/officeDocument/2006/relationships/hyperlink" Target="http://apps.leg.wa.gov/RCW/default.aspx?cite=70.127" TargetMode="External"/><Relationship Id="rId46" Type="http://schemas.openxmlformats.org/officeDocument/2006/relationships/hyperlink" Target="https://www.dshs.wa.gov/sites/default/files/FSA/forms/pdf/10-424.pdf" TargetMode="External"/><Relationship Id="rId20" Type="http://schemas.openxmlformats.org/officeDocument/2006/relationships/hyperlink" Target="https://www.dshs.wa.gov/sites/default/files/FSA/forms/pdf/14-225.pdf" TargetMode="External"/><Relationship Id="rId41" Type="http://schemas.openxmlformats.org/officeDocument/2006/relationships/hyperlink" Target="http://apps.leg.wa.gov/RCW/default.aspx?cite=18.79.040"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ca.wa.gov/medicaid/eligibility/pages/standards.aspx" TargetMode="External"/><Relationship Id="rId23" Type="http://schemas.openxmlformats.org/officeDocument/2006/relationships/hyperlink" Target="http://apps.leg.wa.gov/WAC/default.aspx?cite=388-106-0010" TargetMode="External"/><Relationship Id="rId28" Type="http://schemas.openxmlformats.org/officeDocument/2006/relationships/hyperlink" Target="http://apps.leg.wa.gov/WAC/default.aspx?cite=246-335" TargetMode="External"/><Relationship Id="rId36" Type="http://schemas.openxmlformats.org/officeDocument/2006/relationships/hyperlink" Target="http://apps.leg.wa.gov/WAC/default.aspx?cite=246-335" TargetMode="External"/><Relationship Id="rId49" Type="http://schemas.openxmlformats.org/officeDocument/2006/relationships/hyperlink" Target="http://asd.dshs.wa.gov/FormsMan/FormPick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24E4-C553-492E-90F6-91CA4149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8708</Words>
  <Characters>49639</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Rollins, Tracey (DSHS/HCS)</dc:creator>
  <cp:lastModifiedBy>Sulivan, Angel (DSHS/ADSA)</cp:lastModifiedBy>
  <cp:revision>2</cp:revision>
  <dcterms:created xsi:type="dcterms:W3CDTF">2016-01-04T18:10:00Z</dcterms:created>
  <dcterms:modified xsi:type="dcterms:W3CDTF">2016-01-04T18:10:00Z</dcterms:modified>
</cp:coreProperties>
</file>