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3ECF5" w14:textId="77777777" w:rsidR="00F253F6" w:rsidRDefault="003C39A7" w:rsidP="007676F4">
      <w:pPr>
        <w:rPr>
          <w:rFonts w:ascii="Arial" w:eastAsiaTheme="majorEastAsia" w:hAnsi="Arial" w:cstheme="majorBidi"/>
          <w:color w:val="005CAB"/>
          <w:sz w:val="44"/>
          <w:szCs w:val="32"/>
        </w:rPr>
      </w:pPr>
      <w:r w:rsidRPr="003C39A7">
        <w:rPr>
          <w:rFonts w:ascii="Arial" w:eastAsiaTheme="majorEastAsia" w:hAnsi="Arial" w:cstheme="majorBidi"/>
          <w:color w:val="005CAB"/>
          <w:sz w:val="44"/>
          <w:szCs w:val="32"/>
        </w:rPr>
        <w:t xml:space="preserve">ADMINISTRATIVE HEARINGS </w:t>
      </w:r>
    </w:p>
    <w:p w14:paraId="09C661AD" w14:textId="77777777" w:rsidR="00D8167E" w:rsidRDefault="00D8167E" w:rsidP="00D8167E">
      <w:bookmarkStart w:id="0" w:name="_Toc7600833"/>
    </w:p>
    <w:bookmarkEnd w:id="0"/>
    <w:p w14:paraId="1A9DE844" w14:textId="77777777" w:rsidR="004E12D0" w:rsidRDefault="00672549" w:rsidP="00443690">
      <w:r>
        <w:t xml:space="preserve">The purpose of this chapter is to ensure: </w:t>
      </w:r>
    </w:p>
    <w:p w14:paraId="36E437F2" w14:textId="77777777" w:rsidR="00672549" w:rsidRDefault="00672549" w:rsidP="007556AE">
      <w:pPr>
        <w:pStyle w:val="ListParagraph"/>
        <w:numPr>
          <w:ilvl w:val="0"/>
          <w:numId w:val="15"/>
        </w:numPr>
      </w:pPr>
      <w:r>
        <w:t xml:space="preserve">All persons have the right to apply for Long-term Care (LTC) services administered by the department and to: </w:t>
      </w:r>
    </w:p>
    <w:p w14:paraId="6C42FE14" w14:textId="77777777" w:rsidR="00672549" w:rsidRDefault="00672549" w:rsidP="007556AE">
      <w:pPr>
        <w:pStyle w:val="ListParagraph"/>
        <w:numPr>
          <w:ilvl w:val="0"/>
          <w:numId w:val="14"/>
        </w:numPr>
      </w:pPr>
      <w:r>
        <w:t xml:space="preserve">Have their financial and functional program eligibility correctly determined by the department; and </w:t>
      </w:r>
    </w:p>
    <w:p w14:paraId="611A23D3" w14:textId="77777777" w:rsidR="00590113" w:rsidRDefault="00672549" w:rsidP="007556AE">
      <w:pPr>
        <w:pStyle w:val="ListParagraph"/>
        <w:numPr>
          <w:ilvl w:val="0"/>
          <w:numId w:val="14"/>
        </w:numPr>
      </w:pPr>
      <w:r>
        <w:t>Appeal any decision made by the department which they perceive as adversely impacting the authorization or delivery of LTC services, including approvals and increases.</w:t>
      </w:r>
    </w:p>
    <w:p w14:paraId="42DD387C" w14:textId="77777777" w:rsidR="00590113" w:rsidRDefault="00672549" w:rsidP="00354E1B">
      <w:pPr>
        <w:pStyle w:val="ListParagraph"/>
        <w:numPr>
          <w:ilvl w:val="0"/>
          <w:numId w:val="0"/>
        </w:numPr>
        <w:ind w:left="1440"/>
      </w:pPr>
      <w:r>
        <w:t xml:space="preserve"> </w:t>
      </w:r>
    </w:p>
    <w:p w14:paraId="3BCCB6ED" w14:textId="77777777" w:rsidR="00672549" w:rsidRDefault="00672549" w:rsidP="007556AE">
      <w:pPr>
        <w:pStyle w:val="ListParagraph"/>
        <w:numPr>
          <w:ilvl w:val="0"/>
          <w:numId w:val="15"/>
        </w:numPr>
      </w:pPr>
      <w:r w:rsidRPr="00D74E42">
        <w:rPr>
          <w:b/>
        </w:rPr>
        <w:t>Vendors</w:t>
      </w:r>
      <w:r w:rsidR="008F7BAA">
        <w:rPr>
          <w:b/>
        </w:rPr>
        <w:t xml:space="preserve"> </w:t>
      </w:r>
      <w:r>
        <w:t>have the right to a</w:t>
      </w:r>
      <w:r w:rsidR="00C676EF">
        <w:t xml:space="preserve">n administrative hearing </w:t>
      </w:r>
      <w:r>
        <w:t>when the department determines that a vendor was overpaid by the department for either goods or services, or both</w:t>
      </w:r>
      <w:r w:rsidR="008F7BAA">
        <w:t xml:space="preserve"> and issues notice of the overpayment</w:t>
      </w:r>
      <w:r>
        <w:t>.</w:t>
      </w:r>
      <w:r w:rsidR="00C676EF">
        <w:t xml:space="preserve"> RCW 43.20B.675, 43.20B</w:t>
      </w:r>
      <w:r w:rsidR="00A92590">
        <w:t>.</w:t>
      </w:r>
      <w:r w:rsidR="00C676EF">
        <w:t>010 and RCW 41.05A.170.</w:t>
      </w:r>
    </w:p>
    <w:p w14:paraId="37927FAF" w14:textId="77777777" w:rsidR="00590113" w:rsidRDefault="00590113" w:rsidP="00590113">
      <w:pPr>
        <w:pStyle w:val="ListParagraph"/>
        <w:numPr>
          <w:ilvl w:val="0"/>
          <w:numId w:val="0"/>
        </w:numPr>
        <w:ind w:left="720"/>
      </w:pPr>
    </w:p>
    <w:p w14:paraId="0A393166" w14:textId="77777777" w:rsidR="00C676EF" w:rsidRDefault="00672549" w:rsidP="007676F4">
      <w:pPr>
        <w:pStyle w:val="ListParagraph"/>
        <w:numPr>
          <w:ilvl w:val="0"/>
          <w:numId w:val="15"/>
        </w:numPr>
      </w:pPr>
      <w:r w:rsidRPr="00D74E42">
        <w:rPr>
          <w:b/>
        </w:rPr>
        <w:t>Department staff</w:t>
      </w:r>
      <w:r>
        <w:t xml:space="preserve"> has information about the administrative hearing process and the department’s role in an administrative hearing. </w:t>
      </w:r>
    </w:p>
    <w:p w14:paraId="4F28BAD8" w14:textId="77777777" w:rsidR="007676F4" w:rsidRDefault="007676F4" w:rsidP="007676F4">
      <w:pPr>
        <w:pStyle w:val="Heading4"/>
      </w:pPr>
      <w:r>
        <w:t>Ask the Expert</w:t>
      </w:r>
    </w:p>
    <w:p w14:paraId="6894D16C" w14:textId="77777777" w:rsidR="007676F4" w:rsidRDefault="007676F4" w:rsidP="007676F4">
      <w:r>
        <w:t>If you have questions or need clarification about the content in this chapter, please contact:</w:t>
      </w:r>
    </w:p>
    <w:p w14:paraId="30331E16" w14:textId="4486B3D4" w:rsidR="007676F4" w:rsidRDefault="00854B86" w:rsidP="007676F4">
      <w:r>
        <w:t>Kim Averill</w:t>
      </w:r>
      <w:r w:rsidR="007676F4">
        <w:tab/>
      </w:r>
      <w:r w:rsidR="007676F4">
        <w:tab/>
      </w:r>
      <w:r w:rsidR="00057430">
        <w:t xml:space="preserve">Interim </w:t>
      </w:r>
      <w:r w:rsidR="00233082">
        <w:t>Administrative Hearing</w:t>
      </w:r>
      <w:r w:rsidR="00AF689F">
        <w:t xml:space="preserve"> Program Manager</w:t>
      </w:r>
    </w:p>
    <w:p w14:paraId="34160384" w14:textId="7AEB6E4E" w:rsidR="007676F4" w:rsidRDefault="007676F4" w:rsidP="007676F4">
      <w:r>
        <w:tab/>
      </w:r>
      <w:r>
        <w:tab/>
      </w:r>
      <w:r>
        <w:tab/>
      </w:r>
      <w:r w:rsidR="00854B86">
        <w:t>360-725-3223</w:t>
      </w:r>
      <w:r w:rsidR="00233082">
        <w:tab/>
      </w:r>
      <w:r w:rsidR="00854B86" w:rsidRPr="00854B86">
        <w:rPr>
          <w:color w:val="4472C4" w:themeColor="accent5"/>
          <w:u w:val="single"/>
        </w:rPr>
        <w:t>kimberly.averill@dshs.wa.gov</w:t>
      </w:r>
    </w:p>
    <w:p w14:paraId="4B91AA68" w14:textId="77777777" w:rsidR="005207CB" w:rsidRDefault="005207CB" w:rsidP="007676F4"/>
    <w:p w14:paraId="2E432E40" w14:textId="77777777" w:rsidR="00233082" w:rsidRDefault="00184D3A" w:rsidP="00233082">
      <w:r>
        <w:t>Tania Gariano</w:t>
      </w:r>
      <w:r w:rsidR="00233082">
        <w:tab/>
      </w:r>
      <w:r w:rsidR="00233082">
        <w:tab/>
        <w:t xml:space="preserve">HCS </w:t>
      </w:r>
      <w:r w:rsidR="00980600">
        <w:t>Administrative Hearing Specialist/Financial</w:t>
      </w:r>
    </w:p>
    <w:p w14:paraId="62521840" w14:textId="77777777" w:rsidR="005207CB" w:rsidRDefault="00233082" w:rsidP="00233082">
      <w:r>
        <w:tab/>
      </w:r>
      <w:r>
        <w:tab/>
      </w:r>
      <w:r>
        <w:tab/>
      </w:r>
      <w:r w:rsidR="00721433">
        <w:t>509-846-8636</w:t>
      </w:r>
      <w:r w:rsidR="00721433">
        <w:tab/>
      </w:r>
      <w:r w:rsidR="00721433">
        <w:tab/>
      </w:r>
      <w:r w:rsidR="00721433">
        <w:tab/>
        <w:t>tania.gariano@dshs.wa.gov</w:t>
      </w:r>
    </w:p>
    <w:p w14:paraId="027948A3" w14:textId="77777777" w:rsidR="00184D3A" w:rsidRDefault="00184D3A" w:rsidP="00233082"/>
    <w:p w14:paraId="01E45296" w14:textId="77777777" w:rsidR="00233082" w:rsidRDefault="00233082" w:rsidP="00233082">
      <w:r>
        <w:t xml:space="preserve">Vicky </w:t>
      </w:r>
      <w:proofErr w:type="spellStart"/>
      <w:r>
        <w:t>Gawlik</w:t>
      </w:r>
      <w:proofErr w:type="spellEnd"/>
      <w:r>
        <w:tab/>
      </w:r>
      <w:r>
        <w:tab/>
      </w:r>
      <w:r w:rsidR="00C676EF">
        <w:t>Adult Protective Services</w:t>
      </w:r>
    </w:p>
    <w:p w14:paraId="2F40EEE8" w14:textId="77777777" w:rsidR="00233082" w:rsidRDefault="00233082" w:rsidP="00233082">
      <w:r>
        <w:tab/>
      </w:r>
      <w:r>
        <w:tab/>
      </w:r>
      <w:r>
        <w:tab/>
        <w:t>360-725-</w:t>
      </w:r>
      <w:r w:rsidR="00C676EF">
        <w:t>2615</w:t>
      </w:r>
      <w:r>
        <w:t xml:space="preserve"> office</w:t>
      </w:r>
      <w:r>
        <w:tab/>
      </w:r>
      <w:r>
        <w:tab/>
      </w:r>
      <w:hyperlink r:id="rId8" w:history="1">
        <w:r w:rsidR="005207CB" w:rsidRPr="00A94CD3">
          <w:rPr>
            <w:rStyle w:val="Hyperlink"/>
          </w:rPr>
          <w:t>vicky.gawlick@dshs.wa.gov</w:t>
        </w:r>
      </w:hyperlink>
    </w:p>
    <w:p w14:paraId="6919FD69" w14:textId="77777777" w:rsidR="005207CB" w:rsidRDefault="005207CB" w:rsidP="00233082"/>
    <w:p w14:paraId="251B941E" w14:textId="77777777" w:rsidR="00296C58" w:rsidRDefault="00296C58" w:rsidP="00E22649"/>
    <w:bookmarkStart w:id="1" w:name="_Toc525727012" w:displacedByCustomXml="next"/>
    <w:bookmarkStart w:id="2" w:name="_Toc525727112" w:displacedByCustomXml="next"/>
    <w:bookmarkStart w:id="3" w:name="_Toc528758278" w:displacedByCustomXml="next"/>
    <w:bookmarkStart w:id="4" w:name="_Toc528759426" w:displacedByCustomXml="next"/>
    <w:bookmarkStart w:id="5" w:name="_Toc528760021" w:displacedByCustomXml="next"/>
    <w:sdt>
      <w:sdtPr>
        <w:rPr>
          <w:rFonts w:ascii="Calibri" w:eastAsiaTheme="minorHAnsi" w:hAnsi="Calibri" w:cs="Times New Roman"/>
          <w:b w:val="0"/>
          <w:caps w:val="0"/>
          <w:color w:val="auto"/>
          <w:sz w:val="22"/>
          <w:szCs w:val="22"/>
        </w:rPr>
        <w:id w:val="-1243641358"/>
        <w:docPartObj>
          <w:docPartGallery w:val="Table of Contents"/>
          <w:docPartUnique/>
        </w:docPartObj>
      </w:sdtPr>
      <w:sdtEndPr>
        <w:rPr>
          <w:bCs/>
          <w:noProof/>
        </w:rPr>
      </w:sdtEndPr>
      <w:sdtContent>
        <w:p w14:paraId="2E0DF6C0" w14:textId="77777777" w:rsidR="00D8167E" w:rsidRDefault="00D8167E" w:rsidP="00B516F8">
          <w:pPr>
            <w:pStyle w:val="Heading2"/>
          </w:pPr>
          <w:r>
            <w:t>Table of Contents</w:t>
          </w:r>
        </w:p>
        <w:p w14:paraId="68BFF1E6" w14:textId="77777777" w:rsidR="00B516F8" w:rsidRDefault="00D8167E">
          <w:pPr>
            <w:pStyle w:val="TOC2"/>
            <w:rPr>
              <w:rFonts w:asciiTheme="minorHAnsi" w:eastAsiaTheme="minorEastAsia" w:hAnsiTheme="minorHAnsi" w:cstheme="minorBidi"/>
              <w:b w:val="0"/>
            </w:rPr>
          </w:pPr>
          <w:r>
            <w:fldChar w:fldCharType="begin"/>
          </w:r>
          <w:r>
            <w:instrText xml:space="preserve"> TOC \o "1-3" \h \z \u </w:instrText>
          </w:r>
          <w:r>
            <w:fldChar w:fldCharType="separate"/>
          </w:r>
          <w:hyperlink w:anchor="_Toc22738039" w:history="1">
            <w:r w:rsidR="00B516F8" w:rsidRPr="001A410F">
              <w:rPr>
                <w:rStyle w:val="Hyperlink"/>
              </w:rPr>
              <w:t>Background</w:t>
            </w:r>
            <w:r w:rsidR="00B516F8">
              <w:rPr>
                <w:webHidden/>
              </w:rPr>
              <w:tab/>
            </w:r>
            <w:r w:rsidR="00B516F8">
              <w:rPr>
                <w:webHidden/>
              </w:rPr>
              <w:fldChar w:fldCharType="begin"/>
            </w:r>
            <w:r w:rsidR="00B516F8">
              <w:rPr>
                <w:webHidden/>
              </w:rPr>
              <w:instrText xml:space="preserve"> PAGEREF _Toc22738039 \h </w:instrText>
            </w:r>
            <w:r w:rsidR="00B516F8">
              <w:rPr>
                <w:webHidden/>
              </w:rPr>
            </w:r>
            <w:r w:rsidR="00B516F8">
              <w:rPr>
                <w:webHidden/>
              </w:rPr>
              <w:fldChar w:fldCharType="separate"/>
            </w:r>
            <w:r w:rsidR="007506EE">
              <w:rPr>
                <w:webHidden/>
              </w:rPr>
              <w:t>3</w:t>
            </w:r>
            <w:r w:rsidR="00B516F8">
              <w:rPr>
                <w:webHidden/>
              </w:rPr>
              <w:fldChar w:fldCharType="end"/>
            </w:r>
          </w:hyperlink>
        </w:p>
        <w:p w14:paraId="26AFEFB4" w14:textId="77777777" w:rsidR="00B516F8" w:rsidRDefault="00E81815">
          <w:pPr>
            <w:pStyle w:val="TOC2"/>
            <w:rPr>
              <w:rFonts w:asciiTheme="minorHAnsi" w:eastAsiaTheme="minorEastAsia" w:hAnsiTheme="minorHAnsi" w:cstheme="minorBidi"/>
              <w:b w:val="0"/>
            </w:rPr>
          </w:pPr>
          <w:hyperlink w:anchor="_Toc22738040" w:history="1">
            <w:r w:rsidR="00B516F8" w:rsidRPr="001A410F">
              <w:rPr>
                <w:rStyle w:val="Hyperlink"/>
              </w:rPr>
              <w:t>Rights to an Administrative Hearing</w:t>
            </w:r>
            <w:r w:rsidR="00B516F8">
              <w:rPr>
                <w:webHidden/>
              </w:rPr>
              <w:tab/>
            </w:r>
            <w:r w:rsidR="00B516F8">
              <w:rPr>
                <w:webHidden/>
              </w:rPr>
              <w:fldChar w:fldCharType="begin"/>
            </w:r>
            <w:r w:rsidR="00B516F8">
              <w:rPr>
                <w:webHidden/>
              </w:rPr>
              <w:instrText xml:space="preserve"> PAGEREF _Toc22738040 \h </w:instrText>
            </w:r>
            <w:r w:rsidR="00B516F8">
              <w:rPr>
                <w:webHidden/>
              </w:rPr>
            </w:r>
            <w:r w:rsidR="00B516F8">
              <w:rPr>
                <w:webHidden/>
              </w:rPr>
              <w:fldChar w:fldCharType="separate"/>
            </w:r>
            <w:r w:rsidR="007506EE">
              <w:rPr>
                <w:webHidden/>
              </w:rPr>
              <w:t>3</w:t>
            </w:r>
            <w:r w:rsidR="00B516F8">
              <w:rPr>
                <w:webHidden/>
              </w:rPr>
              <w:fldChar w:fldCharType="end"/>
            </w:r>
          </w:hyperlink>
        </w:p>
        <w:p w14:paraId="468B9C7D" w14:textId="77777777" w:rsidR="00B516F8" w:rsidRDefault="00E81815">
          <w:pPr>
            <w:pStyle w:val="TOC2"/>
            <w:rPr>
              <w:rFonts w:asciiTheme="minorHAnsi" w:eastAsiaTheme="minorEastAsia" w:hAnsiTheme="minorHAnsi" w:cstheme="minorBidi"/>
              <w:b w:val="0"/>
            </w:rPr>
          </w:pPr>
          <w:hyperlink w:anchor="_Toc22738041" w:history="1">
            <w:r w:rsidR="00B516F8" w:rsidRPr="001A410F">
              <w:rPr>
                <w:rStyle w:val="Hyperlink"/>
              </w:rPr>
              <w:t>Requesting an Administrative Hearing</w:t>
            </w:r>
            <w:r w:rsidR="00B516F8">
              <w:rPr>
                <w:webHidden/>
              </w:rPr>
              <w:tab/>
            </w:r>
            <w:r w:rsidR="00B516F8">
              <w:rPr>
                <w:webHidden/>
              </w:rPr>
              <w:fldChar w:fldCharType="begin"/>
            </w:r>
            <w:r w:rsidR="00B516F8">
              <w:rPr>
                <w:webHidden/>
              </w:rPr>
              <w:instrText xml:space="preserve"> PAGEREF _Toc22738041 \h </w:instrText>
            </w:r>
            <w:r w:rsidR="00B516F8">
              <w:rPr>
                <w:webHidden/>
              </w:rPr>
            </w:r>
            <w:r w:rsidR="00B516F8">
              <w:rPr>
                <w:webHidden/>
              </w:rPr>
              <w:fldChar w:fldCharType="separate"/>
            </w:r>
            <w:r w:rsidR="007506EE">
              <w:rPr>
                <w:webHidden/>
              </w:rPr>
              <w:t>4</w:t>
            </w:r>
            <w:r w:rsidR="00B516F8">
              <w:rPr>
                <w:webHidden/>
              </w:rPr>
              <w:fldChar w:fldCharType="end"/>
            </w:r>
          </w:hyperlink>
        </w:p>
        <w:p w14:paraId="74FF47EA" w14:textId="77777777" w:rsidR="00B516F8" w:rsidRDefault="00E81815">
          <w:pPr>
            <w:pStyle w:val="TOC2"/>
            <w:rPr>
              <w:rFonts w:asciiTheme="minorHAnsi" w:eastAsiaTheme="minorEastAsia" w:hAnsiTheme="minorHAnsi" w:cstheme="minorBidi"/>
              <w:b w:val="0"/>
            </w:rPr>
          </w:pPr>
          <w:hyperlink w:anchor="_Toc22738042" w:history="1">
            <w:r w:rsidR="00B516F8" w:rsidRPr="001A410F">
              <w:rPr>
                <w:rStyle w:val="Hyperlink"/>
              </w:rPr>
              <w:t>Notices</w:t>
            </w:r>
            <w:r w:rsidR="00B516F8">
              <w:rPr>
                <w:webHidden/>
              </w:rPr>
              <w:tab/>
            </w:r>
            <w:r w:rsidR="00B516F8">
              <w:rPr>
                <w:webHidden/>
              </w:rPr>
              <w:fldChar w:fldCharType="begin"/>
            </w:r>
            <w:r w:rsidR="00B516F8">
              <w:rPr>
                <w:webHidden/>
              </w:rPr>
              <w:instrText xml:space="preserve"> PAGEREF _Toc22738042 \h </w:instrText>
            </w:r>
            <w:r w:rsidR="00B516F8">
              <w:rPr>
                <w:webHidden/>
              </w:rPr>
            </w:r>
            <w:r w:rsidR="00B516F8">
              <w:rPr>
                <w:webHidden/>
              </w:rPr>
              <w:fldChar w:fldCharType="separate"/>
            </w:r>
            <w:r w:rsidR="007506EE">
              <w:rPr>
                <w:webHidden/>
              </w:rPr>
              <w:t>5</w:t>
            </w:r>
            <w:r w:rsidR="00B516F8">
              <w:rPr>
                <w:webHidden/>
              </w:rPr>
              <w:fldChar w:fldCharType="end"/>
            </w:r>
          </w:hyperlink>
        </w:p>
        <w:p w14:paraId="0076DA6B" w14:textId="77777777" w:rsidR="00B516F8" w:rsidRDefault="00E81815">
          <w:pPr>
            <w:pStyle w:val="TOC2"/>
            <w:rPr>
              <w:rFonts w:asciiTheme="minorHAnsi" w:eastAsiaTheme="minorEastAsia" w:hAnsiTheme="minorHAnsi" w:cstheme="minorBidi"/>
              <w:b w:val="0"/>
            </w:rPr>
          </w:pPr>
          <w:hyperlink w:anchor="_Toc22738043" w:history="1">
            <w:r w:rsidR="00B516F8" w:rsidRPr="001A410F">
              <w:rPr>
                <w:rStyle w:val="Hyperlink"/>
              </w:rPr>
              <w:t>Case manager role</w:t>
            </w:r>
            <w:r w:rsidR="00B516F8">
              <w:rPr>
                <w:webHidden/>
              </w:rPr>
              <w:tab/>
            </w:r>
            <w:r w:rsidR="00B516F8">
              <w:rPr>
                <w:webHidden/>
              </w:rPr>
              <w:fldChar w:fldCharType="begin"/>
            </w:r>
            <w:r w:rsidR="00B516F8">
              <w:rPr>
                <w:webHidden/>
              </w:rPr>
              <w:instrText xml:space="preserve"> PAGEREF _Toc22738043 \h </w:instrText>
            </w:r>
            <w:r w:rsidR="00B516F8">
              <w:rPr>
                <w:webHidden/>
              </w:rPr>
            </w:r>
            <w:r w:rsidR="00B516F8">
              <w:rPr>
                <w:webHidden/>
              </w:rPr>
              <w:fldChar w:fldCharType="separate"/>
            </w:r>
            <w:r w:rsidR="007506EE">
              <w:rPr>
                <w:webHidden/>
              </w:rPr>
              <w:t>7</w:t>
            </w:r>
            <w:r w:rsidR="00B516F8">
              <w:rPr>
                <w:webHidden/>
              </w:rPr>
              <w:fldChar w:fldCharType="end"/>
            </w:r>
          </w:hyperlink>
        </w:p>
        <w:p w14:paraId="6AA5D877" w14:textId="77777777" w:rsidR="00B516F8" w:rsidRDefault="00E81815">
          <w:pPr>
            <w:pStyle w:val="TOC2"/>
            <w:rPr>
              <w:rFonts w:asciiTheme="minorHAnsi" w:eastAsiaTheme="minorEastAsia" w:hAnsiTheme="minorHAnsi" w:cstheme="minorBidi"/>
              <w:b w:val="0"/>
            </w:rPr>
          </w:pPr>
          <w:hyperlink w:anchor="_Toc22738044" w:history="1">
            <w:r w:rsidR="00B516F8" w:rsidRPr="001A410F">
              <w:rPr>
                <w:rStyle w:val="Hyperlink"/>
              </w:rPr>
              <w:t>Administrative Hearing Coordinator Role</w:t>
            </w:r>
            <w:r w:rsidR="00B516F8">
              <w:rPr>
                <w:webHidden/>
              </w:rPr>
              <w:tab/>
            </w:r>
            <w:r w:rsidR="00B516F8">
              <w:rPr>
                <w:webHidden/>
              </w:rPr>
              <w:fldChar w:fldCharType="begin"/>
            </w:r>
            <w:r w:rsidR="00B516F8">
              <w:rPr>
                <w:webHidden/>
              </w:rPr>
              <w:instrText xml:space="preserve"> PAGEREF _Toc22738044 \h </w:instrText>
            </w:r>
            <w:r w:rsidR="00B516F8">
              <w:rPr>
                <w:webHidden/>
              </w:rPr>
            </w:r>
            <w:r w:rsidR="00B516F8">
              <w:rPr>
                <w:webHidden/>
              </w:rPr>
              <w:fldChar w:fldCharType="separate"/>
            </w:r>
            <w:r w:rsidR="007506EE">
              <w:rPr>
                <w:webHidden/>
              </w:rPr>
              <w:t>9</w:t>
            </w:r>
            <w:r w:rsidR="00B516F8">
              <w:rPr>
                <w:webHidden/>
              </w:rPr>
              <w:fldChar w:fldCharType="end"/>
            </w:r>
          </w:hyperlink>
        </w:p>
        <w:p w14:paraId="776E43C4" w14:textId="77777777" w:rsidR="00B516F8" w:rsidRDefault="00E81815">
          <w:pPr>
            <w:pStyle w:val="TOC2"/>
            <w:rPr>
              <w:rFonts w:asciiTheme="minorHAnsi" w:eastAsiaTheme="minorEastAsia" w:hAnsiTheme="minorHAnsi" w:cstheme="minorBidi"/>
              <w:b w:val="0"/>
            </w:rPr>
          </w:pPr>
          <w:hyperlink w:anchor="_Toc22738045" w:history="1">
            <w:r w:rsidR="00B516F8" w:rsidRPr="001A410F">
              <w:rPr>
                <w:rStyle w:val="Hyperlink"/>
              </w:rPr>
              <w:t>Continued benefits</w:t>
            </w:r>
            <w:r w:rsidR="00B516F8">
              <w:rPr>
                <w:webHidden/>
              </w:rPr>
              <w:tab/>
            </w:r>
            <w:r w:rsidR="00B516F8">
              <w:rPr>
                <w:webHidden/>
              </w:rPr>
              <w:fldChar w:fldCharType="begin"/>
            </w:r>
            <w:r w:rsidR="00B516F8">
              <w:rPr>
                <w:webHidden/>
              </w:rPr>
              <w:instrText xml:space="preserve"> PAGEREF _Toc22738045 \h </w:instrText>
            </w:r>
            <w:r w:rsidR="00B516F8">
              <w:rPr>
                <w:webHidden/>
              </w:rPr>
            </w:r>
            <w:r w:rsidR="00B516F8">
              <w:rPr>
                <w:webHidden/>
              </w:rPr>
              <w:fldChar w:fldCharType="separate"/>
            </w:r>
            <w:r w:rsidR="007506EE">
              <w:rPr>
                <w:webHidden/>
              </w:rPr>
              <w:t>12</w:t>
            </w:r>
            <w:r w:rsidR="00B516F8">
              <w:rPr>
                <w:webHidden/>
              </w:rPr>
              <w:fldChar w:fldCharType="end"/>
            </w:r>
          </w:hyperlink>
        </w:p>
        <w:p w14:paraId="5C2AA924" w14:textId="77777777" w:rsidR="00B516F8" w:rsidRDefault="00E81815">
          <w:pPr>
            <w:pStyle w:val="TOC2"/>
            <w:rPr>
              <w:rFonts w:asciiTheme="minorHAnsi" w:eastAsiaTheme="minorEastAsia" w:hAnsiTheme="minorHAnsi" w:cstheme="minorBidi"/>
              <w:b w:val="0"/>
            </w:rPr>
          </w:pPr>
          <w:hyperlink w:anchor="_Toc22738046" w:history="1">
            <w:r w:rsidR="00B516F8" w:rsidRPr="001A410F">
              <w:rPr>
                <w:rStyle w:val="Hyperlink"/>
              </w:rPr>
              <w:t>Timeframes and deadlines</w:t>
            </w:r>
            <w:r w:rsidR="00B516F8">
              <w:rPr>
                <w:webHidden/>
              </w:rPr>
              <w:tab/>
            </w:r>
            <w:r w:rsidR="00B516F8">
              <w:rPr>
                <w:webHidden/>
              </w:rPr>
              <w:fldChar w:fldCharType="begin"/>
            </w:r>
            <w:r w:rsidR="00B516F8">
              <w:rPr>
                <w:webHidden/>
              </w:rPr>
              <w:instrText xml:space="preserve"> PAGEREF _Toc22738046 \h </w:instrText>
            </w:r>
            <w:r w:rsidR="00B516F8">
              <w:rPr>
                <w:webHidden/>
              </w:rPr>
            </w:r>
            <w:r w:rsidR="00B516F8">
              <w:rPr>
                <w:webHidden/>
              </w:rPr>
              <w:fldChar w:fldCharType="separate"/>
            </w:r>
            <w:r w:rsidR="007506EE">
              <w:rPr>
                <w:webHidden/>
              </w:rPr>
              <w:t>13</w:t>
            </w:r>
            <w:r w:rsidR="00B516F8">
              <w:rPr>
                <w:webHidden/>
              </w:rPr>
              <w:fldChar w:fldCharType="end"/>
            </w:r>
          </w:hyperlink>
        </w:p>
        <w:p w14:paraId="6BA7BC7E" w14:textId="77777777" w:rsidR="00B516F8" w:rsidRDefault="00E81815">
          <w:pPr>
            <w:pStyle w:val="TOC2"/>
            <w:rPr>
              <w:rFonts w:asciiTheme="minorHAnsi" w:eastAsiaTheme="minorEastAsia" w:hAnsiTheme="minorHAnsi" w:cstheme="minorBidi"/>
              <w:b w:val="0"/>
            </w:rPr>
          </w:pPr>
          <w:hyperlink w:anchor="_Toc22738047" w:history="1">
            <w:r w:rsidR="00B516F8" w:rsidRPr="001A410F">
              <w:rPr>
                <w:rStyle w:val="Hyperlink"/>
              </w:rPr>
              <w:t>Hearing Decisions and Final Orders</w:t>
            </w:r>
            <w:r w:rsidR="00B516F8">
              <w:rPr>
                <w:webHidden/>
              </w:rPr>
              <w:tab/>
            </w:r>
            <w:r w:rsidR="00B516F8">
              <w:rPr>
                <w:webHidden/>
              </w:rPr>
              <w:fldChar w:fldCharType="begin"/>
            </w:r>
            <w:r w:rsidR="00B516F8">
              <w:rPr>
                <w:webHidden/>
              </w:rPr>
              <w:instrText xml:space="preserve"> PAGEREF _Toc22738047 \h </w:instrText>
            </w:r>
            <w:r w:rsidR="00B516F8">
              <w:rPr>
                <w:webHidden/>
              </w:rPr>
            </w:r>
            <w:r w:rsidR="00B516F8">
              <w:rPr>
                <w:webHidden/>
              </w:rPr>
              <w:fldChar w:fldCharType="separate"/>
            </w:r>
            <w:r w:rsidR="007506EE">
              <w:rPr>
                <w:webHidden/>
              </w:rPr>
              <w:t>14</w:t>
            </w:r>
            <w:r w:rsidR="00B516F8">
              <w:rPr>
                <w:webHidden/>
              </w:rPr>
              <w:fldChar w:fldCharType="end"/>
            </w:r>
          </w:hyperlink>
        </w:p>
        <w:p w14:paraId="1CF715A0" w14:textId="77777777" w:rsidR="00B516F8" w:rsidRDefault="00E81815">
          <w:pPr>
            <w:pStyle w:val="TOC2"/>
            <w:rPr>
              <w:rFonts w:asciiTheme="minorHAnsi" w:eastAsiaTheme="minorEastAsia" w:hAnsiTheme="minorHAnsi" w:cstheme="minorBidi"/>
              <w:b w:val="0"/>
            </w:rPr>
          </w:pPr>
          <w:hyperlink w:anchor="_Toc22738048" w:history="1">
            <w:r w:rsidR="00B516F8" w:rsidRPr="001A410F">
              <w:rPr>
                <w:rStyle w:val="Hyperlink"/>
              </w:rPr>
              <w:t>Components of the administrative hearing process</w:t>
            </w:r>
            <w:r w:rsidR="00B516F8">
              <w:rPr>
                <w:webHidden/>
              </w:rPr>
              <w:tab/>
            </w:r>
            <w:r w:rsidR="00B516F8">
              <w:rPr>
                <w:webHidden/>
              </w:rPr>
              <w:fldChar w:fldCharType="begin"/>
            </w:r>
            <w:r w:rsidR="00B516F8">
              <w:rPr>
                <w:webHidden/>
              </w:rPr>
              <w:instrText xml:space="preserve"> PAGEREF _Toc22738048 \h </w:instrText>
            </w:r>
            <w:r w:rsidR="00B516F8">
              <w:rPr>
                <w:webHidden/>
              </w:rPr>
            </w:r>
            <w:r w:rsidR="00B516F8">
              <w:rPr>
                <w:webHidden/>
              </w:rPr>
              <w:fldChar w:fldCharType="separate"/>
            </w:r>
            <w:r w:rsidR="007506EE">
              <w:rPr>
                <w:webHidden/>
              </w:rPr>
              <w:t>14</w:t>
            </w:r>
            <w:r w:rsidR="00B516F8">
              <w:rPr>
                <w:webHidden/>
              </w:rPr>
              <w:fldChar w:fldCharType="end"/>
            </w:r>
          </w:hyperlink>
        </w:p>
        <w:p w14:paraId="4E056BAC" w14:textId="77777777" w:rsidR="00B516F8" w:rsidRDefault="00E81815">
          <w:pPr>
            <w:pStyle w:val="TOC2"/>
            <w:rPr>
              <w:rFonts w:asciiTheme="minorHAnsi" w:eastAsiaTheme="minorEastAsia" w:hAnsiTheme="minorHAnsi" w:cstheme="minorBidi"/>
              <w:b w:val="0"/>
            </w:rPr>
          </w:pPr>
          <w:hyperlink w:anchor="_Toc22738049" w:history="1">
            <w:r w:rsidR="00B516F8" w:rsidRPr="001A410F">
              <w:rPr>
                <w:rStyle w:val="Hyperlink"/>
              </w:rPr>
              <w:t>Resources</w:t>
            </w:r>
            <w:r w:rsidR="00B516F8">
              <w:rPr>
                <w:webHidden/>
              </w:rPr>
              <w:tab/>
            </w:r>
            <w:r w:rsidR="00B516F8">
              <w:rPr>
                <w:webHidden/>
              </w:rPr>
              <w:fldChar w:fldCharType="begin"/>
            </w:r>
            <w:r w:rsidR="00B516F8">
              <w:rPr>
                <w:webHidden/>
              </w:rPr>
              <w:instrText xml:space="preserve"> PAGEREF _Toc22738049 \h </w:instrText>
            </w:r>
            <w:r w:rsidR="00B516F8">
              <w:rPr>
                <w:webHidden/>
              </w:rPr>
            </w:r>
            <w:r w:rsidR="00B516F8">
              <w:rPr>
                <w:webHidden/>
              </w:rPr>
              <w:fldChar w:fldCharType="separate"/>
            </w:r>
            <w:r w:rsidR="007506EE">
              <w:rPr>
                <w:webHidden/>
              </w:rPr>
              <w:t>15</w:t>
            </w:r>
            <w:r w:rsidR="00B516F8">
              <w:rPr>
                <w:webHidden/>
              </w:rPr>
              <w:fldChar w:fldCharType="end"/>
            </w:r>
          </w:hyperlink>
        </w:p>
        <w:p w14:paraId="41008970" w14:textId="77777777" w:rsidR="00B516F8" w:rsidRDefault="00E81815">
          <w:pPr>
            <w:pStyle w:val="TOC3"/>
            <w:tabs>
              <w:tab w:val="right" w:leader="dot" w:pos="9350"/>
            </w:tabs>
            <w:rPr>
              <w:rFonts w:asciiTheme="minorHAnsi" w:eastAsiaTheme="minorEastAsia" w:hAnsiTheme="minorHAnsi" w:cstheme="minorBidi"/>
              <w:noProof/>
            </w:rPr>
          </w:pPr>
          <w:hyperlink w:anchor="_Toc22738050" w:history="1">
            <w:r w:rsidR="00B516F8" w:rsidRPr="001A410F">
              <w:rPr>
                <w:rStyle w:val="Hyperlink"/>
                <w:noProof/>
              </w:rPr>
              <w:t>WACs and RCWs</w:t>
            </w:r>
            <w:r w:rsidR="00B516F8">
              <w:rPr>
                <w:noProof/>
                <w:webHidden/>
              </w:rPr>
              <w:tab/>
            </w:r>
            <w:r w:rsidR="00B516F8">
              <w:rPr>
                <w:noProof/>
                <w:webHidden/>
              </w:rPr>
              <w:fldChar w:fldCharType="begin"/>
            </w:r>
            <w:r w:rsidR="00B516F8">
              <w:rPr>
                <w:noProof/>
                <w:webHidden/>
              </w:rPr>
              <w:instrText xml:space="preserve"> PAGEREF _Toc22738050 \h </w:instrText>
            </w:r>
            <w:r w:rsidR="00B516F8">
              <w:rPr>
                <w:noProof/>
                <w:webHidden/>
              </w:rPr>
            </w:r>
            <w:r w:rsidR="00B516F8">
              <w:rPr>
                <w:noProof/>
                <w:webHidden/>
              </w:rPr>
              <w:fldChar w:fldCharType="separate"/>
            </w:r>
            <w:r w:rsidR="007506EE">
              <w:rPr>
                <w:noProof/>
                <w:webHidden/>
              </w:rPr>
              <w:t>15</w:t>
            </w:r>
            <w:r w:rsidR="00B516F8">
              <w:rPr>
                <w:noProof/>
                <w:webHidden/>
              </w:rPr>
              <w:fldChar w:fldCharType="end"/>
            </w:r>
          </w:hyperlink>
        </w:p>
        <w:p w14:paraId="4CA5735D" w14:textId="77777777" w:rsidR="00B516F8" w:rsidRDefault="00E81815">
          <w:pPr>
            <w:pStyle w:val="TOC3"/>
            <w:tabs>
              <w:tab w:val="right" w:leader="dot" w:pos="9350"/>
            </w:tabs>
            <w:rPr>
              <w:rFonts w:asciiTheme="minorHAnsi" w:eastAsiaTheme="minorEastAsia" w:hAnsiTheme="minorHAnsi" w:cstheme="minorBidi"/>
              <w:noProof/>
            </w:rPr>
          </w:pPr>
          <w:hyperlink w:anchor="_Toc22738051" w:history="1">
            <w:r w:rsidR="00B516F8" w:rsidRPr="001A410F">
              <w:rPr>
                <w:rStyle w:val="Hyperlink"/>
                <w:noProof/>
              </w:rPr>
              <w:t>Glossary</w:t>
            </w:r>
            <w:r w:rsidR="00B516F8">
              <w:rPr>
                <w:noProof/>
                <w:webHidden/>
              </w:rPr>
              <w:tab/>
            </w:r>
            <w:r w:rsidR="00B516F8">
              <w:rPr>
                <w:noProof/>
                <w:webHidden/>
              </w:rPr>
              <w:fldChar w:fldCharType="begin"/>
            </w:r>
            <w:r w:rsidR="00B516F8">
              <w:rPr>
                <w:noProof/>
                <w:webHidden/>
              </w:rPr>
              <w:instrText xml:space="preserve"> PAGEREF _Toc22738051 \h </w:instrText>
            </w:r>
            <w:r w:rsidR="00B516F8">
              <w:rPr>
                <w:noProof/>
                <w:webHidden/>
              </w:rPr>
            </w:r>
            <w:r w:rsidR="00B516F8">
              <w:rPr>
                <w:noProof/>
                <w:webHidden/>
              </w:rPr>
              <w:fldChar w:fldCharType="separate"/>
            </w:r>
            <w:r w:rsidR="007506EE">
              <w:rPr>
                <w:noProof/>
                <w:webHidden/>
              </w:rPr>
              <w:t>16</w:t>
            </w:r>
            <w:r w:rsidR="00B516F8">
              <w:rPr>
                <w:noProof/>
                <w:webHidden/>
              </w:rPr>
              <w:fldChar w:fldCharType="end"/>
            </w:r>
          </w:hyperlink>
        </w:p>
        <w:p w14:paraId="0247A349" w14:textId="77777777" w:rsidR="00B516F8" w:rsidRDefault="00E81815">
          <w:pPr>
            <w:pStyle w:val="TOC2"/>
            <w:rPr>
              <w:rFonts w:asciiTheme="minorHAnsi" w:eastAsiaTheme="minorEastAsia" w:hAnsiTheme="minorHAnsi" w:cstheme="minorBidi"/>
              <w:b w:val="0"/>
            </w:rPr>
          </w:pPr>
          <w:hyperlink w:anchor="_Toc22738052" w:history="1">
            <w:r w:rsidR="00B516F8" w:rsidRPr="001A410F">
              <w:rPr>
                <w:rStyle w:val="Hyperlink"/>
              </w:rPr>
              <w:t>Revision History</w:t>
            </w:r>
            <w:r w:rsidR="00B516F8">
              <w:rPr>
                <w:webHidden/>
              </w:rPr>
              <w:tab/>
            </w:r>
            <w:r w:rsidR="00B516F8">
              <w:rPr>
                <w:webHidden/>
              </w:rPr>
              <w:fldChar w:fldCharType="begin"/>
            </w:r>
            <w:r w:rsidR="00B516F8">
              <w:rPr>
                <w:webHidden/>
              </w:rPr>
              <w:instrText xml:space="preserve"> PAGEREF _Toc22738052 \h </w:instrText>
            </w:r>
            <w:r w:rsidR="00B516F8">
              <w:rPr>
                <w:webHidden/>
              </w:rPr>
            </w:r>
            <w:r w:rsidR="00B516F8">
              <w:rPr>
                <w:webHidden/>
              </w:rPr>
              <w:fldChar w:fldCharType="separate"/>
            </w:r>
            <w:r w:rsidR="007506EE">
              <w:rPr>
                <w:webHidden/>
              </w:rPr>
              <w:t>17</w:t>
            </w:r>
            <w:r w:rsidR="00B516F8">
              <w:rPr>
                <w:webHidden/>
              </w:rPr>
              <w:fldChar w:fldCharType="end"/>
            </w:r>
          </w:hyperlink>
        </w:p>
        <w:p w14:paraId="114FDB99" w14:textId="77777777" w:rsidR="00D8167E" w:rsidRDefault="00D8167E">
          <w:r>
            <w:rPr>
              <w:b/>
              <w:bCs/>
              <w:noProof/>
            </w:rPr>
            <w:fldChar w:fldCharType="end"/>
          </w:r>
        </w:p>
      </w:sdtContent>
    </w:sdt>
    <w:p w14:paraId="3FA83947" w14:textId="77777777" w:rsidR="00296C58" w:rsidRDefault="00296C58">
      <w:pPr>
        <w:rPr>
          <w:rFonts w:ascii="Century Gothic" w:eastAsiaTheme="majorEastAsia" w:hAnsi="Century Gothic" w:cstheme="majorBidi"/>
          <w:b/>
          <w:caps/>
          <w:color w:val="005CAB"/>
          <w:sz w:val="26"/>
          <w:szCs w:val="26"/>
        </w:rPr>
      </w:pPr>
      <w:r>
        <w:br w:type="page"/>
      </w:r>
    </w:p>
    <w:p w14:paraId="33AA2838" w14:textId="77777777" w:rsidR="005207CB" w:rsidRPr="005207CB" w:rsidRDefault="007676F4" w:rsidP="00E23617">
      <w:pPr>
        <w:pStyle w:val="Heading2"/>
      </w:pPr>
      <w:bookmarkStart w:id="6" w:name="_Toc22738039"/>
      <w:r>
        <w:lastRenderedPageBreak/>
        <w:t>Background</w:t>
      </w:r>
      <w:bookmarkEnd w:id="6"/>
      <w:bookmarkEnd w:id="5"/>
      <w:bookmarkEnd w:id="4"/>
      <w:bookmarkEnd w:id="3"/>
      <w:bookmarkEnd w:id="2"/>
      <w:bookmarkEnd w:id="1"/>
    </w:p>
    <w:p w14:paraId="21D5B480" w14:textId="77777777" w:rsidR="00590113" w:rsidRDefault="003E41C4" w:rsidP="003E41C4">
      <w:r>
        <w:t>The administrative hearing process allows individuals the right to challenge a government action to verify it was valid and based on laws and rules. It is a legal proceeding but is designed to be</w:t>
      </w:r>
      <w:r w:rsidRPr="003E41C4">
        <w:t xml:space="preserve"> user friendly for appellants who represent themselves (not attorneys) with relaxed rules of evidence and procedure</w:t>
      </w:r>
      <w:r>
        <w:t>.</w:t>
      </w:r>
      <w:r w:rsidRPr="003E41C4">
        <w:t xml:space="preserve"> </w:t>
      </w:r>
    </w:p>
    <w:p w14:paraId="1E7A6945" w14:textId="77777777" w:rsidR="00E23617" w:rsidRDefault="00E23617" w:rsidP="003E41C4"/>
    <w:p w14:paraId="59253C94" w14:textId="77777777" w:rsidR="00E23617" w:rsidRPr="003E41C4" w:rsidRDefault="00E23617" w:rsidP="00E23617">
      <w:r w:rsidRPr="005207CB">
        <w:t xml:space="preserve">In 2011 the Health Care Authority </w:t>
      </w:r>
      <w:r>
        <w:t xml:space="preserve">(HCA) </w:t>
      </w:r>
      <w:r w:rsidRPr="005207CB">
        <w:t>became the single state agency for Medicaid. This means DSHS is a designee</w:t>
      </w:r>
      <w:r w:rsidR="00590113">
        <w:t xml:space="preserve"> of the HCA</w:t>
      </w:r>
      <w:r w:rsidRPr="005207CB">
        <w:t xml:space="preserve"> for m</w:t>
      </w:r>
      <w:r>
        <w:t xml:space="preserve">anaging some Medicaid benefits and represents HCA in hearings that relate to Medicaid. </w:t>
      </w:r>
      <w:r w:rsidRPr="003E41C4">
        <w:t>DSHS is the single state agency for Temporary Assistance fo</w:t>
      </w:r>
      <w:r>
        <w:t>r Needy Families and Basic Food.</w:t>
      </w:r>
    </w:p>
    <w:p w14:paraId="0491E2AB" w14:textId="77777777" w:rsidR="005207CB" w:rsidRPr="005207CB" w:rsidRDefault="005207CB" w:rsidP="005207CB"/>
    <w:p w14:paraId="6BB178FC" w14:textId="77777777" w:rsidR="00423B5F" w:rsidRDefault="00423B5F" w:rsidP="00423B5F">
      <w:pPr>
        <w:pStyle w:val="Heading2"/>
      </w:pPr>
      <w:bookmarkStart w:id="7" w:name="_Toc22738040"/>
      <w:r>
        <w:t>Rights to an Administrative Hearing</w:t>
      </w:r>
      <w:bookmarkEnd w:id="7"/>
    </w:p>
    <w:p w14:paraId="127B4499" w14:textId="77777777" w:rsidR="00423B5F" w:rsidRDefault="00C676EF" w:rsidP="00423B5F">
      <w:r>
        <w:t>C</w:t>
      </w:r>
      <w:r w:rsidR="00423B5F">
        <w:t>lient</w:t>
      </w:r>
      <w:r>
        <w:t>s</w:t>
      </w:r>
      <w:r w:rsidR="00060C89">
        <w:t xml:space="preserve"> </w:t>
      </w:r>
      <w:r w:rsidR="00423B5F">
        <w:t>and vendor</w:t>
      </w:r>
      <w:r>
        <w:t>s</w:t>
      </w:r>
      <w:r w:rsidR="00423B5F">
        <w:t xml:space="preserve"> have a right to an administrative hearing only when entitled by law and when aggrieved by a </w:t>
      </w:r>
      <w:r>
        <w:t>d</w:t>
      </w:r>
      <w:r w:rsidR="00423B5F">
        <w:t xml:space="preserve">epartment decision/action. </w:t>
      </w:r>
    </w:p>
    <w:p w14:paraId="1E036E89" w14:textId="77777777" w:rsidR="00423B5F" w:rsidRDefault="00423B5F" w:rsidP="007556AE">
      <w:pPr>
        <w:pStyle w:val="ListParagraph"/>
        <w:numPr>
          <w:ilvl w:val="0"/>
          <w:numId w:val="17"/>
        </w:numPr>
      </w:pPr>
      <w:r w:rsidRPr="0015326C">
        <w:rPr>
          <w:b/>
        </w:rPr>
        <w:t>Clients</w:t>
      </w:r>
      <w:r>
        <w:t xml:space="preserve"> have a right to a hearing: </w:t>
      </w:r>
    </w:p>
    <w:p w14:paraId="04B44627" w14:textId="77777777" w:rsidR="00423B5F" w:rsidRDefault="00423B5F" w:rsidP="007556AE">
      <w:pPr>
        <w:pStyle w:val="ListParagraph"/>
        <w:numPr>
          <w:ilvl w:val="1"/>
          <w:numId w:val="16"/>
        </w:numPr>
      </w:pPr>
      <w:r>
        <w:t xml:space="preserve">For any action indicated on the </w:t>
      </w:r>
      <w:r w:rsidR="00C676EF">
        <w:t>Planned Action Notice (</w:t>
      </w:r>
      <w:r>
        <w:t>PAN</w:t>
      </w:r>
      <w:r w:rsidR="00C676EF">
        <w:t>)</w:t>
      </w:r>
      <w:r>
        <w:t xml:space="preserve"> including</w:t>
      </w:r>
      <w:r w:rsidR="00C069F1">
        <w:t>,</w:t>
      </w:r>
      <w:r>
        <w:t xml:space="preserve"> </w:t>
      </w:r>
      <w:r w:rsidR="00B02BCF">
        <w:t xml:space="preserve">but not limited to </w:t>
      </w:r>
      <w:r>
        <w:t xml:space="preserve">approval, denial, reduction, or termination of services or </w:t>
      </w:r>
      <w:proofErr w:type="gramStart"/>
      <w:r>
        <w:t>eligibility;</w:t>
      </w:r>
      <w:proofErr w:type="gramEnd"/>
    </w:p>
    <w:p w14:paraId="12F40B7B" w14:textId="77777777" w:rsidR="00423B5F" w:rsidRDefault="00423B5F" w:rsidP="007556AE">
      <w:pPr>
        <w:pStyle w:val="ListParagraph"/>
        <w:numPr>
          <w:ilvl w:val="1"/>
          <w:numId w:val="16"/>
        </w:numPr>
      </w:pPr>
      <w:r>
        <w:t xml:space="preserve">When the department </w:t>
      </w:r>
      <w:r w:rsidR="00B02BCF">
        <w:t xml:space="preserve">determines </w:t>
      </w:r>
      <w:r>
        <w:t xml:space="preserve">a client received </w:t>
      </w:r>
      <w:r w:rsidR="00B02BCF">
        <w:t xml:space="preserve">a benefit or </w:t>
      </w:r>
      <w:r>
        <w:t>more benefit than they were eligible for</w:t>
      </w:r>
      <w:r w:rsidR="00C069F1">
        <w:t>,</w:t>
      </w:r>
      <w:r>
        <w:t xml:space="preserve"> and an overpayment </w:t>
      </w:r>
      <w:r w:rsidR="00237DC5">
        <w:t xml:space="preserve">notice </w:t>
      </w:r>
      <w:r>
        <w:t>was issued; and</w:t>
      </w:r>
    </w:p>
    <w:p w14:paraId="376921D6" w14:textId="77777777" w:rsidR="00423B5F" w:rsidRDefault="00423B5F" w:rsidP="007556AE">
      <w:pPr>
        <w:pStyle w:val="ListParagraph"/>
        <w:numPr>
          <w:ilvl w:val="1"/>
          <w:numId w:val="16"/>
        </w:numPr>
      </w:pPr>
      <w:r>
        <w:t xml:space="preserve">When </w:t>
      </w:r>
      <w:r w:rsidR="00237DC5">
        <w:t>the total number of in-home personal care hours or New Freedom budget being received is reduced because of a reduction or termination in the number of in-home personal care hours approved as an exception to rule</w:t>
      </w:r>
      <w:r w:rsidR="00DE432C">
        <w:rPr>
          <w:rStyle w:val="FootnoteReference"/>
        </w:rPr>
        <w:footnoteReference w:id="1"/>
      </w:r>
      <w:r w:rsidR="003D4541">
        <w:t xml:space="preserve"> or the residential payment rate that was approved as an ETR is reduced or terminated</w:t>
      </w:r>
      <w:r w:rsidR="00237DC5">
        <w:t>.</w:t>
      </w:r>
    </w:p>
    <w:p w14:paraId="5743D267" w14:textId="77777777" w:rsidR="001447D0" w:rsidRDefault="001447D0" w:rsidP="00354E1B"/>
    <w:p w14:paraId="5FEB9414" w14:textId="4AA10BBE" w:rsidR="00423B5F" w:rsidRDefault="00423B5F" w:rsidP="007556AE">
      <w:pPr>
        <w:pStyle w:val="ListParagraph"/>
        <w:numPr>
          <w:ilvl w:val="0"/>
          <w:numId w:val="17"/>
        </w:numPr>
      </w:pPr>
      <w:r w:rsidRPr="00D2043C">
        <w:rPr>
          <w:b/>
        </w:rPr>
        <w:t>Vendors</w:t>
      </w:r>
      <w:r>
        <w:t xml:space="preserve"> have a right to a hearing when the department determines they were overpaid for goods and/or services provided to department clients on or after July</w:t>
      </w:r>
      <w:r w:rsidR="00057430">
        <w:t xml:space="preserve"> </w:t>
      </w:r>
      <w:r>
        <w:t>1, 1998</w:t>
      </w:r>
      <w:r w:rsidR="007A04F7">
        <w:rPr>
          <w:rStyle w:val="FootnoteReference"/>
        </w:rPr>
        <w:footnoteReference w:id="2"/>
      </w:r>
      <w:r w:rsidR="00D81922">
        <w:t xml:space="preserve">, and notice of OP is provided to the vendor. </w:t>
      </w:r>
    </w:p>
    <w:p w14:paraId="6B9CBB39" w14:textId="77777777" w:rsidR="003D4541" w:rsidRDefault="003D4541" w:rsidP="00737718">
      <w:pPr>
        <w:pStyle w:val="ListParagraph"/>
        <w:numPr>
          <w:ilvl w:val="0"/>
          <w:numId w:val="0"/>
        </w:numPr>
        <w:tabs>
          <w:tab w:val="left" w:pos="450"/>
        </w:tabs>
        <w:autoSpaceDE w:val="0"/>
        <w:autoSpaceDN w:val="0"/>
        <w:rPr>
          <w:rFonts w:asciiTheme="minorHAnsi" w:hAnsiTheme="minorHAnsi" w:cs="Arial"/>
          <w:b/>
          <w:bCs/>
        </w:rPr>
      </w:pPr>
    </w:p>
    <w:p w14:paraId="76C7727D" w14:textId="77777777" w:rsidR="00737718" w:rsidRPr="00737718" w:rsidRDefault="00737718" w:rsidP="00737718">
      <w:pPr>
        <w:pStyle w:val="ListParagraph"/>
        <w:numPr>
          <w:ilvl w:val="0"/>
          <w:numId w:val="0"/>
        </w:numPr>
        <w:tabs>
          <w:tab w:val="left" w:pos="450"/>
        </w:tabs>
        <w:autoSpaceDE w:val="0"/>
        <w:autoSpaceDN w:val="0"/>
        <w:rPr>
          <w:rFonts w:asciiTheme="minorHAnsi" w:hAnsiTheme="minorHAnsi" w:cs="Arial"/>
          <w:b/>
          <w:bCs/>
        </w:rPr>
      </w:pPr>
      <w:r w:rsidRPr="00737718">
        <w:rPr>
          <w:rFonts w:asciiTheme="minorHAnsi" w:hAnsiTheme="minorHAnsi" w:cs="Arial"/>
          <w:b/>
          <w:bCs/>
        </w:rPr>
        <w:t xml:space="preserve">Resources: </w:t>
      </w:r>
    </w:p>
    <w:p w14:paraId="5C801E1E" w14:textId="77777777" w:rsidR="00737718" w:rsidRPr="00737718" w:rsidRDefault="00737718" w:rsidP="00737718">
      <w:pPr>
        <w:tabs>
          <w:tab w:val="left" w:pos="450"/>
        </w:tabs>
        <w:autoSpaceDE w:val="0"/>
        <w:autoSpaceDN w:val="0"/>
        <w:rPr>
          <w:rFonts w:asciiTheme="minorHAnsi" w:hAnsiTheme="minorHAnsi" w:cs="Arial"/>
          <w:bCs/>
        </w:rPr>
      </w:pPr>
      <w:r w:rsidRPr="00737718">
        <w:rPr>
          <w:rFonts w:asciiTheme="minorHAnsi" w:hAnsiTheme="minorHAnsi" w:cs="Arial"/>
          <w:bCs/>
        </w:rPr>
        <w:t>RCW 74.09.741 Right to an Administrative Hearing (HCA).</w:t>
      </w:r>
    </w:p>
    <w:p w14:paraId="3A1056B7" w14:textId="77777777" w:rsidR="00737718" w:rsidRPr="00737718" w:rsidRDefault="00737718" w:rsidP="00737718">
      <w:pPr>
        <w:tabs>
          <w:tab w:val="left" w:pos="450"/>
        </w:tabs>
        <w:autoSpaceDE w:val="0"/>
        <w:autoSpaceDN w:val="0"/>
        <w:rPr>
          <w:rFonts w:asciiTheme="minorHAnsi" w:hAnsiTheme="minorHAnsi" w:cs="Arial"/>
          <w:bCs/>
        </w:rPr>
      </w:pPr>
      <w:r w:rsidRPr="00737718">
        <w:rPr>
          <w:rFonts w:asciiTheme="minorHAnsi" w:hAnsiTheme="minorHAnsi" w:cs="Arial"/>
          <w:bCs/>
        </w:rPr>
        <w:t>RCW 74.02.080 Right to an Administrative Hearing (DSHS).</w:t>
      </w:r>
    </w:p>
    <w:p w14:paraId="1FDB80F3" w14:textId="77777777" w:rsidR="00737718" w:rsidRPr="00737718" w:rsidRDefault="00737718" w:rsidP="00737718">
      <w:pPr>
        <w:tabs>
          <w:tab w:val="left" w:pos="450"/>
        </w:tabs>
        <w:autoSpaceDE w:val="0"/>
        <w:autoSpaceDN w:val="0"/>
        <w:rPr>
          <w:rFonts w:asciiTheme="minorHAnsi" w:hAnsiTheme="minorHAnsi" w:cs="Arial"/>
        </w:rPr>
      </w:pPr>
    </w:p>
    <w:p w14:paraId="42EEB548" w14:textId="77777777" w:rsidR="003D4541" w:rsidRPr="00737718" w:rsidRDefault="003D4541" w:rsidP="00737718">
      <w:pPr>
        <w:tabs>
          <w:tab w:val="left" w:pos="450"/>
        </w:tabs>
        <w:autoSpaceDE w:val="0"/>
        <w:autoSpaceDN w:val="0"/>
        <w:rPr>
          <w:rFonts w:asciiTheme="minorHAnsi" w:hAnsiTheme="minorHAnsi" w:cs="Arial"/>
        </w:rPr>
      </w:pPr>
      <w:r>
        <w:rPr>
          <w:rFonts w:asciiTheme="minorHAnsi" w:hAnsiTheme="minorHAnsi" w:cs="Arial"/>
        </w:rPr>
        <w:t>WAC 182-526-0085 Determining if a hearing right exists.</w:t>
      </w:r>
    </w:p>
    <w:p w14:paraId="5AAD5E2D" w14:textId="77777777" w:rsidR="00737718" w:rsidRDefault="00737718" w:rsidP="00737718">
      <w:pPr>
        <w:tabs>
          <w:tab w:val="left" w:pos="450"/>
        </w:tabs>
        <w:autoSpaceDE w:val="0"/>
        <w:autoSpaceDN w:val="0"/>
        <w:rPr>
          <w:rFonts w:asciiTheme="minorHAnsi" w:hAnsiTheme="minorHAnsi" w:cs="Arial"/>
        </w:rPr>
      </w:pPr>
      <w:r w:rsidRPr="00737718">
        <w:rPr>
          <w:rFonts w:asciiTheme="minorHAnsi" w:hAnsiTheme="minorHAnsi" w:cs="Arial"/>
        </w:rPr>
        <w:t>WAC 388-71-0562 Home Care Agency’s Right to an Administrative Hearing.</w:t>
      </w:r>
    </w:p>
    <w:p w14:paraId="4802C814" w14:textId="77777777" w:rsidR="00D81922" w:rsidRPr="00737718" w:rsidRDefault="00D81922" w:rsidP="00737718">
      <w:pPr>
        <w:tabs>
          <w:tab w:val="left" w:pos="450"/>
        </w:tabs>
        <w:autoSpaceDE w:val="0"/>
        <w:autoSpaceDN w:val="0"/>
        <w:rPr>
          <w:rFonts w:asciiTheme="minorHAnsi" w:hAnsiTheme="minorHAnsi" w:cs="Arial"/>
          <w:bCs/>
        </w:rPr>
      </w:pPr>
      <w:r>
        <w:rPr>
          <w:rFonts w:asciiTheme="minorHAnsi" w:hAnsiTheme="minorHAnsi" w:cs="Arial"/>
        </w:rPr>
        <w:t>WAC 388-115-0562 Consumer Directed Employer’s Right to an Administrative Hearing.</w:t>
      </w:r>
    </w:p>
    <w:p w14:paraId="2DC2780A" w14:textId="77777777" w:rsidR="00737718" w:rsidRDefault="00737718" w:rsidP="00737718">
      <w:pPr>
        <w:rPr>
          <w:rFonts w:asciiTheme="minorHAnsi" w:hAnsiTheme="minorHAnsi" w:cs="Arial"/>
        </w:rPr>
      </w:pPr>
      <w:r w:rsidRPr="00737718">
        <w:rPr>
          <w:rFonts w:asciiTheme="minorHAnsi" w:hAnsiTheme="minorHAnsi" w:cs="Arial"/>
        </w:rPr>
        <w:t>WAC 388-106-1315 Hearing Rights for an ETR</w:t>
      </w:r>
      <w:r w:rsidR="003D4541">
        <w:rPr>
          <w:rFonts w:asciiTheme="minorHAnsi" w:hAnsiTheme="minorHAnsi" w:cs="Arial"/>
        </w:rPr>
        <w:t>.</w:t>
      </w:r>
    </w:p>
    <w:p w14:paraId="1883EA22" w14:textId="77777777" w:rsidR="00D8167E" w:rsidRPr="00737718" w:rsidRDefault="00D8167E" w:rsidP="00737718">
      <w:pPr>
        <w:rPr>
          <w:rFonts w:asciiTheme="minorHAnsi" w:hAnsiTheme="minorHAnsi"/>
        </w:rPr>
      </w:pPr>
    </w:p>
    <w:p w14:paraId="17B9CD4E" w14:textId="77777777" w:rsidR="00423B5F" w:rsidRDefault="00D8167E" w:rsidP="00423B5F">
      <w:pPr>
        <w:pStyle w:val="Heading2"/>
      </w:pPr>
      <w:bookmarkStart w:id="8" w:name="_Toc22738041"/>
      <w:r>
        <w:t>Re</w:t>
      </w:r>
      <w:r w:rsidR="00423B5F">
        <w:t>questing an Administrative Hearing</w:t>
      </w:r>
      <w:bookmarkEnd w:id="8"/>
    </w:p>
    <w:p w14:paraId="4E05F098" w14:textId="77777777" w:rsidR="00445A9C" w:rsidRDefault="00445A9C" w:rsidP="00445A9C">
      <w:r>
        <w:t xml:space="preserve">Hearing requests must be made within a specific timeframe. See timeframes and deadlines for specifics. </w:t>
      </w:r>
    </w:p>
    <w:p w14:paraId="54EBC717" w14:textId="77777777" w:rsidR="00445A9C" w:rsidRDefault="00445A9C" w:rsidP="00C01F5C">
      <w:pPr>
        <w:pStyle w:val="ListParagraph"/>
        <w:numPr>
          <w:ilvl w:val="0"/>
          <w:numId w:val="18"/>
        </w:numPr>
      </w:pPr>
      <w:r>
        <w:lastRenderedPageBreak/>
        <w:t xml:space="preserve">A client may request a hearing in any of the following ways: </w:t>
      </w:r>
    </w:p>
    <w:p w14:paraId="7441AF52" w14:textId="77777777" w:rsidR="00445A9C" w:rsidRDefault="00445A9C" w:rsidP="00C01F5C">
      <w:pPr>
        <w:pStyle w:val="ListParagraph"/>
        <w:numPr>
          <w:ilvl w:val="1"/>
          <w:numId w:val="19"/>
        </w:numPr>
      </w:pPr>
      <w:r>
        <w:t xml:space="preserve">Verbal request. Department staff must notify </w:t>
      </w:r>
      <w:r w:rsidR="003F4EC9">
        <w:t>the Office of Administrative Hearings (</w:t>
      </w:r>
      <w:r>
        <w:t>OAH</w:t>
      </w:r>
      <w:r w:rsidR="003F4EC9">
        <w:t>)</w:t>
      </w:r>
      <w:r>
        <w:t xml:space="preserve"> </w:t>
      </w:r>
      <w:r w:rsidR="00D67FEC">
        <w:t>IMMEDIATELY</w:t>
      </w:r>
      <w:r w:rsidR="00AD679E">
        <w:rPr>
          <w:rStyle w:val="FootnoteReference"/>
        </w:rPr>
        <w:footnoteReference w:id="3"/>
      </w:r>
      <w:r w:rsidR="00D67FEC">
        <w:t xml:space="preserve"> </w:t>
      </w:r>
      <w:r>
        <w:t xml:space="preserve">of any verbal request from the client, preferably in writing. </w:t>
      </w:r>
      <w:r w:rsidR="0092217F">
        <w:t xml:space="preserve">These requests can be entered into the </w:t>
      </w:r>
      <w:r w:rsidR="003F4EC9">
        <w:t>Administrative Hearing Control System (</w:t>
      </w:r>
      <w:r w:rsidR="0092217F">
        <w:t>AHCS</w:t>
      </w:r>
      <w:r w:rsidR="003F4EC9">
        <w:t>)</w:t>
      </w:r>
      <w:r w:rsidR="0092217F">
        <w:t xml:space="preserve"> in Barcode by any staff with access to Barcode. Enter the hearing request in the client’s own words, </w:t>
      </w:r>
      <w:r w:rsidR="00C069F1">
        <w:t xml:space="preserve">email it, </w:t>
      </w:r>
      <w:proofErr w:type="gramStart"/>
      <w:r w:rsidR="0092217F">
        <w:t>print</w:t>
      </w:r>
      <w:proofErr w:type="gramEnd"/>
      <w:r w:rsidR="0092217F">
        <w:t xml:space="preserve"> and fax or mail to OAH. </w:t>
      </w:r>
    </w:p>
    <w:p w14:paraId="16EFC132" w14:textId="77777777" w:rsidR="00445A9C" w:rsidRDefault="00445A9C" w:rsidP="00C01F5C">
      <w:pPr>
        <w:pStyle w:val="ListParagraph"/>
        <w:numPr>
          <w:ilvl w:val="1"/>
          <w:numId w:val="19"/>
        </w:numPr>
      </w:pPr>
      <w:r>
        <w:t xml:space="preserve">Written request (of any kind). Department staff must notify OAH </w:t>
      </w:r>
      <w:r w:rsidR="00D67FEC">
        <w:t>IMMEDIATELY</w:t>
      </w:r>
      <w:r w:rsidR="00AD679E">
        <w:rPr>
          <w:rStyle w:val="FootnoteReference"/>
        </w:rPr>
        <w:footnoteReference w:id="4"/>
      </w:r>
      <w:r w:rsidR="00D67FEC">
        <w:t xml:space="preserve"> </w:t>
      </w:r>
      <w:r>
        <w:t xml:space="preserve">of any written request that doesn’t go directly to OAH. </w:t>
      </w:r>
    </w:p>
    <w:p w14:paraId="06D35DEE" w14:textId="77777777" w:rsidR="00445A9C" w:rsidRDefault="00445A9C" w:rsidP="00C01F5C">
      <w:pPr>
        <w:pStyle w:val="ListParagraph"/>
        <w:numPr>
          <w:ilvl w:val="1"/>
          <w:numId w:val="19"/>
        </w:numPr>
      </w:pPr>
      <w:r>
        <w:t xml:space="preserve">The Request for Hearing form that accompanies every PAN. This form can be completed by the client and mailed or faxed to OAH. The client may also ask department staff to help them complete and submit the hearing request to OAH. </w:t>
      </w:r>
    </w:p>
    <w:p w14:paraId="75C720DD" w14:textId="77777777" w:rsidR="00445A9C" w:rsidRDefault="00445A9C" w:rsidP="00C01F5C">
      <w:pPr>
        <w:pStyle w:val="ListParagraph"/>
        <w:numPr>
          <w:ilvl w:val="1"/>
          <w:numId w:val="19"/>
        </w:numPr>
      </w:pPr>
      <w:r>
        <w:t xml:space="preserve">Per the instructions on the Client Overpayment Notice to request a hearing for an overpayment issue. </w:t>
      </w:r>
    </w:p>
    <w:p w14:paraId="7344C155" w14:textId="77777777" w:rsidR="00445A9C" w:rsidRDefault="00445A9C" w:rsidP="00445A9C"/>
    <w:p w14:paraId="2FB9CE3E" w14:textId="77777777" w:rsidR="001447D0" w:rsidRDefault="001447D0" w:rsidP="001447D0">
      <w:pPr>
        <w:pStyle w:val="ListParagraph"/>
        <w:numPr>
          <w:ilvl w:val="0"/>
          <w:numId w:val="0"/>
        </w:numPr>
        <w:ind w:left="1440"/>
      </w:pPr>
    </w:p>
    <w:p w14:paraId="0629FDD0" w14:textId="77777777" w:rsidR="00445A9C" w:rsidRDefault="00445A9C" w:rsidP="00C01F5C">
      <w:pPr>
        <w:pStyle w:val="ListParagraph"/>
        <w:numPr>
          <w:ilvl w:val="0"/>
          <w:numId w:val="18"/>
        </w:numPr>
      </w:pPr>
      <w:r>
        <w:t>Vendors may request a hearing</w:t>
      </w:r>
      <w:r w:rsidR="00B02BCF">
        <w:t xml:space="preserve"> related to an overpayment</w:t>
      </w:r>
      <w:r>
        <w:t xml:space="preserve"> by using the instructions on the Vendor Overpayment Notice</w:t>
      </w:r>
      <w:r w:rsidR="00B02BCF">
        <w:t>.</w:t>
      </w:r>
    </w:p>
    <w:p w14:paraId="13FACD83" w14:textId="77777777" w:rsidR="00737718" w:rsidRDefault="00737718" w:rsidP="00737718">
      <w:pPr>
        <w:tabs>
          <w:tab w:val="left" w:pos="450"/>
        </w:tabs>
        <w:autoSpaceDE w:val="0"/>
        <w:autoSpaceDN w:val="0"/>
        <w:rPr>
          <w:rFonts w:ascii="Arial" w:hAnsi="Arial" w:cs="Arial"/>
          <w:bCs/>
          <w:sz w:val="20"/>
        </w:rPr>
      </w:pPr>
    </w:p>
    <w:p w14:paraId="17AACFDE" w14:textId="77777777" w:rsidR="00D8167E" w:rsidRDefault="00D8167E" w:rsidP="00D8167E"/>
    <w:p w14:paraId="0EF530BF" w14:textId="77777777" w:rsidR="00737718" w:rsidRPr="00D8167E" w:rsidRDefault="00737718" w:rsidP="00D8167E">
      <w:pPr>
        <w:rPr>
          <w:rStyle w:val="Strong"/>
        </w:rPr>
      </w:pPr>
      <w:r w:rsidRPr="00D8167E">
        <w:rPr>
          <w:rStyle w:val="Strong"/>
        </w:rPr>
        <w:t>Resources</w:t>
      </w:r>
    </w:p>
    <w:p w14:paraId="6F5BD298" w14:textId="77777777" w:rsidR="00737718" w:rsidRPr="00737718" w:rsidRDefault="00737718" w:rsidP="00737718">
      <w:pPr>
        <w:tabs>
          <w:tab w:val="left" w:pos="450"/>
        </w:tabs>
        <w:autoSpaceDE w:val="0"/>
        <w:autoSpaceDN w:val="0"/>
        <w:rPr>
          <w:rFonts w:asciiTheme="minorHAnsi" w:hAnsiTheme="minorHAnsi" w:cs="Arial"/>
          <w:bCs/>
        </w:rPr>
      </w:pPr>
      <w:r w:rsidRPr="00737718">
        <w:rPr>
          <w:rFonts w:asciiTheme="minorHAnsi" w:hAnsiTheme="minorHAnsi" w:cs="Arial"/>
          <w:bCs/>
        </w:rPr>
        <w:t>WAC 182-526-0095 How to Request a Hearing</w:t>
      </w:r>
    </w:p>
    <w:p w14:paraId="30AB0ECD" w14:textId="77777777" w:rsidR="00737718" w:rsidRPr="00737718" w:rsidRDefault="00737718" w:rsidP="00737718">
      <w:pPr>
        <w:tabs>
          <w:tab w:val="left" w:pos="450"/>
        </w:tabs>
        <w:autoSpaceDE w:val="0"/>
        <w:autoSpaceDN w:val="0"/>
        <w:rPr>
          <w:rFonts w:asciiTheme="minorHAnsi" w:hAnsiTheme="minorHAnsi" w:cs="Arial"/>
          <w:bCs/>
        </w:rPr>
      </w:pPr>
      <w:r w:rsidRPr="00737718">
        <w:rPr>
          <w:rFonts w:asciiTheme="minorHAnsi" w:hAnsiTheme="minorHAnsi" w:cs="Arial"/>
          <w:bCs/>
        </w:rPr>
        <w:t>WAC 182-526-0025 Use and Location of Office of Administrative Hearing</w:t>
      </w:r>
      <w:r w:rsidR="003F4EC9">
        <w:rPr>
          <w:rFonts w:asciiTheme="minorHAnsi" w:hAnsiTheme="minorHAnsi" w:cs="Arial"/>
          <w:bCs/>
        </w:rPr>
        <w:t xml:space="preserve"> (OAH)</w:t>
      </w:r>
      <w:r w:rsidRPr="00737718">
        <w:rPr>
          <w:rFonts w:asciiTheme="minorHAnsi" w:hAnsiTheme="minorHAnsi" w:cs="Arial"/>
          <w:bCs/>
        </w:rPr>
        <w:tab/>
      </w:r>
    </w:p>
    <w:p w14:paraId="2D63926F" w14:textId="77777777" w:rsidR="00D8167E" w:rsidRDefault="00D8167E">
      <w:pPr>
        <w:rPr>
          <w:rFonts w:ascii="Century Gothic" w:eastAsiaTheme="majorEastAsia" w:hAnsi="Century Gothic" w:cstheme="majorBidi"/>
          <w:b/>
          <w:caps/>
          <w:color w:val="005CAB"/>
          <w:sz w:val="26"/>
          <w:szCs w:val="26"/>
        </w:rPr>
      </w:pPr>
      <w:r>
        <w:br w:type="page"/>
      </w:r>
    </w:p>
    <w:p w14:paraId="5FF57C7F" w14:textId="77777777" w:rsidR="003F4EC9" w:rsidRPr="003F4EC9" w:rsidRDefault="00445A9C">
      <w:pPr>
        <w:pStyle w:val="Heading2"/>
      </w:pPr>
      <w:bookmarkStart w:id="9" w:name="_Toc22738042"/>
      <w:r>
        <w:lastRenderedPageBreak/>
        <w:t>Notices</w:t>
      </w:r>
      <w:bookmarkEnd w:id="9"/>
      <w:r w:rsidR="00734F31">
        <w:t>- See Chapter 27</w:t>
      </w:r>
      <w:r w:rsidR="003905D9">
        <w:t xml:space="preserve"> “Notices”</w:t>
      </w:r>
    </w:p>
    <w:p w14:paraId="67B5FB9C" w14:textId="77777777" w:rsidR="006A56FC" w:rsidRDefault="00445A9C" w:rsidP="006A56FC">
      <w:r>
        <w:t xml:space="preserve">When a client applies for or gets benefits, the department is required to send notice to alert clients about </w:t>
      </w:r>
      <w:r w:rsidR="009D0811">
        <w:t xml:space="preserve">the </w:t>
      </w:r>
      <w:r>
        <w:t xml:space="preserve">decisions made about their </w:t>
      </w:r>
      <w:r w:rsidR="002557F0">
        <w:t xml:space="preserve">benefits. </w:t>
      </w:r>
      <w:r w:rsidR="00734F31">
        <w:t xml:space="preserve">Notices are the crux of the department’s case in an administrative hearing and should </w:t>
      </w:r>
      <w:r w:rsidR="009D0811">
        <w:t xml:space="preserve">accurately </w:t>
      </w:r>
      <w:r w:rsidR="00734F31">
        <w:t>represent the action that was taken by the department</w:t>
      </w:r>
      <w:r w:rsidR="001B2CA1">
        <w:t xml:space="preserve">, including the </w:t>
      </w:r>
      <w:r w:rsidR="009D0811">
        <w:t xml:space="preserve">supporting authorities for the action. </w:t>
      </w:r>
      <w:r w:rsidR="001B2CA1">
        <w:t xml:space="preserve">If the notice is </w:t>
      </w:r>
      <w:r w:rsidR="00101607">
        <w:t>fatally deficient</w:t>
      </w:r>
      <w:r w:rsidR="001B2CA1">
        <w:t xml:space="preserve">, the department may lose the case on inadequate notice. Notices may be amended up to and </w:t>
      </w:r>
      <w:r w:rsidR="003905D9">
        <w:t>during</w:t>
      </w:r>
      <w:r w:rsidR="001B2CA1">
        <w:t xml:space="preserve"> the hearing in most instances</w:t>
      </w:r>
      <w:r w:rsidR="00101607">
        <w:rPr>
          <w:rStyle w:val="FootnoteReference"/>
        </w:rPr>
        <w:footnoteReference w:id="5"/>
      </w:r>
      <w:r w:rsidR="001B2CA1">
        <w:t xml:space="preserve">. </w:t>
      </w:r>
    </w:p>
    <w:p w14:paraId="4B8289F4" w14:textId="77777777" w:rsidR="00406716" w:rsidRDefault="00406716" w:rsidP="00D8167E"/>
    <w:p w14:paraId="69F34043" w14:textId="77777777" w:rsidR="002557F0" w:rsidRDefault="00D8167E" w:rsidP="002557F0">
      <w:pPr>
        <w:pStyle w:val="Heading2"/>
      </w:pPr>
      <w:bookmarkStart w:id="10" w:name="_Toc22738043"/>
      <w:r>
        <w:t>C</w:t>
      </w:r>
      <w:r w:rsidR="002557F0">
        <w:t>ase manager role</w:t>
      </w:r>
      <w:bookmarkEnd w:id="10"/>
    </w:p>
    <w:p w14:paraId="33F53663" w14:textId="77777777" w:rsidR="009354E3" w:rsidRDefault="009354E3" w:rsidP="00C01F5C">
      <w:pPr>
        <w:pStyle w:val="ListParagraph"/>
        <w:numPr>
          <w:ilvl w:val="0"/>
          <w:numId w:val="20"/>
        </w:numPr>
        <w:tabs>
          <w:tab w:val="left" w:pos="720"/>
        </w:tabs>
        <w:ind w:left="720"/>
      </w:pPr>
      <w:r>
        <w:t xml:space="preserve">The case manager remains responsible for case management activities, including completing an accurate assessment to determine correct eligibility. </w:t>
      </w:r>
    </w:p>
    <w:p w14:paraId="61344AF4" w14:textId="77777777" w:rsidR="001447D0" w:rsidRDefault="001447D0" w:rsidP="001447D0">
      <w:pPr>
        <w:pStyle w:val="ListParagraph"/>
        <w:numPr>
          <w:ilvl w:val="0"/>
          <w:numId w:val="0"/>
        </w:numPr>
        <w:tabs>
          <w:tab w:val="left" w:pos="720"/>
        </w:tabs>
        <w:ind w:left="720"/>
      </w:pPr>
    </w:p>
    <w:p w14:paraId="2E2C6E6C" w14:textId="77777777" w:rsidR="009354E3" w:rsidRDefault="009354E3" w:rsidP="00C01F5C">
      <w:pPr>
        <w:pStyle w:val="ListParagraph"/>
        <w:numPr>
          <w:ilvl w:val="0"/>
          <w:numId w:val="20"/>
        </w:numPr>
        <w:ind w:left="720"/>
      </w:pPr>
      <w:r>
        <w:t xml:space="preserve">In addition, the </w:t>
      </w:r>
      <w:r w:rsidR="00B02BCF">
        <w:t>case manager</w:t>
      </w:r>
      <w:r>
        <w:t xml:space="preserve">: </w:t>
      </w:r>
    </w:p>
    <w:p w14:paraId="799501C5" w14:textId="77777777" w:rsidR="00620C57" w:rsidRDefault="009354E3" w:rsidP="00C01F5C">
      <w:pPr>
        <w:pStyle w:val="ListParagraph"/>
        <w:numPr>
          <w:ilvl w:val="0"/>
          <w:numId w:val="21"/>
        </w:numPr>
      </w:pPr>
      <w:r>
        <w:t>Notifies the client, informally over the phone or in person, AND in writing using the automated PAN, when the department takes an action affecting the client’s services</w:t>
      </w:r>
      <w:r w:rsidR="00060C89">
        <w:t>.</w:t>
      </w:r>
    </w:p>
    <w:p w14:paraId="6471C8EB" w14:textId="77777777" w:rsidR="009354E3" w:rsidRDefault="009354E3" w:rsidP="00C01F5C">
      <w:pPr>
        <w:pStyle w:val="ListParagraph"/>
        <w:numPr>
          <w:ilvl w:val="0"/>
          <w:numId w:val="21"/>
        </w:numPr>
      </w:pPr>
      <w:r>
        <w:t xml:space="preserve">Attempts to resolve any issues expressed by the client when they don’t agree with the decision/action the department is taking. This includes but is not limited to: </w:t>
      </w:r>
    </w:p>
    <w:p w14:paraId="7C35BE01" w14:textId="77777777" w:rsidR="009354E3" w:rsidRDefault="009354E3" w:rsidP="00C01F5C">
      <w:pPr>
        <w:pStyle w:val="ListParagraph"/>
        <w:numPr>
          <w:ilvl w:val="0"/>
          <w:numId w:val="22"/>
        </w:numPr>
        <w:ind w:left="2250" w:hanging="90"/>
      </w:pPr>
      <w:r>
        <w:t>Reviewing the assessment with the client to ensure accuracy and to explain the assessment process and the CARE tool.</w:t>
      </w:r>
    </w:p>
    <w:p w14:paraId="34C71603" w14:textId="77777777" w:rsidR="009354E3" w:rsidRDefault="009354E3" w:rsidP="00C01F5C">
      <w:pPr>
        <w:pStyle w:val="ListParagraph"/>
        <w:numPr>
          <w:ilvl w:val="0"/>
          <w:numId w:val="22"/>
        </w:numPr>
        <w:ind w:left="2250" w:hanging="90"/>
      </w:pPr>
      <w:r>
        <w:t>Gathering additional supporting information from collateral contacts including other health care professionals</w:t>
      </w:r>
      <w:r w:rsidR="00D32A57">
        <w:t xml:space="preserve">, when </w:t>
      </w:r>
      <w:r w:rsidR="00620C57">
        <w:t>applicable</w:t>
      </w:r>
      <w:r>
        <w:t>.</w:t>
      </w:r>
    </w:p>
    <w:p w14:paraId="54A44F6C" w14:textId="77777777" w:rsidR="009354E3" w:rsidRDefault="009354E3" w:rsidP="00C01F5C">
      <w:pPr>
        <w:pStyle w:val="ListParagraph"/>
        <w:numPr>
          <w:ilvl w:val="0"/>
          <w:numId w:val="22"/>
        </w:numPr>
        <w:ind w:left="2250" w:hanging="90"/>
      </w:pPr>
      <w:r>
        <w:t xml:space="preserve">Exploring alternatives to help resolve issues like:  </w:t>
      </w:r>
    </w:p>
    <w:p w14:paraId="3E87D660" w14:textId="77777777" w:rsidR="009354E3" w:rsidRDefault="009354E3" w:rsidP="00B75CEB">
      <w:pPr>
        <w:tabs>
          <w:tab w:val="left" w:pos="2880"/>
        </w:tabs>
        <w:ind w:left="2880" w:hanging="360"/>
      </w:pPr>
      <w:r>
        <w:t>(1)</w:t>
      </w:r>
      <w:r>
        <w:tab/>
        <w:t xml:space="preserve">Evaluating whether the client needs a reassessment and completing one if </w:t>
      </w:r>
      <w:proofErr w:type="gramStart"/>
      <w:r>
        <w:t>appropriate;</w:t>
      </w:r>
      <w:proofErr w:type="gramEnd"/>
    </w:p>
    <w:p w14:paraId="7C37E92D" w14:textId="77777777" w:rsidR="009354E3" w:rsidRDefault="009354E3" w:rsidP="00B75CEB">
      <w:pPr>
        <w:tabs>
          <w:tab w:val="left" w:pos="2700"/>
          <w:tab w:val="left" w:pos="2790"/>
          <w:tab w:val="left" w:pos="2880"/>
        </w:tabs>
        <w:ind w:left="2790" w:hanging="270"/>
      </w:pPr>
      <w:r>
        <w:t>(2)</w:t>
      </w:r>
      <w:r>
        <w:tab/>
        <w:t xml:space="preserve">Checking the availability and </w:t>
      </w:r>
      <w:r w:rsidR="00620C57">
        <w:t>suitability</w:t>
      </w:r>
      <w:r>
        <w:t xml:space="preserve"> of programs or services which may be offered by other community social service agencies or informal supports;</w:t>
      </w:r>
      <w:r w:rsidR="00BD1C3A">
        <w:t xml:space="preserve"> and</w:t>
      </w:r>
    </w:p>
    <w:p w14:paraId="07F96E6B" w14:textId="77777777" w:rsidR="009354E3" w:rsidRDefault="009354E3" w:rsidP="00AF3E77">
      <w:pPr>
        <w:tabs>
          <w:tab w:val="left" w:pos="2880"/>
        </w:tabs>
        <w:ind w:left="2880" w:hanging="360"/>
      </w:pPr>
      <w:r>
        <w:t>(3)</w:t>
      </w:r>
      <w:r>
        <w:tab/>
        <w:t xml:space="preserve">Assessing whether a request for an ETR is </w:t>
      </w:r>
      <w:r w:rsidR="00620C57">
        <w:t>applicable</w:t>
      </w:r>
      <w:r w:rsidR="00BD1C3A">
        <w:t>.</w:t>
      </w:r>
    </w:p>
    <w:p w14:paraId="070DB725" w14:textId="77777777" w:rsidR="009354E3" w:rsidRDefault="009354E3" w:rsidP="00C01F5C">
      <w:pPr>
        <w:pStyle w:val="ListParagraph"/>
        <w:numPr>
          <w:ilvl w:val="0"/>
          <w:numId w:val="21"/>
        </w:numPr>
      </w:pPr>
      <w:r>
        <w:t xml:space="preserve">If the client </w:t>
      </w:r>
      <w:r w:rsidR="00D32A57">
        <w:t>does not</w:t>
      </w:r>
      <w:r>
        <w:t xml:space="preserve"> agree with a decision made by the department and a resolution </w:t>
      </w:r>
      <w:r w:rsidR="00D32A57">
        <w:t>cannot</w:t>
      </w:r>
      <w:r>
        <w:t xml:space="preserve"> be reached, explains to the client that an administrative hearing may be requested.</w:t>
      </w:r>
    </w:p>
    <w:p w14:paraId="3437C9BA" w14:textId="2EE1844B" w:rsidR="009354E3" w:rsidRDefault="00060C89" w:rsidP="00C01F5C">
      <w:pPr>
        <w:pStyle w:val="ListParagraph"/>
        <w:numPr>
          <w:ilvl w:val="0"/>
          <w:numId w:val="21"/>
        </w:numPr>
      </w:pPr>
      <w:r>
        <w:lastRenderedPageBreak/>
        <w:t>I</w:t>
      </w:r>
      <w:r w:rsidR="009354E3">
        <w:t xml:space="preserve">nforms the client that he or she will get continued benefits if </w:t>
      </w:r>
      <w:r w:rsidR="00620C57">
        <w:t>they do</w:t>
      </w:r>
      <w:r w:rsidR="00D32A57">
        <w:t xml:space="preserve"> not</w:t>
      </w:r>
      <w:r w:rsidR="009354E3">
        <w:t xml:space="preserve"> agree with a decision for a reduction or termination of services</w:t>
      </w:r>
      <w:r w:rsidR="00620C57">
        <w:t>,</w:t>
      </w:r>
      <w:r w:rsidR="00BD1C3A">
        <w:t xml:space="preserve"> if a hearing is requested before the effective date and</w:t>
      </w:r>
      <w:r w:rsidR="009354E3">
        <w:t xml:space="preserve"> pending the outcome of the hearing, unless </w:t>
      </w:r>
      <w:r w:rsidR="00620C57">
        <w:t>they</w:t>
      </w:r>
      <w:r w:rsidR="009354E3">
        <w:t xml:space="preserve"> request not to receive them.   </w:t>
      </w:r>
    </w:p>
    <w:p w14:paraId="5B42C2C1" w14:textId="77777777" w:rsidR="009354E3" w:rsidRDefault="009354E3" w:rsidP="00C01F5C">
      <w:pPr>
        <w:pStyle w:val="ListParagraph"/>
        <w:numPr>
          <w:ilvl w:val="0"/>
          <w:numId w:val="21"/>
        </w:numPr>
      </w:pPr>
      <w:r>
        <w:t xml:space="preserve">Notifies the client that up to 60-days of continued benefits may have to be repaid if the </w:t>
      </w:r>
      <w:r w:rsidR="00620C57">
        <w:t>department prevails in the hearing</w:t>
      </w:r>
      <w:r>
        <w:t>.</w:t>
      </w:r>
    </w:p>
    <w:p w14:paraId="2B364C51" w14:textId="77777777" w:rsidR="009354E3" w:rsidRDefault="009354E3" w:rsidP="00C01F5C">
      <w:pPr>
        <w:pStyle w:val="ListParagraph"/>
        <w:numPr>
          <w:ilvl w:val="0"/>
          <w:numId w:val="21"/>
        </w:numPr>
      </w:pPr>
      <w:r>
        <w:t xml:space="preserve">Notifies the financial worker of continued benefits. </w:t>
      </w:r>
    </w:p>
    <w:p w14:paraId="5D1A8FF9" w14:textId="77777777" w:rsidR="009354E3" w:rsidRDefault="00B75CEB" w:rsidP="00C01F5C">
      <w:pPr>
        <w:pStyle w:val="ListParagraph"/>
        <w:numPr>
          <w:ilvl w:val="0"/>
          <w:numId w:val="21"/>
        </w:numPr>
      </w:pPr>
      <w:r w:rsidRPr="00B75CEB">
        <w:rPr>
          <w:noProof/>
        </w:rPr>
        <mc:AlternateContent>
          <mc:Choice Requires="wps">
            <w:drawing>
              <wp:anchor distT="0" distB="0" distL="114300" distR="114300" simplePos="0" relativeHeight="251682816" behindDoc="0" locked="0" layoutInCell="1" allowOverlap="1" wp14:anchorId="4CF85096" wp14:editId="6D386B4C">
                <wp:simplePos x="0" y="0"/>
                <wp:positionH relativeFrom="column">
                  <wp:posOffset>2873375</wp:posOffset>
                </wp:positionH>
                <wp:positionV relativeFrom="paragraph">
                  <wp:posOffset>381635</wp:posOffset>
                </wp:positionV>
                <wp:extent cx="2786380" cy="770890"/>
                <wp:effectExtent l="0" t="0" r="0" b="0"/>
                <wp:wrapSquare wrapText="bothSides"/>
                <wp:docPr id="25" name="Text Box 25"/>
                <wp:cNvGraphicFramePr/>
                <a:graphic xmlns:a="http://schemas.openxmlformats.org/drawingml/2006/main">
                  <a:graphicData uri="http://schemas.microsoft.com/office/word/2010/wordprocessingShape">
                    <wps:wsp>
                      <wps:cNvSpPr txBox="1"/>
                      <wps:spPr>
                        <a:xfrm>
                          <a:off x="0" y="0"/>
                          <a:ext cx="2786380" cy="770890"/>
                        </a:xfrm>
                        <a:prstGeom prst="rect">
                          <a:avLst/>
                        </a:prstGeom>
                        <a:solidFill>
                          <a:srgbClr val="FFC000">
                            <a:lumMod val="40000"/>
                            <a:lumOff val="60000"/>
                          </a:srgbClr>
                        </a:solidFill>
                        <a:ln w="6350">
                          <a:noFill/>
                        </a:ln>
                      </wps:spPr>
                      <wps:txbx>
                        <w:txbxContent>
                          <w:p w14:paraId="7573B944" w14:textId="77777777" w:rsidR="00060C89" w:rsidRDefault="00060C89" w:rsidP="00B75CEB">
                            <w:r>
                              <w:t xml:space="preserve">For local OAH contacts use WAC 182-526-0025 or the OAH website or send requests to: </w:t>
                            </w:r>
                          </w:p>
                          <w:p w14:paraId="7397515F" w14:textId="77777777" w:rsidR="00060C89" w:rsidRDefault="00060C89" w:rsidP="00B75CEB">
                            <w:r>
                              <w:t>Office of Administrative Hearings (OAH)</w:t>
                            </w:r>
                          </w:p>
                          <w:p w14:paraId="0F19AA77" w14:textId="77777777" w:rsidR="00060C89" w:rsidRDefault="00060C89" w:rsidP="00B75CEB">
                            <w:r>
                              <w:t>PO Box 42489 Olympia, WA  98504-2489</w:t>
                            </w:r>
                          </w:p>
                          <w:p w14:paraId="66AD61EF" w14:textId="77777777" w:rsidR="00060C89" w:rsidRDefault="00060C89" w:rsidP="00B75CE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F85096" id="_x0000_t202" coordsize="21600,21600" o:spt="202" path="m,l,21600r21600,l21600,xe">
                <v:stroke joinstyle="miter"/>
                <v:path gradientshapeok="t" o:connecttype="rect"/>
              </v:shapetype>
              <v:shape id="Text Box 25" o:spid="_x0000_s1026" type="#_x0000_t202" style="position:absolute;left:0;text-align:left;margin-left:226.25pt;margin-top:30.05pt;width:219.4pt;height:60.7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" fillcolor="#ffe699" stroked="f" strokeweight=".5pt">
                <v:textbox>
                  <w:txbxContent>
                    <w:p w14:paraId="7573B944" w14:textId="77777777" w:rsidR="00060C89" w:rsidRDefault="00060C89" w:rsidP="00B75CEB">
                      <w:r>
                        <w:t xml:space="preserve">For local OAH contacts use WAC 182-526-0025 or the OAH website or send requests to: </w:t>
                      </w:r>
                    </w:p>
                    <w:p w14:paraId="7397515F" w14:textId="77777777" w:rsidR="00060C89" w:rsidRDefault="00060C89" w:rsidP="00B75CEB">
                      <w:r>
                        <w:t>Office of Administrative Hearings (OAH)</w:t>
                      </w:r>
                    </w:p>
                    <w:p w14:paraId="0F19AA77" w14:textId="77777777" w:rsidR="00060C89" w:rsidRDefault="00060C89" w:rsidP="00B75CEB">
                      <w:r>
                        <w:t>PO Box 42489 Olympia, WA  98504-2489</w:t>
                      </w:r>
                    </w:p>
                    <w:p w14:paraId="66AD61EF" w14:textId="77777777" w:rsidR="00060C89" w:rsidRDefault="00060C89" w:rsidP="00B75CEB"/>
                  </w:txbxContent>
                </v:textbox>
                <w10:wrap type="square"/>
              </v:shape>
            </w:pict>
          </mc:Fallback>
        </mc:AlternateContent>
      </w:r>
      <w:r w:rsidR="009354E3">
        <w:t xml:space="preserve">Documents the communications with the client in SER including that the administrative hearing process was explained to the client and the client’s decision about whether to request a hearing, if known. Include the details about the hearing issue(s) and attempts made to resolve the issue(s). </w:t>
      </w:r>
    </w:p>
    <w:p w14:paraId="5F122769" w14:textId="77777777" w:rsidR="009354E3" w:rsidRDefault="009354E3" w:rsidP="00C01F5C">
      <w:pPr>
        <w:pStyle w:val="ListParagraph"/>
        <w:numPr>
          <w:ilvl w:val="0"/>
          <w:numId w:val="21"/>
        </w:numPr>
      </w:pPr>
      <w:r>
        <w:t>Assists the client to request a hearing, as needed, when the client chooses to make a formal request</w:t>
      </w:r>
      <w:r w:rsidR="0086471A">
        <w:t>, by using the Administrative Hearing Control System</w:t>
      </w:r>
      <w:r w:rsidR="00620C57">
        <w:rPr>
          <w:rStyle w:val="FootnoteReference"/>
        </w:rPr>
        <w:footnoteReference w:id="6"/>
      </w:r>
      <w:r w:rsidR="0086471A">
        <w:t>.</w:t>
      </w:r>
      <w:r>
        <w:t xml:space="preserve"> </w:t>
      </w:r>
      <w:r w:rsidR="0086471A">
        <w:t xml:space="preserve"> Submits the request immediately </w:t>
      </w:r>
      <w:r>
        <w:t xml:space="preserve">to the local OAH field office. </w:t>
      </w:r>
    </w:p>
    <w:p w14:paraId="567ECCD2" w14:textId="77777777" w:rsidR="009354E3" w:rsidRDefault="009354E3" w:rsidP="00C01F5C">
      <w:pPr>
        <w:pStyle w:val="ListParagraph"/>
        <w:numPr>
          <w:ilvl w:val="0"/>
          <w:numId w:val="21"/>
        </w:numPr>
      </w:pPr>
      <w:r>
        <w:t xml:space="preserve">Notifies the local AHC of the verbal or written request for a hearing, and provides the AHC with the client’s: </w:t>
      </w:r>
    </w:p>
    <w:p w14:paraId="598480C9" w14:textId="5C00E495" w:rsidR="009354E3" w:rsidRDefault="00057430" w:rsidP="00C01F5C">
      <w:pPr>
        <w:pStyle w:val="ListParagraph"/>
        <w:numPr>
          <w:ilvl w:val="1"/>
          <w:numId w:val="23"/>
        </w:numPr>
        <w:ind w:left="2340" w:hanging="180"/>
      </w:pPr>
      <w:r>
        <w:t xml:space="preserve">  </w:t>
      </w:r>
      <w:r w:rsidR="009354E3">
        <w:t>Name,</w:t>
      </w:r>
    </w:p>
    <w:p w14:paraId="4B4D7975" w14:textId="4C946C7A" w:rsidR="009354E3" w:rsidRDefault="00057430" w:rsidP="00C01F5C">
      <w:pPr>
        <w:pStyle w:val="ListParagraph"/>
        <w:numPr>
          <w:ilvl w:val="1"/>
          <w:numId w:val="23"/>
        </w:numPr>
        <w:ind w:left="2340" w:hanging="180"/>
      </w:pPr>
      <w:r>
        <w:t xml:space="preserve">  </w:t>
      </w:r>
      <w:r w:rsidR="009354E3">
        <w:t>ACES</w:t>
      </w:r>
      <w:r w:rsidR="00D32A57">
        <w:t xml:space="preserve"> </w:t>
      </w:r>
      <w:r w:rsidR="009354E3">
        <w:t xml:space="preserve"># and </w:t>
      </w:r>
      <w:proofErr w:type="spellStart"/>
      <w:r w:rsidR="009354E3">
        <w:t>ProviderOne</w:t>
      </w:r>
      <w:proofErr w:type="spellEnd"/>
      <w:r w:rsidR="00D32A57">
        <w:t xml:space="preserve"> </w:t>
      </w:r>
      <w:r w:rsidR="009354E3">
        <w:t xml:space="preserve">#. </w:t>
      </w:r>
    </w:p>
    <w:p w14:paraId="7639608E" w14:textId="77777777" w:rsidR="009354E3" w:rsidRDefault="009354E3" w:rsidP="00C01F5C">
      <w:pPr>
        <w:pStyle w:val="ListParagraph"/>
        <w:numPr>
          <w:ilvl w:val="1"/>
          <w:numId w:val="23"/>
        </w:numPr>
        <w:tabs>
          <w:tab w:val="left" w:pos="2430"/>
        </w:tabs>
        <w:ind w:left="2340" w:hanging="180"/>
      </w:pPr>
      <w:r>
        <w:t>Date of request, and</w:t>
      </w:r>
    </w:p>
    <w:p w14:paraId="123A2CBD" w14:textId="77777777" w:rsidR="009354E3" w:rsidRDefault="009354E3" w:rsidP="00C01F5C">
      <w:pPr>
        <w:pStyle w:val="ListParagraph"/>
        <w:numPr>
          <w:ilvl w:val="1"/>
          <w:numId w:val="23"/>
        </w:numPr>
        <w:tabs>
          <w:tab w:val="left" w:pos="2430"/>
        </w:tabs>
        <w:ind w:left="2340" w:hanging="180"/>
      </w:pPr>
      <w:r>
        <w:t>Administrative hearing issue.</w:t>
      </w:r>
    </w:p>
    <w:p w14:paraId="5CD2F998" w14:textId="77777777" w:rsidR="009354E3" w:rsidRDefault="00D8167E" w:rsidP="00C01F5C">
      <w:pPr>
        <w:pStyle w:val="ListParagraph"/>
        <w:numPr>
          <w:ilvl w:val="0"/>
          <w:numId w:val="21"/>
        </w:numPr>
      </w:pPr>
      <w:r>
        <w:rPr>
          <w:noProof/>
        </w:rPr>
        <mc:AlternateContent>
          <mc:Choice Requires="wps">
            <w:drawing>
              <wp:anchor distT="0" distB="0" distL="114300" distR="114300" simplePos="0" relativeHeight="251676672" behindDoc="0" locked="0" layoutInCell="1" allowOverlap="1" wp14:anchorId="28793686" wp14:editId="4D2D8C85">
                <wp:simplePos x="0" y="0"/>
                <wp:positionH relativeFrom="column">
                  <wp:posOffset>4415155</wp:posOffset>
                </wp:positionH>
                <wp:positionV relativeFrom="paragraph">
                  <wp:posOffset>321401</wp:posOffset>
                </wp:positionV>
                <wp:extent cx="1941830" cy="1543050"/>
                <wp:effectExtent l="0" t="0" r="1270" b="0"/>
                <wp:wrapSquare wrapText="bothSides"/>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1830" cy="1543050"/>
                        </a:xfrm>
                        <a:prstGeom prst="rect">
                          <a:avLst/>
                        </a:prstGeom>
                        <a:solidFill>
                          <a:schemeClr val="accent4">
                            <a:lumMod val="40000"/>
                            <a:lumOff val="60000"/>
                          </a:schemeClr>
                        </a:solidFill>
                        <a:ln w="38100">
                          <a:noFill/>
                          <a:miter lim="800000"/>
                          <a:headEnd/>
                          <a:tailEnd/>
                        </a:ln>
                        <a:effectLst/>
                      </wps:spPr>
                      <wps:txbx>
                        <w:txbxContent>
                          <w:p w14:paraId="335B1018" w14:textId="77777777" w:rsidR="00060C89" w:rsidRPr="00D2043C" w:rsidRDefault="00060C89" w:rsidP="009354E3">
                            <w:pPr>
                              <w:pStyle w:val="BodyTextIndent2"/>
                              <w:ind w:hanging="630"/>
                              <w:rPr>
                                <w:rFonts w:asciiTheme="minorHAnsi" w:hAnsiTheme="minorHAnsi" w:cs="Arial"/>
                                <w:b/>
                                <w:i w:val="0"/>
                                <w:szCs w:val="24"/>
                              </w:rPr>
                            </w:pPr>
                            <w:r w:rsidRPr="00D2043C">
                              <w:rPr>
                                <w:rFonts w:asciiTheme="minorHAnsi" w:hAnsiTheme="minorHAnsi" w:cs="Arial"/>
                                <w:b/>
                                <w:i w:val="0"/>
                                <w:szCs w:val="24"/>
                              </w:rPr>
                              <w:t>Note:  182-526-0155</w:t>
                            </w:r>
                          </w:p>
                          <w:p w14:paraId="478537FE" w14:textId="77777777" w:rsidR="00060C89" w:rsidRPr="00D2043C" w:rsidRDefault="00060C89" w:rsidP="009354E3">
                            <w:pPr>
                              <w:pStyle w:val="BodyTextIndent2"/>
                              <w:ind w:hanging="630"/>
                              <w:rPr>
                                <w:rFonts w:asciiTheme="minorHAnsi" w:hAnsiTheme="minorHAnsi" w:cs="Arial"/>
                                <w:b/>
                                <w:i w:val="0"/>
                                <w:szCs w:val="24"/>
                              </w:rPr>
                            </w:pPr>
                            <w:r w:rsidRPr="00D2043C">
                              <w:rPr>
                                <w:rFonts w:asciiTheme="minorHAnsi" w:hAnsiTheme="minorHAnsi" w:cs="Arial"/>
                                <w:i w:val="0"/>
                                <w:szCs w:val="24"/>
                              </w:rPr>
                              <w:t xml:space="preserve">An appellant may represent </w:t>
                            </w:r>
                          </w:p>
                          <w:p w14:paraId="5CC1EBDB" w14:textId="77777777" w:rsidR="00060C89" w:rsidRPr="00D2043C" w:rsidRDefault="00060C89" w:rsidP="009354E3">
                            <w:pPr>
                              <w:pStyle w:val="BodyTextIndent2"/>
                              <w:ind w:hanging="630"/>
                              <w:rPr>
                                <w:rFonts w:asciiTheme="minorHAnsi" w:hAnsiTheme="minorHAnsi" w:cs="Arial"/>
                                <w:i w:val="0"/>
                                <w:szCs w:val="24"/>
                              </w:rPr>
                            </w:pPr>
                            <w:r w:rsidRPr="00D2043C">
                              <w:rPr>
                                <w:rFonts w:asciiTheme="minorHAnsi" w:hAnsiTheme="minorHAnsi" w:cs="Arial"/>
                                <w:i w:val="0"/>
                                <w:szCs w:val="24"/>
                              </w:rPr>
                              <w:t xml:space="preserve">themselves, or may be </w:t>
                            </w:r>
                          </w:p>
                          <w:p w14:paraId="16820F92" w14:textId="77777777" w:rsidR="00060C89" w:rsidRPr="00D2043C" w:rsidRDefault="00060C89" w:rsidP="009354E3">
                            <w:pPr>
                              <w:pStyle w:val="BodyTextIndent2"/>
                              <w:ind w:hanging="630"/>
                              <w:rPr>
                                <w:rFonts w:asciiTheme="minorHAnsi" w:hAnsiTheme="minorHAnsi" w:cs="Arial"/>
                                <w:i w:val="0"/>
                                <w:szCs w:val="24"/>
                              </w:rPr>
                            </w:pPr>
                            <w:r w:rsidRPr="00D2043C">
                              <w:rPr>
                                <w:rFonts w:asciiTheme="minorHAnsi" w:hAnsiTheme="minorHAnsi" w:cs="Arial"/>
                                <w:i w:val="0"/>
                                <w:szCs w:val="24"/>
                              </w:rPr>
                              <w:t xml:space="preserve">represented by a lawyer or </w:t>
                            </w:r>
                          </w:p>
                          <w:p w14:paraId="169C13CE" w14:textId="77777777" w:rsidR="00060C89" w:rsidRPr="00D2043C" w:rsidRDefault="00060C89" w:rsidP="009354E3">
                            <w:pPr>
                              <w:pStyle w:val="BodyTextIndent2"/>
                              <w:ind w:left="90"/>
                              <w:rPr>
                                <w:rFonts w:asciiTheme="minorHAnsi" w:hAnsiTheme="minorHAnsi" w:cs="Arial"/>
                                <w:i w:val="0"/>
                                <w:szCs w:val="24"/>
                              </w:rPr>
                            </w:pPr>
                            <w:r w:rsidRPr="00D2043C">
                              <w:rPr>
                                <w:rFonts w:asciiTheme="minorHAnsi" w:hAnsiTheme="minorHAnsi" w:cs="Arial"/>
                                <w:i w:val="0"/>
                                <w:szCs w:val="24"/>
                              </w:rPr>
                              <w:t xml:space="preserve">paralegal, or by a relative, friend, or any other person of his or her choice, other than the department.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793686" id="Text Box 12" o:spid="_x0000_s1027" type="#_x0000_t202" style="position:absolute;left:0;text-align:left;margin-left:347.65pt;margin-top:25.3pt;width:152.9pt;height:12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" fillcolor="#ffe599 [1303]" stroked="f" strokeweight="3pt">
                <v:textbox>
                  <w:txbxContent>
                    <w:p w14:paraId="335B1018" w14:textId="77777777" w:rsidR="00060C89" w:rsidRPr="00D2043C" w:rsidRDefault="00060C89" w:rsidP="009354E3">
                      <w:pPr>
                        <w:pStyle w:val="BodyTextIndent2"/>
                        <w:ind w:hanging="630"/>
                        <w:rPr>
                          <w:rFonts w:asciiTheme="minorHAnsi" w:hAnsiTheme="minorHAnsi" w:cs="Arial"/>
                          <w:b/>
                          <w:i w:val="0"/>
                          <w:szCs w:val="24"/>
                        </w:rPr>
                      </w:pPr>
                      <w:r w:rsidRPr="00D2043C">
                        <w:rPr>
                          <w:rFonts w:asciiTheme="minorHAnsi" w:hAnsiTheme="minorHAnsi" w:cs="Arial"/>
                          <w:b/>
                          <w:i w:val="0"/>
                          <w:szCs w:val="24"/>
                        </w:rPr>
                        <w:t>Note:  182-526-0155</w:t>
                      </w:r>
                    </w:p>
                    <w:p w14:paraId="478537FE" w14:textId="77777777" w:rsidR="00060C89" w:rsidRPr="00D2043C" w:rsidRDefault="00060C89" w:rsidP="009354E3">
                      <w:pPr>
                        <w:pStyle w:val="BodyTextIndent2"/>
                        <w:ind w:hanging="630"/>
                        <w:rPr>
                          <w:rFonts w:asciiTheme="minorHAnsi" w:hAnsiTheme="minorHAnsi" w:cs="Arial"/>
                          <w:b/>
                          <w:i w:val="0"/>
                          <w:szCs w:val="24"/>
                        </w:rPr>
                      </w:pPr>
                      <w:r w:rsidRPr="00D2043C">
                        <w:rPr>
                          <w:rFonts w:asciiTheme="minorHAnsi" w:hAnsiTheme="minorHAnsi" w:cs="Arial"/>
                          <w:i w:val="0"/>
                          <w:szCs w:val="24"/>
                        </w:rPr>
                        <w:t xml:space="preserve">An appellant may represent </w:t>
                      </w:r>
                    </w:p>
                    <w:p w14:paraId="5CC1EBDB" w14:textId="77777777" w:rsidR="00060C89" w:rsidRPr="00D2043C" w:rsidRDefault="00060C89" w:rsidP="009354E3">
                      <w:pPr>
                        <w:pStyle w:val="BodyTextIndent2"/>
                        <w:ind w:hanging="630"/>
                        <w:rPr>
                          <w:rFonts w:asciiTheme="minorHAnsi" w:hAnsiTheme="minorHAnsi" w:cs="Arial"/>
                          <w:i w:val="0"/>
                          <w:szCs w:val="24"/>
                        </w:rPr>
                      </w:pPr>
                      <w:r w:rsidRPr="00D2043C">
                        <w:rPr>
                          <w:rFonts w:asciiTheme="minorHAnsi" w:hAnsiTheme="minorHAnsi" w:cs="Arial"/>
                          <w:i w:val="0"/>
                          <w:szCs w:val="24"/>
                        </w:rPr>
                        <w:t xml:space="preserve">themselves, or may be </w:t>
                      </w:r>
                    </w:p>
                    <w:p w14:paraId="16820F92" w14:textId="77777777" w:rsidR="00060C89" w:rsidRPr="00D2043C" w:rsidRDefault="00060C89" w:rsidP="009354E3">
                      <w:pPr>
                        <w:pStyle w:val="BodyTextIndent2"/>
                        <w:ind w:hanging="630"/>
                        <w:rPr>
                          <w:rFonts w:asciiTheme="minorHAnsi" w:hAnsiTheme="minorHAnsi" w:cs="Arial"/>
                          <w:i w:val="0"/>
                          <w:szCs w:val="24"/>
                        </w:rPr>
                      </w:pPr>
                      <w:r w:rsidRPr="00D2043C">
                        <w:rPr>
                          <w:rFonts w:asciiTheme="minorHAnsi" w:hAnsiTheme="minorHAnsi" w:cs="Arial"/>
                          <w:i w:val="0"/>
                          <w:szCs w:val="24"/>
                        </w:rPr>
                        <w:t xml:space="preserve">represented by a lawyer or </w:t>
                      </w:r>
                    </w:p>
                    <w:p w14:paraId="169C13CE" w14:textId="77777777" w:rsidR="00060C89" w:rsidRPr="00D2043C" w:rsidRDefault="00060C89" w:rsidP="009354E3">
                      <w:pPr>
                        <w:pStyle w:val="BodyTextIndent2"/>
                        <w:ind w:left="90"/>
                        <w:rPr>
                          <w:rFonts w:asciiTheme="minorHAnsi" w:hAnsiTheme="minorHAnsi" w:cs="Arial"/>
                          <w:i w:val="0"/>
                          <w:szCs w:val="24"/>
                        </w:rPr>
                      </w:pPr>
                      <w:r w:rsidRPr="00D2043C">
                        <w:rPr>
                          <w:rFonts w:asciiTheme="minorHAnsi" w:hAnsiTheme="minorHAnsi" w:cs="Arial"/>
                          <w:i w:val="0"/>
                          <w:szCs w:val="24"/>
                        </w:rPr>
                        <w:t xml:space="preserve">paralegal, or by a relative, friend, or any other person of his or her choice, other than the department. </w:t>
                      </w:r>
                    </w:p>
                  </w:txbxContent>
                </v:textbox>
                <w10:wrap type="square"/>
              </v:shape>
            </w:pict>
          </mc:Fallback>
        </mc:AlternateContent>
      </w:r>
      <w:r w:rsidR="009354E3">
        <w:t xml:space="preserve">When informed that a formal notice of an administrative hearing is received, documents the: </w:t>
      </w:r>
    </w:p>
    <w:p w14:paraId="24BE1922" w14:textId="294E1AD9" w:rsidR="009354E3" w:rsidRDefault="00057430" w:rsidP="00C01F5C">
      <w:pPr>
        <w:pStyle w:val="ListParagraph"/>
        <w:numPr>
          <w:ilvl w:val="0"/>
          <w:numId w:val="24"/>
        </w:numPr>
        <w:ind w:left="2340" w:hanging="180"/>
      </w:pPr>
      <w:r>
        <w:t xml:space="preserve"> </w:t>
      </w:r>
      <w:r w:rsidR="009354E3">
        <w:t xml:space="preserve">Date of the request, and </w:t>
      </w:r>
    </w:p>
    <w:p w14:paraId="2BD6E9D2" w14:textId="3468ADD5" w:rsidR="009354E3" w:rsidRDefault="00057430" w:rsidP="00C01F5C">
      <w:pPr>
        <w:pStyle w:val="ListParagraph"/>
        <w:numPr>
          <w:ilvl w:val="0"/>
          <w:numId w:val="24"/>
        </w:numPr>
        <w:ind w:left="2340" w:hanging="180"/>
      </w:pPr>
      <w:r>
        <w:t xml:space="preserve"> </w:t>
      </w:r>
      <w:r w:rsidR="009354E3">
        <w:t>Date of the hearing.</w:t>
      </w:r>
    </w:p>
    <w:p w14:paraId="6ED4E72A" w14:textId="77777777" w:rsidR="009354E3" w:rsidRDefault="009354E3" w:rsidP="00C01F5C">
      <w:pPr>
        <w:pStyle w:val="ListParagraph"/>
        <w:numPr>
          <w:ilvl w:val="0"/>
          <w:numId w:val="21"/>
        </w:numPr>
      </w:pPr>
      <w:r>
        <w:t xml:space="preserve">Provides the AHC with any physical records or other information that the AHC can’t electronically access that would help the AHC decide if the department’s decision/action was accurate.  </w:t>
      </w:r>
    </w:p>
    <w:p w14:paraId="78B53A34" w14:textId="77777777" w:rsidR="009354E3" w:rsidRDefault="009354E3" w:rsidP="00C01F5C">
      <w:pPr>
        <w:pStyle w:val="ListParagraph"/>
        <w:numPr>
          <w:ilvl w:val="0"/>
          <w:numId w:val="21"/>
        </w:numPr>
      </w:pPr>
      <w:r>
        <w:t>Provides the AHC with any additional information that will assist in the AHC’s preparation for the hearing.</w:t>
      </w:r>
    </w:p>
    <w:p w14:paraId="5B86D825" w14:textId="77777777" w:rsidR="009354E3" w:rsidRDefault="009354E3" w:rsidP="00C01F5C">
      <w:pPr>
        <w:pStyle w:val="ListParagraph"/>
        <w:numPr>
          <w:ilvl w:val="0"/>
          <w:numId w:val="21"/>
        </w:numPr>
      </w:pPr>
      <w:r>
        <w:t xml:space="preserve">Participates in the prehearing process, if requested by the AHC. </w:t>
      </w:r>
    </w:p>
    <w:p w14:paraId="5F1EFC00" w14:textId="77777777" w:rsidR="009354E3" w:rsidRDefault="009354E3" w:rsidP="00C01F5C">
      <w:pPr>
        <w:pStyle w:val="ListParagraph"/>
        <w:numPr>
          <w:ilvl w:val="0"/>
          <w:numId w:val="21"/>
        </w:numPr>
      </w:pPr>
      <w:r>
        <w:t xml:space="preserve">Participates in the hearing as a witness for the department if requested by the </w:t>
      </w:r>
      <w:r w:rsidR="00F12409">
        <w:t>AHC</w:t>
      </w:r>
      <w:r w:rsidR="007A04F7">
        <w:rPr>
          <w:rStyle w:val="FootnoteReference"/>
        </w:rPr>
        <w:footnoteReference w:id="7"/>
      </w:r>
      <w:r w:rsidR="00F12409">
        <w:t xml:space="preserve">. </w:t>
      </w:r>
    </w:p>
    <w:p w14:paraId="42B66FCE" w14:textId="77777777" w:rsidR="001447D0" w:rsidRDefault="009354E3" w:rsidP="00C01F5C">
      <w:pPr>
        <w:pStyle w:val="ListParagraph"/>
        <w:numPr>
          <w:ilvl w:val="0"/>
          <w:numId w:val="21"/>
        </w:numPr>
      </w:pPr>
      <w:r>
        <w:lastRenderedPageBreak/>
        <w:t xml:space="preserve">Documents in the SER when the client withdraws an Administrative Hearing </w:t>
      </w:r>
      <w:proofErr w:type="gramStart"/>
      <w:r>
        <w:t>request, and</w:t>
      </w:r>
      <w:proofErr w:type="gramEnd"/>
      <w:r>
        <w:t xml:space="preserve"> includes the date and reason.  Notifies the AHC</w:t>
      </w:r>
      <w:r w:rsidR="00F12409">
        <w:t xml:space="preserve"> so that a formal request for withdrawal can be made with the client, AHC, and OAH.</w:t>
      </w:r>
      <w:r w:rsidR="001447D0">
        <w:rPr>
          <w:noProof/>
        </w:rPr>
        <mc:AlternateContent>
          <mc:Choice Requires="wps">
            <w:drawing>
              <wp:anchor distT="0" distB="0" distL="114300" distR="114300" simplePos="0" relativeHeight="251677696" behindDoc="0" locked="0" layoutInCell="1" allowOverlap="1" wp14:anchorId="67749BFC" wp14:editId="7F91124C">
                <wp:simplePos x="0" y="0"/>
                <wp:positionH relativeFrom="column">
                  <wp:posOffset>4101465</wp:posOffset>
                </wp:positionH>
                <wp:positionV relativeFrom="paragraph">
                  <wp:posOffset>66040</wp:posOffset>
                </wp:positionV>
                <wp:extent cx="2124075" cy="1131570"/>
                <wp:effectExtent l="0" t="0" r="9525" b="0"/>
                <wp:wrapSquare wrapText="bothSides"/>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4075" cy="1131570"/>
                        </a:xfrm>
                        <a:prstGeom prst="rect">
                          <a:avLst/>
                        </a:prstGeom>
                        <a:solidFill>
                          <a:schemeClr val="accent4">
                            <a:lumMod val="40000"/>
                            <a:lumOff val="60000"/>
                          </a:schemeClr>
                        </a:solidFill>
                        <a:ln>
                          <a:noFill/>
                          <a:headEnd/>
                          <a:tailEnd/>
                        </a:ln>
                      </wps:spPr>
                      <wps:style>
                        <a:lnRef idx="2">
                          <a:schemeClr val="accent4"/>
                        </a:lnRef>
                        <a:fillRef idx="1">
                          <a:schemeClr val="lt1"/>
                        </a:fillRef>
                        <a:effectRef idx="0">
                          <a:schemeClr val="accent4"/>
                        </a:effectRef>
                        <a:fontRef idx="minor">
                          <a:schemeClr val="dk1"/>
                        </a:fontRef>
                      </wps:style>
                      <wps:txbx>
                        <w:txbxContent>
                          <w:p w14:paraId="1C7ABD96" w14:textId="77777777" w:rsidR="00060C89" w:rsidRPr="00D8167E" w:rsidRDefault="00060C89" w:rsidP="009354E3">
                            <w:pPr>
                              <w:ind w:left="90"/>
                              <w:rPr>
                                <w:rFonts w:asciiTheme="minorHAnsi" w:hAnsiTheme="minorHAnsi" w:cstheme="minorHAnsi"/>
                              </w:rPr>
                            </w:pPr>
                            <w:r w:rsidRPr="00D8167E">
                              <w:rPr>
                                <w:rFonts w:asciiTheme="minorHAnsi" w:hAnsiTheme="minorHAnsi" w:cstheme="minorHAnsi"/>
                              </w:rPr>
                              <w:t>It is assumed that vendors do not require the same degree of assistance as that of a client, and it is not the expectation that case manager or Administrative hearing coordinators provide it.</w:t>
                            </w:r>
                          </w:p>
                          <w:p w14:paraId="2BC7E282" w14:textId="77777777" w:rsidR="00060C89" w:rsidRPr="009354E3" w:rsidRDefault="00060C89" w:rsidP="009354E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749BFC" id="Text Box 19" o:spid="_x0000_s1028" type="#_x0000_t202" style="position:absolute;left:0;text-align:left;margin-left:322.95pt;margin-top:5.2pt;width:167.25pt;height:89.1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" fillcolor="#ffe599 [1303]" stroked="f" strokeweight="1pt">
                <v:textbox>
                  <w:txbxContent>
                    <w:p w14:paraId="1C7ABD96" w14:textId="77777777" w:rsidR="00060C89" w:rsidRPr="00D8167E" w:rsidRDefault="00060C89" w:rsidP="009354E3">
                      <w:pPr>
                        <w:ind w:left="90"/>
                        <w:rPr>
                          <w:rFonts w:asciiTheme="minorHAnsi" w:hAnsiTheme="minorHAnsi" w:cstheme="minorHAnsi"/>
                        </w:rPr>
                      </w:pPr>
                      <w:r w:rsidRPr="00D8167E">
                        <w:rPr>
                          <w:rFonts w:asciiTheme="minorHAnsi" w:hAnsiTheme="minorHAnsi" w:cstheme="minorHAnsi"/>
                        </w:rPr>
                        <w:t>It is assumed that vendors do not require the same degree of assistance as that of a client, and it is not the expectation that case manager or Administrative hearing coordinators provide it.</w:t>
                      </w:r>
                    </w:p>
                    <w:p w14:paraId="2BC7E282" w14:textId="77777777" w:rsidR="00060C89" w:rsidRPr="009354E3" w:rsidRDefault="00060C89" w:rsidP="009354E3"/>
                  </w:txbxContent>
                </v:textbox>
                <w10:wrap type="square"/>
              </v:shape>
            </w:pict>
          </mc:Fallback>
        </mc:AlternateContent>
      </w:r>
      <w:r>
        <w:t xml:space="preserve"> </w:t>
      </w:r>
    </w:p>
    <w:p w14:paraId="6BEC0993" w14:textId="77777777" w:rsidR="009354E3" w:rsidRDefault="009354E3" w:rsidP="001447D0">
      <w:pPr>
        <w:pStyle w:val="ListParagraph"/>
        <w:numPr>
          <w:ilvl w:val="0"/>
          <w:numId w:val="0"/>
        </w:numPr>
        <w:ind w:left="2430" w:hanging="270"/>
      </w:pPr>
      <w:r>
        <w:t xml:space="preserve"> </w:t>
      </w:r>
    </w:p>
    <w:p w14:paraId="59384124" w14:textId="77777777" w:rsidR="002557F0" w:rsidRDefault="009354E3" w:rsidP="003D3CBA">
      <w:pPr>
        <w:ind w:left="720" w:hanging="360"/>
      </w:pPr>
      <w:r>
        <w:t>4.</w:t>
      </w:r>
      <w:r>
        <w:tab/>
        <w:t xml:space="preserve"> For vendor overpayment hearings, OFR notifies the vendor in writing using the Provider Overpayment Notice when there is an overpayment</w:t>
      </w:r>
      <w:r w:rsidR="00F12409">
        <w:t>.</w:t>
      </w:r>
      <w:r>
        <w:t xml:space="preserve"> The case manager follows the same basic process about providing documents </w:t>
      </w:r>
      <w:r w:rsidR="00BA6A3E">
        <w:t xml:space="preserve">and information </w:t>
      </w:r>
      <w:r>
        <w:t>to the AHC and participating in the hearing as indicated above for client.</w:t>
      </w:r>
    </w:p>
    <w:p w14:paraId="5E27DBEA" w14:textId="77777777" w:rsidR="009354E3" w:rsidRDefault="009354E3" w:rsidP="009354E3">
      <w:pPr>
        <w:pStyle w:val="Heading2"/>
      </w:pPr>
      <w:bookmarkStart w:id="11" w:name="_Toc22738044"/>
      <w:r>
        <w:t>Administrative Hearing Coordinator Role</w:t>
      </w:r>
      <w:bookmarkEnd w:id="11"/>
    </w:p>
    <w:p w14:paraId="3A2C980B" w14:textId="77777777" w:rsidR="009354E3" w:rsidRDefault="009354E3" w:rsidP="009354E3">
      <w:r>
        <w:t>The AHC represents the department (and HCA) in all activities related to</w:t>
      </w:r>
      <w:r w:rsidR="00BA6A3E">
        <w:t xml:space="preserve"> the</w:t>
      </w:r>
      <w:r>
        <w:t xml:space="preserve"> hearing request. The AHC is responsible to know the law</w:t>
      </w:r>
      <w:r w:rsidR="00F12409">
        <w:t>s</w:t>
      </w:r>
      <w:r>
        <w:t xml:space="preserve"> and rules, the facts of the case they are presenting, and </w:t>
      </w:r>
      <w:r w:rsidR="00F12409">
        <w:t xml:space="preserve">be able to </w:t>
      </w:r>
      <w:r>
        <w:t xml:space="preserve">apply the law and rules to the facts in the appeal. </w:t>
      </w:r>
    </w:p>
    <w:p w14:paraId="5BD1B762" w14:textId="77777777" w:rsidR="009354E3" w:rsidRDefault="009354E3" w:rsidP="009354E3"/>
    <w:p w14:paraId="17751F31" w14:textId="77777777" w:rsidR="009354E3" w:rsidRDefault="009354E3" w:rsidP="009354E3">
      <w:r>
        <w:t xml:space="preserve">The AHC: </w:t>
      </w:r>
    </w:p>
    <w:p w14:paraId="033A668F" w14:textId="77777777" w:rsidR="009354E3" w:rsidRDefault="009354E3" w:rsidP="001447D0">
      <w:pPr>
        <w:ind w:left="720" w:hanging="360"/>
      </w:pPr>
      <w:r>
        <w:t>1.</w:t>
      </w:r>
      <w:r>
        <w:tab/>
        <w:t xml:space="preserve">Receives notice of the administrative hearing request from the Case Manager or OAH and documents all hearing related activities and hearing related information in the </w:t>
      </w:r>
      <w:r w:rsidR="00A2371E">
        <w:t>Administrative</w:t>
      </w:r>
      <w:r>
        <w:t xml:space="preserve"> Hearing Control System (</w:t>
      </w:r>
      <w:r w:rsidR="002E6B2B">
        <w:t>AHCS</w:t>
      </w:r>
      <w:r>
        <w:t xml:space="preserve">) in Barcode. </w:t>
      </w:r>
    </w:p>
    <w:p w14:paraId="727D218F" w14:textId="77777777" w:rsidR="001447D0" w:rsidRDefault="001447D0" w:rsidP="001447D0">
      <w:pPr>
        <w:ind w:left="720" w:hanging="360"/>
      </w:pPr>
    </w:p>
    <w:p w14:paraId="457D7232" w14:textId="77777777" w:rsidR="009354E3" w:rsidRDefault="009354E3" w:rsidP="001447D0">
      <w:pPr>
        <w:ind w:left="720" w:hanging="360"/>
      </w:pPr>
      <w:r>
        <w:t>2.</w:t>
      </w:r>
      <w:r>
        <w:tab/>
        <w:t xml:space="preserve">Uses the </w:t>
      </w:r>
      <w:r w:rsidR="00A2371E">
        <w:t>A</w:t>
      </w:r>
      <w:r>
        <w:t xml:space="preserve">HCS system to track </w:t>
      </w:r>
      <w:r w:rsidR="00F12409">
        <w:t xml:space="preserve">all </w:t>
      </w:r>
      <w:r>
        <w:t>hearing</w:t>
      </w:r>
      <w:r w:rsidR="00F12409">
        <w:t xml:space="preserve"> related activities</w:t>
      </w:r>
      <w:r>
        <w:t xml:space="preserve">, document witness names, </w:t>
      </w:r>
      <w:r w:rsidR="00F12409">
        <w:t>exhibits</w:t>
      </w:r>
      <w:r>
        <w:t xml:space="preserve">, and </w:t>
      </w:r>
      <w:r w:rsidR="00F12409">
        <w:t>the hearing report</w:t>
      </w:r>
      <w:r>
        <w:t>.</w:t>
      </w:r>
    </w:p>
    <w:p w14:paraId="7892D3AF" w14:textId="77777777" w:rsidR="009354E3" w:rsidRDefault="009354E3" w:rsidP="001447D0">
      <w:pPr>
        <w:ind w:left="720" w:hanging="360"/>
      </w:pPr>
    </w:p>
    <w:p w14:paraId="33CFD384" w14:textId="77777777" w:rsidR="009354E3" w:rsidRDefault="009354E3" w:rsidP="00F12409">
      <w:pPr>
        <w:ind w:left="720"/>
      </w:pPr>
      <w:r>
        <w:t xml:space="preserve">The </w:t>
      </w:r>
      <w:r w:rsidR="00A2371E">
        <w:t>Administrative</w:t>
      </w:r>
      <w:r>
        <w:t xml:space="preserve"> Hearing Control System (</w:t>
      </w:r>
      <w:r w:rsidR="002E6B2B">
        <w:t>AHCS</w:t>
      </w:r>
      <w:r>
        <w:t xml:space="preserve">) is a subsystem in Barcode used by AHCs to help in the tracking of cases for Administrative Hearings, printing DSHS forms, and keeping track of hearing statistics for both client and vendor hearings. </w:t>
      </w:r>
      <w:r w:rsidRPr="00D2043C">
        <w:rPr>
          <w:u w:val="single"/>
        </w:rPr>
        <w:t xml:space="preserve">Using the </w:t>
      </w:r>
      <w:r w:rsidR="002E6B2B" w:rsidRPr="00D2043C">
        <w:rPr>
          <w:u w:val="single"/>
        </w:rPr>
        <w:t>AHCS</w:t>
      </w:r>
      <w:r w:rsidRPr="00D2043C">
        <w:rPr>
          <w:u w:val="single"/>
        </w:rPr>
        <w:t xml:space="preserve"> is mandatory for AHCs</w:t>
      </w:r>
      <w:r>
        <w:t xml:space="preserve">. </w:t>
      </w:r>
    </w:p>
    <w:p w14:paraId="46F23B01" w14:textId="77777777" w:rsidR="009354E3" w:rsidRDefault="009354E3" w:rsidP="001447D0">
      <w:pPr>
        <w:ind w:left="720" w:hanging="360"/>
      </w:pPr>
    </w:p>
    <w:p w14:paraId="55CE7D36" w14:textId="77777777" w:rsidR="009354E3" w:rsidRDefault="009354E3" w:rsidP="005745E7">
      <w:pPr>
        <w:ind w:left="1080" w:hanging="360"/>
      </w:pPr>
      <w:r>
        <w:t xml:space="preserve">Functionality of the </w:t>
      </w:r>
      <w:r w:rsidR="002E6B2B">
        <w:t>AHCS</w:t>
      </w:r>
      <w:r>
        <w:t xml:space="preserve"> includes but is not limited to: </w:t>
      </w:r>
    </w:p>
    <w:p w14:paraId="6DA67760" w14:textId="77777777" w:rsidR="009354E3" w:rsidRDefault="009354E3" w:rsidP="00F12409">
      <w:pPr>
        <w:tabs>
          <w:tab w:val="left" w:pos="1710"/>
        </w:tabs>
        <w:ind w:left="1440" w:hanging="90"/>
      </w:pPr>
      <w:r>
        <w:t>•</w:t>
      </w:r>
      <w:r>
        <w:tab/>
        <w:t xml:space="preserve">Daily Hearing Schedule reports and prehearing and hearing </w:t>
      </w:r>
      <w:proofErr w:type="gramStart"/>
      <w:r>
        <w:t>calendars;</w:t>
      </w:r>
      <w:proofErr w:type="gramEnd"/>
      <w:r>
        <w:t xml:space="preserve"> </w:t>
      </w:r>
    </w:p>
    <w:p w14:paraId="263E9A42" w14:textId="77777777" w:rsidR="009354E3" w:rsidRDefault="009354E3" w:rsidP="001447D0">
      <w:pPr>
        <w:tabs>
          <w:tab w:val="left" w:pos="1710"/>
        </w:tabs>
        <w:ind w:left="1710" w:hanging="360"/>
      </w:pPr>
      <w:r>
        <w:t>•</w:t>
      </w:r>
      <w:r>
        <w:tab/>
        <w:t>Availability to print hearing related forms like hearing withdrawals, AH Report template, Dismissal Order template, etc</w:t>
      </w:r>
      <w:r w:rsidR="002905C0">
        <w:t>.</w:t>
      </w:r>
      <w:r>
        <w:t xml:space="preserve"> </w:t>
      </w:r>
    </w:p>
    <w:p w14:paraId="4AB09D88" w14:textId="77777777" w:rsidR="009354E3" w:rsidRDefault="009354E3" w:rsidP="001447D0">
      <w:pPr>
        <w:tabs>
          <w:tab w:val="left" w:pos="1710"/>
        </w:tabs>
        <w:ind w:left="1710" w:hanging="360"/>
      </w:pPr>
      <w:r>
        <w:t>•</w:t>
      </w:r>
      <w:r>
        <w:tab/>
        <w:t xml:space="preserve">Tracking hearing events including dates, witnesses, the hearing </w:t>
      </w:r>
      <w:proofErr w:type="gramStart"/>
      <w:r>
        <w:t>issue</w:t>
      </w:r>
      <w:proofErr w:type="gramEnd"/>
      <w:r>
        <w:t xml:space="preserve"> and outcomes; and</w:t>
      </w:r>
    </w:p>
    <w:p w14:paraId="74985626" w14:textId="77777777" w:rsidR="009354E3" w:rsidRDefault="009354E3" w:rsidP="001447D0">
      <w:pPr>
        <w:tabs>
          <w:tab w:val="left" w:pos="1710"/>
          <w:tab w:val="left" w:pos="1800"/>
        </w:tabs>
        <w:ind w:left="1710" w:hanging="360"/>
      </w:pPr>
      <w:r>
        <w:t>•</w:t>
      </w:r>
      <w:r>
        <w:tab/>
        <w:t>Statistic Reports including appealed cases, pending cases, dockets with continuances, closes cases, dockets by program, etc.</w:t>
      </w:r>
    </w:p>
    <w:p w14:paraId="132DF7A7" w14:textId="77777777" w:rsidR="009354E3" w:rsidRDefault="009354E3" w:rsidP="001447D0">
      <w:pPr>
        <w:ind w:left="720" w:hanging="360"/>
      </w:pPr>
    </w:p>
    <w:p w14:paraId="65828148" w14:textId="77777777" w:rsidR="009354E3" w:rsidRDefault="009354E3" w:rsidP="00C01F5C">
      <w:pPr>
        <w:pStyle w:val="ListParagraph"/>
        <w:numPr>
          <w:ilvl w:val="0"/>
          <w:numId w:val="20"/>
        </w:numPr>
        <w:ind w:left="630" w:hanging="270"/>
      </w:pPr>
      <w:r>
        <w:t>Notifies the social worker/case manager and the CMs supervisor of the administrative hearing request and discusses the case with worker(s) involved and</w:t>
      </w:r>
      <w:r w:rsidR="00A525AF">
        <w:t xml:space="preserve"> their</w:t>
      </w:r>
      <w:r>
        <w:t xml:space="preserve"> supervisors</w:t>
      </w:r>
      <w:r w:rsidR="00A525AF">
        <w:t xml:space="preserve">, as </w:t>
      </w:r>
      <w:r w:rsidR="00135369">
        <w:t>appropriate</w:t>
      </w:r>
      <w:r>
        <w:t>.</w:t>
      </w:r>
    </w:p>
    <w:p w14:paraId="5AA68929" w14:textId="77777777" w:rsidR="001447D0" w:rsidRDefault="001447D0" w:rsidP="001447D0">
      <w:pPr>
        <w:pStyle w:val="ListParagraph"/>
        <w:numPr>
          <w:ilvl w:val="0"/>
          <w:numId w:val="0"/>
        </w:numPr>
        <w:ind w:left="1080"/>
      </w:pPr>
    </w:p>
    <w:p w14:paraId="41E8DA36" w14:textId="77777777" w:rsidR="009354E3" w:rsidRDefault="009354E3" w:rsidP="00C01F5C">
      <w:pPr>
        <w:pStyle w:val="ListParagraph"/>
        <w:numPr>
          <w:ilvl w:val="0"/>
          <w:numId w:val="20"/>
        </w:numPr>
        <w:ind w:left="720"/>
      </w:pPr>
      <w:r>
        <w:t xml:space="preserve">Requests the case record and all applicable documents. </w:t>
      </w:r>
    </w:p>
    <w:p w14:paraId="1D082E2C" w14:textId="77777777" w:rsidR="001447D0" w:rsidRDefault="001447D0" w:rsidP="001447D0">
      <w:pPr>
        <w:pStyle w:val="ListParagraph"/>
        <w:numPr>
          <w:ilvl w:val="0"/>
          <w:numId w:val="0"/>
        </w:numPr>
        <w:ind w:left="1728"/>
      </w:pPr>
    </w:p>
    <w:p w14:paraId="5DE01EAE" w14:textId="77777777" w:rsidR="009354E3" w:rsidRDefault="009354E3" w:rsidP="00825760">
      <w:pPr>
        <w:ind w:left="720" w:hanging="360"/>
      </w:pPr>
      <w:r>
        <w:t>5.</w:t>
      </w:r>
      <w:r>
        <w:tab/>
        <w:t xml:space="preserve">Reviews the records including but not limited to the CARE assessment and the PAN to ensure accuracy. </w:t>
      </w:r>
      <w:r w:rsidR="002905C0">
        <w:t xml:space="preserve">If any errors are </w:t>
      </w:r>
      <w:proofErr w:type="gramStart"/>
      <w:r w:rsidR="002905C0">
        <w:t>found</w:t>
      </w:r>
      <w:proofErr w:type="gramEnd"/>
      <w:r w:rsidR="002905C0">
        <w:t xml:space="preserve"> they should be corrected at this time. Notices may be corrected at any time up to and through the hearing, depending on the type of error on the notice. </w:t>
      </w:r>
    </w:p>
    <w:p w14:paraId="7A05EB19" w14:textId="77777777" w:rsidR="001447D0" w:rsidRDefault="001447D0" w:rsidP="00825760">
      <w:pPr>
        <w:ind w:left="720" w:hanging="360"/>
      </w:pPr>
    </w:p>
    <w:p w14:paraId="501921E1" w14:textId="77777777" w:rsidR="009354E3" w:rsidRDefault="009354E3" w:rsidP="00C01F5C">
      <w:pPr>
        <w:pStyle w:val="ListParagraph"/>
        <w:numPr>
          <w:ilvl w:val="0"/>
          <w:numId w:val="26"/>
        </w:numPr>
        <w:ind w:left="720"/>
      </w:pPr>
      <w:r>
        <w:lastRenderedPageBreak/>
        <w:t>Reviews the HCS/AAA case to determine whether the department/agency made the correct decision/action.</w:t>
      </w:r>
    </w:p>
    <w:p w14:paraId="6F35A20E" w14:textId="77777777" w:rsidR="001447D0" w:rsidRDefault="001447D0" w:rsidP="001447D0">
      <w:pPr>
        <w:pStyle w:val="ListParagraph"/>
        <w:numPr>
          <w:ilvl w:val="0"/>
          <w:numId w:val="0"/>
        </w:numPr>
        <w:ind w:left="720"/>
      </w:pPr>
    </w:p>
    <w:p w14:paraId="7796F3CF" w14:textId="77777777" w:rsidR="002E6B2B" w:rsidRDefault="009354E3" w:rsidP="00C01F5C">
      <w:pPr>
        <w:pStyle w:val="ListParagraph"/>
        <w:numPr>
          <w:ilvl w:val="0"/>
          <w:numId w:val="26"/>
        </w:numPr>
        <w:ind w:left="720"/>
      </w:pPr>
      <w:r>
        <w:t>Makes other contacts/reviews other information, as necessary, to determine and make a recommendation about the department/agency position.  If the department/agency made an error in its decision or action:</w:t>
      </w:r>
    </w:p>
    <w:p w14:paraId="75144ECC" w14:textId="77777777" w:rsidR="009354E3" w:rsidRDefault="009354E3" w:rsidP="002E6B2B">
      <w:pPr>
        <w:ind w:left="1440" w:hanging="360"/>
      </w:pPr>
      <w:r>
        <w:t>a.</w:t>
      </w:r>
      <w:r>
        <w:tab/>
        <w:t xml:space="preserve">The decision/action is </w:t>
      </w:r>
      <w:proofErr w:type="gramStart"/>
      <w:r>
        <w:t>corrected;</w:t>
      </w:r>
      <w:proofErr w:type="gramEnd"/>
    </w:p>
    <w:p w14:paraId="271FD907" w14:textId="77777777" w:rsidR="009354E3" w:rsidRDefault="009354E3" w:rsidP="002E6B2B">
      <w:pPr>
        <w:ind w:left="1440" w:hanging="360"/>
      </w:pPr>
      <w:r>
        <w:t>b.</w:t>
      </w:r>
      <w:r>
        <w:tab/>
        <w:t>The appellant/appellant representative is contacted; and</w:t>
      </w:r>
    </w:p>
    <w:p w14:paraId="0BD5B132" w14:textId="77777777" w:rsidR="009354E3" w:rsidRDefault="009354E3" w:rsidP="002E6B2B">
      <w:pPr>
        <w:ind w:left="1440" w:hanging="360"/>
      </w:pPr>
      <w:r>
        <w:t>c.</w:t>
      </w:r>
      <w:r>
        <w:tab/>
        <w:t xml:space="preserve">The hearing request is withdrawn at the applicant/client request if the issue is sufficiently </w:t>
      </w:r>
      <w:r w:rsidR="00A525AF">
        <w:t>resolved, and the client agrees with this step</w:t>
      </w:r>
      <w:r>
        <w:t xml:space="preserve">.  This can be done in writing or by calling OAH with the appellant/appellant representative. This may require a written follow up letter requesting that the administrative hearing be withdrawn, </w:t>
      </w:r>
      <w:r w:rsidR="00A525AF">
        <w:t xml:space="preserve">by the client, </w:t>
      </w:r>
      <w:r>
        <w:t>depending on local OAH procedures.</w:t>
      </w:r>
    </w:p>
    <w:p w14:paraId="1FFB81DD" w14:textId="77777777" w:rsidR="00A525AF" w:rsidRDefault="00A525AF" w:rsidP="00C01F5C">
      <w:pPr>
        <w:pStyle w:val="ListParagraph"/>
        <w:numPr>
          <w:ilvl w:val="0"/>
          <w:numId w:val="30"/>
        </w:numPr>
      </w:pPr>
      <w:r>
        <w:t xml:space="preserve">If the action has been reversed and the client does not want to withdraw their request for hearing, the AHC will request a motion to dismiss the case. </w:t>
      </w:r>
      <w:r w:rsidR="002F4F27">
        <w:t xml:space="preserve">There is no right to a hearing without an action. </w:t>
      </w:r>
    </w:p>
    <w:p w14:paraId="0EB1C5B1" w14:textId="77777777" w:rsidR="002E6B2B" w:rsidRDefault="002E6B2B" w:rsidP="002E6B2B">
      <w:pPr>
        <w:ind w:left="1440" w:hanging="360"/>
      </w:pPr>
    </w:p>
    <w:p w14:paraId="54F9D8F0" w14:textId="77777777" w:rsidR="009354E3" w:rsidRDefault="009354E3" w:rsidP="00825760">
      <w:pPr>
        <w:ind w:left="720" w:hanging="360"/>
      </w:pPr>
      <w:r>
        <w:t>8.</w:t>
      </w:r>
      <w:r>
        <w:tab/>
        <w:t>If the appellant wishes to continue with the hearing, the AHC</w:t>
      </w:r>
      <w:r w:rsidR="0086471A">
        <w:t xml:space="preserve"> is required to</w:t>
      </w:r>
      <w:r>
        <w:t xml:space="preserve"> </w:t>
      </w:r>
      <w:r w:rsidR="0086471A">
        <w:t xml:space="preserve">initiate the prehearing meeting. The AHC contacts </w:t>
      </w:r>
      <w:r>
        <w:t xml:space="preserve">the </w:t>
      </w:r>
      <w:r w:rsidR="00A2371E">
        <w:t>client</w:t>
      </w:r>
      <w:r w:rsidR="007A04F7">
        <w:rPr>
          <w:rStyle w:val="FootnoteReference"/>
        </w:rPr>
        <w:footnoteReference w:id="8"/>
      </w:r>
      <w:r w:rsidR="00A2371E">
        <w:t xml:space="preserve"> and</w:t>
      </w:r>
      <w:r>
        <w:t>:</w:t>
      </w:r>
    </w:p>
    <w:p w14:paraId="10044D87" w14:textId="77777777" w:rsidR="009354E3" w:rsidRDefault="009354E3" w:rsidP="00A2371E">
      <w:pPr>
        <w:ind w:left="1530" w:hanging="450"/>
      </w:pPr>
      <w:r>
        <w:t>a.</w:t>
      </w:r>
      <w:r>
        <w:tab/>
        <w:t>Reviews the administrative hearing process and the role of the AHC.</w:t>
      </w:r>
    </w:p>
    <w:p w14:paraId="101EDB75" w14:textId="77777777" w:rsidR="009354E3" w:rsidRDefault="009354E3" w:rsidP="00A2371E">
      <w:pPr>
        <w:ind w:left="1530" w:hanging="450"/>
      </w:pPr>
      <w:r>
        <w:t>b.</w:t>
      </w:r>
      <w:r>
        <w:tab/>
        <w:t>Describes both the informal and formal prehearing process and its purpose.</w:t>
      </w:r>
    </w:p>
    <w:p w14:paraId="0AD5DFD0" w14:textId="77777777" w:rsidR="009354E3" w:rsidRDefault="009354E3" w:rsidP="00A2371E">
      <w:pPr>
        <w:ind w:left="1530" w:hanging="450"/>
      </w:pPr>
      <w:r>
        <w:t>c.</w:t>
      </w:r>
      <w:r>
        <w:tab/>
        <w:t>Asks about the need for an interpreter, or other auxiliary aids (Administrative Policy No. 7.02 Equal Access to Services for Individuals with Disabilities) and informs OAH.</w:t>
      </w:r>
    </w:p>
    <w:p w14:paraId="49F7ECE7" w14:textId="77777777" w:rsidR="009354E3" w:rsidRDefault="009354E3" w:rsidP="00A2371E">
      <w:pPr>
        <w:ind w:left="1530" w:hanging="450"/>
      </w:pPr>
      <w:r>
        <w:t>d.</w:t>
      </w:r>
      <w:r>
        <w:tab/>
        <w:t>Determines whether the appellant has legal or other representation, and if requested, may refer the appellant to legal resources.</w:t>
      </w:r>
    </w:p>
    <w:p w14:paraId="4748388D" w14:textId="77777777" w:rsidR="009354E3" w:rsidRDefault="009354E3" w:rsidP="00A2371E">
      <w:pPr>
        <w:ind w:left="1530" w:hanging="450"/>
      </w:pPr>
      <w:r>
        <w:t>e.</w:t>
      </w:r>
      <w:r>
        <w:tab/>
        <w:t>Informs the client that he or she will get continued benefits, when applicable</w:t>
      </w:r>
      <w:r w:rsidR="00F84B9E">
        <w:rPr>
          <w:rStyle w:val="FootnoteReference"/>
        </w:rPr>
        <w:footnoteReference w:id="9"/>
      </w:r>
      <w:r>
        <w:t>, pending the outcome of the hearing, unless he or she requests not to receive them.</w:t>
      </w:r>
    </w:p>
    <w:p w14:paraId="38AE62DF" w14:textId="77777777" w:rsidR="009354E3" w:rsidRDefault="009354E3" w:rsidP="00A2371E">
      <w:pPr>
        <w:ind w:left="1530" w:hanging="450"/>
      </w:pPr>
      <w:r>
        <w:t>f.</w:t>
      </w:r>
      <w:r>
        <w:tab/>
        <w:t>Informs the client that up to 60-days of continued benefits must be repaid if the outcome of the administrative hearing is in favor of the department.</w:t>
      </w:r>
    </w:p>
    <w:p w14:paraId="1513E333" w14:textId="77777777" w:rsidR="009354E3" w:rsidRDefault="009354E3" w:rsidP="00A2371E">
      <w:pPr>
        <w:ind w:left="1530" w:hanging="450"/>
      </w:pPr>
      <w:r>
        <w:t>g.</w:t>
      </w:r>
      <w:r>
        <w:tab/>
        <w:t xml:space="preserve">Clarifies the issues surrounding the hearing and attempts to resolve them outside of the hearing process whenever possible. </w:t>
      </w:r>
    </w:p>
    <w:p w14:paraId="36FFDB5E" w14:textId="77777777" w:rsidR="002E6B2B" w:rsidRDefault="002E6B2B" w:rsidP="00A2371E">
      <w:pPr>
        <w:ind w:left="1530" w:hanging="450"/>
      </w:pPr>
    </w:p>
    <w:p w14:paraId="108F75B3" w14:textId="7315B89A" w:rsidR="009354E3" w:rsidRDefault="002E6B2B" w:rsidP="002E6B2B">
      <w:pPr>
        <w:ind w:left="720" w:hanging="360"/>
      </w:pPr>
      <w:r>
        <w:t>9.</w:t>
      </w:r>
      <w:r>
        <w:tab/>
      </w:r>
      <w:r w:rsidR="009354E3">
        <w:t xml:space="preserve">Discusses the issues with department/agency administration or HQ Program Management </w:t>
      </w:r>
      <w:r w:rsidR="00057430">
        <w:t>staff and</w:t>
      </w:r>
      <w:r w:rsidR="009354E3">
        <w:t xml:space="preserve"> requests the assistance of the A</w:t>
      </w:r>
      <w:r w:rsidR="0086471A">
        <w:t>ssista</w:t>
      </w:r>
      <w:r w:rsidR="00057430">
        <w:t>nt</w:t>
      </w:r>
      <w:r w:rsidR="0086471A">
        <w:t xml:space="preserve"> </w:t>
      </w:r>
      <w:r w:rsidR="009354E3">
        <w:t>A</w:t>
      </w:r>
      <w:r w:rsidR="0086471A">
        <w:t xml:space="preserve">ttorney </w:t>
      </w:r>
      <w:r w:rsidR="009354E3">
        <w:t>G</w:t>
      </w:r>
      <w:r w:rsidR="0086471A">
        <w:t>eneral’s office (AAG)</w:t>
      </w:r>
      <w:r w:rsidR="009354E3">
        <w:t xml:space="preserve"> </w:t>
      </w:r>
      <w:r w:rsidR="002905C0">
        <w:t xml:space="preserve">by contacting the HQ Program Manager(s) </w:t>
      </w:r>
      <w:r w:rsidR="009354E3">
        <w:t xml:space="preserve">or </w:t>
      </w:r>
      <w:r w:rsidR="0086471A">
        <w:t xml:space="preserve">requests assistance of </w:t>
      </w:r>
      <w:r w:rsidR="009354E3">
        <w:t xml:space="preserve">AAA legal counsel if needed. </w:t>
      </w:r>
    </w:p>
    <w:p w14:paraId="6AA3119E" w14:textId="77777777" w:rsidR="002E6B2B" w:rsidRDefault="002E6B2B" w:rsidP="002E6B2B">
      <w:pPr>
        <w:ind w:left="720" w:hanging="360"/>
      </w:pPr>
    </w:p>
    <w:p w14:paraId="0CE7C014" w14:textId="77777777" w:rsidR="009354E3" w:rsidRDefault="009354E3" w:rsidP="00825760">
      <w:pPr>
        <w:ind w:left="720" w:hanging="360"/>
      </w:pPr>
      <w:r>
        <w:t>10.</w:t>
      </w:r>
      <w:r>
        <w:tab/>
      </w:r>
      <w:r w:rsidR="0086471A">
        <w:t>P</w:t>
      </w:r>
      <w:r w:rsidR="002905C0">
        <w:t>articipates in the</w:t>
      </w:r>
      <w:r>
        <w:t xml:space="preserve"> formal prehearing conference</w:t>
      </w:r>
      <w:r w:rsidR="0086471A">
        <w:t>,</w:t>
      </w:r>
      <w:r w:rsidR="002905C0">
        <w:t xml:space="preserve"> if scheduled by OAH</w:t>
      </w:r>
      <w:r w:rsidR="0086471A">
        <w:t xml:space="preserve">, or requests a prehearing conference from OAH </w:t>
      </w:r>
      <w:r w:rsidR="00F84B9E">
        <w:t xml:space="preserve">when </w:t>
      </w:r>
      <w:r w:rsidR="0086471A">
        <w:t>needed</w:t>
      </w:r>
      <w:r>
        <w:t xml:space="preserve">.  </w:t>
      </w:r>
    </w:p>
    <w:p w14:paraId="31C08566" w14:textId="77777777" w:rsidR="002E6B2B" w:rsidRDefault="002E6B2B" w:rsidP="00825760">
      <w:pPr>
        <w:ind w:left="720" w:hanging="360"/>
      </w:pPr>
    </w:p>
    <w:p w14:paraId="41CA747E" w14:textId="77777777" w:rsidR="009354E3" w:rsidRDefault="009354E3" w:rsidP="00825760">
      <w:pPr>
        <w:ind w:left="720" w:hanging="360"/>
      </w:pPr>
      <w:r>
        <w:t>11.</w:t>
      </w:r>
      <w:r>
        <w:tab/>
        <w:t xml:space="preserve">Acts as the contact person between OAH and the department, appellant, appellant legal representative or other person representing the </w:t>
      </w:r>
      <w:proofErr w:type="gramStart"/>
      <w:r>
        <w:t>appellant;</w:t>
      </w:r>
      <w:proofErr w:type="gramEnd"/>
    </w:p>
    <w:p w14:paraId="0EE3E8D5" w14:textId="77777777" w:rsidR="002E6B2B" w:rsidRDefault="002E6B2B" w:rsidP="00825760">
      <w:pPr>
        <w:ind w:left="720" w:hanging="360"/>
      </w:pPr>
    </w:p>
    <w:p w14:paraId="5867EBCC" w14:textId="77777777" w:rsidR="009354E3" w:rsidRDefault="009354E3" w:rsidP="00825760">
      <w:pPr>
        <w:ind w:left="720" w:hanging="360"/>
      </w:pPr>
      <w:r>
        <w:lastRenderedPageBreak/>
        <w:t>12.</w:t>
      </w:r>
      <w:r>
        <w:tab/>
        <w:t xml:space="preserve">Develops the theory of the case and prepares the administrative hearing Report, DSHS 09-354 in the </w:t>
      </w:r>
      <w:r w:rsidR="002E6B2B">
        <w:t>AHCS</w:t>
      </w:r>
      <w:r>
        <w:t xml:space="preserve">. </w:t>
      </w:r>
      <w:r w:rsidR="00F84B9E">
        <w:t xml:space="preserve">This is a required document for all administrative hearings. </w:t>
      </w:r>
    </w:p>
    <w:p w14:paraId="25CDE8B2" w14:textId="77777777" w:rsidR="002E6B2B" w:rsidRDefault="002E6B2B" w:rsidP="00D2043C"/>
    <w:p w14:paraId="6764CA9B" w14:textId="77777777" w:rsidR="009354E3" w:rsidRDefault="009354E3" w:rsidP="00825760">
      <w:pPr>
        <w:ind w:left="720" w:hanging="360"/>
      </w:pPr>
      <w:r>
        <w:t>13.</w:t>
      </w:r>
      <w:r>
        <w:tab/>
        <w:t xml:space="preserve">Notifies the department’s witnesses of the date of the hearing, when they are required to be present, and helps prepare the witnesses for the hearing. </w:t>
      </w:r>
    </w:p>
    <w:p w14:paraId="20BD8343" w14:textId="77777777" w:rsidR="009354E3" w:rsidRDefault="009354E3" w:rsidP="00A2371E">
      <w:pPr>
        <w:ind w:left="720"/>
      </w:pPr>
      <w:r>
        <w:t xml:space="preserve">This includes reviewing with the witness: </w:t>
      </w:r>
    </w:p>
    <w:p w14:paraId="21616AD9" w14:textId="77777777" w:rsidR="009354E3" w:rsidRDefault="009354E3" w:rsidP="00C01F5C">
      <w:pPr>
        <w:pStyle w:val="ListParagraph"/>
        <w:numPr>
          <w:ilvl w:val="1"/>
          <w:numId w:val="25"/>
        </w:numPr>
      </w:pPr>
      <w:r>
        <w:t xml:space="preserve">The hearing </w:t>
      </w:r>
      <w:proofErr w:type="gramStart"/>
      <w:r>
        <w:t>issue</w:t>
      </w:r>
      <w:proofErr w:type="gramEnd"/>
    </w:p>
    <w:p w14:paraId="314CC194" w14:textId="77777777" w:rsidR="009354E3" w:rsidRDefault="009354E3" w:rsidP="00C01F5C">
      <w:pPr>
        <w:pStyle w:val="ListParagraph"/>
        <w:numPr>
          <w:ilvl w:val="1"/>
          <w:numId w:val="25"/>
        </w:numPr>
      </w:pPr>
      <w:r>
        <w:t>The types of questions that may be asked</w:t>
      </w:r>
      <w:r w:rsidR="00F84B9E">
        <w:t xml:space="preserve"> by the AHC, appellant, and </w:t>
      </w:r>
      <w:proofErr w:type="gramStart"/>
      <w:r w:rsidR="00F84B9E">
        <w:t>ALJ</w:t>
      </w:r>
      <w:proofErr w:type="gramEnd"/>
    </w:p>
    <w:p w14:paraId="68AB0DD3" w14:textId="77777777" w:rsidR="009354E3" w:rsidRDefault="009354E3" w:rsidP="00C01F5C">
      <w:pPr>
        <w:pStyle w:val="ListParagraph"/>
        <w:numPr>
          <w:ilvl w:val="1"/>
          <w:numId w:val="25"/>
        </w:numPr>
      </w:pPr>
      <w:r>
        <w:t xml:space="preserve">The exhibits that will be referenced that the witness may be asked to talk about during the </w:t>
      </w:r>
      <w:proofErr w:type="gramStart"/>
      <w:r>
        <w:t>hearing</w:t>
      </w:r>
      <w:proofErr w:type="gramEnd"/>
      <w:r>
        <w:t xml:space="preserve"> </w:t>
      </w:r>
    </w:p>
    <w:p w14:paraId="053E474D" w14:textId="77777777" w:rsidR="006E0AA4" w:rsidRDefault="006E0AA4" w:rsidP="00D2043C">
      <w:pPr>
        <w:pStyle w:val="ListParagraph"/>
        <w:numPr>
          <w:ilvl w:val="0"/>
          <w:numId w:val="0"/>
        </w:numPr>
        <w:ind w:left="1800"/>
      </w:pPr>
    </w:p>
    <w:p w14:paraId="4141FAD0" w14:textId="77777777" w:rsidR="009354E3" w:rsidRDefault="009354E3" w:rsidP="00A2371E">
      <w:pPr>
        <w:ind w:left="720"/>
      </w:pPr>
      <w:r>
        <w:t>In addition, to increase the comfort of the witness, the AHC practices with the witness, emphasizes confidence and truthfulness and provides encouragement and support</w:t>
      </w:r>
      <w:r w:rsidR="00F84B9E">
        <w:rPr>
          <w:rStyle w:val="FootnoteReference"/>
        </w:rPr>
        <w:footnoteReference w:id="10"/>
      </w:r>
      <w:r>
        <w:t>. The AHC should never give the answers to the witness</w:t>
      </w:r>
      <w:r w:rsidR="00F84B9E">
        <w:t xml:space="preserve"> for the questions they plan to ask</w:t>
      </w:r>
      <w:r>
        <w:t xml:space="preserve"> or tell them what to say. The AHC should only coach the </w:t>
      </w:r>
      <w:proofErr w:type="gramStart"/>
      <w:r>
        <w:t>witness</w:t>
      </w:r>
      <w:proofErr w:type="gramEnd"/>
      <w:r w:rsidR="006E0AA4">
        <w:t xml:space="preserve"> so they are prepared.</w:t>
      </w:r>
    </w:p>
    <w:p w14:paraId="1B3FCCFD" w14:textId="77777777" w:rsidR="002E6B2B" w:rsidRDefault="002E6B2B" w:rsidP="00A2371E">
      <w:pPr>
        <w:ind w:left="720"/>
      </w:pPr>
    </w:p>
    <w:p w14:paraId="79A7CE10" w14:textId="77777777" w:rsidR="009354E3" w:rsidRDefault="009354E3" w:rsidP="00825760">
      <w:pPr>
        <w:ind w:left="720" w:hanging="360"/>
      </w:pPr>
      <w:r>
        <w:t>14.</w:t>
      </w:r>
      <w:r>
        <w:tab/>
        <w:t>Gathers exhibits and reviews what documents are available to present and support the department’s case.</w:t>
      </w:r>
    </w:p>
    <w:p w14:paraId="359938F2" w14:textId="77777777" w:rsidR="002E6B2B" w:rsidRDefault="002E6B2B" w:rsidP="00825760">
      <w:pPr>
        <w:ind w:left="720" w:hanging="360"/>
      </w:pPr>
    </w:p>
    <w:p w14:paraId="522A5C94" w14:textId="77777777" w:rsidR="009354E3" w:rsidRDefault="009354E3" w:rsidP="00825760">
      <w:pPr>
        <w:ind w:left="720" w:hanging="360"/>
      </w:pPr>
      <w:r>
        <w:t>15.</w:t>
      </w:r>
      <w:r>
        <w:tab/>
        <w:t>Provides the administrative hearing packet</w:t>
      </w:r>
      <w:r w:rsidR="002F4F27">
        <w:t>,</w:t>
      </w:r>
      <w:r>
        <w:t xml:space="preserve"> </w:t>
      </w:r>
      <w:r w:rsidR="006E0AA4">
        <w:t xml:space="preserve">including exhibits </w:t>
      </w:r>
      <w:r>
        <w:t>to OAH</w:t>
      </w:r>
      <w:r w:rsidR="006E0AA4">
        <w:t xml:space="preserve"> </w:t>
      </w:r>
      <w:r>
        <w:t>and to the appellant</w:t>
      </w:r>
      <w:r w:rsidR="002F4F27">
        <w:t>,</w:t>
      </w:r>
      <w:r>
        <w:t xml:space="preserve"> </w:t>
      </w:r>
      <w:r w:rsidR="006E0AA4">
        <w:t>at least five days prior to the hearing</w:t>
      </w:r>
      <w:r>
        <w:t xml:space="preserve"> and includes the appellant in any “substantive” communications with OAH. The AHC must not participate in any </w:t>
      </w:r>
      <w:r w:rsidRPr="00354E1B">
        <w:rPr>
          <w:i/>
          <w:iCs/>
        </w:rPr>
        <w:t xml:space="preserve">ex </w:t>
      </w:r>
      <w:proofErr w:type="spellStart"/>
      <w:r w:rsidRPr="00354E1B">
        <w:rPr>
          <w:i/>
          <w:iCs/>
        </w:rPr>
        <w:t>parte</w:t>
      </w:r>
      <w:proofErr w:type="spellEnd"/>
      <w:r w:rsidR="00134353">
        <w:rPr>
          <w:rStyle w:val="FootnoteReference"/>
          <w:i/>
          <w:iCs/>
        </w:rPr>
        <w:footnoteReference w:id="11"/>
      </w:r>
      <w:r>
        <w:t xml:space="preserve"> communications. </w:t>
      </w:r>
    </w:p>
    <w:p w14:paraId="3E2E6A3D" w14:textId="77777777" w:rsidR="002E6B2B" w:rsidRDefault="002E6B2B" w:rsidP="00825760">
      <w:pPr>
        <w:ind w:left="720" w:hanging="360"/>
      </w:pPr>
    </w:p>
    <w:p w14:paraId="15AE8326" w14:textId="77777777" w:rsidR="009354E3" w:rsidRDefault="009354E3" w:rsidP="00825760">
      <w:pPr>
        <w:ind w:left="720" w:hanging="360"/>
      </w:pPr>
      <w:r>
        <w:t>16.</w:t>
      </w:r>
      <w:r>
        <w:tab/>
        <w:t xml:space="preserve">Arranges for the location (room) of the hearing, if applicable (OAH </w:t>
      </w:r>
      <w:r w:rsidR="00A2371E">
        <w:t>may make</w:t>
      </w:r>
      <w:r>
        <w:t xml:space="preserve"> these arrangements). </w:t>
      </w:r>
      <w:r w:rsidR="006E0AA4">
        <w:t xml:space="preserve">Most </w:t>
      </w:r>
      <w:r>
        <w:t xml:space="preserve">hearings take place via phone. </w:t>
      </w:r>
    </w:p>
    <w:p w14:paraId="62EA0C3D" w14:textId="77777777" w:rsidR="002E6B2B" w:rsidRDefault="002E6B2B" w:rsidP="00825760">
      <w:pPr>
        <w:ind w:left="720" w:hanging="360"/>
      </w:pPr>
    </w:p>
    <w:p w14:paraId="47E46C48" w14:textId="77777777" w:rsidR="009354E3" w:rsidRDefault="009354E3" w:rsidP="00825760">
      <w:pPr>
        <w:ind w:left="720" w:hanging="360"/>
      </w:pPr>
      <w:r>
        <w:t>17.</w:t>
      </w:r>
      <w:r>
        <w:tab/>
        <w:t>Presents the department’s case to the ALJ</w:t>
      </w:r>
      <w:r w:rsidR="0086471A">
        <w:t xml:space="preserve"> and appellant</w:t>
      </w:r>
      <w:r>
        <w:t xml:space="preserve"> at the hearing including opening and closing statements to clarify and summarize the issues and </w:t>
      </w:r>
      <w:proofErr w:type="gramStart"/>
      <w:r>
        <w:t>arguments, and</w:t>
      </w:r>
      <w:proofErr w:type="gramEnd"/>
      <w:r>
        <w:t xml:space="preserve"> facilitates witness testimony and cross examination.</w:t>
      </w:r>
      <w:r w:rsidR="002F4F27">
        <w:t xml:space="preserve"> Opening and closing statements should be a summary of the department’s position and should not be a reading of the administrative hearing report. </w:t>
      </w:r>
    </w:p>
    <w:p w14:paraId="211AE41E" w14:textId="77777777" w:rsidR="002E6B2B" w:rsidRDefault="002E6B2B" w:rsidP="00825760">
      <w:pPr>
        <w:ind w:left="720" w:hanging="360"/>
      </w:pPr>
    </w:p>
    <w:p w14:paraId="1FAE2433" w14:textId="77777777" w:rsidR="009354E3" w:rsidRDefault="009354E3" w:rsidP="00825760">
      <w:pPr>
        <w:ind w:left="720" w:hanging="360"/>
      </w:pPr>
      <w:r>
        <w:t>18.</w:t>
      </w:r>
      <w:r>
        <w:tab/>
        <w:t>Reviews the ALJ’s decision and informs the case manager and supervisor.  If the department/action is not upheld</w:t>
      </w:r>
      <w:r w:rsidR="006E0AA4">
        <w:t xml:space="preserve">, the department must implement the order by the end of the month the order was received and </w:t>
      </w:r>
      <w:r>
        <w:t xml:space="preserve">the AHC </w:t>
      </w:r>
      <w:r w:rsidR="006E0AA4">
        <w:t xml:space="preserve">must decide </w:t>
      </w:r>
      <w:r>
        <w:t xml:space="preserve">whether to request a review of the initial order to the Board of Appeals. </w:t>
      </w:r>
      <w:proofErr w:type="gramStart"/>
      <w:r>
        <w:t>In order to</w:t>
      </w:r>
      <w:proofErr w:type="gramEnd"/>
      <w:r>
        <w:t xml:space="preserve"> make this decision the AHC may consult with the social worker/case manager, supervisor, administrator/director, AAA attorneys, and with HQ Program Manager who may request consultation with the AAG’s office. </w:t>
      </w:r>
    </w:p>
    <w:p w14:paraId="76AF6F12" w14:textId="77777777" w:rsidR="009354E3" w:rsidRDefault="009354E3" w:rsidP="00825760">
      <w:pPr>
        <w:ind w:left="720" w:hanging="360"/>
      </w:pPr>
    </w:p>
    <w:p w14:paraId="43450EBC" w14:textId="77777777" w:rsidR="009354E3" w:rsidRDefault="009354E3" w:rsidP="00E81E5E">
      <w:pPr>
        <w:ind w:left="720"/>
      </w:pPr>
      <w:r>
        <w:t>Consultation with HQ is especially important when the initial decision</w:t>
      </w:r>
      <w:r w:rsidR="0086471A">
        <w:t>, or a belief that a later decision by the Board of Appeals (BOA),</w:t>
      </w:r>
      <w:r>
        <w:t xml:space="preserve"> may set a precedent that would have far reaching and/or long-term effects on eligibility, rules, policies, and costs</w:t>
      </w:r>
      <w:r w:rsidR="006E0AA4">
        <w:t xml:space="preserve">, especially if the AHC anticipates </w:t>
      </w:r>
      <w:r w:rsidR="006E0AA4">
        <w:lastRenderedPageBreak/>
        <w:t>the appellant could move the case through to Superior Court. The importance is to ensure a complete and accurate record and to get legal advice as appropriate.</w:t>
      </w:r>
    </w:p>
    <w:p w14:paraId="4B530C40" w14:textId="77777777" w:rsidR="009354E3" w:rsidRDefault="009354E3" w:rsidP="00E81E5E">
      <w:pPr>
        <w:ind w:left="720"/>
      </w:pPr>
    </w:p>
    <w:p w14:paraId="4C09D7CE" w14:textId="77777777" w:rsidR="009354E3" w:rsidRDefault="009354E3" w:rsidP="00E81E5E">
      <w:pPr>
        <w:ind w:left="720"/>
      </w:pPr>
      <w:r>
        <w:t>If the department’s position is upheld and the client received continued benefits, the AHC must notify the case manager who will</w:t>
      </w:r>
      <w:r w:rsidR="006E0AA4">
        <w:t xml:space="preserve"> terminate continued benefits and</w:t>
      </w:r>
      <w:r>
        <w:t xml:space="preserve"> initiate the overpayment</w:t>
      </w:r>
      <w:r w:rsidR="006E0AA4">
        <w:t xml:space="preserve"> when appropriate</w:t>
      </w:r>
      <w:r>
        <w:t xml:space="preserve">. </w:t>
      </w:r>
    </w:p>
    <w:p w14:paraId="30A8CA89" w14:textId="77777777" w:rsidR="002E6B2B" w:rsidRDefault="002E6B2B" w:rsidP="00E81E5E">
      <w:pPr>
        <w:ind w:left="720"/>
      </w:pPr>
    </w:p>
    <w:p w14:paraId="566EB54C" w14:textId="77777777" w:rsidR="009354E3" w:rsidRDefault="009354E3" w:rsidP="00825760">
      <w:pPr>
        <w:ind w:left="720" w:hanging="360"/>
      </w:pPr>
      <w:r>
        <w:t>19.</w:t>
      </w:r>
      <w:r>
        <w:tab/>
        <w:t xml:space="preserve"> Advises the client of the appeals process</w:t>
      </w:r>
      <w:r w:rsidR="0086471A">
        <w:t xml:space="preserve"> to BOA</w:t>
      </w:r>
      <w:r>
        <w:t>, as appropriate.</w:t>
      </w:r>
    </w:p>
    <w:p w14:paraId="702E020B" w14:textId="77777777" w:rsidR="002E6B2B" w:rsidRDefault="002E6B2B" w:rsidP="00825760">
      <w:pPr>
        <w:ind w:left="720" w:hanging="360"/>
      </w:pPr>
    </w:p>
    <w:p w14:paraId="30114D3E" w14:textId="77777777" w:rsidR="009354E3" w:rsidRDefault="009354E3" w:rsidP="00825760">
      <w:pPr>
        <w:ind w:left="720" w:hanging="360"/>
      </w:pPr>
      <w:r>
        <w:t>20.</w:t>
      </w:r>
      <w:r>
        <w:tab/>
        <w:t xml:space="preserve">When known, refers the case to the HQ Program Manager if the appellant loses </w:t>
      </w:r>
      <w:r w:rsidR="001B67FA">
        <w:t>the</w:t>
      </w:r>
      <w:r>
        <w:t xml:space="preserve"> BOA review and decides to appeal to Superior Court. HQ staff will coordinate with the AAG’s office, which represents the department/agency in Superior Court</w:t>
      </w:r>
      <w:r w:rsidR="00E74FB2">
        <w:rPr>
          <w:rStyle w:val="FootnoteReference"/>
        </w:rPr>
        <w:footnoteReference w:id="12"/>
      </w:r>
      <w:r>
        <w:t xml:space="preserve">. </w:t>
      </w:r>
    </w:p>
    <w:p w14:paraId="22CD1712" w14:textId="77777777" w:rsidR="002E6B2B" w:rsidRDefault="002E6B2B" w:rsidP="00825760">
      <w:pPr>
        <w:ind w:left="720" w:hanging="360"/>
      </w:pPr>
    </w:p>
    <w:p w14:paraId="30FAD552" w14:textId="77777777" w:rsidR="009354E3" w:rsidRDefault="009354E3" w:rsidP="00825760">
      <w:pPr>
        <w:ind w:left="720" w:hanging="360"/>
      </w:pPr>
      <w:r>
        <w:t>21.</w:t>
      </w:r>
      <w:r>
        <w:tab/>
        <w:t xml:space="preserve">Documents the actions in the </w:t>
      </w:r>
      <w:r w:rsidR="002E6B2B">
        <w:t>A</w:t>
      </w:r>
      <w:r>
        <w:t xml:space="preserve">HCS </w:t>
      </w:r>
      <w:r w:rsidR="00E74FB2">
        <w:t xml:space="preserve">in Barcode </w:t>
      </w:r>
      <w:r>
        <w:t xml:space="preserve">and files documents into the AH file. </w:t>
      </w:r>
      <w:r w:rsidR="0086471A">
        <w:t>Sends the client hearing file to Document Management Services</w:t>
      </w:r>
      <w:r w:rsidR="001B67FA">
        <w:t xml:space="preserve"> (DMS)</w:t>
      </w:r>
      <w:r w:rsidR="0086471A">
        <w:t xml:space="preserve"> for imaging when the hearing process is complete</w:t>
      </w:r>
      <w:r w:rsidR="001B67FA">
        <w:t>, (provider OP hearings are documented in the AHCS but not sent to DMS)</w:t>
      </w:r>
      <w:r w:rsidR="0086471A">
        <w:t xml:space="preserve">. </w:t>
      </w:r>
    </w:p>
    <w:p w14:paraId="21D68514" w14:textId="77777777" w:rsidR="009354E3" w:rsidRDefault="009354E3" w:rsidP="009354E3"/>
    <w:p w14:paraId="3DBC2562" w14:textId="77777777" w:rsidR="009354E3" w:rsidRDefault="009354E3" w:rsidP="009354E3">
      <w:pPr>
        <w:pStyle w:val="Heading2"/>
      </w:pPr>
      <w:bookmarkStart w:id="12" w:name="_Toc22738045"/>
      <w:r>
        <w:t>Continued benefits</w:t>
      </w:r>
      <w:bookmarkEnd w:id="12"/>
    </w:p>
    <w:p w14:paraId="75F307A0" w14:textId="77777777" w:rsidR="009354E3" w:rsidRDefault="009354E3" w:rsidP="009354E3">
      <w:r>
        <w:t>Whenever the Department notifies a client that his or her benefits will be reduced or terminated, federal law allows the recipient to maintain benefits at the prior level if the recipient appeals the decision by requesting an administrative hearing prior to the appeal by</w:t>
      </w:r>
      <w:r w:rsidR="00457C95">
        <w:t>/effective</w:t>
      </w:r>
      <w:r>
        <w:t xml:space="preserve"> date on the PAN. </w:t>
      </w:r>
    </w:p>
    <w:p w14:paraId="07787BF7" w14:textId="77777777" w:rsidR="000D0B1D" w:rsidRDefault="000D0B1D" w:rsidP="009354E3"/>
    <w:p w14:paraId="34386981" w14:textId="77777777" w:rsidR="009354E3" w:rsidRDefault="009354E3" w:rsidP="00E81E5E">
      <w:pPr>
        <w:ind w:left="720" w:hanging="360"/>
      </w:pPr>
      <w:r>
        <w:t>1.</w:t>
      </w:r>
      <w:r>
        <w:tab/>
        <w:t xml:space="preserve">Clients automatically receive continued benefits if the appeal is requested prior to the appeal </w:t>
      </w:r>
      <w:r w:rsidR="00E81E5E">
        <w:t>by date</w:t>
      </w:r>
      <w:r w:rsidR="007A04F7">
        <w:rPr>
          <w:rStyle w:val="FootnoteReference"/>
        </w:rPr>
        <w:footnoteReference w:id="13"/>
      </w:r>
      <w:r>
        <w:t xml:space="preserve"> on the PAN, unless they request not to receive them. </w:t>
      </w:r>
    </w:p>
    <w:p w14:paraId="73344B3C" w14:textId="77777777" w:rsidR="009354E3" w:rsidRDefault="009354E3" w:rsidP="00E81E5E">
      <w:pPr>
        <w:ind w:left="720" w:hanging="360"/>
      </w:pPr>
      <w:r>
        <w:t>2.</w:t>
      </w:r>
      <w:r>
        <w:tab/>
        <w:t xml:space="preserve">Continued benefits are in the amount indicated by the assessment under </w:t>
      </w:r>
      <w:proofErr w:type="gramStart"/>
      <w:r>
        <w:t>appeal, unless</w:t>
      </w:r>
      <w:proofErr w:type="gramEnd"/>
      <w:r>
        <w:t xml:space="preserve"> less benefit is requested by the client. They are authorized on the first day after the request for appeal. If the ALJ reduces or terminates benefits, the initial order takes effect at the end of the month during which OAH mailed the initial order, even if the client requests an appeal through the Board of Appeals. </w:t>
      </w:r>
    </w:p>
    <w:p w14:paraId="383720AD" w14:textId="77777777" w:rsidR="009354E3" w:rsidRDefault="009354E3" w:rsidP="00E81E5E">
      <w:pPr>
        <w:ind w:left="720" w:hanging="360"/>
      </w:pPr>
      <w:r>
        <w:t>3.</w:t>
      </w:r>
      <w:r>
        <w:tab/>
        <w:t xml:space="preserve">If the ALJ reduces or terminates benefits, the first 60-days of continued benefits, starting on the date of the request for hearing from OAH, are subject to an overpayment and the department </w:t>
      </w:r>
      <w:r w:rsidR="007A04F7">
        <w:t>sends the</w:t>
      </w:r>
      <w:r>
        <w:t xml:space="preserve"> overpayment to O</w:t>
      </w:r>
      <w:r w:rsidR="00457C95">
        <w:t xml:space="preserve">ffice of </w:t>
      </w:r>
      <w:r>
        <w:t>F</w:t>
      </w:r>
      <w:r w:rsidR="00457C95">
        <w:t xml:space="preserve">inancial </w:t>
      </w:r>
      <w:r>
        <w:t>R</w:t>
      </w:r>
      <w:r w:rsidR="00457C95">
        <w:t>ecovery (OFR)</w:t>
      </w:r>
      <w:r w:rsidR="007A04F7">
        <w:t xml:space="preserve"> if appropriate</w:t>
      </w:r>
      <w:r w:rsidR="0015326C">
        <w:rPr>
          <w:rStyle w:val="FootnoteReference"/>
        </w:rPr>
        <w:footnoteReference w:id="14"/>
      </w:r>
      <w:r>
        <w:t xml:space="preserve">.  The recoverable funds that may be collected on the overpayment are from the effective date on the PAN out 60-days from the request of the hearing from </w:t>
      </w:r>
      <w:r w:rsidR="00E81E5E">
        <w:t>OAH</w:t>
      </w:r>
      <w:r w:rsidR="0015326C">
        <w:rPr>
          <w:rStyle w:val="FootnoteReference"/>
        </w:rPr>
        <w:footnoteReference w:id="15"/>
      </w:r>
      <w:r w:rsidR="00E81E5E">
        <w:t xml:space="preserve">. </w:t>
      </w:r>
    </w:p>
    <w:p w14:paraId="35ED6BA2" w14:textId="77777777" w:rsidR="009354E3" w:rsidRDefault="009354E3" w:rsidP="00E81E5E">
      <w:pPr>
        <w:ind w:left="720" w:hanging="360"/>
      </w:pPr>
      <w:r>
        <w:lastRenderedPageBreak/>
        <w:t>4.</w:t>
      </w:r>
      <w:r>
        <w:tab/>
        <w:t xml:space="preserve">The overpayment is based on the additional benefit the client received over and above the amount required by the initial order. The order should state the effective date of the reduction or termination and the amount the client is eligible to receive. </w:t>
      </w:r>
    </w:p>
    <w:p w14:paraId="7046F712" w14:textId="77777777" w:rsidR="009354E3" w:rsidRDefault="009354E3" w:rsidP="00E81E5E">
      <w:pPr>
        <w:ind w:left="720" w:hanging="360"/>
      </w:pPr>
      <w:r>
        <w:t>5.</w:t>
      </w:r>
      <w:r>
        <w:tab/>
        <w:t xml:space="preserve">If the client requests an appeal of the initial decision with BOA, there will not be any collection action from OFR until the BOA decision is reached. </w:t>
      </w:r>
    </w:p>
    <w:p w14:paraId="6D8169D8" w14:textId="77777777" w:rsidR="009354E3" w:rsidRDefault="009354E3" w:rsidP="00E81E5E">
      <w:pPr>
        <w:ind w:left="720" w:hanging="360"/>
      </w:pPr>
      <w:r>
        <w:t>6.</w:t>
      </w:r>
      <w:r>
        <w:tab/>
        <w:t xml:space="preserve">Vendors do not receive continued benefits. </w:t>
      </w:r>
    </w:p>
    <w:p w14:paraId="18C66A7F" w14:textId="77777777" w:rsidR="009354E3" w:rsidRDefault="009354E3" w:rsidP="00E81E5E">
      <w:pPr>
        <w:ind w:left="720" w:hanging="360"/>
      </w:pPr>
      <w:r>
        <w:t>7.</w:t>
      </w:r>
      <w:r>
        <w:tab/>
        <w:t xml:space="preserve">If the department prevails at the hearing, continued benefits stop at the end of the month the hearing decision is </w:t>
      </w:r>
      <w:r w:rsidR="00457C95">
        <w:t>mailed</w:t>
      </w:r>
      <w:r>
        <w:t>. The department must complete an overpayment</w:t>
      </w:r>
      <w:r w:rsidR="00E74FB2">
        <w:t>, when appropriate</w:t>
      </w:r>
      <w:r>
        <w:t xml:space="preserve">. See the Overpayment section for more information. </w:t>
      </w:r>
    </w:p>
    <w:p w14:paraId="0EF05AB0" w14:textId="77777777" w:rsidR="00D8167E" w:rsidRDefault="00D8167E" w:rsidP="00406716">
      <w:pPr>
        <w:rPr>
          <w:b/>
        </w:rPr>
      </w:pPr>
    </w:p>
    <w:p w14:paraId="35D3CF88" w14:textId="77777777" w:rsidR="009354E3" w:rsidRPr="00D8167E" w:rsidRDefault="00406716" w:rsidP="00406716">
      <w:pPr>
        <w:rPr>
          <w:b/>
        </w:rPr>
      </w:pPr>
      <w:r w:rsidRPr="00D8167E">
        <w:rPr>
          <w:b/>
        </w:rPr>
        <w:t>Resources</w:t>
      </w:r>
    </w:p>
    <w:p w14:paraId="19CD53B9" w14:textId="77777777" w:rsidR="00406716" w:rsidRDefault="00406716" w:rsidP="00406716">
      <w:pPr>
        <w:tabs>
          <w:tab w:val="left" w:pos="450"/>
        </w:tabs>
        <w:autoSpaceDE w:val="0"/>
        <w:autoSpaceDN w:val="0"/>
        <w:rPr>
          <w:rFonts w:cstheme="minorHAnsi"/>
        </w:rPr>
      </w:pPr>
      <w:r w:rsidRPr="00D8167E">
        <w:rPr>
          <w:rFonts w:cstheme="minorHAnsi"/>
        </w:rPr>
        <w:t>WAC 182-504-0130 Continued Coverage Pending an Appeal.</w:t>
      </w:r>
    </w:p>
    <w:p w14:paraId="7511A656" w14:textId="77777777" w:rsidR="00457C95" w:rsidRPr="00D8167E" w:rsidRDefault="00457C95" w:rsidP="00406716">
      <w:pPr>
        <w:tabs>
          <w:tab w:val="left" w:pos="450"/>
        </w:tabs>
        <w:autoSpaceDE w:val="0"/>
        <w:autoSpaceDN w:val="0"/>
        <w:rPr>
          <w:rFonts w:cstheme="minorHAnsi"/>
        </w:rPr>
      </w:pPr>
      <w:r>
        <w:rPr>
          <w:rFonts w:cstheme="minorHAnsi"/>
        </w:rPr>
        <w:t xml:space="preserve">388-458-0040(5) What happens if I ask for a hearing before a change happens? </w:t>
      </w:r>
    </w:p>
    <w:p w14:paraId="4127320B" w14:textId="77777777" w:rsidR="00406716" w:rsidRPr="00406716" w:rsidRDefault="00406716" w:rsidP="00E81E5E">
      <w:pPr>
        <w:ind w:left="720" w:hanging="360"/>
        <w:rPr>
          <w:b/>
        </w:rPr>
      </w:pPr>
    </w:p>
    <w:p w14:paraId="17B7B321" w14:textId="77777777" w:rsidR="009354E3" w:rsidRDefault="009354E3" w:rsidP="009354E3">
      <w:pPr>
        <w:pStyle w:val="Heading2"/>
      </w:pPr>
      <w:bookmarkStart w:id="13" w:name="_Toc22738046"/>
      <w:r>
        <w:t>Timeframes and deadlines</w:t>
      </w:r>
      <w:bookmarkEnd w:id="13"/>
    </w:p>
    <w:p w14:paraId="7D5FB860" w14:textId="77777777" w:rsidR="00E74FB2" w:rsidRPr="00AF3E77" w:rsidRDefault="00E74FB2" w:rsidP="00354E1B"/>
    <w:p w14:paraId="5C312E57" w14:textId="77777777" w:rsidR="00E74FB2" w:rsidRDefault="009354E3" w:rsidP="00E81E5E">
      <w:pPr>
        <w:ind w:left="720" w:hanging="360"/>
      </w:pPr>
      <w:r>
        <w:t>1.</w:t>
      </w:r>
      <w:r>
        <w:tab/>
      </w:r>
      <w:bookmarkStart w:id="14" w:name="_Hlk102717365"/>
      <w:r>
        <w:t xml:space="preserve">PANs must be sent to the client </w:t>
      </w:r>
      <w:r w:rsidR="00484EFD">
        <w:t xml:space="preserve">immediately after completing the assessment and must provide </w:t>
      </w:r>
      <w:r>
        <w:t>at least 10-</w:t>
      </w:r>
      <w:r w:rsidR="00484EFD">
        <w:t xml:space="preserve">days’ notice </w:t>
      </w:r>
      <w:r>
        <w:t xml:space="preserve">before the effective </w:t>
      </w:r>
      <w:r w:rsidR="002E6B2B">
        <w:t>date</w:t>
      </w:r>
      <w:r w:rsidR="0015326C">
        <w:rPr>
          <w:rStyle w:val="FootnoteReference"/>
        </w:rPr>
        <w:footnoteReference w:id="16"/>
      </w:r>
      <w:r w:rsidR="002E6B2B">
        <w:t xml:space="preserve"> of</w:t>
      </w:r>
      <w:r>
        <w:t xml:space="preserve"> the action</w:t>
      </w:r>
      <w:r w:rsidR="00DA2955">
        <w:t xml:space="preserve"> for services</w:t>
      </w:r>
      <w:r>
        <w:t xml:space="preserve">. </w:t>
      </w:r>
      <w:bookmarkEnd w:id="14"/>
      <w:r>
        <w:t xml:space="preserve">For client services, the PAN in CARE automatically provides for at least 10-days’ notice, using the ten-to-the-end policy. </w:t>
      </w:r>
    </w:p>
    <w:p w14:paraId="65CB95FF" w14:textId="77777777" w:rsidR="009354E3" w:rsidRDefault="009354E3" w:rsidP="00E81E5E">
      <w:pPr>
        <w:ind w:left="720" w:hanging="360"/>
      </w:pPr>
      <w:r>
        <w:t>2.</w:t>
      </w:r>
      <w:r>
        <w:tab/>
        <w:t xml:space="preserve">If a request is received by OAH before the appeal by date on the PAN, the client receives continued service benefits, unless he or she requests not to receive them. </w:t>
      </w:r>
    </w:p>
    <w:p w14:paraId="4E464209" w14:textId="77777777" w:rsidR="009354E3" w:rsidRDefault="009354E3" w:rsidP="00E81E5E">
      <w:pPr>
        <w:ind w:left="720" w:hanging="360"/>
      </w:pPr>
      <w:r>
        <w:t>3.</w:t>
      </w:r>
      <w:r>
        <w:tab/>
        <w:t>OAH must receive an appeal within 90-days</w:t>
      </w:r>
      <w:r w:rsidR="00390B3B">
        <w:rPr>
          <w:rStyle w:val="FootnoteReference"/>
        </w:rPr>
        <w:footnoteReference w:id="17"/>
      </w:r>
      <w:r>
        <w:t xml:space="preserve"> of the date the client receives the PAN.  </w:t>
      </w:r>
    </w:p>
    <w:p w14:paraId="78602A68" w14:textId="77777777" w:rsidR="009354E3" w:rsidRDefault="009354E3" w:rsidP="00E81E5E">
      <w:pPr>
        <w:ind w:left="720" w:hanging="360"/>
      </w:pPr>
      <w:r>
        <w:t>4.</w:t>
      </w:r>
      <w:r>
        <w:tab/>
        <w:t xml:space="preserve">Request for correction of clerical errors on initial orders must be received on or before the tenth calendar day after the order was served. </w:t>
      </w:r>
    </w:p>
    <w:p w14:paraId="1C47E181" w14:textId="77777777" w:rsidR="009354E3" w:rsidRDefault="009354E3" w:rsidP="00E81E5E">
      <w:pPr>
        <w:ind w:left="720" w:hanging="360"/>
      </w:pPr>
      <w:r>
        <w:t>5.</w:t>
      </w:r>
      <w:r>
        <w:tab/>
        <w:t>BOA must receive the request for review within 21 calendar days from the mail date stamped on the initial decision from OAH and should:</w:t>
      </w:r>
    </w:p>
    <w:p w14:paraId="0CA2BFF3" w14:textId="77777777" w:rsidR="009354E3" w:rsidRDefault="009354E3" w:rsidP="00E81E5E">
      <w:pPr>
        <w:ind w:left="1440" w:hanging="360"/>
      </w:pPr>
      <w:r>
        <w:t>a.</w:t>
      </w:r>
      <w:r>
        <w:tab/>
        <w:t>Identify the parts of the initial order with which the department disagrees.</w:t>
      </w:r>
    </w:p>
    <w:p w14:paraId="5AAA7596" w14:textId="77777777" w:rsidR="009354E3" w:rsidRDefault="009354E3" w:rsidP="00E81E5E">
      <w:pPr>
        <w:ind w:left="1440" w:hanging="360"/>
      </w:pPr>
      <w:r>
        <w:t>b.</w:t>
      </w:r>
      <w:r>
        <w:tab/>
        <w:t>Identify arguments/evidence as to why the department believes the ALJ’s decision was in error.</w:t>
      </w:r>
    </w:p>
    <w:p w14:paraId="586DF10E" w14:textId="77777777" w:rsidR="00D2043C" w:rsidRDefault="009354E3" w:rsidP="005745E7">
      <w:pPr>
        <w:ind w:left="720" w:firstLine="360"/>
      </w:pPr>
      <w:r>
        <w:t>c.</w:t>
      </w:r>
      <w:r>
        <w:tab/>
        <w:t xml:space="preserve">Send a copy of the review request to the other parties. </w:t>
      </w:r>
    </w:p>
    <w:p w14:paraId="0CC57FB4" w14:textId="77777777" w:rsidR="009354E3" w:rsidRDefault="009354E3" w:rsidP="00E81E5E">
      <w:pPr>
        <w:ind w:left="720" w:firstLine="360"/>
      </w:pPr>
      <w:r>
        <w:t>d.</w:t>
      </w:r>
      <w:r>
        <w:tab/>
      </w:r>
      <w:r w:rsidR="00DA2955">
        <w:t xml:space="preserve">Direct </w:t>
      </w:r>
      <w:r>
        <w:t>Appeals to:</w:t>
      </w:r>
    </w:p>
    <w:p w14:paraId="0FC0D929" w14:textId="77777777" w:rsidR="009354E3" w:rsidRDefault="009354E3" w:rsidP="00E81E5E">
      <w:pPr>
        <w:ind w:left="1800" w:hanging="360"/>
      </w:pPr>
      <w:r>
        <w:t>Board of Appeals</w:t>
      </w:r>
    </w:p>
    <w:p w14:paraId="7457B948" w14:textId="77777777" w:rsidR="009354E3" w:rsidRDefault="009354E3" w:rsidP="00E81E5E">
      <w:pPr>
        <w:ind w:left="1800" w:hanging="360"/>
      </w:pPr>
      <w:r>
        <w:t>PO Box 45803</w:t>
      </w:r>
    </w:p>
    <w:p w14:paraId="646BF29E" w14:textId="77777777" w:rsidR="009354E3" w:rsidRDefault="009354E3" w:rsidP="00E81E5E">
      <w:pPr>
        <w:ind w:left="1800" w:hanging="360"/>
      </w:pPr>
      <w:r>
        <w:t xml:space="preserve">Olympia, WA. 98504-5803 </w:t>
      </w:r>
    </w:p>
    <w:p w14:paraId="1C479428" w14:textId="77777777" w:rsidR="009354E3" w:rsidRDefault="009354E3" w:rsidP="00E81E5E">
      <w:pPr>
        <w:ind w:left="720" w:hanging="360"/>
      </w:pPr>
      <w:r>
        <w:t>6.</w:t>
      </w:r>
      <w:r>
        <w:tab/>
        <w:t>Request for reconsideration must be received by BOA within 10 calendar days from the date stamped on the Review Decision or Order.</w:t>
      </w:r>
    </w:p>
    <w:p w14:paraId="010B8692" w14:textId="77777777" w:rsidR="009354E3" w:rsidRDefault="009354E3" w:rsidP="00E81E5E">
      <w:pPr>
        <w:ind w:left="720" w:hanging="360"/>
      </w:pPr>
      <w:r>
        <w:lastRenderedPageBreak/>
        <w:t>7.</w:t>
      </w:r>
      <w:r>
        <w:tab/>
        <w:t>Superior Court must receive the request for review FROM THE APPELLANT (the department has no rights for this review) within 30-days from the date stamped on the review decision or order from BOA.</w:t>
      </w:r>
    </w:p>
    <w:p w14:paraId="32363FD2" w14:textId="77777777" w:rsidR="00406716" w:rsidRDefault="00406716" w:rsidP="00E81E5E">
      <w:pPr>
        <w:ind w:left="720" w:hanging="360"/>
      </w:pPr>
    </w:p>
    <w:p w14:paraId="663B1848" w14:textId="77777777" w:rsidR="00406716" w:rsidRPr="00406716" w:rsidRDefault="00406716" w:rsidP="00406716">
      <w:pPr>
        <w:autoSpaceDE w:val="0"/>
        <w:autoSpaceDN w:val="0"/>
        <w:ind w:left="360"/>
        <w:rPr>
          <w:rFonts w:asciiTheme="minorHAnsi" w:hAnsiTheme="minorHAnsi" w:cs="Arial"/>
          <w:b/>
        </w:rPr>
      </w:pPr>
      <w:r w:rsidRPr="00406716">
        <w:rPr>
          <w:rFonts w:asciiTheme="minorHAnsi" w:hAnsiTheme="minorHAnsi" w:cs="Arial"/>
          <w:b/>
        </w:rPr>
        <w:t>Resources</w:t>
      </w:r>
    </w:p>
    <w:p w14:paraId="041F61F5" w14:textId="77777777" w:rsidR="00406716" w:rsidRPr="00406716" w:rsidRDefault="00406716" w:rsidP="00406716">
      <w:pPr>
        <w:autoSpaceDE w:val="0"/>
        <w:autoSpaceDN w:val="0"/>
        <w:ind w:left="360"/>
        <w:rPr>
          <w:rFonts w:asciiTheme="minorHAnsi" w:hAnsiTheme="minorHAnsi" w:cs="Arial"/>
        </w:rPr>
      </w:pPr>
      <w:r w:rsidRPr="00406716">
        <w:rPr>
          <w:rFonts w:asciiTheme="minorHAnsi" w:hAnsiTheme="minorHAnsi" w:cs="Arial"/>
        </w:rPr>
        <w:t>WAC 182-518-0025 Washington apple health- Notice Requirements</w:t>
      </w:r>
    </w:p>
    <w:p w14:paraId="42FD9D11" w14:textId="77777777" w:rsidR="00406716" w:rsidRPr="00406716" w:rsidRDefault="00406716" w:rsidP="00406716">
      <w:pPr>
        <w:tabs>
          <w:tab w:val="left" w:pos="450"/>
        </w:tabs>
        <w:autoSpaceDE w:val="0"/>
        <w:autoSpaceDN w:val="0"/>
        <w:ind w:left="360"/>
        <w:rPr>
          <w:rFonts w:asciiTheme="minorHAnsi" w:hAnsiTheme="minorHAnsi" w:cs="Arial"/>
        </w:rPr>
      </w:pPr>
      <w:r w:rsidRPr="00406716">
        <w:rPr>
          <w:rFonts w:asciiTheme="minorHAnsi" w:hAnsiTheme="minorHAnsi" w:cs="Arial"/>
        </w:rPr>
        <w:t>WAC 182-504-0130 Continued Coverage Pending an Appeal</w:t>
      </w:r>
    </w:p>
    <w:p w14:paraId="167F5D56" w14:textId="77777777" w:rsidR="00406716" w:rsidRPr="00406716" w:rsidRDefault="00406716" w:rsidP="00406716">
      <w:pPr>
        <w:tabs>
          <w:tab w:val="left" w:pos="450"/>
        </w:tabs>
        <w:autoSpaceDE w:val="0"/>
        <w:autoSpaceDN w:val="0"/>
        <w:ind w:left="360"/>
        <w:rPr>
          <w:rFonts w:asciiTheme="minorHAnsi" w:hAnsiTheme="minorHAnsi" w:cs="Arial"/>
        </w:rPr>
      </w:pPr>
      <w:r w:rsidRPr="00406716">
        <w:rPr>
          <w:rFonts w:asciiTheme="minorHAnsi" w:hAnsiTheme="minorHAnsi" w:cs="Arial"/>
        </w:rPr>
        <w:t>WAC 182-526-0110 Process After a Hearing is Requested</w:t>
      </w:r>
    </w:p>
    <w:p w14:paraId="2F2C5CA6" w14:textId="77777777" w:rsidR="00406716" w:rsidRPr="00406716" w:rsidRDefault="00406716" w:rsidP="00406716">
      <w:pPr>
        <w:autoSpaceDE w:val="0"/>
        <w:autoSpaceDN w:val="0"/>
        <w:ind w:left="360"/>
        <w:rPr>
          <w:rFonts w:asciiTheme="minorHAnsi" w:hAnsiTheme="minorHAnsi" w:cs="Arial"/>
        </w:rPr>
      </w:pPr>
      <w:r w:rsidRPr="00406716">
        <w:rPr>
          <w:rFonts w:asciiTheme="minorHAnsi" w:hAnsiTheme="minorHAnsi" w:cs="Arial"/>
        </w:rPr>
        <w:t>WAC 182-526-0550 Deadline for Requesting a Corrected Initial Order</w:t>
      </w:r>
    </w:p>
    <w:p w14:paraId="53EB0CD1" w14:textId="77777777" w:rsidR="00406716" w:rsidRPr="00406716" w:rsidRDefault="00406716" w:rsidP="00406716">
      <w:pPr>
        <w:autoSpaceDE w:val="0"/>
        <w:autoSpaceDN w:val="0"/>
        <w:ind w:left="360"/>
        <w:rPr>
          <w:rFonts w:asciiTheme="minorHAnsi" w:hAnsiTheme="minorHAnsi" w:cs="Arial"/>
        </w:rPr>
      </w:pPr>
      <w:r w:rsidRPr="00406716">
        <w:rPr>
          <w:rFonts w:asciiTheme="minorHAnsi" w:hAnsiTheme="minorHAnsi" w:cs="Arial"/>
        </w:rPr>
        <w:t>WAC 182-526-0560 Review of an Initial Order by a Review Judge</w:t>
      </w:r>
    </w:p>
    <w:p w14:paraId="7B5796D2" w14:textId="77777777" w:rsidR="00406716" w:rsidRPr="00406716" w:rsidRDefault="00406716" w:rsidP="00406716">
      <w:pPr>
        <w:autoSpaceDE w:val="0"/>
        <w:autoSpaceDN w:val="0"/>
        <w:ind w:left="360"/>
        <w:rPr>
          <w:rFonts w:asciiTheme="minorHAnsi" w:hAnsiTheme="minorHAnsi" w:cs="Arial"/>
          <w:iCs/>
        </w:rPr>
      </w:pPr>
      <w:r w:rsidRPr="00406716">
        <w:rPr>
          <w:rFonts w:asciiTheme="minorHAnsi" w:hAnsiTheme="minorHAnsi" w:cs="Arial"/>
        </w:rPr>
        <w:t>WAC 182-526-0575 How to Request Review of an Initial Order</w:t>
      </w:r>
      <w:r w:rsidRPr="00406716">
        <w:rPr>
          <w:rFonts w:asciiTheme="minorHAnsi" w:hAnsiTheme="minorHAnsi" w:cs="Arial"/>
          <w:iCs/>
        </w:rPr>
        <w:t xml:space="preserve"> </w:t>
      </w:r>
    </w:p>
    <w:p w14:paraId="6A4201E1" w14:textId="77777777" w:rsidR="00406716" w:rsidRPr="00406716" w:rsidRDefault="00406716" w:rsidP="00406716">
      <w:pPr>
        <w:autoSpaceDE w:val="0"/>
        <w:autoSpaceDN w:val="0"/>
        <w:ind w:left="360"/>
        <w:rPr>
          <w:rFonts w:asciiTheme="minorHAnsi" w:hAnsiTheme="minorHAnsi" w:cs="Arial"/>
        </w:rPr>
      </w:pPr>
      <w:r w:rsidRPr="00406716">
        <w:rPr>
          <w:rFonts w:asciiTheme="minorHAnsi" w:hAnsiTheme="minorHAnsi" w:cs="Arial"/>
        </w:rPr>
        <w:t>WAC 182-526-0605-0620 Reconsideration</w:t>
      </w:r>
    </w:p>
    <w:p w14:paraId="014EFDDE" w14:textId="77777777" w:rsidR="00406716" w:rsidRPr="00406716" w:rsidRDefault="00406716" w:rsidP="00406716">
      <w:pPr>
        <w:autoSpaceDE w:val="0"/>
        <w:autoSpaceDN w:val="0"/>
        <w:ind w:left="360"/>
        <w:rPr>
          <w:rFonts w:asciiTheme="minorHAnsi" w:hAnsiTheme="minorHAnsi" w:cs="Arial"/>
        </w:rPr>
      </w:pPr>
      <w:r w:rsidRPr="00406716">
        <w:rPr>
          <w:rFonts w:asciiTheme="minorHAnsi" w:hAnsiTheme="minorHAnsi" w:cs="Arial"/>
        </w:rPr>
        <w:t>WAC 182-526-0650 Service of Petition for Judicial Review</w:t>
      </w:r>
    </w:p>
    <w:p w14:paraId="4E6DDB0E" w14:textId="77777777" w:rsidR="00406716" w:rsidRPr="009354E3" w:rsidRDefault="00406716" w:rsidP="00E81E5E">
      <w:pPr>
        <w:ind w:left="720" w:hanging="360"/>
      </w:pPr>
    </w:p>
    <w:p w14:paraId="677984C5" w14:textId="77777777" w:rsidR="00D8167E" w:rsidRDefault="00D8167E">
      <w:pPr>
        <w:rPr>
          <w:rFonts w:ascii="Century Gothic" w:eastAsiaTheme="majorEastAsia" w:hAnsi="Century Gothic" w:cstheme="majorBidi"/>
          <w:b/>
          <w:caps/>
          <w:color w:val="005CAB"/>
          <w:sz w:val="26"/>
          <w:szCs w:val="26"/>
        </w:rPr>
      </w:pPr>
      <w:r>
        <w:br w:type="page"/>
      </w:r>
    </w:p>
    <w:p w14:paraId="3BE77952" w14:textId="77777777" w:rsidR="00E67387" w:rsidRDefault="00E67387" w:rsidP="00E67387">
      <w:pPr>
        <w:pStyle w:val="Heading2"/>
      </w:pPr>
      <w:bookmarkStart w:id="15" w:name="_Toc22738047"/>
      <w:r>
        <w:lastRenderedPageBreak/>
        <w:t>Hearing Decisions and Final Orders</w:t>
      </w:r>
      <w:bookmarkEnd w:id="15"/>
    </w:p>
    <w:p w14:paraId="3A260D04" w14:textId="77777777" w:rsidR="00E67387" w:rsidRDefault="00E67387" w:rsidP="00E81E5E">
      <w:pPr>
        <w:ind w:left="720" w:hanging="360"/>
      </w:pPr>
      <w:r>
        <w:t>1.</w:t>
      </w:r>
      <w:r>
        <w:tab/>
        <w:t xml:space="preserve">An Initial Order becomes a final order at 5 pm on the 21st calendar day after OAH serves the initial order unless: </w:t>
      </w:r>
    </w:p>
    <w:p w14:paraId="60CE1E34" w14:textId="77777777" w:rsidR="00E67387" w:rsidRDefault="00E67387" w:rsidP="00E81E5E">
      <w:pPr>
        <w:ind w:left="1440" w:hanging="360"/>
      </w:pPr>
      <w:r>
        <w:t>a.</w:t>
      </w:r>
      <w:r>
        <w:tab/>
        <w:t>There is a request for a review of the initial order made to BOA.</w:t>
      </w:r>
    </w:p>
    <w:p w14:paraId="5E69A33B" w14:textId="77777777" w:rsidR="00E67387" w:rsidRDefault="00E67387" w:rsidP="00E81E5E">
      <w:pPr>
        <w:ind w:left="1440" w:hanging="360"/>
      </w:pPr>
      <w:r>
        <w:t>b.</w:t>
      </w:r>
      <w:r>
        <w:tab/>
        <w:t>There is a request for an extension that is granted.</w:t>
      </w:r>
    </w:p>
    <w:p w14:paraId="15A7EF52" w14:textId="77777777" w:rsidR="00E67387" w:rsidRDefault="00E67387" w:rsidP="00E81E5E">
      <w:pPr>
        <w:ind w:left="1440" w:hanging="360"/>
      </w:pPr>
      <w:r>
        <w:t>c.</w:t>
      </w:r>
      <w:r>
        <w:tab/>
        <w:t>Any party files a late request for review which is accepted</w:t>
      </w:r>
      <w:r w:rsidR="00457C95">
        <w:rPr>
          <w:rStyle w:val="FootnoteReference"/>
        </w:rPr>
        <w:footnoteReference w:id="18"/>
      </w:r>
      <w:r>
        <w:t xml:space="preserve">. </w:t>
      </w:r>
    </w:p>
    <w:p w14:paraId="6694CAF1" w14:textId="77777777" w:rsidR="002E6B2B" w:rsidRDefault="002E6B2B" w:rsidP="002E6B2B"/>
    <w:p w14:paraId="753A7B8E" w14:textId="77777777" w:rsidR="00E67387" w:rsidRDefault="00E67387" w:rsidP="00E81E5E">
      <w:pPr>
        <w:ind w:left="720" w:hanging="360"/>
      </w:pPr>
      <w:r>
        <w:t>2.</w:t>
      </w:r>
      <w:r>
        <w:tab/>
        <w:t xml:space="preserve">When you receive a final </w:t>
      </w:r>
      <w:proofErr w:type="gramStart"/>
      <w:r>
        <w:t>order</w:t>
      </w:r>
      <w:proofErr w:type="gramEnd"/>
      <w:r>
        <w:t xml:space="preserve"> you must: </w:t>
      </w:r>
    </w:p>
    <w:p w14:paraId="5FA2E807" w14:textId="77777777" w:rsidR="00E67387" w:rsidRDefault="00E67387" w:rsidP="00E81E5E">
      <w:pPr>
        <w:ind w:left="1440" w:hanging="360"/>
      </w:pPr>
      <w:r>
        <w:t>a.</w:t>
      </w:r>
      <w:r>
        <w:tab/>
        <w:t>Follow the judge’s order.</w:t>
      </w:r>
    </w:p>
    <w:p w14:paraId="07AC2EAF" w14:textId="77777777" w:rsidR="00E67387" w:rsidRDefault="00E67387" w:rsidP="00E81E5E">
      <w:pPr>
        <w:ind w:left="1440" w:hanging="360"/>
      </w:pPr>
      <w:r>
        <w:t>b.</w:t>
      </w:r>
      <w:r>
        <w:tab/>
        <w:t>Contact HQ program management staff for consultation if needed.</w:t>
      </w:r>
    </w:p>
    <w:p w14:paraId="7387B6C1" w14:textId="77777777" w:rsidR="00406716" w:rsidRDefault="00406716" w:rsidP="00E81E5E">
      <w:pPr>
        <w:ind w:left="1440" w:hanging="360"/>
      </w:pPr>
    </w:p>
    <w:p w14:paraId="387AF962" w14:textId="77777777" w:rsidR="00406716" w:rsidRPr="00406716" w:rsidRDefault="00406716" w:rsidP="00406716">
      <w:pPr>
        <w:ind w:left="360" w:hanging="360"/>
        <w:rPr>
          <w:b/>
        </w:rPr>
      </w:pPr>
      <w:r w:rsidRPr="00406716">
        <w:rPr>
          <w:b/>
        </w:rPr>
        <w:t>Resources</w:t>
      </w:r>
    </w:p>
    <w:p w14:paraId="60BDF466" w14:textId="77777777" w:rsidR="00406716" w:rsidRPr="00D8167E" w:rsidRDefault="00406716" w:rsidP="00406716">
      <w:pPr>
        <w:autoSpaceDE w:val="0"/>
        <w:autoSpaceDN w:val="0"/>
        <w:rPr>
          <w:rFonts w:asciiTheme="minorHAnsi" w:hAnsiTheme="minorHAnsi" w:cstheme="minorHAnsi"/>
        </w:rPr>
      </w:pPr>
      <w:r w:rsidRPr="00D8167E">
        <w:rPr>
          <w:rFonts w:asciiTheme="minorHAnsi" w:hAnsiTheme="minorHAnsi" w:cstheme="minorHAnsi"/>
        </w:rPr>
        <w:t>WAC 182-526-0525 When an Initial Order Becomes Final</w:t>
      </w:r>
    </w:p>
    <w:p w14:paraId="7255D80D" w14:textId="77777777" w:rsidR="00D8167E" w:rsidRDefault="00D8167E" w:rsidP="00D8167E"/>
    <w:p w14:paraId="624E533F" w14:textId="77777777" w:rsidR="00E67387" w:rsidRDefault="00E67387" w:rsidP="00E67387">
      <w:pPr>
        <w:pStyle w:val="Heading2"/>
      </w:pPr>
      <w:bookmarkStart w:id="16" w:name="_Toc22738048"/>
      <w:r>
        <w:t>Components of the administrative hearing process</w:t>
      </w:r>
      <w:bookmarkEnd w:id="16"/>
    </w:p>
    <w:p w14:paraId="71DC80B5" w14:textId="77777777" w:rsidR="00443690" w:rsidRDefault="00443690" w:rsidP="00A346DC">
      <w:pPr>
        <w:ind w:left="720" w:hanging="360"/>
      </w:pPr>
      <w:r>
        <w:t>1.</w:t>
      </w:r>
      <w:r>
        <w:tab/>
        <w:t xml:space="preserve">A </w:t>
      </w:r>
      <w:r w:rsidRPr="00354E1B">
        <w:rPr>
          <w:b/>
          <w:bCs/>
        </w:rPr>
        <w:t>prehearing meeting</w:t>
      </w:r>
      <w:r>
        <w:t xml:space="preserve"> is an informal discussion with the appellant</w:t>
      </w:r>
      <w:r w:rsidR="00DA2955">
        <w:t>. T</w:t>
      </w:r>
      <w:r>
        <w:t xml:space="preserve">he ALJ is not present. </w:t>
      </w:r>
      <w:r w:rsidR="00DA2955" w:rsidRPr="00354E1B">
        <w:rPr>
          <w:u w:val="single"/>
        </w:rPr>
        <w:t>Prehearing meetings are required</w:t>
      </w:r>
      <w:r w:rsidR="00DA2955">
        <w:t xml:space="preserve">, by policy, for the AHC but the appellant </w:t>
      </w:r>
      <w:r>
        <w:t xml:space="preserve">can refuse to participate in a prehearing meeting. </w:t>
      </w:r>
      <w:r w:rsidR="00DA2955">
        <w:t xml:space="preserve">Although the prehearing </w:t>
      </w:r>
      <w:r>
        <w:t>meeting is voluntary</w:t>
      </w:r>
      <w:r w:rsidR="00DA2955">
        <w:t xml:space="preserve"> for the appellant</w:t>
      </w:r>
      <w:r w:rsidR="00457C95">
        <w:t>, it</w:t>
      </w:r>
      <w:r w:rsidR="00DA2955">
        <w:t xml:space="preserve"> must </w:t>
      </w:r>
      <w:r>
        <w:t>be offered to every appellant as early in the hearing process as possible.  It can be held by phone, in person, or by other correspondence. Prehearing meetings can be used to:</w:t>
      </w:r>
    </w:p>
    <w:p w14:paraId="3342A461" w14:textId="77777777" w:rsidR="00443690" w:rsidRDefault="00443690" w:rsidP="00A346DC">
      <w:pPr>
        <w:ind w:left="1440" w:hanging="360"/>
      </w:pPr>
      <w:r>
        <w:t>a.</w:t>
      </w:r>
      <w:r>
        <w:tab/>
        <w:t>Identify or clarify the issue(s) for the hearing and resolution where possible.</w:t>
      </w:r>
    </w:p>
    <w:p w14:paraId="1EA8E433" w14:textId="77777777" w:rsidR="00443690" w:rsidRDefault="00443690" w:rsidP="00A346DC">
      <w:pPr>
        <w:ind w:left="1440" w:hanging="360"/>
      </w:pPr>
      <w:r>
        <w:t>b.</w:t>
      </w:r>
      <w:r>
        <w:tab/>
        <w:t>Explain the department’s decision to the appellant by reviewing the rules (WAC) the department relied on when making the decision being appealed.</w:t>
      </w:r>
    </w:p>
    <w:p w14:paraId="50472C87" w14:textId="77777777" w:rsidR="00443690" w:rsidRDefault="00443690" w:rsidP="00A346DC">
      <w:pPr>
        <w:ind w:left="1440" w:hanging="360"/>
      </w:pPr>
      <w:r>
        <w:t>c.</w:t>
      </w:r>
      <w:r>
        <w:tab/>
        <w:t xml:space="preserve">Arrange to give or receive documents as proposed exhibits </w:t>
      </w:r>
      <w:proofErr w:type="gramStart"/>
      <w:r>
        <w:t>including:</w:t>
      </w:r>
      <w:proofErr w:type="gramEnd"/>
      <w:r>
        <w:t xml:space="preserve"> additional medical documents from the appellant, documents or other evidence the department relied on when making the decision being appealed, etc. </w:t>
      </w:r>
    </w:p>
    <w:p w14:paraId="55841321" w14:textId="77777777" w:rsidR="00443690" w:rsidRDefault="00443690" w:rsidP="00A346DC">
      <w:pPr>
        <w:ind w:left="1440" w:hanging="360"/>
      </w:pPr>
      <w:r>
        <w:t>d.</w:t>
      </w:r>
      <w:r>
        <w:tab/>
        <w:t>Answer the appellant’s questions about the hearing process and rules that apply.</w:t>
      </w:r>
    </w:p>
    <w:p w14:paraId="46DEBBE5" w14:textId="77777777" w:rsidR="00443690" w:rsidRDefault="00443690" w:rsidP="00A346DC">
      <w:pPr>
        <w:ind w:left="1440" w:hanging="360"/>
      </w:pPr>
      <w:r>
        <w:t>e.</w:t>
      </w:r>
      <w:r>
        <w:tab/>
        <w:t xml:space="preserve">Attempt to resolve the dispute through agreement </w:t>
      </w:r>
      <w:r w:rsidR="00DA2955">
        <w:t>and assist with the</w:t>
      </w:r>
      <w:r>
        <w:t xml:space="preserve"> withdrawal </w:t>
      </w:r>
      <w:r w:rsidR="00DA2955">
        <w:t>of the hearing at the</w:t>
      </w:r>
      <w:r>
        <w:t xml:space="preserve"> appellant’s request. </w:t>
      </w:r>
    </w:p>
    <w:p w14:paraId="69DB1109" w14:textId="77777777" w:rsidR="00443690" w:rsidRDefault="00443690" w:rsidP="00A346DC">
      <w:pPr>
        <w:ind w:left="1440" w:hanging="360"/>
      </w:pPr>
      <w:r>
        <w:t>f.</w:t>
      </w:r>
      <w:r>
        <w:tab/>
        <w:t>Advise the appellant about possible free legal help at: 1-888-201-1014.</w:t>
      </w:r>
    </w:p>
    <w:p w14:paraId="1429861A" w14:textId="77777777" w:rsidR="00443690" w:rsidRDefault="00443690" w:rsidP="00A346DC">
      <w:pPr>
        <w:ind w:left="1440" w:hanging="360"/>
      </w:pPr>
      <w:r>
        <w:t>g.</w:t>
      </w:r>
      <w:r>
        <w:tab/>
        <w:t xml:space="preserve">Discuss a request for a continuance, if necessary.  If both parties </w:t>
      </w:r>
      <w:proofErr w:type="gramStart"/>
      <w:r>
        <w:t>are in agreement</w:t>
      </w:r>
      <w:proofErr w:type="gramEnd"/>
      <w:r>
        <w:t>, call OAH together to request additional time to get more information, clarify issues, correct misunderstandings, make agreements, etc.</w:t>
      </w:r>
    </w:p>
    <w:p w14:paraId="180A4247" w14:textId="77777777" w:rsidR="002E6B2B" w:rsidRDefault="002E6B2B" w:rsidP="00A346DC">
      <w:pPr>
        <w:ind w:left="1440" w:hanging="360"/>
      </w:pPr>
    </w:p>
    <w:p w14:paraId="5C9D656C" w14:textId="77777777" w:rsidR="00443690" w:rsidRDefault="00443690" w:rsidP="00A346DC">
      <w:pPr>
        <w:ind w:left="720" w:hanging="360"/>
      </w:pPr>
      <w:r>
        <w:t>2.</w:t>
      </w:r>
      <w:r>
        <w:tab/>
        <w:t xml:space="preserve">A formal </w:t>
      </w:r>
      <w:r w:rsidRPr="00354E1B">
        <w:rPr>
          <w:b/>
          <w:bCs/>
        </w:rPr>
        <w:t>prehearing conference</w:t>
      </w:r>
      <w:r>
        <w:t xml:space="preserve"> with OAH may be requested if needed</w:t>
      </w:r>
      <w:r w:rsidR="00DA2955">
        <w:t xml:space="preserve"> </w:t>
      </w:r>
      <w:r w:rsidR="005745E7">
        <w:t>and is not already scheduled.  A prehearing conference</w:t>
      </w:r>
      <w:r w:rsidR="00DA2955">
        <w:t xml:space="preserve"> is</w:t>
      </w:r>
      <w:r w:rsidR="002A48D7">
        <w:t xml:space="preserve"> generally</w:t>
      </w:r>
      <w:r w:rsidR="00DA2955">
        <w:t xml:space="preserve"> required for overpayment hearings</w:t>
      </w:r>
      <w:r>
        <w:t>. If a prehearing conference is</w:t>
      </w:r>
      <w:r w:rsidR="00DA2955">
        <w:t xml:space="preserve"> requested and</w:t>
      </w:r>
      <w:r>
        <w:t xml:space="preserve"> granted (the ALJ must grant a request if it is filed with OAH at least 7 business days before a scheduled hearing date), all parties must attend.  The </w:t>
      </w:r>
      <w:r>
        <w:lastRenderedPageBreak/>
        <w:t xml:space="preserve">conference is scheduled by OAH and usually takes place by phone. The prehearing conference can be used to: </w:t>
      </w:r>
    </w:p>
    <w:p w14:paraId="1D48D2F4" w14:textId="77777777" w:rsidR="00443690" w:rsidRDefault="00443690" w:rsidP="00A346DC">
      <w:pPr>
        <w:ind w:left="1440" w:hanging="360"/>
      </w:pPr>
      <w:r>
        <w:t>a.</w:t>
      </w:r>
      <w:r>
        <w:tab/>
        <w:t xml:space="preserve">Simplify the issues. The department should be prepared to discuss the hearing issues. </w:t>
      </w:r>
    </w:p>
    <w:p w14:paraId="0DD191A4" w14:textId="77777777" w:rsidR="00443690" w:rsidRDefault="00443690" w:rsidP="00A346DC">
      <w:pPr>
        <w:ind w:left="1440" w:hanging="360"/>
      </w:pPr>
      <w:r>
        <w:t>b.</w:t>
      </w:r>
      <w:r>
        <w:tab/>
        <w:t>Set the date, time, and place of the hearing.</w:t>
      </w:r>
    </w:p>
    <w:p w14:paraId="3BCD007E" w14:textId="77777777" w:rsidR="00443690" w:rsidRDefault="00443690" w:rsidP="00A346DC">
      <w:pPr>
        <w:ind w:left="1440" w:hanging="360"/>
      </w:pPr>
      <w:r>
        <w:t>c.</w:t>
      </w:r>
      <w:r>
        <w:tab/>
        <w:t>Identify accommodation/safety issues.</w:t>
      </w:r>
    </w:p>
    <w:p w14:paraId="4298B94A" w14:textId="77777777" w:rsidR="00443690" w:rsidRDefault="00443690" w:rsidP="00A346DC">
      <w:pPr>
        <w:ind w:left="1440" w:hanging="360"/>
      </w:pPr>
      <w:r>
        <w:t>d.</w:t>
      </w:r>
      <w:r>
        <w:tab/>
        <w:t>Set a deadline to exchange witness lists and exhibits</w:t>
      </w:r>
      <w:r w:rsidR="00A62F6E">
        <w:t xml:space="preserve"> (which must not be less than five days before the hearing)</w:t>
      </w:r>
      <w:r>
        <w:t xml:space="preserve">. Be prepared to know how many witnesses you expect to call and days you expect to need for the hearing. </w:t>
      </w:r>
    </w:p>
    <w:p w14:paraId="78092BB7" w14:textId="77777777" w:rsidR="00443690" w:rsidRDefault="00443690" w:rsidP="00A346DC">
      <w:pPr>
        <w:ind w:left="1440" w:hanging="360"/>
      </w:pPr>
      <w:r>
        <w:t>e.</w:t>
      </w:r>
      <w:r>
        <w:tab/>
        <w:t>Set deadlines for motions (“briefing” and “argument” deadlines).</w:t>
      </w:r>
    </w:p>
    <w:p w14:paraId="12DEF189" w14:textId="77777777" w:rsidR="00443690" w:rsidRDefault="00443690" w:rsidP="00A346DC">
      <w:pPr>
        <w:ind w:left="1440" w:hanging="360"/>
      </w:pPr>
      <w:r>
        <w:t>f.</w:t>
      </w:r>
      <w:r>
        <w:tab/>
        <w:t>Schedule additional prehearing conferences.</w:t>
      </w:r>
    </w:p>
    <w:p w14:paraId="0DE4D789" w14:textId="77777777" w:rsidR="00443690" w:rsidRDefault="00443690" w:rsidP="00A346DC">
      <w:pPr>
        <w:ind w:left="1440" w:hanging="360"/>
      </w:pPr>
      <w:r>
        <w:t>g.</w:t>
      </w:r>
      <w:r>
        <w:tab/>
        <w:t>Discuss procedural matters.</w:t>
      </w:r>
    </w:p>
    <w:p w14:paraId="1F2D502E" w14:textId="77777777" w:rsidR="00443690" w:rsidRDefault="00443690" w:rsidP="00A346DC">
      <w:pPr>
        <w:ind w:left="1440" w:hanging="360"/>
      </w:pPr>
      <w:r>
        <w:t>h.</w:t>
      </w:r>
      <w:r>
        <w:tab/>
        <w:t xml:space="preserve">Distribute written testimony and exhibits to the parties before the hearing. </w:t>
      </w:r>
    </w:p>
    <w:p w14:paraId="2869AB09" w14:textId="77777777" w:rsidR="00443690" w:rsidRDefault="00443690" w:rsidP="00A346DC">
      <w:pPr>
        <w:ind w:left="1440" w:hanging="360"/>
      </w:pPr>
      <w:proofErr w:type="spellStart"/>
      <w:r>
        <w:t>i</w:t>
      </w:r>
      <w:proofErr w:type="spellEnd"/>
      <w:r>
        <w:t>.</w:t>
      </w:r>
      <w:r>
        <w:tab/>
        <w:t xml:space="preserve">Discuss other matters that may aid in the disposition or settlement of the proceeding. </w:t>
      </w:r>
    </w:p>
    <w:p w14:paraId="78D34631" w14:textId="77777777" w:rsidR="00443690" w:rsidRDefault="00443690" w:rsidP="00A346DC">
      <w:pPr>
        <w:ind w:left="1440" w:hanging="360"/>
      </w:pPr>
      <w:r>
        <w:t>j.</w:t>
      </w:r>
      <w:r>
        <w:tab/>
        <w:t>Request a continuance if necessary.</w:t>
      </w:r>
    </w:p>
    <w:p w14:paraId="5C38C268" w14:textId="77777777" w:rsidR="00443690" w:rsidRDefault="00443690" w:rsidP="00A346DC">
      <w:pPr>
        <w:ind w:left="1440" w:hanging="360"/>
      </w:pPr>
      <w:r>
        <w:t>k.</w:t>
      </w:r>
      <w:r>
        <w:tab/>
        <w:t xml:space="preserve">Ask for a motion briefing schedule if wanting to file a motion.  </w:t>
      </w:r>
    </w:p>
    <w:p w14:paraId="0886EC52" w14:textId="77777777" w:rsidR="00443690" w:rsidRDefault="00443690" w:rsidP="00A346DC">
      <w:pPr>
        <w:ind w:left="720" w:hanging="360"/>
      </w:pPr>
    </w:p>
    <w:p w14:paraId="3B24C5C7" w14:textId="77777777" w:rsidR="00443690" w:rsidRDefault="00443690" w:rsidP="002E6B2B">
      <w:pPr>
        <w:ind w:left="720" w:hanging="360"/>
      </w:pPr>
      <w:r>
        <w:t>3.</w:t>
      </w:r>
      <w:r>
        <w:tab/>
        <w:t xml:space="preserve">A </w:t>
      </w:r>
      <w:r w:rsidRPr="00354E1B">
        <w:rPr>
          <w:b/>
          <w:bCs/>
        </w:rPr>
        <w:t>hearing</w:t>
      </w:r>
      <w:r>
        <w:t xml:space="preserve"> is where the AHC, appellant, and witnesses come together with the ALJ, frequently by </w:t>
      </w:r>
      <w:r w:rsidR="00A346DC">
        <w:t>phone</w:t>
      </w:r>
      <w:r w:rsidR="0015326C">
        <w:rPr>
          <w:rStyle w:val="FootnoteReference"/>
        </w:rPr>
        <w:footnoteReference w:id="19"/>
      </w:r>
      <w:r w:rsidR="00A346DC">
        <w:t>,</w:t>
      </w:r>
      <w:r>
        <w:t xml:space="preserve"> to present the issues being appealed. The AHC may: </w:t>
      </w:r>
    </w:p>
    <w:p w14:paraId="0CC441C8" w14:textId="77777777" w:rsidR="00443690" w:rsidRDefault="00443690" w:rsidP="00A346DC">
      <w:pPr>
        <w:ind w:left="1440" w:hanging="360"/>
      </w:pPr>
      <w:r>
        <w:t>a.</w:t>
      </w:r>
      <w:r>
        <w:tab/>
        <w:t xml:space="preserve">Present an opening statement that states the issue and briefly summarized the evidence that will be presented at the hearing. </w:t>
      </w:r>
    </w:p>
    <w:p w14:paraId="601C4B01" w14:textId="77777777" w:rsidR="00443690" w:rsidRDefault="00443690" w:rsidP="00A346DC">
      <w:pPr>
        <w:ind w:left="1440" w:hanging="360"/>
      </w:pPr>
      <w:r>
        <w:t>b.</w:t>
      </w:r>
      <w:r>
        <w:tab/>
        <w:t xml:space="preserve">Offer evidence to support the department’s decision such as exhibits and witness testimony and may question the witnesses presented by the other parties. </w:t>
      </w:r>
    </w:p>
    <w:p w14:paraId="38764BCB" w14:textId="77777777" w:rsidR="00443690" w:rsidRDefault="00D8167E" w:rsidP="00A346DC">
      <w:pPr>
        <w:ind w:left="1440" w:hanging="360"/>
      </w:pPr>
      <w:r>
        <w:rPr>
          <w:b/>
          <w:noProof/>
        </w:rPr>
        <mc:AlternateContent>
          <mc:Choice Requires="wps">
            <w:drawing>
              <wp:anchor distT="0" distB="0" distL="114300" distR="114300" simplePos="0" relativeHeight="251683840" behindDoc="0" locked="0" layoutInCell="1" allowOverlap="1" wp14:anchorId="7B77E232" wp14:editId="412D8A48">
                <wp:simplePos x="0" y="0"/>
                <wp:positionH relativeFrom="column">
                  <wp:posOffset>2647315</wp:posOffset>
                </wp:positionH>
                <wp:positionV relativeFrom="paragraph">
                  <wp:posOffset>170815</wp:posOffset>
                </wp:positionV>
                <wp:extent cx="3422015" cy="1323340"/>
                <wp:effectExtent l="0" t="0" r="6985" b="0"/>
                <wp:wrapSquare wrapText="bothSides"/>
                <wp:docPr id="26" name="Text Box 26"/>
                <wp:cNvGraphicFramePr/>
                <a:graphic xmlns:a="http://schemas.openxmlformats.org/drawingml/2006/main">
                  <a:graphicData uri="http://schemas.microsoft.com/office/word/2010/wordprocessingShape">
                    <wps:wsp>
                      <wps:cNvSpPr txBox="1"/>
                      <wps:spPr>
                        <a:xfrm>
                          <a:off x="0" y="0"/>
                          <a:ext cx="3422015" cy="1323340"/>
                        </a:xfrm>
                        <a:prstGeom prst="rect">
                          <a:avLst/>
                        </a:prstGeom>
                        <a:solidFill>
                          <a:schemeClr val="accent4">
                            <a:lumMod val="40000"/>
                            <a:lumOff val="60000"/>
                          </a:schemeClr>
                        </a:solidFill>
                        <a:ln w="6350">
                          <a:noFill/>
                        </a:ln>
                      </wps:spPr>
                      <wps:txbx>
                        <w:txbxContent>
                          <w:p w14:paraId="50D520C1" w14:textId="77777777" w:rsidR="00060C89" w:rsidRPr="002869D4" w:rsidRDefault="00060C89" w:rsidP="00267AC8">
                            <w:pPr>
                              <w:contextualSpacing/>
                              <w:rPr>
                                <w:rFonts w:hAnsi="Franklin Gothic Book"/>
                                <w:kern w:val="24"/>
                                <w:szCs w:val="40"/>
                              </w:rPr>
                            </w:pPr>
                            <w:r w:rsidRPr="002869D4">
                              <w:rPr>
                                <w:rFonts w:hAnsi="Franklin Gothic Book"/>
                                <w:kern w:val="24"/>
                                <w:szCs w:val="40"/>
                              </w:rPr>
                              <w:t xml:space="preserve">Most Social Services and Financial hearings fall under the HCA hearing rules: 182-526 </w:t>
                            </w:r>
                          </w:p>
                          <w:p w14:paraId="1B566DAC" w14:textId="77777777" w:rsidR="00060C89" w:rsidRPr="002869D4" w:rsidRDefault="00060C89" w:rsidP="00267AC8">
                            <w:pPr>
                              <w:contextualSpacing/>
                            </w:pPr>
                            <w:r w:rsidRPr="002869D4">
                              <w:rPr>
                                <w:rFonts w:hAnsi="Franklin Gothic Book"/>
                                <w:kern w:val="24"/>
                                <w:szCs w:val="40"/>
                              </w:rPr>
                              <w:t xml:space="preserve">HCA Hearings (WAC 182-526) include: </w:t>
                            </w:r>
                          </w:p>
                          <w:p w14:paraId="5DBA25FE" w14:textId="77777777" w:rsidR="00060C89" w:rsidRPr="002869D4" w:rsidRDefault="00060C89" w:rsidP="00C01F5C">
                            <w:pPr>
                              <w:numPr>
                                <w:ilvl w:val="0"/>
                                <w:numId w:val="29"/>
                              </w:numPr>
                              <w:contextualSpacing/>
                              <w:rPr>
                                <w:sz w:val="20"/>
                              </w:rPr>
                            </w:pPr>
                            <w:r w:rsidRPr="002869D4">
                              <w:rPr>
                                <w:rFonts w:hAnsi="Franklin Gothic Book"/>
                                <w:kern w:val="24"/>
                                <w:szCs w:val="38"/>
                              </w:rPr>
                              <w:t>Social Services Hearings- Services.</w:t>
                            </w:r>
                          </w:p>
                          <w:p w14:paraId="49505831" w14:textId="77777777" w:rsidR="00060C89" w:rsidRPr="002869D4" w:rsidRDefault="00060C89" w:rsidP="00C01F5C">
                            <w:pPr>
                              <w:numPr>
                                <w:ilvl w:val="0"/>
                                <w:numId w:val="29"/>
                              </w:numPr>
                              <w:contextualSpacing/>
                              <w:rPr>
                                <w:sz w:val="20"/>
                              </w:rPr>
                            </w:pPr>
                            <w:r w:rsidRPr="002869D4">
                              <w:rPr>
                                <w:rFonts w:hAnsi="Franklin Gothic Book"/>
                                <w:kern w:val="24"/>
                                <w:szCs w:val="38"/>
                              </w:rPr>
                              <w:t>Financial Hearings</w:t>
                            </w:r>
                          </w:p>
                          <w:p w14:paraId="2A541E41" w14:textId="77777777" w:rsidR="00060C89" w:rsidRPr="002869D4" w:rsidRDefault="00060C89" w:rsidP="00267AC8">
                            <w:pPr>
                              <w:contextualSpacing/>
                            </w:pPr>
                            <w:r w:rsidRPr="002869D4">
                              <w:rPr>
                                <w:rFonts w:hAnsi="Franklin Gothic Book"/>
                                <w:kern w:val="24"/>
                                <w:szCs w:val="40"/>
                              </w:rPr>
                              <w:t xml:space="preserve">DSHS Hearings (WAC 388-02) include: </w:t>
                            </w:r>
                          </w:p>
                          <w:p w14:paraId="78195DE8" w14:textId="77777777" w:rsidR="00060C89" w:rsidRPr="002869D4" w:rsidRDefault="00060C89" w:rsidP="00C01F5C">
                            <w:pPr>
                              <w:numPr>
                                <w:ilvl w:val="0"/>
                                <w:numId w:val="28"/>
                              </w:numPr>
                              <w:contextualSpacing/>
                              <w:rPr>
                                <w:sz w:val="20"/>
                              </w:rPr>
                            </w:pPr>
                            <w:r w:rsidRPr="002869D4">
                              <w:rPr>
                                <w:rFonts w:hAnsi="Franklin Gothic Book"/>
                                <w:kern w:val="24"/>
                                <w:szCs w:val="38"/>
                              </w:rPr>
                              <w:t>Food Stamps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77E232" id="Text Box 26" o:spid="_x0000_s1029" type="#_x0000_t202" style="position:absolute;left:0;text-align:left;margin-left:208.45pt;margin-top:13.45pt;width:269.45pt;height:104.2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" fillcolor="#ffe599 [1303]" stroked="f" strokeweight=".5pt">
                <v:textbox>
                  <w:txbxContent>
                    <w:p w14:paraId="50D520C1" w14:textId="77777777" w:rsidR="00060C89" w:rsidRPr="002869D4" w:rsidRDefault="00060C89" w:rsidP="00267AC8">
                      <w:pPr>
                        <w:contextualSpacing/>
                        <w:rPr>
                          <w:rFonts w:hAnsi="Franklin Gothic Book"/>
                          <w:kern w:val="24"/>
                          <w:szCs w:val="40"/>
                        </w:rPr>
                      </w:pPr>
                      <w:r w:rsidRPr="002869D4">
                        <w:rPr>
                          <w:rFonts w:hAnsi="Franklin Gothic Book"/>
                          <w:kern w:val="24"/>
                          <w:szCs w:val="40"/>
                        </w:rPr>
                        <w:t xml:space="preserve">Most Social Services and Financial hearings fall under the HCA hearing rules: 182-526 </w:t>
                      </w:r>
                    </w:p>
                    <w:p w14:paraId="1B566DAC" w14:textId="77777777" w:rsidR="00060C89" w:rsidRPr="002869D4" w:rsidRDefault="00060C89" w:rsidP="00267AC8">
                      <w:pPr>
                        <w:contextualSpacing/>
                      </w:pPr>
                      <w:r w:rsidRPr="002869D4">
                        <w:rPr>
                          <w:rFonts w:hAnsi="Franklin Gothic Book"/>
                          <w:kern w:val="24"/>
                          <w:szCs w:val="40"/>
                        </w:rPr>
                        <w:t xml:space="preserve">HCA Hearings (WAC 182-526) include: </w:t>
                      </w:r>
                    </w:p>
                    <w:p w14:paraId="5DBA25FE" w14:textId="77777777" w:rsidR="00060C89" w:rsidRPr="002869D4" w:rsidRDefault="00060C89" w:rsidP="00C01F5C">
                      <w:pPr>
                        <w:numPr>
                          <w:ilvl w:val="0"/>
                          <w:numId w:val="29"/>
                        </w:numPr>
                        <w:contextualSpacing/>
                        <w:rPr>
                          <w:sz w:val="20"/>
                        </w:rPr>
                      </w:pPr>
                      <w:r w:rsidRPr="002869D4">
                        <w:rPr>
                          <w:rFonts w:hAnsi="Franklin Gothic Book"/>
                          <w:kern w:val="24"/>
                          <w:szCs w:val="38"/>
                        </w:rPr>
                        <w:t>Social Services Hearings- Services.</w:t>
                      </w:r>
                    </w:p>
                    <w:p w14:paraId="49505831" w14:textId="77777777" w:rsidR="00060C89" w:rsidRPr="002869D4" w:rsidRDefault="00060C89" w:rsidP="00C01F5C">
                      <w:pPr>
                        <w:numPr>
                          <w:ilvl w:val="0"/>
                          <w:numId w:val="29"/>
                        </w:numPr>
                        <w:contextualSpacing/>
                        <w:rPr>
                          <w:sz w:val="20"/>
                        </w:rPr>
                      </w:pPr>
                      <w:r w:rsidRPr="002869D4">
                        <w:rPr>
                          <w:rFonts w:hAnsi="Franklin Gothic Book"/>
                          <w:kern w:val="24"/>
                          <w:szCs w:val="38"/>
                        </w:rPr>
                        <w:t>Financial Hearings</w:t>
                      </w:r>
                    </w:p>
                    <w:p w14:paraId="2A541E41" w14:textId="77777777" w:rsidR="00060C89" w:rsidRPr="002869D4" w:rsidRDefault="00060C89" w:rsidP="00267AC8">
                      <w:pPr>
                        <w:contextualSpacing/>
                      </w:pPr>
                      <w:r w:rsidRPr="002869D4">
                        <w:rPr>
                          <w:rFonts w:hAnsi="Franklin Gothic Book"/>
                          <w:kern w:val="24"/>
                          <w:szCs w:val="40"/>
                        </w:rPr>
                        <w:t xml:space="preserve">DSHS Hearings (WAC 388-02) include: </w:t>
                      </w:r>
                    </w:p>
                    <w:p w14:paraId="78195DE8" w14:textId="77777777" w:rsidR="00060C89" w:rsidRPr="002869D4" w:rsidRDefault="00060C89" w:rsidP="00C01F5C">
                      <w:pPr>
                        <w:numPr>
                          <w:ilvl w:val="0"/>
                          <w:numId w:val="28"/>
                        </w:numPr>
                        <w:contextualSpacing/>
                        <w:rPr>
                          <w:sz w:val="20"/>
                        </w:rPr>
                      </w:pPr>
                      <w:r w:rsidRPr="002869D4">
                        <w:rPr>
                          <w:rFonts w:hAnsi="Franklin Gothic Book"/>
                          <w:kern w:val="24"/>
                          <w:szCs w:val="38"/>
                        </w:rPr>
                        <w:t>Food Stamps</w:t>
                      </w:r>
                    </w:p>
                  </w:txbxContent>
                </v:textbox>
                <w10:wrap type="square"/>
              </v:shape>
            </w:pict>
          </mc:Fallback>
        </mc:AlternateContent>
      </w:r>
      <w:r w:rsidR="00443690">
        <w:t>c.</w:t>
      </w:r>
      <w:r w:rsidR="00443690">
        <w:tab/>
        <w:t>Give closing arguments where the facts presented at the hearing are applied to law. The ALJ or the appellant may also ask questions and the appellant may offer exhibits to support his or her position.</w:t>
      </w:r>
    </w:p>
    <w:p w14:paraId="2D4669D6" w14:textId="77777777" w:rsidR="00406716" w:rsidRDefault="00406716" w:rsidP="00A346DC">
      <w:pPr>
        <w:ind w:left="1440" w:hanging="360"/>
      </w:pPr>
    </w:p>
    <w:p w14:paraId="01570E56" w14:textId="77777777" w:rsidR="00406716" w:rsidRPr="002869D4" w:rsidRDefault="00406716" w:rsidP="00406716">
      <w:pPr>
        <w:ind w:left="360" w:hanging="360"/>
        <w:rPr>
          <w:rFonts w:asciiTheme="minorHAnsi" w:hAnsiTheme="minorHAnsi" w:cstheme="minorHAnsi"/>
          <w:b/>
        </w:rPr>
      </w:pPr>
      <w:r w:rsidRPr="002869D4">
        <w:rPr>
          <w:rFonts w:asciiTheme="minorHAnsi" w:hAnsiTheme="minorHAnsi" w:cstheme="minorHAnsi"/>
          <w:b/>
        </w:rPr>
        <w:t>Resources</w:t>
      </w:r>
    </w:p>
    <w:p w14:paraId="03CDB9AF" w14:textId="77777777" w:rsidR="00406716" w:rsidRPr="002869D4" w:rsidRDefault="00406716" w:rsidP="00406716">
      <w:pPr>
        <w:autoSpaceDE w:val="0"/>
        <w:autoSpaceDN w:val="0"/>
        <w:rPr>
          <w:rFonts w:asciiTheme="minorHAnsi" w:hAnsiTheme="minorHAnsi" w:cstheme="minorHAnsi"/>
        </w:rPr>
      </w:pPr>
      <w:r w:rsidRPr="002869D4">
        <w:rPr>
          <w:rFonts w:asciiTheme="minorHAnsi" w:hAnsiTheme="minorHAnsi" w:cstheme="minorHAnsi"/>
        </w:rPr>
        <w:t xml:space="preserve">WAC 182-526-0175 Prehearing Meetings </w:t>
      </w:r>
    </w:p>
    <w:p w14:paraId="06592A26" w14:textId="77777777" w:rsidR="00C64D15" w:rsidRPr="002869D4" w:rsidRDefault="00406716" w:rsidP="00406716">
      <w:pPr>
        <w:autoSpaceDE w:val="0"/>
        <w:autoSpaceDN w:val="0"/>
        <w:rPr>
          <w:rFonts w:asciiTheme="minorHAnsi" w:hAnsiTheme="minorHAnsi" w:cstheme="minorHAnsi"/>
        </w:rPr>
      </w:pPr>
      <w:r w:rsidRPr="002869D4">
        <w:rPr>
          <w:rFonts w:asciiTheme="minorHAnsi" w:hAnsiTheme="minorHAnsi" w:cstheme="minorHAnsi"/>
        </w:rPr>
        <w:t>WAC182-526-0195 Prehearing Conference</w:t>
      </w:r>
    </w:p>
    <w:p w14:paraId="25B29BED" w14:textId="77777777" w:rsidR="00406716" w:rsidRDefault="00406716" w:rsidP="007676F4"/>
    <w:p w14:paraId="50149C6E" w14:textId="77777777" w:rsidR="00D8167E" w:rsidRDefault="00D8167E" w:rsidP="007676F4"/>
    <w:p w14:paraId="41C1FB5B" w14:textId="77777777" w:rsidR="00406716" w:rsidRDefault="00D8167E" w:rsidP="00406716">
      <w:pPr>
        <w:pStyle w:val="Heading2"/>
      </w:pPr>
      <w:bookmarkStart w:id="17" w:name="_Toc22738049"/>
      <w:r>
        <w:t>R</w:t>
      </w:r>
      <w:r w:rsidR="00406716">
        <w:t>esources</w:t>
      </w:r>
      <w:bookmarkEnd w:id="17"/>
    </w:p>
    <w:p w14:paraId="49D4B244" w14:textId="77777777" w:rsidR="002869D4" w:rsidRDefault="002869D4" w:rsidP="002869D4">
      <w:pPr>
        <w:pStyle w:val="Heading3"/>
        <w:rPr>
          <w:rFonts w:cs="Arial"/>
          <w:bCs/>
        </w:rPr>
      </w:pPr>
      <w:bookmarkStart w:id="18" w:name="_Toc22738050"/>
      <w:r>
        <w:t>WACs and RCWs</w:t>
      </w:r>
      <w:bookmarkEnd w:id="18"/>
    </w:p>
    <w:p w14:paraId="7FC7BD3B" w14:textId="77777777" w:rsidR="00406716" w:rsidRPr="00406716" w:rsidRDefault="00406716" w:rsidP="00406716">
      <w:pPr>
        <w:tabs>
          <w:tab w:val="left" w:pos="450"/>
        </w:tabs>
        <w:rPr>
          <w:rFonts w:asciiTheme="minorHAnsi" w:hAnsiTheme="minorHAnsi" w:cs="Arial"/>
          <w:bCs/>
        </w:rPr>
      </w:pPr>
      <w:r w:rsidRPr="00406716">
        <w:rPr>
          <w:rFonts w:asciiTheme="minorHAnsi" w:hAnsiTheme="minorHAnsi" w:cs="Arial"/>
          <w:bCs/>
        </w:rPr>
        <w:t>WAC 182-526 Administrative Hearing Rules for Medical Services Programs (HCA)</w:t>
      </w:r>
    </w:p>
    <w:p w14:paraId="2CB37B2B" w14:textId="77777777" w:rsidR="00406716" w:rsidRPr="00406716" w:rsidRDefault="00406716" w:rsidP="00406716">
      <w:pPr>
        <w:tabs>
          <w:tab w:val="left" w:pos="450"/>
        </w:tabs>
        <w:rPr>
          <w:rFonts w:asciiTheme="minorHAnsi" w:hAnsiTheme="minorHAnsi" w:cs="Arial"/>
          <w:bCs/>
        </w:rPr>
      </w:pPr>
      <w:r w:rsidRPr="00406716">
        <w:rPr>
          <w:rFonts w:asciiTheme="minorHAnsi" w:hAnsiTheme="minorHAnsi" w:cs="Arial"/>
          <w:bCs/>
        </w:rPr>
        <w:t>RCW 34.05.410-34.05.494 General requirements for Administrative Hearings</w:t>
      </w:r>
    </w:p>
    <w:p w14:paraId="7C88E879" w14:textId="77777777" w:rsidR="00406716" w:rsidRPr="00406716" w:rsidRDefault="00406716" w:rsidP="00406716">
      <w:pPr>
        <w:tabs>
          <w:tab w:val="left" w:pos="450"/>
        </w:tabs>
        <w:rPr>
          <w:rFonts w:asciiTheme="minorHAnsi" w:hAnsiTheme="minorHAnsi" w:cs="Arial"/>
          <w:bCs/>
        </w:rPr>
      </w:pPr>
      <w:r w:rsidRPr="00406716">
        <w:rPr>
          <w:rFonts w:asciiTheme="minorHAnsi" w:hAnsiTheme="minorHAnsi" w:cs="Arial"/>
          <w:bCs/>
        </w:rPr>
        <w:t>RCW 74.09.741 Right to an Administrative Hearing (HCA)</w:t>
      </w:r>
    </w:p>
    <w:p w14:paraId="2B4B7194" w14:textId="77777777" w:rsidR="00406716" w:rsidRPr="00406716" w:rsidRDefault="00406716" w:rsidP="00406716">
      <w:pPr>
        <w:tabs>
          <w:tab w:val="left" w:pos="450"/>
        </w:tabs>
        <w:rPr>
          <w:rFonts w:asciiTheme="minorHAnsi" w:hAnsiTheme="minorHAnsi" w:cs="Arial"/>
          <w:bCs/>
        </w:rPr>
      </w:pPr>
      <w:r w:rsidRPr="00406716">
        <w:rPr>
          <w:rFonts w:asciiTheme="minorHAnsi" w:hAnsiTheme="minorHAnsi" w:cs="Arial"/>
          <w:bCs/>
        </w:rPr>
        <w:t>RCW 74.02.080 Right to an Administrative Hearing (DSHS)</w:t>
      </w:r>
    </w:p>
    <w:p w14:paraId="08510BEB" w14:textId="77777777" w:rsidR="00406716" w:rsidRPr="00406716" w:rsidRDefault="00406716" w:rsidP="00406716">
      <w:pPr>
        <w:tabs>
          <w:tab w:val="left" w:pos="450"/>
        </w:tabs>
        <w:rPr>
          <w:rFonts w:asciiTheme="minorHAnsi" w:hAnsiTheme="minorHAnsi" w:cs="Arial"/>
        </w:rPr>
      </w:pPr>
      <w:r w:rsidRPr="00406716">
        <w:rPr>
          <w:rFonts w:asciiTheme="minorHAnsi" w:hAnsiTheme="minorHAnsi" w:cs="Arial"/>
        </w:rPr>
        <w:lastRenderedPageBreak/>
        <w:t>WAC 388-106 Long-Term Care Services</w:t>
      </w:r>
    </w:p>
    <w:p w14:paraId="2842DEFC" w14:textId="77777777" w:rsidR="00406716" w:rsidRPr="00406716" w:rsidRDefault="00406716" w:rsidP="00406716">
      <w:pPr>
        <w:tabs>
          <w:tab w:val="left" w:pos="450"/>
        </w:tabs>
        <w:rPr>
          <w:rFonts w:asciiTheme="minorHAnsi" w:hAnsiTheme="minorHAnsi" w:cs="Arial"/>
        </w:rPr>
      </w:pPr>
      <w:r w:rsidRPr="00406716">
        <w:rPr>
          <w:rFonts w:asciiTheme="minorHAnsi" w:hAnsiTheme="minorHAnsi" w:cs="Arial"/>
        </w:rPr>
        <w:t>WAC 388-71 Home and Community Services and Programs</w:t>
      </w:r>
    </w:p>
    <w:p w14:paraId="28712E42" w14:textId="77777777" w:rsidR="000D0B1D" w:rsidRDefault="000D0B1D" w:rsidP="00406716">
      <w:pPr>
        <w:rPr>
          <w:rFonts w:asciiTheme="minorHAnsi" w:hAnsiTheme="minorHAnsi" w:cs="Arial"/>
        </w:rPr>
      </w:pPr>
    </w:p>
    <w:p w14:paraId="1908631C" w14:textId="77777777" w:rsidR="007676F4" w:rsidRPr="00406716" w:rsidRDefault="007676F4" w:rsidP="00406716">
      <w:pPr>
        <w:rPr>
          <w:rFonts w:asciiTheme="minorHAnsi" w:hAnsiTheme="minorHAnsi"/>
        </w:rPr>
      </w:pPr>
      <w:r w:rsidRPr="00406716">
        <w:rPr>
          <w:rFonts w:asciiTheme="minorHAnsi" w:hAnsiTheme="minorHAnsi"/>
        </w:rPr>
        <w:tab/>
      </w:r>
      <w:r w:rsidRPr="00406716">
        <w:rPr>
          <w:rFonts w:asciiTheme="minorHAnsi" w:hAnsiTheme="minorHAnsi"/>
        </w:rPr>
        <w:tab/>
      </w:r>
    </w:p>
    <w:p w14:paraId="71CEE76F" w14:textId="77777777" w:rsidR="007676F4" w:rsidRDefault="007676F4" w:rsidP="007676F4">
      <w:pPr>
        <w:pStyle w:val="Heading3"/>
      </w:pPr>
      <w:bookmarkStart w:id="19" w:name="_Toc525727016"/>
      <w:bookmarkStart w:id="20" w:name="_Toc525727116"/>
      <w:bookmarkStart w:id="21" w:name="_Toc528758283"/>
      <w:bookmarkStart w:id="22" w:name="_Toc528759431"/>
      <w:bookmarkStart w:id="23" w:name="_Toc528760026"/>
      <w:bookmarkStart w:id="24" w:name="_Toc22738051"/>
      <w:r>
        <w:t>Glossary</w:t>
      </w:r>
      <w:bookmarkEnd w:id="19"/>
      <w:bookmarkEnd w:id="20"/>
      <w:bookmarkEnd w:id="21"/>
      <w:bookmarkEnd w:id="22"/>
      <w:bookmarkEnd w:id="23"/>
      <w:bookmarkEnd w:id="24"/>
      <w:r>
        <w:t xml:space="preserve"> </w:t>
      </w:r>
    </w:p>
    <w:tbl>
      <w:tblPr>
        <w:tblStyle w:val="TableGrid"/>
        <w:tblW w:w="0" w:type="auto"/>
        <w:tblLook w:val="04A0" w:firstRow="1" w:lastRow="0" w:firstColumn="1" w:lastColumn="0" w:noHBand="0" w:noVBand="1"/>
      </w:tblPr>
      <w:tblGrid>
        <w:gridCol w:w="2155"/>
        <w:gridCol w:w="7195"/>
      </w:tblGrid>
      <w:tr w:rsidR="007676F4" w14:paraId="2B5E17C9" w14:textId="77777777" w:rsidTr="008967B9">
        <w:tc>
          <w:tcPr>
            <w:tcW w:w="2155" w:type="dxa"/>
          </w:tcPr>
          <w:p w14:paraId="29918B5B" w14:textId="77777777" w:rsidR="007676F4" w:rsidRPr="00A9357F" w:rsidRDefault="007676F4" w:rsidP="008967B9">
            <w:pPr>
              <w:rPr>
                <w:b/>
                <w:caps/>
              </w:rPr>
            </w:pPr>
            <w:r w:rsidRPr="00A9357F">
              <w:rPr>
                <w:b/>
                <w:caps/>
              </w:rPr>
              <w:t>Word</w:t>
            </w:r>
          </w:p>
        </w:tc>
        <w:tc>
          <w:tcPr>
            <w:tcW w:w="7195" w:type="dxa"/>
          </w:tcPr>
          <w:p w14:paraId="4F9BE99D" w14:textId="77777777" w:rsidR="007676F4" w:rsidRPr="00A9357F" w:rsidRDefault="007676F4" w:rsidP="008967B9">
            <w:pPr>
              <w:rPr>
                <w:b/>
                <w:caps/>
              </w:rPr>
            </w:pPr>
            <w:r w:rsidRPr="00A9357F">
              <w:rPr>
                <w:b/>
                <w:caps/>
              </w:rPr>
              <w:t>Definition</w:t>
            </w:r>
          </w:p>
        </w:tc>
      </w:tr>
      <w:tr w:rsidR="007676F4" w14:paraId="0F793971" w14:textId="77777777" w:rsidTr="008967B9">
        <w:tc>
          <w:tcPr>
            <w:tcW w:w="2155" w:type="dxa"/>
          </w:tcPr>
          <w:p w14:paraId="53C33523" w14:textId="77777777" w:rsidR="007676F4" w:rsidRDefault="00685D9E" w:rsidP="008967B9">
            <w:r w:rsidRPr="00685D9E">
              <w:t>Administrative Hearing Coordinator (AHC)</w:t>
            </w:r>
          </w:p>
        </w:tc>
        <w:tc>
          <w:tcPr>
            <w:tcW w:w="7195" w:type="dxa"/>
          </w:tcPr>
          <w:p w14:paraId="02DA659F" w14:textId="77777777" w:rsidR="007676F4" w:rsidRDefault="00685D9E" w:rsidP="008967B9">
            <w:r>
              <w:t>A</w:t>
            </w:r>
            <w:r w:rsidRPr="00685D9E">
              <w:t>n employee of the department who represents the department in all activities related to administrative hearings. The AHC is also the Health Care Authority hearing representative, or authorized agent of HCA, for certain HCA hearings</w:t>
            </w:r>
          </w:p>
        </w:tc>
      </w:tr>
      <w:tr w:rsidR="007676F4" w14:paraId="45F97855" w14:textId="77777777" w:rsidTr="008967B9">
        <w:tc>
          <w:tcPr>
            <w:tcW w:w="2155" w:type="dxa"/>
          </w:tcPr>
          <w:p w14:paraId="389D4BC4" w14:textId="77777777" w:rsidR="007676F4" w:rsidRDefault="001268C9" w:rsidP="008967B9">
            <w:r w:rsidRPr="001268C9">
              <w:t>Administrative Law Judge (ALJ</w:t>
            </w:r>
          </w:p>
        </w:tc>
        <w:tc>
          <w:tcPr>
            <w:tcW w:w="7195" w:type="dxa"/>
          </w:tcPr>
          <w:p w14:paraId="05707307" w14:textId="77777777" w:rsidR="007676F4" w:rsidRDefault="001268C9" w:rsidP="008967B9">
            <w:r>
              <w:t>A</w:t>
            </w:r>
            <w:r w:rsidRPr="001268C9">
              <w:t>n impartial decision-maker who is an attorney and presides at an administrative hearing. The Office of Administrative Hearings (OAH), which is a state agency, employs the ALJs. ALJs are not department employees or department representatives</w:t>
            </w:r>
          </w:p>
        </w:tc>
      </w:tr>
      <w:tr w:rsidR="001268C9" w14:paraId="243A5EF5" w14:textId="77777777" w:rsidTr="008967B9">
        <w:tc>
          <w:tcPr>
            <w:tcW w:w="2155" w:type="dxa"/>
          </w:tcPr>
          <w:p w14:paraId="0E8A35D7" w14:textId="77777777" w:rsidR="001268C9" w:rsidRPr="001268C9" w:rsidRDefault="001268C9" w:rsidP="008967B9">
            <w:r>
              <w:t>Appellant</w:t>
            </w:r>
          </w:p>
        </w:tc>
        <w:tc>
          <w:tcPr>
            <w:tcW w:w="7195" w:type="dxa"/>
          </w:tcPr>
          <w:p w14:paraId="67402E3A" w14:textId="77777777" w:rsidR="001268C9" w:rsidRDefault="009221F2" w:rsidP="001268C9">
            <w:r>
              <w:t xml:space="preserve">Term used for the client/rep or provider during the hearing process.  </w:t>
            </w:r>
          </w:p>
        </w:tc>
      </w:tr>
      <w:tr w:rsidR="007676F4" w14:paraId="249B299D" w14:textId="77777777" w:rsidTr="008967B9">
        <w:tc>
          <w:tcPr>
            <w:tcW w:w="2155" w:type="dxa"/>
          </w:tcPr>
          <w:p w14:paraId="6E59A874" w14:textId="77777777" w:rsidR="007676F4" w:rsidRDefault="001268C9" w:rsidP="008967B9">
            <w:r w:rsidRPr="001268C9">
              <w:t>Board of Appeals (BOA)</w:t>
            </w:r>
          </w:p>
        </w:tc>
        <w:tc>
          <w:tcPr>
            <w:tcW w:w="7195" w:type="dxa"/>
          </w:tcPr>
          <w:p w14:paraId="00A066FA" w14:textId="77777777" w:rsidR="007676F4" w:rsidRDefault="001268C9" w:rsidP="001268C9">
            <w:r>
              <w:t>An entity from HCA and DSHS</w:t>
            </w:r>
            <w:r w:rsidRPr="001268C9">
              <w:t xml:space="preserve"> responsible for reviewing the decisions issued by the ALJs as part of the appeals process. BOA review judges are attorneys </w:t>
            </w:r>
            <w:r>
              <w:t>who</w:t>
            </w:r>
            <w:r w:rsidRPr="001268C9">
              <w:t xml:space="preserve"> have the authority to review hearing records and initial orders for legal or factual errors. After their review, these judges enter final orders.</w:t>
            </w:r>
          </w:p>
        </w:tc>
      </w:tr>
      <w:tr w:rsidR="007676F4" w14:paraId="4320899A" w14:textId="77777777" w:rsidTr="008967B9">
        <w:tc>
          <w:tcPr>
            <w:tcW w:w="2155" w:type="dxa"/>
          </w:tcPr>
          <w:p w14:paraId="6F9826A1" w14:textId="77777777" w:rsidR="007676F4" w:rsidRDefault="001268C9" w:rsidP="008967B9">
            <w:r w:rsidRPr="001268C9">
              <w:t>Client</w:t>
            </w:r>
          </w:p>
        </w:tc>
        <w:tc>
          <w:tcPr>
            <w:tcW w:w="7195" w:type="dxa"/>
          </w:tcPr>
          <w:p w14:paraId="3B0ED57A" w14:textId="77777777" w:rsidR="007676F4" w:rsidRDefault="001268C9" w:rsidP="008967B9">
            <w:r>
              <w:t>F</w:t>
            </w:r>
            <w:r w:rsidRPr="001268C9">
              <w:t>or the purposes of this chapter, means an individual, who may also be the appellant, applying for Medicaid services (applicant) or an individual receiving Medicaid services. This also includes the client’s chosen representative</w:t>
            </w:r>
          </w:p>
        </w:tc>
      </w:tr>
      <w:tr w:rsidR="007676F4" w14:paraId="2EB5C4D7" w14:textId="77777777" w:rsidTr="008967B9">
        <w:tc>
          <w:tcPr>
            <w:tcW w:w="2155" w:type="dxa"/>
          </w:tcPr>
          <w:p w14:paraId="524BC272" w14:textId="77777777" w:rsidR="007676F4" w:rsidRDefault="001268C9" w:rsidP="008967B9">
            <w:r w:rsidRPr="001268C9">
              <w:t>Continued Benefits</w:t>
            </w:r>
          </w:p>
        </w:tc>
        <w:tc>
          <w:tcPr>
            <w:tcW w:w="7195" w:type="dxa"/>
          </w:tcPr>
          <w:p w14:paraId="3F6F5FAA" w14:textId="77777777" w:rsidR="007676F4" w:rsidRDefault="001268C9" w:rsidP="008967B9">
            <w:r>
              <w:t>W</w:t>
            </w:r>
            <w:r w:rsidRPr="001268C9">
              <w:t xml:space="preserve">hen a Medicaid recipient’s benefits are reduced or terminated by the department, and the recipient </w:t>
            </w:r>
            <w:proofErr w:type="gramStart"/>
            <w:r w:rsidRPr="001268C9">
              <w:t>is able to</w:t>
            </w:r>
            <w:proofErr w:type="gramEnd"/>
            <w:r w:rsidRPr="001268C9">
              <w:t xml:space="preserve"> maintain benefits at the prior level, if the recipient appeals the decision by requesting an administrative hearing with OAH by the appeal date on the notice.</w:t>
            </w:r>
          </w:p>
        </w:tc>
      </w:tr>
      <w:tr w:rsidR="001268C9" w14:paraId="4DD6B488" w14:textId="77777777" w:rsidTr="008967B9">
        <w:tc>
          <w:tcPr>
            <w:tcW w:w="2155" w:type="dxa"/>
          </w:tcPr>
          <w:p w14:paraId="0E4D3BE8" w14:textId="77777777" w:rsidR="001268C9" w:rsidRDefault="001268C9" w:rsidP="008967B9">
            <w:r w:rsidRPr="001268C9">
              <w:t>Department</w:t>
            </w:r>
          </w:p>
        </w:tc>
        <w:tc>
          <w:tcPr>
            <w:tcW w:w="7195" w:type="dxa"/>
          </w:tcPr>
          <w:p w14:paraId="43FFF7EA" w14:textId="77777777" w:rsidR="001268C9" w:rsidRDefault="001268C9" w:rsidP="008967B9">
            <w:r w:rsidRPr="001268C9">
              <w:t xml:space="preserve">DSHS, Home and Community Services (HCS) and the Area Agencies on Aging (AAA) or their subcontracted entities. It also means Health Care Authority (HCA) because HCS and AAA staff represents HCA in most social </w:t>
            </w:r>
            <w:proofErr w:type="gramStart"/>
            <w:r w:rsidRPr="001268C9">
              <w:t>services</w:t>
            </w:r>
            <w:proofErr w:type="gramEnd"/>
            <w:r w:rsidRPr="001268C9">
              <w:t xml:space="preserve"> administrative hearings.</w:t>
            </w:r>
          </w:p>
        </w:tc>
      </w:tr>
      <w:tr w:rsidR="001268C9" w14:paraId="71386894" w14:textId="77777777" w:rsidTr="008967B9">
        <w:tc>
          <w:tcPr>
            <w:tcW w:w="2155" w:type="dxa"/>
          </w:tcPr>
          <w:p w14:paraId="40D8AE28" w14:textId="77777777" w:rsidR="001268C9" w:rsidRDefault="00F05B21" w:rsidP="008967B9">
            <w:r>
              <w:t>Department of Health (DOH)</w:t>
            </w:r>
          </w:p>
        </w:tc>
        <w:tc>
          <w:tcPr>
            <w:tcW w:w="7195" w:type="dxa"/>
          </w:tcPr>
          <w:p w14:paraId="539E0BD2" w14:textId="77777777" w:rsidR="001268C9" w:rsidRDefault="00F05B21" w:rsidP="008967B9">
            <w:r>
              <w:t>A</w:t>
            </w:r>
            <w:r w:rsidRPr="00F05B21">
              <w:t xml:space="preserve"> state agency </w:t>
            </w:r>
            <w:proofErr w:type="gramStart"/>
            <w:r w:rsidRPr="00F05B21">
              <w:t>separate</w:t>
            </w:r>
            <w:proofErr w:type="gramEnd"/>
            <w:r w:rsidRPr="00F05B21">
              <w:t xml:space="preserve"> from DSHS.</w:t>
            </w:r>
          </w:p>
        </w:tc>
      </w:tr>
      <w:tr w:rsidR="001268C9" w14:paraId="7E2C8894" w14:textId="77777777" w:rsidTr="008967B9">
        <w:tc>
          <w:tcPr>
            <w:tcW w:w="2155" w:type="dxa"/>
          </w:tcPr>
          <w:p w14:paraId="1C10E82F" w14:textId="77777777" w:rsidR="001268C9" w:rsidRDefault="00F05B21" w:rsidP="008967B9">
            <w:r w:rsidRPr="00F05B21">
              <w:t>Exception to Rule (ETR)</w:t>
            </w:r>
          </w:p>
        </w:tc>
        <w:tc>
          <w:tcPr>
            <w:tcW w:w="7195" w:type="dxa"/>
          </w:tcPr>
          <w:p w14:paraId="4FA814A3" w14:textId="77777777" w:rsidR="001268C9" w:rsidRDefault="00D57655" w:rsidP="00654E97">
            <w:r>
              <w:t>M</w:t>
            </w:r>
            <w:r w:rsidRPr="00D57655">
              <w:t>eans an approved amount beyond the maximum hours/budget/daily rate generated by CARE</w:t>
            </w:r>
            <w:r>
              <w:t xml:space="preserve"> </w:t>
            </w:r>
            <w:r w:rsidR="00654E97">
              <w:t>when a client’s situation differs from the majority. See 388-440-0001 for specifics.</w:t>
            </w:r>
          </w:p>
        </w:tc>
      </w:tr>
      <w:tr w:rsidR="001268C9" w14:paraId="71656C0D" w14:textId="77777777" w:rsidTr="008967B9">
        <w:tc>
          <w:tcPr>
            <w:tcW w:w="2155" w:type="dxa"/>
          </w:tcPr>
          <w:p w14:paraId="0D808E07" w14:textId="77777777" w:rsidR="001268C9" w:rsidRDefault="00F05B21" w:rsidP="008967B9">
            <w:r w:rsidRPr="00F05B21">
              <w:t xml:space="preserve">Ex </w:t>
            </w:r>
            <w:proofErr w:type="spellStart"/>
            <w:r w:rsidRPr="00F05B21">
              <w:t>Parte</w:t>
            </w:r>
            <w:proofErr w:type="spellEnd"/>
            <w:r w:rsidRPr="00F05B21">
              <w:t xml:space="preserve"> Communication</w:t>
            </w:r>
          </w:p>
        </w:tc>
        <w:tc>
          <w:tcPr>
            <w:tcW w:w="7195" w:type="dxa"/>
          </w:tcPr>
          <w:p w14:paraId="17D56A8D" w14:textId="77777777" w:rsidR="001268C9" w:rsidRDefault="00D57655" w:rsidP="008967B9">
            <w:r>
              <w:t>O</w:t>
            </w:r>
            <w:r w:rsidRPr="00D57655">
              <w:t xml:space="preserve">ccurs when a party to a case, or someone involved with party, </w:t>
            </w:r>
            <w:proofErr w:type="gramStart"/>
            <w:r w:rsidRPr="00D57655">
              <w:t>talks</w:t>
            </w:r>
            <w:proofErr w:type="gramEnd"/>
            <w:r w:rsidRPr="00D57655">
              <w:t xml:space="preserve"> or writes to or otherwise communicates directly with the judge about the issues in the case without the other parties' knowledge.</w:t>
            </w:r>
          </w:p>
        </w:tc>
      </w:tr>
      <w:tr w:rsidR="001268C9" w14:paraId="3E64EEC1" w14:textId="77777777" w:rsidTr="008967B9">
        <w:tc>
          <w:tcPr>
            <w:tcW w:w="2155" w:type="dxa"/>
          </w:tcPr>
          <w:p w14:paraId="5AEF1DD7" w14:textId="77777777" w:rsidR="001268C9" w:rsidRDefault="00F05B21" w:rsidP="008967B9">
            <w:r w:rsidRPr="00F05B21">
              <w:t>Health Care Authority (HCA)</w:t>
            </w:r>
          </w:p>
        </w:tc>
        <w:tc>
          <w:tcPr>
            <w:tcW w:w="7195" w:type="dxa"/>
          </w:tcPr>
          <w:p w14:paraId="2258A955" w14:textId="77777777" w:rsidR="001268C9" w:rsidRDefault="00D57655" w:rsidP="008967B9">
            <w:r>
              <w:t>T</w:t>
            </w:r>
            <w:r w:rsidRPr="00D57655">
              <w:t>he single state agency responsible for overseeing Washington Apple Health (Medicaid), as well as other health care programs. HCS and AAA staff represents HCA in most social services hearings.</w:t>
            </w:r>
          </w:p>
        </w:tc>
      </w:tr>
      <w:tr w:rsidR="001268C9" w14:paraId="50E3B31D" w14:textId="77777777" w:rsidTr="008967B9">
        <w:tc>
          <w:tcPr>
            <w:tcW w:w="2155" w:type="dxa"/>
          </w:tcPr>
          <w:p w14:paraId="412849E4" w14:textId="77777777" w:rsidR="001268C9" w:rsidRDefault="00F05B21" w:rsidP="008967B9">
            <w:r w:rsidRPr="00F05B21">
              <w:t>Office of Administrative Hearings</w:t>
            </w:r>
            <w:r>
              <w:t xml:space="preserve"> (OAH)</w:t>
            </w:r>
          </w:p>
        </w:tc>
        <w:tc>
          <w:tcPr>
            <w:tcW w:w="7195" w:type="dxa"/>
          </w:tcPr>
          <w:p w14:paraId="41A77942" w14:textId="77777777" w:rsidR="001268C9" w:rsidRDefault="00D57655" w:rsidP="008967B9">
            <w:r>
              <w:t>A</w:t>
            </w:r>
            <w:r w:rsidRPr="00D57655">
              <w:t xml:space="preserve"> state agency that is independent from DSHS and HCA, which handles appeals of DSHS and HCA actions</w:t>
            </w:r>
          </w:p>
        </w:tc>
      </w:tr>
      <w:tr w:rsidR="001268C9" w14:paraId="09C7427F" w14:textId="77777777" w:rsidTr="008967B9">
        <w:tc>
          <w:tcPr>
            <w:tcW w:w="2155" w:type="dxa"/>
          </w:tcPr>
          <w:p w14:paraId="4A5B4D14" w14:textId="77777777" w:rsidR="001268C9" w:rsidRDefault="00D57655" w:rsidP="008967B9">
            <w:r w:rsidRPr="00D57655">
              <w:lastRenderedPageBreak/>
              <w:t>Planned Action Notice (PAN)</w:t>
            </w:r>
          </w:p>
        </w:tc>
        <w:tc>
          <w:tcPr>
            <w:tcW w:w="7195" w:type="dxa"/>
          </w:tcPr>
          <w:p w14:paraId="2BA8E789" w14:textId="77777777" w:rsidR="001268C9" w:rsidRDefault="00D57655" w:rsidP="000D0B1D">
            <w:r>
              <w:t>A</w:t>
            </w:r>
            <w:r w:rsidRPr="00D57655">
              <w:t xml:space="preserve"> written form of communication used to notify clients of decisions about services and of the right to appeal that decision. It is the legal document/Notice that provides the client with the department’s eligibility decision or decision about services and the authority that allows the department to take the action.</w:t>
            </w:r>
          </w:p>
        </w:tc>
      </w:tr>
    </w:tbl>
    <w:p w14:paraId="3C4EBFCE" w14:textId="77777777" w:rsidR="007676F4" w:rsidRDefault="007676F4" w:rsidP="007676F4"/>
    <w:p w14:paraId="3421081F" w14:textId="77777777" w:rsidR="007676F4" w:rsidRDefault="007676F4" w:rsidP="007676F4">
      <w:pPr>
        <w:pStyle w:val="Heading2"/>
      </w:pPr>
      <w:bookmarkStart w:id="25" w:name="_Toc525727017"/>
      <w:bookmarkStart w:id="26" w:name="_Toc525727117"/>
      <w:bookmarkStart w:id="27" w:name="_Toc528758284"/>
      <w:bookmarkStart w:id="28" w:name="_Toc528759432"/>
      <w:bookmarkStart w:id="29" w:name="_Toc528760027"/>
      <w:bookmarkStart w:id="30" w:name="_Toc22738052"/>
      <w:r>
        <w:t>Revision History</w:t>
      </w:r>
      <w:bookmarkEnd w:id="25"/>
      <w:bookmarkEnd w:id="26"/>
      <w:bookmarkEnd w:id="27"/>
      <w:bookmarkEnd w:id="28"/>
      <w:bookmarkEnd w:id="29"/>
      <w:bookmarkEnd w:id="30"/>
    </w:p>
    <w:tbl>
      <w:tblPr>
        <w:tblStyle w:val="TableGrid"/>
        <w:tblW w:w="0" w:type="auto"/>
        <w:tblLook w:val="04A0" w:firstRow="1" w:lastRow="0" w:firstColumn="1" w:lastColumn="0" w:noHBand="0" w:noVBand="1"/>
      </w:tblPr>
      <w:tblGrid>
        <w:gridCol w:w="1435"/>
        <w:gridCol w:w="1530"/>
        <w:gridCol w:w="4958"/>
        <w:gridCol w:w="1427"/>
      </w:tblGrid>
      <w:tr w:rsidR="007676F4" w14:paraId="5CA96995" w14:textId="77777777" w:rsidTr="008967B9">
        <w:tc>
          <w:tcPr>
            <w:tcW w:w="1435" w:type="dxa"/>
          </w:tcPr>
          <w:p w14:paraId="72414F45" w14:textId="77777777" w:rsidR="007676F4" w:rsidRPr="00A9357F" w:rsidRDefault="007676F4" w:rsidP="008967B9">
            <w:pPr>
              <w:rPr>
                <w:b/>
                <w:caps/>
              </w:rPr>
            </w:pPr>
            <w:r w:rsidRPr="00A9357F">
              <w:rPr>
                <w:b/>
                <w:caps/>
              </w:rPr>
              <w:t>Date</w:t>
            </w:r>
          </w:p>
        </w:tc>
        <w:tc>
          <w:tcPr>
            <w:tcW w:w="1530" w:type="dxa"/>
          </w:tcPr>
          <w:p w14:paraId="4E8B0B3E" w14:textId="77777777" w:rsidR="007676F4" w:rsidRPr="00A9357F" w:rsidRDefault="007676F4" w:rsidP="008967B9">
            <w:pPr>
              <w:rPr>
                <w:b/>
                <w:caps/>
              </w:rPr>
            </w:pPr>
            <w:r w:rsidRPr="00A9357F">
              <w:rPr>
                <w:b/>
                <w:caps/>
              </w:rPr>
              <w:t>Made By</w:t>
            </w:r>
          </w:p>
        </w:tc>
        <w:tc>
          <w:tcPr>
            <w:tcW w:w="4958" w:type="dxa"/>
          </w:tcPr>
          <w:p w14:paraId="473B290F" w14:textId="77777777" w:rsidR="007676F4" w:rsidRPr="00A9357F" w:rsidRDefault="007676F4" w:rsidP="008967B9">
            <w:pPr>
              <w:rPr>
                <w:b/>
                <w:caps/>
              </w:rPr>
            </w:pPr>
            <w:r w:rsidRPr="00A9357F">
              <w:rPr>
                <w:b/>
                <w:caps/>
              </w:rPr>
              <w:t>Change(s)</w:t>
            </w:r>
          </w:p>
        </w:tc>
        <w:tc>
          <w:tcPr>
            <w:tcW w:w="1427" w:type="dxa"/>
          </w:tcPr>
          <w:p w14:paraId="43A2EEA1" w14:textId="77777777" w:rsidR="007676F4" w:rsidRPr="00A9357F" w:rsidRDefault="007676F4" w:rsidP="008967B9">
            <w:pPr>
              <w:rPr>
                <w:b/>
                <w:caps/>
              </w:rPr>
            </w:pPr>
            <w:r>
              <w:rPr>
                <w:b/>
                <w:caps/>
              </w:rPr>
              <w:t>MB #</w:t>
            </w:r>
          </w:p>
        </w:tc>
      </w:tr>
      <w:tr w:rsidR="007676F4" w14:paraId="43405390" w14:textId="77777777" w:rsidTr="008967B9">
        <w:tc>
          <w:tcPr>
            <w:tcW w:w="1435" w:type="dxa"/>
          </w:tcPr>
          <w:p w14:paraId="0E3C45D6" w14:textId="39B14332" w:rsidR="00057430" w:rsidRDefault="00057430" w:rsidP="008967B9">
            <w:r>
              <w:t>11/21/2022</w:t>
            </w:r>
          </w:p>
          <w:p w14:paraId="3D6797B5" w14:textId="77777777" w:rsidR="00830C48" w:rsidRDefault="00830C48" w:rsidP="008967B9"/>
          <w:p w14:paraId="50581FCF" w14:textId="77777777" w:rsidR="00830C48" w:rsidRDefault="00830C48" w:rsidP="008967B9"/>
          <w:p w14:paraId="6A4463D3" w14:textId="249FA989" w:rsidR="007676F4" w:rsidRDefault="007676F4" w:rsidP="008967B9">
            <w:r>
              <w:fldChar w:fldCharType="begin"/>
            </w:r>
            <w:r>
              <w:instrText xml:space="preserve"> DATE  \@ "M/d/yyyy"  \* MERGEFORMAT </w:instrText>
            </w:r>
            <w:r>
              <w:fldChar w:fldCharType="separate"/>
            </w:r>
            <w:r w:rsidR="00E81815">
              <w:rPr>
                <w:noProof/>
              </w:rPr>
              <w:t>3/27/2023</w:t>
            </w:r>
            <w:r>
              <w:fldChar w:fldCharType="end"/>
            </w:r>
          </w:p>
        </w:tc>
        <w:tc>
          <w:tcPr>
            <w:tcW w:w="1530" w:type="dxa"/>
          </w:tcPr>
          <w:p w14:paraId="47DCA860" w14:textId="11560367" w:rsidR="00057430" w:rsidRDefault="00057430" w:rsidP="008967B9">
            <w:r>
              <w:t>Nina Banken</w:t>
            </w:r>
          </w:p>
          <w:p w14:paraId="4227949D" w14:textId="77777777" w:rsidR="00830C48" w:rsidRDefault="00830C48" w:rsidP="008967B9"/>
          <w:p w14:paraId="73A32F8B" w14:textId="77777777" w:rsidR="00830C48" w:rsidRDefault="00830C48" w:rsidP="008967B9"/>
          <w:p w14:paraId="5CB688AA" w14:textId="037D2939" w:rsidR="007676F4" w:rsidRDefault="00456E77" w:rsidP="008967B9">
            <w:r>
              <w:t>Stacy Graff</w:t>
            </w:r>
          </w:p>
        </w:tc>
        <w:tc>
          <w:tcPr>
            <w:tcW w:w="4958" w:type="dxa"/>
          </w:tcPr>
          <w:p w14:paraId="61A5DAFD" w14:textId="53D4C0F9" w:rsidR="00513A59" w:rsidRDefault="00057430" w:rsidP="00C01F5C">
            <w:pPr>
              <w:pStyle w:val="ListParagraph"/>
              <w:numPr>
                <w:ilvl w:val="0"/>
                <w:numId w:val="31"/>
              </w:numPr>
            </w:pPr>
            <w:r>
              <w:t xml:space="preserve">Updated contact information under “Ask the </w:t>
            </w:r>
            <w:proofErr w:type="gramStart"/>
            <w:r>
              <w:t>Expert</w:t>
            </w:r>
            <w:proofErr w:type="gramEnd"/>
            <w:r>
              <w:t>”</w:t>
            </w:r>
          </w:p>
          <w:p w14:paraId="23FBFF21" w14:textId="689F69C7" w:rsidR="00057430" w:rsidRPr="00057430" w:rsidRDefault="00057430" w:rsidP="00C01F5C">
            <w:pPr>
              <w:pStyle w:val="ListParagraph"/>
              <w:numPr>
                <w:ilvl w:val="0"/>
                <w:numId w:val="31"/>
              </w:numPr>
            </w:pPr>
            <w:r>
              <w:t>Corrected minor</w:t>
            </w:r>
            <w:r w:rsidR="00830C48">
              <w:t xml:space="preserve"> </w:t>
            </w:r>
            <w:proofErr w:type="gramStart"/>
            <w:r w:rsidR="00830C48">
              <w:t>typos</w:t>
            </w:r>
            <w:proofErr w:type="gramEnd"/>
          </w:p>
          <w:p w14:paraId="32CF1811" w14:textId="77777777" w:rsidR="00A72993" w:rsidRDefault="00A72993" w:rsidP="00C01F5C">
            <w:pPr>
              <w:pStyle w:val="ListParagraph"/>
              <w:numPr>
                <w:ilvl w:val="0"/>
                <w:numId w:val="31"/>
              </w:numPr>
              <w:spacing w:after="160" w:line="259" w:lineRule="auto"/>
              <w:contextualSpacing/>
            </w:pPr>
            <w:r>
              <w:t>Removed all references to Individual Providers because of the implementation of the Consumer Directed Employer (CDE). Clients no longer have a right to an Administrative Hearing regarding their choice of provider. IPs no longer have an administrative hearing related to training/certification and will not receive department issued overpayment notices that are for dates of payment after the transition to the CDE. The CDE has a grievance process for clients and providers.</w:t>
            </w:r>
          </w:p>
          <w:p w14:paraId="4DDB1D31" w14:textId="77777777" w:rsidR="00A72993" w:rsidRDefault="00A72993" w:rsidP="00C01F5C">
            <w:pPr>
              <w:pStyle w:val="ListParagraph"/>
              <w:numPr>
                <w:ilvl w:val="0"/>
                <w:numId w:val="31"/>
              </w:numPr>
              <w:spacing w:after="160" w:line="259" w:lineRule="auto"/>
              <w:contextualSpacing/>
            </w:pPr>
            <w:r>
              <w:t xml:space="preserve">Updated contact information under “Ask the Expert”. </w:t>
            </w:r>
          </w:p>
          <w:p w14:paraId="69FBB28C" w14:textId="77777777" w:rsidR="00A72993" w:rsidRDefault="00A72993" w:rsidP="00C01F5C">
            <w:pPr>
              <w:pStyle w:val="ListParagraph"/>
              <w:numPr>
                <w:ilvl w:val="0"/>
                <w:numId w:val="31"/>
              </w:numPr>
              <w:spacing w:after="160" w:line="259" w:lineRule="auto"/>
              <w:contextualSpacing/>
            </w:pPr>
            <w:r>
              <w:t xml:space="preserve">Added “email” as an option to notify OAH of a hearing request. </w:t>
            </w:r>
          </w:p>
          <w:p w14:paraId="77FD8537" w14:textId="77777777" w:rsidR="00A72993" w:rsidRDefault="00A72993" w:rsidP="00C01F5C">
            <w:pPr>
              <w:pStyle w:val="ListParagraph"/>
              <w:numPr>
                <w:ilvl w:val="0"/>
                <w:numId w:val="31"/>
              </w:numPr>
              <w:spacing w:after="160" w:line="259" w:lineRule="auto"/>
              <w:contextualSpacing/>
            </w:pPr>
            <w:r>
              <w:t xml:space="preserve">Removed IP Planned Action and Stop Work Notice information due to the transition to the CDE. </w:t>
            </w:r>
          </w:p>
          <w:p w14:paraId="53EC7F72" w14:textId="77777777" w:rsidR="00A72993" w:rsidRDefault="00A72993" w:rsidP="00C01F5C">
            <w:pPr>
              <w:pStyle w:val="ListParagraph"/>
              <w:numPr>
                <w:ilvl w:val="0"/>
                <w:numId w:val="31"/>
              </w:numPr>
              <w:spacing w:after="160" w:line="259" w:lineRule="auto"/>
              <w:contextualSpacing/>
            </w:pPr>
            <w:r>
              <w:t xml:space="preserve">Added “This is a required document for all administrative hearings” re: administrative hearing report. </w:t>
            </w:r>
          </w:p>
          <w:p w14:paraId="32E22AFB" w14:textId="77777777" w:rsidR="00A72993" w:rsidRDefault="00A72993" w:rsidP="00C01F5C">
            <w:pPr>
              <w:pStyle w:val="ListParagraph"/>
              <w:numPr>
                <w:ilvl w:val="0"/>
                <w:numId w:val="31"/>
              </w:numPr>
              <w:spacing w:after="160" w:line="259" w:lineRule="auto"/>
              <w:contextualSpacing/>
            </w:pPr>
            <w:r>
              <w:t xml:space="preserve">Added information in footnote 13 about requesting a recess during the hearing if needed. </w:t>
            </w:r>
          </w:p>
          <w:p w14:paraId="2997AE9C" w14:textId="77777777" w:rsidR="00A72993" w:rsidRDefault="00A72993" w:rsidP="00C01F5C">
            <w:pPr>
              <w:pStyle w:val="ListParagraph"/>
              <w:numPr>
                <w:ilvl w:val="0"/>
                <w:numId w:val="31"/>
              </w:numPr>
              <w:spacing w:after="160" w:line="259" w:lineRule="auto"/>
              <w:contextualSpacing/>
            </w:pPr>
            <w:r>
              <w:t xml:space="preserve">Clarified in footnotes that a request to Superior Court is also known as Judicial Review. </w:t>
            </w:r>
          </w:p>
          <w:p w14:paraId="3B125ED4" w14:textId="77777777" w:rsidR="00A72993" w:rsidRDefault="00695457" w:rsidP="00C01F5C">
            <w:pPr>
              <w:pStyle w:val="ListParagraph"/>
              <w:numPr>
                <w:ilvl w:val="0"/>
                <w:numId w:val="31"/>
              </w:numPr>
              <w:spacing w:after="160" w:line="259" w:lineRule="auto"/>
              <w:contextualSpacing/>
            </w:pPr>
            <w:r>
              <w:t xml:space="preserve">Removed most of the duplicative information about notices that can be found in chapter 27. </w:t>
            </w:r>
          </w:p>
          <w:p w14:paraId="4ACCC1C8" w14:textId="77777777" w:rsidR="00A72993" w:rsidRDefault="00A72993" w:rsidP="00C01F5C">
            <w:pPr>
              <w:pStyle w:val="ListParagraph"/>
              <w:numPr>
                <w:ilvl w:val="0"/>
                <w:numId w:val="31"/>
              </w:numPr>
              <w:spacing w:after="160" w:line="259" w:lineRule="auto"/>
              <w:contextualSpacing/>
            </w:pPr>
            <w:r>
              <w:t>Added footnote</w:t>
            </w:r>
            <w:r w:rsidR="006737B2">
              <w:t xml:space="preserve"> </w:t>
            </w:r>
            <w:r w:rsidR="00695457">
              <w:t>17</w:t>
            </w:r>
            <w:r>
              <w:t xml:space="preserve"> about changes to statute related to hearing request timeframes for state only programs where good cause is shown. </w:t>
            </w:r>
          </w:p>
          <w:p w14:paraId="2C32FC89" w14:textId="77777777" w:rsidR="00A72993" w:rsidRPr="00AF3E77" w:rsidRDefault="009129BE" w:rsidP="00C01F5C">
            <w:pPr>
              <w:pStyle w:val="ListParagraph"/>
              <w:numPr>
                <w:ilvl w:val="0"/>
                <w:numId w:val="31"/>
              </w:numPr>
            </w:pPr>
            <w:r>
              <w:lastRenderedPageBreak/>
              <w:t xml:space="preserve">Other minor wording changes add for clarification. </w:t>
            </w:r>
          </w:p>
        </w:tc>
        <w:tc>
          <w:tcPr>
            <w:tcW w:w="1427" w:type="dxa"/>
          </w:tcPr>
          <w:p w14:paraId="3B0ED64E" w14:textId="77777777" w:rsidR="007676F4" w:rsidRDefault="007676F4" w:rsidP="008967B9"/>
        </w:tc>
      </w:tr>
    </w:tbl>
    <w:p w14:paraId="15D2A45D" w14:textId="77777777" w:rsidR="007676F4" w:rsidRDefault="007676F4" w:rsidP="007676F4">
      <w:pPr>
        <w:rPr>
          <w:rFonts w:ascii="Century Gothic" w:eastAsiaTheme="majorEastAsia" w:hAnsi="Century Gothic" w:cstheme="majorBidi"/>
          <w:color w:val="005CAB"/>
          <w:sz w:val="26"/>
          <w:szCs w:val="26"/>
        </w:rPr>
      </w:pPr>
    </w:p>
    <w:sectPr w:rsidR="007676F4" w:rsidSect="00764206">
      <w:headerReference w:type="even" r:id="rId9"/>
      <w:headerReference w:type="default" r:id="rId10"/>
      <w:footerReference w:type="even" r:id="rId11"/>
      <w:footerReference w:type="default" r:id="rId12"/>
      <w:headerReference w:type="first" r:id="rId13"/>
      <w:footerReference w:type="first" r:id="rId14"/>
      <w:pgSz w:w="12240" w:h="15840"/>
      <w:pgMar w:top="270" w:right="1440" w:bottom="1224" w:left="1440" w:header="504" w:footer="50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4DC2A8" w14:textId="77777777" w:rsidR="00BE6A4F" w:rsidRDefault="00BE6A4F" w:rsidP="00471F01">
      <w:r>
        <w:separator/>
      </w:r>
    </w:p>
    <w:p w14:paraId="3B317628" w14:textId="77777777" w:rsidR="00BE6A4F" w:rsidRDefault="00BE6A4F"/>
  </w:endnote>
  <w:endnote w:type="continuationSeparator" w:id="0">
    <w:p w14:paraId="43E33899" w14:textId="77777777" w:rsidR="00BE6A4F" w:rsidRDefault="00BE6A4F" w:rsidP="00471F01">
      <w:r>
        <w:continuationSeparator/>
      </w:r>
    </w:p>
    <w:p w14:paraId="7EFF2B1B" w14:textId="77777777" w:rsidR="00BE6A4F" w:rsidRDefault="00BE6A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Brush Script MT">
    <w:panose1 w:val="03060802040406070304"/>
    <w:charset w:val="00"/>
    <w:family w:val="script"/>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4DA71" w14:textId="77777777" w:rsidR="00231A29" w:rsidRDefault="00231A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C1226" w14:textId="77777777" w:rsidR="00060C89" w:rsidRDefault="00060C89" w:rsidP="00471F01"/>
  <w:p w14:paraId="4FE0FB32" w14:textId="77777777" w:rsidR="00060C89" w:rsidRPr="000016C9" w:rsidRDefault="00060C89" w:rsidP="00471F01">
    <w:pPr>
      <w:pBdr>
        <w:top w:val="single" w:sz="4" w:space="1" w:color="auto"/>
      </w:pBdr>
      <w:tabs>
        <w:tab w:val="left" w:pos="7470"/>
        <w:tab w:val="left" w:pos="8370"/>
      </w:tabs>
      <w:rPr>
        <w:rFonts w:ascii="Cambria" w:hAnsi="Cambria"/>
        <w:caps/>
        <w:sz w:val="10"/>
      </w:rPr>
    </w:pPr>
  </w:p>
  <w:p w14:paraId="05117A45" w14:textId="051B77F8" w:rsidR="00060C89" w:rsidRPr="006D7365" w:rsidRDefault="00060C89" w:rsidP="00471F01">
    <w:pPr>
      <w:rPr>
        <w:sz w:val="16"/>
      </w:rPr>
    </w:pPr>
    <w:r w:rsidRPr="006239A5">
      <w:rPr>
        <w:rFonts w:ascii="Cambria" w:hAnsi="Cambria"/>
        <w:caps/>
      </w:rPr>
      <w:t xml:space="preserve">Page </w:t>
    </w:r>
    <w:sdt>
      <w:sdtPr>
        <w:rPr>
          <w:rFonts w:ascii="Cambria" w:hAnsi="Cambria"/>
          <w:caps/>
        </w:rPr>
        <w:id w:val="-592318871"/>
        <w:text/>
      </w:sdtPr>
      <w:sdtEndPr/>
      <w:sdtContent>
        <w:r>
          <w:rPr>
            <w:rFonts w:ascii="Cambria" w:hAnsi="Cambria"/>
            <w:caps/>
          </w:rPr>
          <w:t>26</w:t>
        </w:r>
      </w:sdtContent>
    </w:sdt>
    <w:r w:rsidRPr="006239A5">
      <w:rPr>
        <w:rFonts w:ascii="Cambria" w:hAnsi="Cambria"/>
        <w:caps/>
      </w:rPr>
      <w:t>.</w:t>
    </w:r>
    <w:r w:rsidRPr="00360A06">
      <w:rPr>
        <w:rFonts w:ascii="Cambria" w:hAnsi="Cambria"/>
        <w:caps/>
      </w:rPr>
      <w:fldChar w:fldCharType="begin"/>
    </w:r>
    <w:r w:rsidRPr="00360A06">
      <w:rPr>
        <w:rFonts w:ascii="Cambria" w:hAnsi="Cambria"/>
        <w:caps/>
      </w:rPr>
      <w:instrText xml:space="preserve"> PAGE   \* MERGEFORMAT </w:instrText>
    </w:r>
    <w:r w:rsidRPr="00360A06">
      <w:rPr>
        <w:rFonts w:ascii="Cambria" w:hAnsi="Cambria"/>
        <w:caps/>
      </w:rPr>
      <w:fldChar w:fldCharType="separate"/>
    </w:r>
    <w:r w:rsidR="00CC5291">
      <w:rPr>
        <w:rFonts w:ascii="Cambria" w:hAnsi="Cambria"/>
        <w:caps/>
        <w:noProof/>
      </w:rPr>
      <w:t>1</w:t>
    </w:r>
    <w:r w:rsidRPr="00360A06">
      <w:rPr>
        <w:rFonts w:ascii="Cambria" w:hAnsi="Cambria"/>
        <w:caps/>
        <w:noProof/>
      </w:rPr>
      <w:fldChar w:fldCharType="end"/>
    </w:r>
    <w:r>
      <w:rPr>
        <w:rFonts w:ascii="Cambria" w:hAnsi="Cambria"/>
        <w:caps/>
        <w:noProof/>
      </w:rPr>
      <w:tab/>
    </w:r>
    <w:r>
      <w:rPr>
        <w:rFonts w:ascii="Cambria" w:hAnsi="Cambria"/>
        <w:caps/>
        <w:noProof/>
      </w:rPr>
      <w:tab/>
    </w:r>
    <w:r>
      <w:rPr>
        <w:rFonts w:ascii="Cambria" w:hAnsi="Cambria"/>
        <w:caps/>
        <w:noProof/>
      </w:rPr>
      <w:tab/>
    </w:r>
    <w:r>
      <w:rPr>
        <w:rFonts w:ascii="Cambria" w:hAnsi="Cambria"/>
        <w:caps/>
        <w:noProof/>
      </w:rPr>
      <w:tab/>
    </w:r>
    <w:r>
      <w:rPr>
        <w:rFonts w:ascii="Cambria" w:hAnsi="Cambria"/>
        <w:caps/>
        <w:noProof/>
      </w:rPr>
      <w:tab/>
    </w:r>
    <w:r>
      <w:rPr>
        <w:rFonts w:ascii="Cambria" w:hAnsi="Cambria"/>
        <w:caps/>
        <w:noProof/>
      </w:rPr>
      <w:tab/>
    </w:r>
    <w:r>
      <w:rPr>
        <w:rFonts w:ascii="Cambria" w:hAnsi="Cambria"/>
        <w:caps/>
        <w:noProof/>
      </w:rPr>
      <w:tab/>
    </w:r>
    <w:r>
      <w:rPr>
        <w:rFonts w:ascii="Cambria" w:hAnsi="Cambria"/>
        <w:caps/>
        <w:noProof/>
      </w:rPr>
      <w:tab/>
    </w:r>
    <w:r>
      <w:rPr>
        <w:rFonts w:ascii="Cambria" w:hAnsi="Cambria"/>
        <w:caps/>
        <w:noProof/>
      </w:rPr>
      <w:tab/>
    </w:r>
    <w:r>
      <w:rPr>
        <w:rFonts w:ascii="Cambria" w:hAnsi="Cambria"/>
        <w:i/>
        <w:sz w:val="18"/>
        <w:szCs w:val="18"/>
      </w:rPr>
      <w:t>Last R</w:t>
    </w:r>
    <w:r w:rsidRPr="006239A5">
      <w:rPr>
        <w:rFonts w:ascii="Cambria" w:hAnsi="Cambria"/>
        <w:i/>
        <w:sz w:val="18"/>
        <w:szCs w:val="18"/>
      </w:rPr>
      <w:t>evised</w:t>
    </w:r>
    <w:r>
      <w:rPr>
        <w:rFonts w:ascii="Cambria" w:hAnsi="Cambria"/>
        <w:i/>
        <w:sz w:val="18"/>
        <w:szCs w:val="18"/>
      </w:rPr>
      <w:t>:</w:t>
    </w:r>
    <w:r w:rsidRPr="006239A5">
      <w:rPr>
        <w:rFonts w:ascii="Cambria" w:hAnsi="Cambria"/>
        <w:i/>
        <w:sz w:val="18"/>
        <w:szCs w:val="18"/>
      </w:rPr>
      <w:t xml:space="preserve"> </w:t>
    </w:r>
    <w:sdt>
      <w:sdtPr>
        <w:rPr>
          <w:rFonts w:ascii="Cambria" w:hAnsi="Cambria"/>
          <w:i/>
          <w:sz w:val="18"/>
          <w:szCs w:val="18"/>
        </w:rPr>
        <w:id w:val="1412045601"/>
      </w:sdtPr>
      <w:sdtEndPr/>
      <w:sdtContent>
        <w:r w:rsidR="00231A29">
          <w:rPr>
            <w:rFonts w:ascii="Cambria" w:hAnsi="Cambria"/>
            <w:i/>
            <w:sz w:val="18"/>
            <w:szCs w:val="18"/>
          </w:rPr>
          <w:t>11</w:t>
        </w:r>
        <w:r w:rsidR="00135369">
          <w:rPr>
            <w:rFonts w:ascii="Cambria" w:hAnsi="Cambria"/>
            <w:i/>
            <w:sz w:val="18"/>
            <w:szCs w:val="18"/>
          </w:rPr>
          <w:t>/2022</w:t>
        </w:r>
      </w:sdtContent>
    </w:sdt>
  </w:p>
  <w:p w14:paraId="0A8C5906" w14:textId="77777777" w:rsidR="00060C89" w:rsidRDefault="00060C89"/>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E8BC4" w14:textId="77777777" w:rsidR="00231A29" w:rsidRDefault="00231A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33231B" w14:textId="77777777" w:rsidR="00BE6A4F" w:rsidRDefault="00BE6A4F" w:rsidP="00471F01">
      <w:r>
        <w:separator/>
      </w:r>
    </w:p>
    <w:p w14:paraId="3FD69D79" w14:textId="77777777" w:rsidR="00BE6A4F" w:rsidRDefault="00BE6A4F"/>
  </w:footnote>
  <w:footnote w:type="continuationSeparator" w:id="0">
    <w:p w14:paraId="41DCA602" w14:textId="77777777" w:rsidR="00BE6A4F" w:rsidRDefault="00BE6A4F" w:rsidP="00471F01">
      <w:r>
        <w:continuationSeparator/>
      </w:r>
    </w:p>
    <w:p w14:paraId="48D96D13" w14:textId="77777777" w:rsidR="00BE6A4F" w:rsidRDefault="00BE6A4F"/>
  </w:footnote>
  <w:footnote w:id="1">
    <w:p w14:paraId="1BF76D17" w14:textId="77777777" w:rsidR="00060C89" w:rsidRPr="0015326C" w:rsidRDefault="00060C89">
      <w:pPr>
        <w:pStyle w:val="FootnoteText"/>
        <w:rPr>
          <w:sz w:val="16"/>
        </w:rPr>
      </w:pPr>
      <w:r w:rsidRPr="0015326C">
        <w:rPr>
          <w:rStyle w:val="FootnoteReference"/>
          <w:sz w:val="16"/>
        </w:rPr>
        <w:footnoteRef/>
      </w:r>
      <w:r w:rsidRPr="0015326C">
        <w:rPr>
          <w:sz w:val="16"/>
        </w:rPr>
        <w:t xml:space="preserve"> There is no appeal right for a denial of an initial ETR request.</w:t>
      </w:r>
    </w:p>
  </w:footnote>
  <w:footnote w:id="2">
    <w:p w14:paraId="7E20BA8F" w14:textId="77777777" w:rsidR="00060C89" w:rsidRPr="00D2043C" w:rsidRDefault="00060C89">
      <w:pPr>
        <w:pStyle w:val="FootnoteText"/>
        <w:rPr>
          <w:sz w:val="16"/>
          <w:szCs w:val="16"/>
        </w:rPr>
      </w:pPr>
      <w:r w:rsidRPr="00D2043C">
        <w:rPr>
          <w:rStyle w:val="FootnoteReference"/>
          <w:sz w:val="16"/>
          <w:szCs w:val="16"/>
        </w:rPr>
        <w:footnoteRef/>
      </w:r>
      <w:r w:rsidRPr="00D2043C">
        <w:rPr>
          <w:sz w:val="16"/>
          <w:szCs w:val="16"/>
        </w:rPr>
        <w:t xml:space="preserve"> In 1998 the legislature enacted RCW 43.20B.675, which requires the department to offer a “formal uniform appeal process” to vendors including the right to an adjudicative proceeding, which is governed by the Administrative Procedure Act and department rules.  </w:t>
      </w:r>
    </w:p>
  </w:footnote>
  <w:footnote w:id="3">
    <w:p w14:paraId="48A1EA6C" w14:textId="77777777" w:rsidR="00060C89" w:rsidRPr="00D2043C" w:rsidRDefault="00060C89">
      <w:pPr>
        <w:pStyle w:val="FootnoteText"/>
        <w:rPr>
          <w:sz w:val="16"/>
          <w:szCs w:val="16"/>
        </w:rPr>
      </w:pPr>
      <w:r w:rsidRPr="00D2043C">
        <w:rPr>
          <w:rStyle w:val="FootnoteReference"/>
          <w:sz w:val="16"/>
          <w:szCs w:val="16"/>
        </w:rPr>
        <w:footnoteRef/>
      </w:r>
      <w:r w:rsidRPr="00D2043C">
        <w:rPr>
          <w:sz w:val="16"/>
          <w:szCs w:val="16"/>
        </w:rPr>
        <w:t xml:space="preserve"> Not to exceed two calendar days. </w:t>
      </w:r>
    </w:p>
  </w:footnote>
  <w:footnote w:id="4">
    <w:p w14:paraId="06AB0F6C" w14:textId="77777777" w:rsidR="00060C89" w:rsidRPr="00D2043C" w:rsidRDefault="00060C89">
      <w:pPr>
        <w:pStyle w:val="FootnoteText"/>
        <w:rPr>
          <w:sz w:val="16"/>
          <w:szCs w:val="16"/>
        </w:rPr>
      </w:pPr>
      <w:r w:rsidRPr="00D2043C">
        <w:rPr>
          <w:rStyle w:val="FootnoteReference"/>
          <w:sz w:val="16"/>
          <w:szCs w:val="16"/>
        </w:rPr>
        <w:footnoteRef/>
      </w:r>
      <w:r w:rsidRPr="00D2043C">
        <w:rPr>
          <w:sz w:val="16"/>
          <w:szCs w:val="16"/>
        </w:rPr>
        <w:t xml:space="preserve"> Not to exceed two calendar days. </w:t>
      </w:r>
    </w:p>
  </w:footnote>
  <w:footnote w:id="5">
    <w:p w14:paraId="6B7B6212" w14:textId="77777777" w:rsidR="00101607" w:rsidRPr="001B2CA1" w:rsidRDefault="00101607" w:rsidP="00101607">
      <w:pPr>
        <w:pStyle w:val="Heading3"/>
        <w:shd w:val="clear" w:color="auto" w:fill="FFFFFF"/>
        <w:spacing w:before="75" w:after="150"/>
        <w:rPr>
          <w:rFonts w:cstheme="minorHAnsi"/>
          <w:color w:val="000000"/>
          <w:sz w:val="18"/>
          <w:szCs w:val="18"/>
        </w:rPr>
      </w:pPr>
      <w:r>
        <w:rPr>
          <w:rStyle w:val="FootnoteReference"/>
        </w:rPr>
        <w:footnoteRef/>
      </w:r>
      <w:r>
        <w:t xml:space="preserve"> </w:t>
      </w:r>
      <w:r w:rsidRPr="001B2CA1">
        <w:rPr>
          <w:rFonts w:cstheme="minorHAnsi"/>
          <w:color w:val="000000"/>
          <w:sz w:val="18"/>
          <w:szCs w:val="18"/>
        </w:rPr>
        <w:t>WAC 182-526-0260</w:t>
      </w:r>
      <w:r>
        <w:rPr>
          <w:rFonts w:cstheme="minorHAnsi"/>
          <w:color w:val="000000"/>
          <w:sz w:val="18"/>
          <w:szCs w:val="18"/>
        </w:rPr>
        <w:t xml:space="preserve"> </w:t>
      </w:r>
      <w:r w:rsidRPr="001B2CA1">
        <w:rPr>
          <w:rFonts w:cstheme="minorHAnsi"/>
          <w:color w:val="000000"/>
          <w:sz w:val="18"/>
          <w:szCs w:val="18"/>
        </w:rPr>
        <w:t>Amending the health care authority or managed care organization notice.</w:t>
      </w:r>
    </w:p>
    <w:p w14:paraId="776E4372" w14:textId="77777777" w:rsidR="00101607" w:rsidRPr="001B2CA1" w:rsidRDefault="00101607" w:rsidP="00101607">
      <w:pPr>
        <w:shd w:val="clear" w:color="auto" w:fill="FFFFFF"/>
        <w:ind w:firstLine="720"/>
        <w:rPr>
          <w:rFonts w:asciiTheme="minorHAnsi" w:hAnsiTheme="minorHAnsi" w:cstheme="minorHAnsi"/>
          <w:color w:val="000000"/>
          <w:sz w:val="18"/>
          <w:szCs w:val="18"/>
        </w:rPr>
      </w:pPr>
      <w:r w:rsidRPr="001B2CA1">
        <w:rPr>
          <w:rFonts w:asciiTheme="minorHAnsi" w:hAnsiTheme="minorHAnsi" w:cstheme="minorHAnsi"/>
          <w:color w:val="000000"/>
          <w:sz w:val="18"/>
          <w:szCs w:val="18"/>
        </w:rPr>
        <w:t>(1) The administrative law judge (ALJ) must allow the health care authority (HCA), HCA's authorized agent, or a managed care organization (MCO) to amend (change) the notice of an action before or during the hearing to match the evidence and facts.</w:t>
      </w:r>
    </w:p>
    <w:p w14:paraId="5C1E76CE" w14:textId="77777777" w:rsidR="00101607" w:rsidRPr="001B2CA1" w:rsidRDefault="00101607" w:rsidP="00101607">
      <w:pPr>
        <w:shd w:val="clear" w:color="auto" w:fill="FFFFFF"/>
        <w:ind w:firstLine="720"/>
        <w:rPr>
          <w:rFonts w:asciiTheme="minorHAnsi" w:hAnsiTheme="minorHAnsi" w:cstheme="minorHAnsi"/>
          <w:color w:val="000000"/>
          <w:sz w:val="18"/>
          <w:szCs w:val="18"/>
        </w:rPr>
      </w:pPr>
      <w:r w:rsidRPr="001B2CA1">
        <w:rPr>
          <w:rFonts w:asciiTheme="minorHAnsi" w:hAnsiTheme="minorHAnsi" w:cstheme="minorHAnsi"/>
          <w:color w:val="000000"/>
          <w:sz w:val="18"/>
          <w:szCs w:val="18"/>
        </w:rPr>
        <w:t>(2) HCA, HCA's authorized agent, or MCO must put the change in writing and deliver a copy to the ALJ and all parties.</w:t>
      </w:r>
    </w:p>
    <w:p w14:paraId="17C0A98F" w14:textId="77777777" w:rsidR="00101607" w:rsidRPr="001B2CA1" w:rsidRDefault="00101607" w:rsidP="00101607">
      <w:pPr>
        <w:shd w:val="clear" w:color="auto" w:fill="FFFFFF"/>
        <w:ind w:firstLine="720"/>
        <w:rPr>
          <w:rFonts w:asciiTheme="minorHAnsi" w:hAnsiTheme="minorHAnsi" w:cstheme="minorHAnsi"/>
          <w:color w:val="000000"/>
          <w:sz w:val="18"/>
          <w:szCs w:val="18"/>
        </w:rPr>
      </w:pPr>
      <w:r w:rsidRPr="001B2CA1">
        <w:rPr>
          <w:rFonts w:asciiTheme="minorHAnsi" w:hAnsiTheme="minorHAnsi" w:cstheme="minorHAnsi"/>
          <w:color w:val="000000"/>
          <w:sz w:val="18"/>
          <w:szCs w:val="18"/>
        </w:rPr>
        <w:t>(3) The ALJ must offer to continue (postpone) the hearing to give the parties more time to prepare or present evidence or argument if there is a substantive change from the earlier notice.</w:t>
      </w:r>
    </w:p>
    <w:p w14:paraId="55359BEE" w14:textId="77777777" w:rsidR="00101607" w:rsidRPr="001B2CA1" w:rsidRDefault="00101607" w:rsidP="00101607">
      <w:pPr>
        <w:shd w:val="clear" w:color="auto" w:fill="FFFFFF"/>
        <w:ind w:firstLine="720"/>
        <w:rPr>
          <w:rFonts w:asciiTheme="minorHAnsi" w:hAnsiTheme="minorHAnsi" w:cstheme="minorHAnsi"/>
          <w:color w:val="000000"/>
          <w:sz w:val="18"/>
          <w:szCs w:val="18"/>
        </w:rPr>
      </w:pPr>
      <w:r w:rsidRPr="001B2CA1">
        <w:rPr>
          <w:rFonts w:asciiTheme="minorHAnsi" w:hAnsiTheme="minorHAnsi" w:cstheme="minorHAnsi"/>
          <w:color w:val="000000"/>
          <w:sz w:val="18"/>
          <w:szCs w:val="18"/>
        </w:rPr>
        <w:t>(4) If the ALJ grants a continuance, the office of administrative hearings must serve a new hearing notice at least fourteen calendar days before the hearing date.</w:t>
      </w:r>
    </w:p>
    <w:p w14:paraId="04ABD028" w14:textId="77777777" w:rsidR="00101607" w:rsidRPr="001B2CA1" w:rsidRDefault="00101607" w:rsidP="00101607">
      <w:pPr>
        <w:rPr>
          <w:sz w:val="18"/>
          <w:szCs w:val="18"/>
        </w:rPr>
      </w:pPr>
    </w:p>
    <w:p w14:paraId="4E5D4813" w14:textId="77777777" w:rsidR="00101607" w:rsidRDefault="00101607" w:rsidP="00101607">
      <w:pPr>
        <w:pStyle w:val="FootnoteText"/>
      </w:pPr>
    </w:p>
  </w:footnote>
  <w:footnote w:id="6">
    <w:p w14:paraId="6BA2EDEC" w14:textId="77777777" w:rsidR="00620C57" w:rsidRDefault="00620C57">
      <w:pPr>
        <w:pStyle w:val="FootnoteText"/>
      </w:pPr>
      <w:r w:rsidRPr="00354E1B">
        <w:rPr>
          <w:rStyle w:val="FootnoteReference"/>
          <w:sz w:val="16"/>
          <w:szCs w:val="16"/>
        </w:rPr>
        <w:footnoteRef/>
      </w:r>
      <w:r w:rsidRPr="00354E1B">
        <w:rPr>
          <w:sz w:val="16"/>
          <w:szCs w:val="16"/>
        </w:rPr>
        <w:t xml:space="preserve"> </w:t>
      </w:r>
      <w:r w:rsidR="00BA6A3E" w:rsidRPr="00354E1B">
        <w:rPr>
          <w:sz w:val="16"/>
          <w:szCs w:val="16"/>
        </w:rPr>
        <w:t>The AHCS does not link to OAH</w:t>
      </w:r>
      <w:r w:rsidR="00BA6A3E">
        <w:rPr>
          <w:sz w:val="16"/>
          <w:szCs w:val="16"/>
        </w:rPr>
        <w:t>,</w:t>
      </w:r>
      <w:r w:rsidR="00BA6A3E" w:rsidRPr="00354E1B">
        <w:rPr>
          <w:sz w:val="16"/>
          <w:szCs w:val="16"/>
        </w:rPr>
        <w:t xml:space="preserve"> so after a request is completed in the AHCS, it must still be sent to OAH. </w:t>
      </w:r>
    </w:p>
  </w:footnote>
  <w:footnote w:id="7">
    <w:p w14:paraId="648E5B96" w14:textId="77777777" w:rsidR="00060C89" w:rsidRPr="00D2043C" w:rsidRDefault="00060C89">
      <w:pPr>
        <w:pStyle w:val="FootnoteText"/>
        <w:rPr>
          <w:sz w:val="16"/>
          <w:szCs w:val="16"/>
        </w:rPr>
      </w:pPr>
      <w:r w:rsidRPr="00D2043C">
        <w:rPr>
          <w:rStyle w:val="FootnoteReference"/>
          <w:sz w:val="16"/>
          <w:szCs w:val="16"/>
        </w:rPr>
        <w:footnoteRef/>
      </w:r>
      <w:r w:rsidRPr="00D2043C">
        <w:rPr>
          <w:sz w:val="16"/>
          <w:szCs w:val="16"/>
        </w:rPr>
        <w:t xml:space="preserve"> </w:t>
      </w:r>
      <w:r w:rsidRPr="00D2043C">
        <w:rPr>
          <w:bCs/>
          <w:iCs/>
          <w:sz w:val="16"/>
          <w:szCs w:val="16"/>
        </w:rPr>
        <w:t xml:space="preserve">HCS or AAA staff </w:t>
      </w:r>
      <w:r w:rsidRPr="00D2043C">
        <w:rPr>
          <w:bCs/>
          <w:iCs/>
          <w:sz w:val="16"/>
          <w:szCs w:val="16"/>
          <w:u w:val="single"/>
        </w:rPr>
        <w:t>may</w:t>
      </w:r>
      <w:r w:rsidRPr="00D2043C">
        <w:rPr>
          <w:bCs/>
          <w:iCs/>
          <w:sz w:val="16"/>
          <w:szCs w:val="16"/>
        </w:rPr>
        <w:t xml:space="preserve"> </w:t>
      </w:r>
      <w:r w:rsidRPr="00D2043C">
        <w:rPr>
          <w:bCs/>
          <w:iCs/>
          <w:sz w:val="16"/>
          <w:szCs w:val="16"/>
          <w:u w:val="single"/>
        </w:rPr>
        <w:t>not</w:t>
      </w:r>
      <w:r w:rsidRPr="00D2043C">
        <w:rPr>
          <w:bCs/>
          <w:iCs/>
          <w:sz w:val="16"/>
          <w:szCs w:val="16"/>
        </w:rPr>
        <w:t xml:space="preserve"> represent the appellant in an </w:t>
      </w:r>
      <w:r w:rsidR="00CC311F" w:rsidRPr="00D2043C">
        <w:rPr>
          <w:bCs/>
          <w:iCs/>
          <w:sz w:val="16"/>
          <w:szCs w:val="16"/>
        </w:rPr>
        <w:t>administrative</w:t>
      </w:r>
      <w:r w:rsidRPr="00D2043C">
        <w:rPr>
          <w:bCs/>
          <w:iCs/>
          <w:sz w:val="16"/>
          <w:szCs w:val="16"/>
        </w:rPr>
        <w:t xml:space="preserve"> hearing</w:t>
      </w:r>
      <w:r w:rsidR="00D35690">
        <w:rPr>
          <w:bCs/>
          <w:iCs/>
          <w:sz w:val="16"/>
          <w:szCs w:val="16"/>
        </w:rPr>
        <w:t xml:space="preserve">. Consult with program managers for any exceptions to DSHS staff </w:t>
      </w:r>
      <w:r w:rsidR="00135369">
        <w:rPr>
          <w:bCs/>
          <w:iCs/>
          <w:sz w:val="16"/>
          <w:szCs w:val="16"/>
        </w:rPr>
        <w:t>representing</w:t>
      </w:r>
      <w:r w:rsidR="00D35690">
        <w:rPr>
          <w:bCs/>
          <w:iCs/>
          <w:sz w:val="16"/>
          <w:szCs w:val="16"/>
        </w:rPr>
        <w:t xml:space="preserve"> the client. </w:t>
      </w:r>
      <w:r w:rsidRPr="00D2043C">
        <w:rPr>
          <w:bCs/>
          <w:iCs/>
          <w:sz w:val="16"/>
          <w:szCs w:val="16"/>
        </w:rPr>
        <w:t xml:space="preserve"> </w:t>
      </w:r>
      <w:r w:rsidR="00135369">
        <w:rPr>
          <w:bCs/>
          <w:iCs/>
          <w:sz w:val="16"/>
          <w:szCs w:val="16"/>
        </w:rPr>
        <w:t>A</w:t>
      </w:r>
      <w:r w:rsidRPr="00D2043C">
        <w:rPr>
          <w:bCs/>
          <w:iCs/>
          <w:sz w:val="16"/>
          <w:szCs w:val="16"/>
        </w:rPr>
        <w:t xml:space="preserve"> case manager may be subpoenaed to testify as a witness for the appellant.</w:t>
      </w:r>
      <w:r w:rsidR="00D35690">
        <w:rPr>
          <w:bCs/>
          <w:iCs/>
          <w:sz w:val="16"/>
          <w:szCs w:val="16"/>
        </w:rPr>
        <w:t xml:space="preserve"> </w:t>
      </w:r>
    </w:p>
  </w:footnote>
  <w:footnote w:id="8">
    <w:p w14:paraId="445C7637" w14:textId="77777777" w:rsidR="00060C89" w:rsidRPr="00D2043C" w:rsidRDefault="00060C89" w:rsidP="007A04F7">
      <w:pPr>
        <w:pStyle w:val="FootnoteText"/>
        <w:rPr>
          <w:sz w:val="16"/>
          <w:szCs w:val="16"/>
        </w:rPr>
      </w:pPr>
      <w:r w:rsidRPr="00D2043C">
        <w:rPr>
          <w:rStyle w:val="FootnoteReference"/>
          <w:sz w:val="16"/>
          <w:szCs w:val="16"/>
        </w:rPr>
        <w:footnoteRef/>
      </w:r>
      <w:r w:rsidRPr="00D2043C">
        <w:rPr>
          <w:sz w:val="16"/>
          <w:szCs w:val="16"/>
        </w:rPr>
        <w:t xml:space="preserve"> The AHC does not have the</w:t>
      </w:r>
      <w:r>
        <w:rPr>
          <w:sz w:val="16"/>
          <w:szCs w:val="16"/>
        </w:rPr>
        <w:t xml:space="preserve"> same</w:t>
      </w:r>
      <w:r w:rsidRPr="00D2043C">
        <w:rPr>
          <w:sz w:val="16"/>
          <w:szCs w:val="16"/>
        </w:rPr>
        <w:t xml:space="preserve"> responsibilities to assist the IP through the Administrative hearing process. </w:t>
      </w:r>
    </w:p>
    <w:p w14:paraId="2A2FE4F6" w14:textId="77777777" w:rsidR="00060C89" w:rsidRDefault="00060C89">
      <w:pPr>
        <w:pStyle w:val="FootnoteText"/>
      </w:pPr>
    </w:p>
  </w:footnote>
  <w:footnote w:id="9">
    <w:p w14:paraId="0A6F8810" w14:textId="77777777" w:rsidR="00F84B9E" w:rsidRDefault="00F84B9E">
      <w:pPr>
        <w:pStyle w:val="FootnoteText"/>
      </w:pPr>
      <w:r>
        <w:rPr>
          <w:rStyle w:val="FootnoteReference"/>
        </w:rPr>
        <w:footnoteRef/>
      </w:r>
      <w:r>
        <w:t xml:space="preserve"> </w:t>
      </w:r>
      <w:r w:rsidRPr="00354E1B">
        <w:rPr>
          <w:sz w:val="16"/>
          <w:szCs w:val="16"/>
        </w:rPr>
        <w:t xml:space="preserve">And if the client requests the hearing before the effective date of the notice. </w:t>
      </w:r>
    </w:p>
  </w:footnote>
  <w:footnote w:id="10">
    <w:p w14:paraId="73C3875B" w14:textId="77777777" w:rsidR="00F84B9E" w:rsidRPr="00354E1B" w:rsidRDefault="00F84B9E">
      <w:pPr>
        <w:pStyle w:val="FootnoteText"/>
        <w:rPr>
          <w:sz w:val="16"/>
          <w:szCs w:val="16"/>
        </w:rPr>
      </w:pPr>
      <w:r>
        <w:rPr>
          <w:rStyle w:val="FootnoteReference"/>
        </w:rPr>
        <w:footnoteRef/>
      </w:r>
      <w:r>
        <w:t xml:space="preserve"> </w:t>
      </w:r>
      <w:r w:rsidRPr="00354E1B">
        <w:rPr>
          <w:sz w:val="16"/>
          <w:szCs w:val="16"/>
        </w:rPr>
        <w:t xml:space="preserve">Remember that the AHC may ask for a short recess. This may be an effective tool if the agency witness is anxious </w:t>
      </w:r>
      <w:r w:rsidR="00DC7714" w:rsidRPr="00354E1B">
        <w:rPr>
          <w:sz w:val="16"/>
          <w:szCs w:val="16"/>
        </w:rPr>
        <w:t xml:space="preserve">or scared and this is interfering with testimony. The witness will have to answer any question that has been asked before a recess will be </w:t>
      </w:r>
      <w:r w:rsidR="009221F2" w:rsidRPr="00354E1B">
        <w:rPr>
          <w:sz w:val="16"/>
          <w:szCs w:val="16"/>
        </w:rPr>
        <w:t>granted but</w:t>
      </w:r>
      <w:r w:rsidR="00DC7714" w:rsidRPr="00354E1B">
        <w:rPr>
          <w:sz w:val="16"/>
          <w:szCs w:val="16"/>
        </w:rPr>
        <w:t xml:space="preserve"> may benefit from this to break to compose themselves. </w:t>
      </w:r>
    </w:p>
  </w:footnote>
  <w:footnote w:id="11">
    <w:p w14:paraId="2F2C9B15" w14:textId="77777777" w:rsidR="00134353" w:rsidRDefault="00134353">
      <w:pPr>
        <w:pStyle w:val="FootnoteText"/>
      </w:pPr>
      <w:r>
        <w:rPr>
          <w:rStyle w:val="FootnoteReference"/>
        </w:rPr>
        <w:footnoteRef/>
      </w:r>
      <w:r>
        <w:t xml:space="preserve"> </w:t>
      </w:r>
      <w:r w:rsidRPr="00354E1B">
        <w:rPr>
          <w:sz w:val="16"/>
          <w:szCs w:val="16"/>
        </w:rPr>
        <w:t>See definition section</w:t>
      </w:r>
    </w:p>
  </w:footnote>
  <w:footnote w:id="12">
    <w:p w14:paraId="5D463331" w14:textId="77777777" w:rsidR="00E74FB2" w:rsidRDefault="00E74FB2">
      <w:pPr>
        <w:pStyle w:val="FootnoteText"/>
      </w:pPr>
      <w:r>
        <w:rPr>
          <w:rStyle w:val="FootnoteReference"/>
        </w:rPr>
        <w:footnoteRef/>
      </w:r>
      <w:r w:rsidRPr="00354E1B">
        <w:rPr>
          <w:sz w:val="16"/>
          <w:szCs w:val="16"/>
        </w:rPr>
        <w:t xml:space="preserve"> Also known as Judicial Review. </w:t>
      </w:r>
    </w:p>
  </w:footnote>
  <w:footnote w:id="13">
    <w:p w14:paraId="6926D257" w14:textId="77777777" w:rsidR="00060C89" w:rsidRPr="0015326C" w:rsidRDefault="00060C89">
      <w:pPr>
        <w:pStyle w:val="FootnoteText"/>
      </w:pPr>
      <w:r w:rsidRPr="00D2043C">
        <w:rPr>
          <w:rStyle w:val="FootnoteReference"/>
          <w:sz w:val="16"/>
        </w:rPr>
        <w:footnoteRef/>
      </w:r>
      <w:r w:rsidRPr="00D2043C">
        <w:rPr>
          <w:sz w:val="16"/>
        </w:rPr>
        <w:t xml:space="preserve"> For each Service on a PAN the date the client must appeal by, to receive continued benefits, is printed in the notice. For example: “To keep your services from being reduced until a hearing decision is made, you must appeal by 12/13/2019, and “If you appeal by 12/13/2019, we assume you want your services to stay the same until the hearing decision”.</w:t>
      </w:r>
    </w:p>
  </w:footnote>
  <w:footnote w:id="14">
    <w:p w14:paraId="116030E5" w14:textId="77777777" w:rsidR="00060C89" w:rsidRPr="00D2043C" w:rsidRDefault="00060C89">
      <w:pPr>
        <w:pStyle w:val="FootnoteText"/>
        <w:rPr>
          <w:sz w:val="16"/>
        </w:rPr>
      </w:pPr>
      <w:r w:rsidRPr="00D2043C">
        <w:rPr>
          <w:rStyle w:val="FootnoteReference"/>
          <w:sz w:val="16"/>
        </w:rPr>
        <w:footnoteRef/>
      </w:r>
      <w:r w:rsidRPr="00D2043C">
        <w:rPr>
          <w:sz w:val="16"/>
        </w:rPr>
        <w:t xml:space="preserve"> There may be certain situations where a client may have the kind of income that can’t be garnished. The department must continue to submit the overpayment to OFR and OFR will determine whether or not the overpayment gets processed. Examples of income that may not be garnished may include: Income from Social Security, SSI, veteran’s benefits, or retirement pensions, IRAs or 401(k) s. </w:t>
      </w:r>
    </w:p>
  </w:footnote>
  <w:footnote w:id="15">
    <w:p w14:paraId="32407A23" w14:textId="77777777" w:rsidR="00060C89" w:rsidRPr="00D2043C" w:rsidRDefault="00060C89" w:rsidP="0015326C">
      <w:pPr>
        <w:rPr>
          <w:rFonts w:ascii="Times New Roman" w:hAnsi="Times New Roman"/>
          <w:color w:val="993366"/>
          <w:sz w:val="16"/>
          <w:szCs w:val="20"/>
        </w:rPr>
      </w:pPr>
      <w:r w:rsidRPr="00D2043C">
        <w:rPr>
          <w:rStyle w:val="FootnoteTextChar"/>
          <w:rFonts w:eastAsiaTheme="minorHAnsi"/>
          <w:sz w:val="16"/>
        </w:rPr>
        <w:footnoteRef/>
      </w:r>
      <w:r w:rsidRPr="00D2043C">
        <w:rPr>
          <w:rFonts w:ascii="Times New Roman" w:hAnsi="Times New Roman"/>
          <w:sz w:val="18"/>
        </w:rPr>
        <w:t xml:space="preserve"> </w:t>
      </w:r>
      <w:r w:rsidRPr="00D2043C">
        <w:rPr>
          <w:rFonts w:ascii="Times New Roman" w:hAnsi="Times New Roman"/>
          <w:sz w:val="16"/>
          <w:szCs w:val="20"/>
        </w:rPr>
        <w:t xml:space="preserve">For example: </w:t>
      </w:r>
    </w:p>
    <w:p w14:paraId="6E9A6C5A" w14:textId="77777777" w:rsidR="00060C89" w:rsidRPr="00D2043C" w:rsidRDefault="00060C89" w:rsidP="00C01F5C">
      <w:pPr>
        <w:pStyle w:val="ListParagraph"/>
        <w:numPr>
          <w:ilvl w:val="0"/>
          <w:numId w:val="27"/>
        </w:numPr>
        <w:rPr>
          <w:rFonts w:ascii="Times New Roman" w:hAnsi="Times New Roman"/>
          <w:sz w:val="16"/>
          <w:szCs w:val="20"/>
        </w:rPr>
      </w:pPr>
      <w:r w:rsidRPr="00D2043C">
        <w:rPr>
          <w:rFonts w:ascii="Times New Roman" w:hAnsi="Times New Roman"/>
          <w:sz w:val="16"/>
          <w:szCs w:val="20"/>
        </w:rPr>
        <w:t>Date of the Notice is February 2</w:t>
      </w:r>
      <w:r w:rsidRPr="00D2043C">
        <w:rPr>
          <w:rFonts w:ascii="Times New Roman" w:hAnsi="Times New Roman"/>
          <w:sz w:val="16"/>
          <w:szCs w:val="20"/>
          <w:vertAlign w:val="superscript"/>
        </w:rPr>
        <w:t>nd</w:t>
      </w:r>
      <w:r w:rsidRPr="00D2043C">
        <w:rPr>
          <w:rFonts w:ascii="Times New Roman" w:hAnsi="Times New Roman"/>
          <w:sz w:val="16"/>
          <w:szCs w:val="20"/>
        </w:rPr>
        <w:t xml:space="preserve">. </w:t>
      </w:r>
    </w:p>
    <w:p w14:paraId="353B9828" w14:textId="77777777" w:rsidR="00060C89" w:rsidRPr="00D2043C" w:rsidRDefault="00060C89" w:rsidP="00C01F5C">
      <w:pPr>
        <w:pStyle w:val="ListParagraph"/>
        <w:numPr>
          <w:ilvl w:val="0"/>
          <w:numId w:val="27"/>
        </w:numPr>
        <w:rPr>
          <w:rFonts w:ascii="Times New Roman" w:hAnsi="Times New Roman"/>
          <w:sz w:val="16"/>
          <w:szCs w:val="20"/>
        </w:rPr>
      </w:pPr>
      <w:r w:rsidRPr="00D2043C">
        <w:rPr>
          <w:rFonts w:ascii="Times New Roman" w:hAnsi="Times New Roman"/>
          <w:sz w:val="16"/>
          <w:szCs w:val="20"/>
        </w:rPr>
        <w:t>The appeal by date is February 29</w:t>
      </w:r>
      <w:r w:rsidRPr="00D2043C">
        <w:rPr>
          <w:rFonts w:ascii="Times New Roman" w:hAnsi="Times New Roman"/>
          <w:sz w:val="16"/>
          <w:szCs w:val="20"/>
          <w:vertAlign w:val="superscript"/>
        </w:rPr>
        <w:t>th</w:t>
      </w:r>
      <w:r w:rsidRPr="00D2043C">
        <w:rPr>
          <w:rFonts w:ascii="Times New Roman" w:hAnsi="Times New Roman"/>
          <w:sz w:val="16"/>
          <w:szCs w:val="20"/>
        </w:rPr>
        <w:t xml:space="preserve">. </w:t>
      </w:r>
    </w:p>
    <w:p w14:paraId="4A48F9E4" w14:textId="77777777" w:rsidR="00060C89" w:rsidRPr="00D2043C" w:rsidRDefault="00060C89" w:rsidP="00C01F5C">
      <w:pPr>
        <w:pStyle w:val="ListParagraph"/>
        <w:numPr>
          <w:ilvl w:val="0"/>
          <w:numId w:val="27"/>
        </w:numPr>
        <w:rPr>
          <w:rFonts w:ascii="Times New Roman" w:hAnsi="Times New Roman"/>
          <w:sz w:val="16"/>
          <w:szCs w:val="20"/>
        </w:rPr>
      </w:pPr>
      <w:r w:rsidRPr="00D2043C">
        <w:rPr>
          <w:rFonts w:ascii="Times New Roman" w:hAnsi="Times New Roman"/>
          <w:sz w:val="16"/>
          <w:szCs w:val="20"/>
        </w:rPr>
        <w:t>Effective date of reduction is March 1</w:t>
      </w:r>
      <w:r w:rsidRPr="00D2043C">
        <w:rPr>
          <w:rFonts w:ascii="Times New Roman" w:hAnsi="Times New Roman"/>
          <w:sz w:val="16"/>
          <w:szCs w:val="20"/>
          <w:vertAlign w:val="superscript"/>
        </w:rPr>
        <w:t>st</w:t>
      </w:r>
      <w:r w:rsidRPr="00D2043C">
        <w:rPr>
          <w:rFonts w:ascii="Times New Roman" w:hAnsi="Times New Roman"/>
          <w:sz w:val="16"/>
          <w:szCs w:val="20"/>
        </w:rPr>
        <w:t xml:space="preserve">. </w:t>
      </w:r>
    </w:p>
    <w:p w14:paraId="6CA784FB" w14:textId="77777777" w:rsidR="00060C89" w:rsidRPr="00D2043C" w:rsidRDefault="00060C89" w:rsidP="00C01F5C">
      <w:pPr>
        <w:pStyle w:val="ListParagraph"/>
        <w:numPr>
          <w:ilvl w:val="0"/>
          <w:numId w:val="27"/>
        </w:numPr>
        <w:rPr>
          <w:rFonts w:ascii="Times New Roman" w:hAnsi="Times New Roman"/>
          <w:sz w:val="16"/>
          <w:szCs w:val="20"/>
        </w:rPr>
      </w:pPr>
      <w:r w:rsidRPr="00D2043C">
        <w:rPr>
          <w:rFonts w:ascii="Times New Roman" w:hAnsi="Times New Roman"/>
          <w:sz w:val="16"/>
          <w:szCs w:val="20"/>
        </w:rPr>
        <w:t>OAH receives the hearing request on February 8</w:t>
      </w:r>
      <w:r w:rsidRPr="00D2043C">
        <w:rPr>
          <w:rFonts w:ascii="Times New Roman" w:hAnsi="Times New Roman"/>
          <w:sz w:val="16"/>
          <w:szCs w:val="20"/>
          <w:vertAlign w:val="superscript"/>
        </w:rPr>
        <w:t>th</w:t>
      </w:r>
      <w:r w:rsidRPr="00D2043C">
        <w:rPr>
          <w:rFonts w:ascii="Times New Roman" w:hAnsi="Times New Roman"/>
          <w:sz w:val="16"/>
          <w:szCs w:val="20"/>
        </w:rPr>
        <w:t xml:space="preserve">. </w:t>
      </w:r>
    </w:p>
    <w:p w14:paraId="71A57343" w14:textId="77777777" w:rsidR="00060C89" w:rsidRPr="00D2043C" w:rsidRDefault="00060C89" w:rsidP="00C01F5C">
      <w:pPr>
        <w:pStyle w:val="ListParagraph"/>
        <w:numPr>
          <w:ilvl w:val="0"/>
          <w:numId w:val="27"/>
        </w:numPr>
        <w:rPr>
          <w:rFonts w:ascii="Times New Roman" w:hAnsi="Times New Roman"/>
          <w:sz w:val="16"/>
          <w:szCs w:val="20"/>
        </w:rPr>
      </w:pPr>
      <w:r w:rsidRPr="00D2043C">
        <w:rPr>
          <w:rFonts w:ascii="Times New Roman" w:hAnsi="Times New Roman"/>
          <w:sz w:val="16"/>
          <w:szCs w:val="20"/>
        </w:rPr>
        <w:t>Continued benefits start on March 1</w:t>
      </w:r>
      <w:r w:rsidRPr="00D2043C">
        <w:rPr>
          <w:rFonts w:ascii="Times New Roman" w:hAnsi="Times New Roman"/>
          <w:sz w:val="16"/>
          <w:szCs w:val="20"/>
          <w:vertAlign w:val="superscript"/>
        </w:rPr>
        <w:t>st</w:t>
      </w:r>
      <w:r w:rsidRPr="00D2043C">
        <w:rPr>
          <w:rFonts w:ascii="Times New Roman" w:hAnsi="Times New Roman"/>
          <w:sz w:val="16"/>
          <w:szCs w:val="20"/>
        </w:rPr>
        <w:t xml:space="preserve">. </w:t>
      </w:r>
    </w:p>
    <w:p w14:paraId="7343C8B3" w14:textId="77777777" w:rsidR="00060C89" w:rsidRPr="00D2043C" w:rsidRDefault="00060C89" w:rsidP="00C01F5C">
      <w:pPr>
        <w:pStyle w:val="ListParagraph"/>
        <w:numPr>
          <w:ilvl w:val="0"/>
          <w:numId w:val="27"/>
        </w:numPr>
        <w:rPr>
          <w:rFonts w:ascii="Times New Roman" w:hAnsi="Times New Roman"/>
          <w:sz w:val="16"/>
          <w:szCs w:val="20"/>
        </w:rPr>
      </w:pPr>
      <w:r w:rsidRPr="00D2043C">
        <w:rPr>
          <w:rFonts w:ascii="Times New Roman" w:hAnsi="Times New Roman"/>
          <w:sz w:val="16"/>
          <w:szCs w:val="20"/>
        </w:rPr>
        <w:t xml:space="preserve">The department prevails at the hearing that takes place in May. </w:t>
      </w:r>
    </w:p>
    <w:p w14:paraId="0A776282" w14:textId="77777777" w:rsidR="00060C89" w:rsidRPr="00D2043C" w:rsidRDefault="00060C89" w:rsidP="00C01F5C">
      <w:pPr>
        <w:pStyle w:val="ListParagraph"/>
        <w:numPr>
          <w:ilvl w:val="0"/>
          <w:numId w:val="27"/>
        </w:numPr>
        <w:rPr>
          <w:rFonts w:ascii="Times New Roman" w:hAnsi="Times New Roman"/>
          <w:sz w:val="16"/>
          <w:szCs w:val="20"/>
        </w:rPr>
      </w:pPr>
      <w:r w:rsidRPr="00D2043C">
        <w:rPr>
          <w:rFonts w:ascii="Times New Roman" w:hAnsi="Times New Roman"/>
          <w:sz w:val="16"/>
          <w:szCs w:val="20"/>
        </w:rPr>
        <w:t>The overpayment clock begins on February 8</w:t>
      </w:r>
      <w:r w:rsidRPr="00D2043C">
        <w:rPr>
          <w:rFonts w:ascii="Times New Roman" w:hAnsi="Times New Roman"/>
          <w:sz w:val="16"/>
          <w:szCs w:val="20"/>
          <w:vertAlign w:val="superscript"/>
        </w:rPr>
        <w:t>th</w:t>
      </w:r>
      <w:r w:rsidRPr="00D2043C">
        <w:rPr>
          <w:rFonts w:ascii="Times New Roman" w:hAnsi="Times New Roman"/>
          <w:sz w:val="16"/>
          <w:szCs w:val="20"/>
        </w:rPr>
        <w:t xml:space="preserve"> because that’s when OAH received the request. </w:t>
      </w:r>
    </w:p>
    <w:p w14:paraId="210AC2DC" w14:textId="77777777" w:rsidR="00060C89" w:rsidRPr="00D2043C" w:rsidRDefault="00060C89" w:rsidP="00C01F5C">
      <w:pPr>
        <w:pStyle w:val="ListParagraph"/>
        <w:numPr>
          <w:ilvl w:val="0"/>
          <w:numId w:val="27"/>
        </w:numPr>
        <w:rPr>
          <w:rFonts w:ascii="Times New Roman" w:hAnsi="Times New Roman"/>
          <w:sz w:val="16"/>
          <w:szCs w:val="20"/>
        </w:rPr>
      </w:pPr>
      <w:r w:rsidRPr="00D2043C">
        <w:rPr>
          <w:rFonts w:ascii="Times New Roman" w:hAnsi="Times New Roman"/>
          <w:sz w:val="16"/>
          <w:szCs w:val="20"/>
        </w:rPr>
        <w:t>60 days is February 8</w:t>
      </w:r>
      <w:r w:rsidRPr="00D2043C">
        <w:rPr>
          <w:rFonts w:ascii="Times New Roman" w:hAnsi="Times New Roman"/>
          <w:sz w:val="16"/>
          <w:szCs w:val="20"/>
          <w:vertAlign w:val="superscript"/>
        </w:rPr>
        <w:t>th</w:t>
      </w:r>
      <w:r w:rsidRPr="00D2043C">
        <w:rPr>
          <w:rFonts w:ascii="Times New Roman" w:hAnsi="Times New Roman"/>
          <w:sz w:val="16"/>
          <w:szCs w:val="20"/>
        </w:rPr>
        <w:t xml:space="preserve"> – April 7</w:t>
      </w:r>
      <w:r w:rsidRPr="00D2043C">
        <w:rPr>
          <w:rFonts w:ascii="Times New Roman" w:hAnsi="Times New Roman"/>
          <w:sz w:val="16"/>
          <w:szCs w:val="20"/>
          <w:vertAlign w:val="superscript"/>
        </w:rPr>
        <w:t>th</w:t>
      </w:r>
      <w:r w:rsidRPr="00D2043C">
        <w:rPr>
          <w:rFonts w:ascii="Times New Roman" w:hAnsi="Times New Roman"/>
          <w:sz w:val="16"/>
          <w:szCs w:val="20"/>
        </w:rPr>
        <w:t>.</w:t>
      </w:r>
    </w:p>
    <w:p w14:paraId="34E23D27" w14:textId="77777777" w:rsidR="00060C89" w:rsidRPr="00D2043C" w:rsidRDefault="00060C89" w:rsidP="00C01F5C">
      <w:pPr>
        <w:pStyle w:val="ListParagraph"/>
        <w:numPr>
          <w:ilvl w:val="0"/>
          <w:numId w:val="27"/>
        </w:numPr>
        <w:rPr>
          <w:rFonts w:ascii="Times New Roman" w:hAnsi="Times New Roman"/>
          <w:sz w:val="16"/>
          <w:szCs w:val="20"/>
        </w:rPr>
      </w:pPr>
      <w:r w:rsidRPr="00D2043C">
        <w:rPr>
          <w:rFonts w:ascii="Times New Roman" w:hAnsi="Times New Roman"/>
          <w:sz w:val="16"/>
          <w:szCs w:val="20"/>
        </w:rPr>
        <w:t>The department would collect from March 1</w:t>
      </w:r>
      <w:r w:rsidRPr="00D2043C">
        <w:rPr>
          <w:rFonts w:ascii="Times New Roman" w:hAnsi="Times New Roman"/>
          <w:sz w:val="16"/>
          <w:szCs w:val="20"/>
          <w:vertAlign w:val="superscript"/>
        </w:rPr>
        <w:t>st</w:t>
      </w:r>
      <w:r w:rsidRPr="00D2043C">
        <w:rPr>
          <w:rFonts w:ascii="Times New Roman" w:hAnsi="Times New Roman"/>
          <w:sz w:val="16"/>
          <w:szCs w:val="20"/>
        </w:rPr>
        <w:t>-April 7</w:t>
      </w:r>
      <w:r w:rsidRPr="00D2043C">
        <w:rPr>
          <w:rFonts w:ascii="Times New Roman" w:hAnsi="Times New Roman"/>
          <w:sz w:val="16"/>
          <w:szCs w:val="20"/>
          <w:vertAlign w:val="superscript"/>
        </w:rPr>
        <w:t>th</w:t>
      </w:r>
      <w:r w:rsidRPr="00D2043C">
        <w:rPr>
          <w:rFonts w:ascii="Times New Roman" w:hAnsi="Times New Roman"/>
          <w:sz w:val="16"/>
          <w:szCs w:val="20"/>
        </w:rPr>
        <w:t xml:space="preserve"> (only 38 days). </w:t>
      </w:r>
    </w:p>
  </w:footnote>
  <w:footnote w:id="16">
    <w:p w14:paraId="6650C2BA" w14:textId="77777777" w:rsidR="00060C89" w:rsidRPr="0015326C" w:rsidRDefault="00060C89">
      <w:pPr>
        <w:pStyle w:val="FootnoteText"/>
      </w:pPr>
      <w:r w:rsidRPr="00D2043C">
        <w:rPr>
          <w:rStyle w:val="FootnoteReference"/>
          <w:sz w:val="16"/>
        </w:rPr>
        <w:footnoteRef/>
      </w:r>
      <w:r w:rsidRPr="00D2043C">
        <w:rPr>
          <w:sz w:val="16"/>
        </w:rPr>
        <w:t xml:space="preserve"> See Notices (5) for exceptions.</w:t>
      </w:r>
    </w:p>
  </w:footnote>
  <w:footnote w:id="17">
    <w:p w14:paraId="434B574D" w14:textId="77777777" w:rsidR="00390B3B" w:rsidRDefault="00390B3B" w:rsidP="00390B3B">
      <w:pPr>
        <w:pStyle w:val="FootnoteText"/>
      </w:pPr>
      <w:r>
        <w:rPr>
          <w:rStyle w:val="FootnoteReference"/>
        </w:rPr>
        <w:footnoteRef/>
      </w:r>
      <w:r>
        <w:t xml:space="preserve"> </w:t>
      </w:r>
      <w:r w:rsidRPr="00715429">
        <w:rPr>
          <w:sz w:val="16"/>
          <w:szCs w:val="16"/>
        </w:rPr>
        <w:t>Except in cases where good cause has been determined for a state only program, per RCW 74.08.080 and 74.09.741</w:t>
      </w:r>
      <w:r>
        <w:rPr>
          <w:sz w:val="16"/>
          <w:szCs w:val="16"/>
        </w:rPr>
        <w:t xml:space="preserve"> effective 7/2023</w:t>
      </w:r>
    </w:p>
  </w:footnote>
  <w:footnote w:id="18">
    <w:p w14:paraId="3C60F6DF" w14:textId="77777777" w:rsidR="00060C89" w:rsidRDefault="00060C89">
      <w:pPr>
        <w:pStyle w:val="FootnoteText"/>
      </w:pPr>
      <w:r>
        <w:rPr>
          <w:rStyle w:val="FootnoteReference"/>
        </w:rPr>
        <w:footnoteRef/>
      </w:r>
      <w:r>
        <w:t xml:space="preserve"> </w:t>
      </w:r>
      <w:r w:rsidRPr="00354E1B">
        <w:rPr>
          <w:sz w:val="16"/>
          <w:szCs w:val="16"/>
        </w:rPr>
        <w:t xml:space="preserve">Good cause must be established for a late request to be accepted. The department should instead request an extension of the timeframe, before the deadline, if more time is needed. </w:t>
      </w:r>
    </w:p>
  </w:footnote>
  <w:footnote w:id="19">
    <w:p w14:paraId="6EEB90F1" w14:textId="77777777" w:rsidR="00060C89" w:rsidRPr="00D2043C" w:rsidRDefault="00060C89" w:rsidP="0015326C">
      <w:pPr>
        <w:pStyle w:val="FootnoteText"/>
        <w:rPr>
          <w:sz w:val="16"/>
        </w:rPr>
      </w:pPr>
      <w:r w:rsidRPr="00D2043C">
        <w:rPr>
          <w:rStyle w:val="FootnoteReference"/>
          <w:sz w:val="16"/>
        </w:rPr>
        <w:footnoteRef/>
      </w:r>
      <w:r w:rsidRPr="00D2043C">
        <w:rPr>
          <w:sz w:val="16"/>
        </w:rPr>
        <w:t xml:space="preserve"> The </w:t>
      </w:r>
      <w:r w:rsidRPr="00D2043C">
        <w:rPr>
          <w:bCs/>
          <w:sz w:val="16"/>
          <w:szCs w:val="22"/>
        </w:rPr>
        <w:t>hearing may also be in person or some parties may be in-person and some by phone.</w:t>
      </w:r>
      <w:r w:rsidRPr="00D2043C">
        <w:rPr>
          <w:rFonts w:ascii="Arial" w:hAnsi="Arial" w:cs="Arial"/>
          <w:bCs/>
          <w:sz w:val="16"/>
          <w:szCs w:val="22"/>
        </w:rPr>
        <w:t xml:space="preserve"> </w:t>
      </w:r>
    </w:p>
    <w:p w14:paraId="5E2455C6" w14:textId="77777777" w:rsidR="00060C89" w:rsidRDefault="00060C89">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8DACF" w14:textId="77777777" w:rsidR="00231A29" w:rsidRDefault="00231A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64"/>
      <w:gridCol w:w="2196"/>
    </w:tblGrid>
    <w:tr w:rsidR="00060C89" w14:paraId="3251D880" w14:textId="77777777" w:rsidTr="00471F01">
      <w:tc>
        <w:tcPr>
          <w:tcW w:w="7164" w:type="dxa"/>
        </w:tcPr>
        <w:p w14:paraId="038F5476" w14:textId="77777777" w:rsidR="00060C89" w:rsidRPr="00651643" w:rsidRDefault="00060C89" w:rsidP="00471F01">
          <w:pPr>
            <w:pStyle w:val="Header"/>
            <w:rPr>
              <w:rFonts w:ascii="Cambria" w:hAnsi="Cambria"/>
              <w:b/>
              <w:caps/>
              <w:color w:val="0F5EA3"/>
              <w:sz w:val="24"/>
              <w:szCs w:val="24"/>
            </w:rPr>
          </w:pPr>
          <w:r w:rsidRPr="00651643">
            <w:rPr>
              <w:rFonts w:ascii="Cambria" w:hAnsi="Cambria"/>
              <w:b/>
              <w:caps/>
              <w:color w:val="0F5EA3"/>
              <w:sz w:val="24"/>
              <w:szCs w:val="24"/>
            </w:rPr>
            <w:t xml:space="preserve">Chapter </w:t>
          </w:r>
          <w:sdt>
            <w:sdtPr>
              <w:rPr>
                <w:rFonts w:ascii="Cambria" w:hAnsi="Cambria"/>
                <w:color w:val="0F5EA3"/>
                <w:sz w:val="24"/>
                <w:szCs w:val="24"/>
              </w:rPr>
              <w:id w:val="-1743705513"/>
              <w15:appearance w15:val="hidden"/>
              <w:text/>
            </w:sdtPr>
            <w:sdtEndPr/>
            <w:sdtContent>
              <w:r>
                <w:rPr>
                  <w:rFonts w:ascii="Cambria" w:hAnsi="Cambria"/>
                  <w:color w:val="0F5EA3"/>
                  <w:sz w:val="24"/>
                  <w:szCs w:val="24"/>
                </w:rPr>
                <w:t>26</w:t>
              </w:r>
            </w:sdtContent>
          </w:sdt>
          <w:r w:rsidRPr="00651643">
            <w:rPr>
              <w:rFonts w:ascii="Cambria" w:hAnsi="Cambria"/>
              <w:b/>
              <w:caps/>
              <w:color w:val="0F5EA3"/>
              <w:sz w:val="24"/>
              <w:szCs w:val="24"/>
            </w:rPr>
            <w:t xml:space="preserve">:  </w:t>
          </w:r>
          <w:sdt>
            <w:sdtPr>
              <w:rPr>
                <w:rFonts w:ascii="Cambria" w:hAnsi="Cambria"/>
                <w:color w:val="0F5EA3"/>
                <w:sz w:val="24"/>
                <w:szCs w:val="24"/>
              </w:rPr>
              <w:id w:val="-1591624033"/>
              <w:text/>
            </w:sdtPr>
            <w:sdtEndPr/>
            <w:sdtContent>
              <w:r>
                <w:rPr>
                  <w:rFonts w:ascii="Cambria" w:hAnsi="Cambria"/>
                  <w:color w:val="0F5EA3"/>
                  <w:sz w:val="24"/>
                  <w:szCs w:val="24"/>
                </w:rPr>
                <w:t>Administrative Hearings</w:t>
              </w:r>
            </w:sdtContent>
          </w:sdt>
        </w:p>
        <w:p w14:paraId="2CA7EB37" w14:textId="77777777" w:rsidR="00060C89" w:rsidRPr="00C41133" w:rsidRDefault="00060C89" w:rsidP="00471F01">
          <w:pPr>
            <w:pStyle w:val="Header"/>
            <w:spacing w:before="60"/>
            <w:rPr>
              <w:rFonts w:ascii="Cambria" w:hAnsi="Cambria"/>
              <w:i/>
              <w:color w:val="000000" w:themeColor="text1"/>
            </w:rPr>
          </w:pPr>
          <w:r w:rsidRPr="00C41133">
            <w:rPr>
              <w:rFonts w:ascii="Cambria" w:hAnsi="Cambria"/>
              <w:i/>
              <w:color w:val="000000" w:themeColor="text1"/>
            </w:rPr>
            <w:t>ALTSA Long-Term Care Manual</w:t>
          </w:r>
        </w:p>
        <w:p w14:paraId="40F7673C" w14:textId="77777777" w:rsidR="00060C89" w:rsidRDefault="00060C89" w:rsidP="00471F01">
          <w:pPr>
            <w:pStyle w:val="Header"/>
            <w:rPr>
              <w:rFonts w:ascii="Cambria" w:hAnsi="Cambria"/>
              <w:b/>
              <w:caps/>
            </w:rPr>
          </w:pPr>
        </w:p>
      </w:tc>
      <w:tc>
        <w:tcPr>
          <w:tcW w:w="2196" w:type="dxa"/>
        </w:tcPr>
        <w:p w14:paraId="6E4042DC" w14:textId="77777777" w:rsidR="00060C89" w:rsidRDefault="00060C89" w:rsidP="00471F01">
          <w:pPr>
            <w:pStyle w:val="Header"/>
            <w:rPr>
              <w:rFonts w:ascii="Cambria" w:hAnsi="Cambria"/>
              <w:b/>
              <w:caps/>
            </w:rPr>
          </w:pPr>
          <w:r>
            <w:rPr>
              <w:rFonts w:ascii="Arial" w:hAnsi="Arial" w:cs="Arial"/>
              <w:noProof/>
              <w:color w:val="FFFFFF"/>
              <w:sz w:val="20"/>
            </w:rPr>
            <w:drawing>
              <wp:inline distT="0" distB="0" distL="0" distR="0" wp14:anchorId="62C5E8C8" wp14:editId="5D803ED6">
                <wp:extent cx="1252728" cy="685800"/>
                <wp:effectExtent l="0" t="0" r="5080" b="0"/>
                <wp:docPr id="31" name="Picture 31"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e the source imag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52728" cy="685800"/>
                        </a:xfrm>
                        <a:prstGeom prst="rect">
                          <a:avLst/>
                        </a:prstGeom>
                        <a:noFill/>
                        <a:ln>
                          <a:noFill/>
                        </a:ln>
                      </pic:spPr>
                    </pic:pic>
                  </a:graphicData>
                </a:graphic>
              </wp:inline>
            </w:drawing>
          </w:r>
        </w:p>
      </w:tc>
    </w:tr>
    <w:tr w:rsidR="00060C89" w14:paraId="4BBEB143" w14:textId="77777777" w:rsidTr="00471F01">
      <w:tc>
        <w:tcPr>
          <w:tcW w:w="9360" w:type="dxa"/>
          <w:gridSpan w:val="2"/>
          <w:shd w:val="clear" w:color="auto" w:fill="E89719"/>
        </w:tcPr>
        <w:p w14:paraId="08EB739B" w14:textId="77777777" w:rsidR="00060C89" w:rsidRPr="000D6D48" w:rsidRDefault="00060C89" w:rsidP="00471F01">
          <w:pPr>
            <w:pStyle w:val="Header"/>
            <w:rPr>
              <w:rFonts w:ascii="Arial" w:hAnsi="Arial" w:cs="Arial"/>
              <w:noProof/>
              <w:color w:val="FFFFFF"/>
              <w:sz w:val="4"/>
              <w:szCs w:val="20"/>
            </w:rPr>
          </w:pPr>
        </w:p>
      </w:tc>
    </w:tr>
  </w:tbl>
  <w:p w14:paraId="6DA33AC4" w14:textId="77777777" w:rsidR="00060C89" w:rsidRDefault="00060C89"/>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8B283" w14:textId="77777777" w:rsidR="00231A29" w:rsidRDefault="00231A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87910"/>
    <w:multiLevelType w:val="hybridMultilevel"/>
    <w:tmpl w:val="51049A5E"/>
    <w:lvl w:ilvl="0" w:tplc="04090017">
      <w:start w:val="1"/>
      <w:numFmt w:val="lowerLetter"/>
      <w:lvlText w:val="%1)"/>
      <w:lvlJc w:val="left"/>
      <w:pPr>
        <w:ind w:left="1080" w:hanging="360"/>
      </w:pPr>
    </w:lvl>
    <w:lvl w:ilvl="1" w:tplc="04090017">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3E64149"/>
    <w:multiLevelType w:val="multilevel"/>
    <w:tmpl w:val="93EA1444"/>
    <w:name w:val="Numbering22222"/>
    <w:numStyleLink w:val="Style1"/>
  </w:abstractNum>
  <w:abstractNum w:abstractNumId="2" w15:restartNumberingAfterBreak="0">
    <w:nsid w:val="08EB5B42"/>
    <w:multiLevelType w:val="hybridMultilevel"/>
    <w:tmpl w:val="F6DE6DC0"/>
    <w:lvl w:ilvl="0" w:tplc="04090017">
      <w:start w:val="1"/>
      <w:numFmt w:val="lowerLetter"/>
      <w:lvlText w:val="%1)"/>
      <w:lvlJc w:val="left"/>
      <w:pPr>
        <w:ind w:left="720" w:hanging="360"/>
      </w:pPr>
    </w:lvl>
    <w:lvl w:ilvl="1" w:tplc="DBA4E5AC">
      <w:start w:val="1"/>
      <w:numFmt w:val="lowerRoman"/>
      <w:lvlText w:val="%2."/>
      <w:lvlJc w:val="left"/>
      <w:pPr>
        <w:ind w:left="288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A47386"/>
    <w:multiLevelType w:val="multilevel"/>
    <w:tmpl w:val="D152C0EC"/>
    <w:styleLink w:val="StyleNumbersListOutlinenumberedLeft063"/>
    <w:lvl w:ilvl="0">
      <w:start w:val="1"/>
      <w:numFmt w:val="decimal"/>
      <w:lvlText w:val="%1."/>
      <w:lvlJc w:val="right"/>
      <w:pPr>
        <w:ind w:left="360" w:firstLine="0"/>
      </w:pPr>
      <w:rPr>
        <w:rFonts w:asciiTheme="minorHAnsi" w:hAnsiTheme="minorHAnsi" w:hint="default"/>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DF50F87"/>
    <w:multiLevelType w:val="multilevel"/>
    <w:tmpl w:val="8CD42D26"/>
    <w:name w:val="Numbering22222222222222"/>
    <w:numStyleLink w:val="NumericList"/>
  </w:abstractNum>
  <w:abstractNum w:abstractNumId="5" w15:restartNumberingAfterBreak="0">
    <w:nsid w:val="0DFB79B7"/>
    <w:multiLevelType w:val="hybridMultilevel"/>
    <w:tmpl w:val="FEDE33DC"/>
    <w:lvl w:ilvl="0" w:tplc="867810E4">
      <w:start w:val="4"/>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2964379"/>
    <w:multiLevelType w:val="hybridMultilevel"/>
    <w:tmpl w:val="905A646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6CE17F9"/>
    <w:multiLevelType w:val="hybridMultilevel"/>
    <w:tmpl w:val="D2F49BC4"/>
    <w:name w:val="Numbering22222222"/>
    <w:lvl w:ilvl="0" w:tplc="CD6E8C5E">
      <w:start w:val="1"/>
      <w:numFmt w:val="decimal"/>
      <w:lvlText w:val="%1."/>
      <w:lvlJc w:val="left"/>
      <w:pPr>
        <w:ind w:left="1224"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7B8A03D0" w:tentative="1">
      <w:start w:val="1"/>
      <w:numFmt w:val="lowerLetter"/>
      <w:lvlText w:val="%2."/>
      <w:lvlJc w:val="left"/>
      <w:pPr>
        <w:ind w:left="1440" w:hanging="360"/>
      </w:pPr>
    </w:lvl>
    <w:lvl w:ilvl="2" w:tplc="BB58B684" w:tentative="1">
      <w:start w:val="1"/>
      <w:numFmt w:val="lowerRoman"/>
      <w:lvlText w:val="%3."/>
      <w:lvlJc w:val="right"/>
      <w:pPr>
        <w:ind w:left="2160" w:hanging="180"/>
      </w:pPr>
    </w:lvl>
    <w:lvl w:ilvl="3" w:tplc="896C95F4" w:tentative="1">
      <w:start w:val="1"/>
      <w:numFmt w:val="decimal"/>
      <w:lvlText w:val="%4."/>
      <w:lvlJc w:val="left"/>
      <w:pPr>
        <w:ind w:left="2880" w:hanging="360"/>
      </w:pPr>
    </w:lvl>
    <w:lvl w:ilvl="4" w:tplc="20047A06" w:tentative="1">
      <w:start w:val="1"/>
      <w:numFmt w:val="lowerLetter"/>
      <w:lvlText w:val="%5."/>
      <w:lvlJc w:val="left"/>
      <w:pPr>
        <w:ind w:left="3600" w:hanging="360"/>
      </w:pPr>
    </w:lvl>
    <w:lvl w:ilvl="5" w:tplc="972CF496" w:tentative="1">
      <w:start w:val="1"/>
      <w:numFmt w:val="lowerRoman"/>
      <w:lvlText w:val="%6."/>
      <w:lvlJc w:val="right"/>
      <w:pPr>
        <w:ind w:left="4320" w:hanging="180"/>
      </w:pPr>
    </w:lvl>
    <w:lvl w:ilvl="6" w:tplc="B8B21826" w:tentative="1">
      <w:start w:val="1"/>
      <w:numFmt w:val="decimal"/>
      <w:lvlText w:val="%7."/>
      <w:lvlJc w:val="left"/>
      <w:pPr>
        <w:ind w:left="5040" w:hanging="360"/>
      </w:pPr>
    </w:lvl>
    <w:lvl w:ilvl="7" w:tplc="B98E362A" w:tentative="1">
      <w:start w:val="1"/>
      <w:numFmt w:val="lowerLetter"/>
      <w:lvlText w:val="%8."/>
      <w:lvlJc w:val="left"/>
      <w:pPr>
        <w:ind w:left="5760" w:hanging="360"/>
      </w:pPr>
    </w:lvl>
    <w:lvl w:ilvl="8" w:tplc="3942F5D0" w:tentative="1">
      <w:start w:val="1"/>
      <w:numFmt w:val="lowerRoman"/>
      <w:lvlText w:val="%9."/>
      <w:lvlJc w:val="right"/>
      <w:pPr>
        <w:ind w:left="6480" w:hanging="180"/>
      </w:pPr>
    </w:lvl>
  </w:abstractNum>
  <w:abstractNum w:abstractNumId="8" w15:restartNumberingAfterBreak="0">
    <w:nsid w:val="178749E0"/>
    <w:multiLevelType w:val="multilevel"/>
    <w:tmpl w:val="8CD42D26"/>
    <w:name w:val="Numbering2222222222"/>
    <w:numStyleLink w:val="NumericList"/>
  </w:abstractNum>
  <w:abstractNum w:abstractNumId="9" w15:restartNumberingAfterBreak="0">
    <w:nsid w:val="17D165EC"/>
    <w:multiLevelType w:val="hybridMultilevel"/>
    <w:tmpl w:val="E2848510"/>
    <w:lvl w:ilvl="0" w:tplc="04090001">
      <w:start w:val="1"/>
      <w:numFmt w:val="bullet"/>
      <w:lvlText w:val=""/>
      <w:lvlJc w:val="left"/>
      <w:pPr>
        <w:tabs>
          <w:tab w:val="num" w:pos="720"/>
        </w:tabs>
        <w:ind w:left="720" w:hanging="360"/>
      </w:pPr>
      <w:rPr>
        <w:rFonts w:ascii="Symbol" w:hAnsi="Symbol" w:hint="default"/>
      </w:rPr>
    </w:lvl>
    <w:lvl w:ilvl="1" w:tplc="EDA0CC8A">
      <w:numFmt w:val="bullet"/>
      <w:lvlText w:val="O"/>
      <w:lvlJc w:val="left"/>
      <w:pPr>
        <w:tabs>
          <w:tab w:val="num" w:pos="1440"/>
        </w:tabs>
        <w:ind w:left="1440" w:hanging="360"/>
      </w:pPr>
      <w:rPr>
        <w:rFonts w:ascii="Brush Script MT" w:hAnsi="Brush Script MT" w:hint="default"/>
      </w:rPr>
    </w:lvl>
    <w:lvl w:ilvl="2" w:tplc="659448F0" w:tentative="1">
      <w:start w:val="1"/>
      <w:numFmt w:val="bullet"/>
      <w:lvlText w:val="O"/>
      <w:lvlJc w:val="left"/>
      <w:pPr>
        <w:tabs>
          <w:tab w:val="num" w:pos="2160"/>
        </w:tabs>
        <w:ind w:left="2160" w:hanging="360"/>
      </w:pPr>
      <w:rPr>
        <w:rFonts w:ascii="Brush Script MT" w:hAnsi="Brush Script MT" w:hint="default"/>
      </w:rPr>
    </w:lvl>
    <w:lvl w:ilvl="3" w:tplc="94FAC130" w:tentative="1">
      <w:start w:val="1"/>
      <w:numFmt w:val="bullet"/>
      <w:lvlText w:val="O"/>
      <w:lvlJc w:val="left"/>
      <w:pPr>
        <w:tabs>
          <w:tab w:val="num" w:pos="2880"/>
        </w:tabs>
        <w:ind w:left="2880" w:hanging="360"/>
      </w:pPr>
      <w:rPr>
        <w:rFonts w:ascii="Brush Script MT" w:hAnsi="Brush Script MT" w:hint="default"/>
      </w:rPr>
    </w:lvl>
    <w:lvl w:ilvl="4" w:tplc="E3EC54F6" w:tentative="1">
      <w:start w:val="1"/>
      <w:numFmt w:val="bullet"/>
      <w:lvlText w:val="O"/>
      <w:lvlJc w:val="left"/>
      <w:pPr>
        <w:tabs>
          <w:tab w:val="num" w:pos="3600"/>
        </w:tabs>
        <w:ind w:left="3600" w:hanging="360"/>
      </w:pPr>
      <w:rPr>
        <w:rFonts w:ascii="Brush Script MT" w:hAnsi="Brush Script MT" w:hint="default"/>
      </w:rPr>
    </w:lvl>
    <w:lvl w:ilvl="5" w:tplc="D26C08FE" w:tentative="1">
      <w:start w:val="1"/>
      <w:numFmt w:val="bullet"/>
      <w:lvlText w:val="O"/>
      <w:lvlJc w:val="left"/>
      <w:pPr>
        <w:tabs>
          <w:tab w:val="num" w:pos="4320"/>
        </w:tabs>
        <w:ind w:left="4320" w:hanging="360"/>
      </w:pPr>
      <w:rPr>
        <w:rFonts w:ascii="Brush Script MT" w:hAnsi="Brush Script MT" w:hint="default"/>
      </w:rPr>
    </w:lvl>
    <w:lvl w:ilvl="6" w:tplc="406E09CE" w:tentative="1">
      <w:start w:val="1"/>
      <w:numFmt w:val="bullet"/>
      <w:lvlText w:val="O"/>
      <w:lvlJc w:val="left"/>
      <w:pPr>
        <w:tabs>
          <w:tab w:val="num" w:pos="5040"/>
        </w:tabs>
        <w:ind w:left="5040" w:hanging="360"/>
      </w:pPr>
      <w:rPr>
        <w:rFonts w:ascii="Brush Script MT" w:hAnsi="Brush Script MT" w:hint="default"/>
      </w:rPr>
    </w:lvl>
    <w:lvl w:ilvl="7" w:tplc="5E0C5626" w:tentative="1">
      <w:start w:val="1"/>
      <w:numFmt w:val="bullet"/>
      <w:lvlText w:val="O"/>
      <w:lvlJc w:val="left"/>
      <w:pPr>
        <w:tabs>
          <w:tab w:val="num" w:pos="5760"/>
        </w:tabs>
        <w:ind w:left="5760" w:hanging="360"/>
      </w:pPr>
      <w:rPr>
        <w:rFonts w:ascii="Brush Script MT" w:hAnsi="Brush Script MT" w:hint="default"/>
      </w:rPr>
    </w:lvl>
    <w:lvl w:ilvl="8" w:tplc="82D81D52" w:tentative="1">
      <w:start w:val="1"/>
      <w:numFmt w:val="bullet"/>
      <w:lvlText w:val="O"/>
      <w:lvlJc w:val="left"/>
      <w:pPr>
        <w:tabs>
          <w:tab w:val="num" w:pos="6480"/>
        </w:tabs>
        <w:ind w:left="6480" w:hanging="360"/>
      </w:pPr>
      <w:rPr>
        <w:rFonts w:ascii="Brush Script MT" w:hAnsi="Brush Script MT" w:hint="default"/>
      </w:rPr>
    </w:lvl>
  </w:abstractNum>
  <w:abstractNum w:abstractNumId="10" w15:restartNumberingAfterBreak="0">
    <w:nsid w:val="197B2FE9"/>
    <w:multiLevelType w:val="hybridMultilevel"/>
    <w:tmpl w:val="79AC2DD6"/>
    <w:lvl w:ilvl="0" w:tplc="234EEC48">
      <w:start w:val="6"/>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0858C7"/>
    <w:multiLevelType w:val="hybridMultilevel"/>
    <w:tmpl w:val="1FC076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1DC82FFC"/>
    <w:multiLevelType w:val="multilevel"/>
    <w:tmpl w:val="FB8833C4"/>
    <w:styleLink w:val="NumbersList"/>
    <w:lvl w:ilvl="0">
      <w:start w:val="1"/>
      <w:numFmt w:val="decimal"/>
      <w:lvlText w:val="%1."/>
      <w:lvlJc w:val="left"/>
      <w:pPr>
        <w:ind w:left="720" w:hanging="360"/>
      </w:pPr>
      <w:rPr>
        <w:rFonts w:ascii="Calibri" w:hAnsi="Calibri" w:hint="default"/>
        <w:b w:val="0"/>
        <w:i w:val="0"/>
        <w:caps w:val="0"/>
        <w:strike w:val="0"/>
        <w:dstrike w:val="0"/>
        <w:vanish w:val="0"/>
        <w:sz w:val="22"/>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1EFA041D"/>
    <w:multiLevelType w:val="multilevel"/>
    <w:tmpl w:val="FB8833C4"/>
    <w:styleLink w:val="StyleNumbersListOutlinenumberedLeft062"/>
    <w:lvl w:ilvl="0">
      <w:start w:val="1"/>
      <w:numFmt w:val="decimal"/>
      <w:lvlText w:val="%1."/>
      <w:lvlJc w:val="left"/>
      <w:pPr>
        <w:ind w:left="1080" w:hanging="360"/>
      </w:pPr>
      <w:rPr>
        <w:rFonts w:asciiTheme="minorHAnsi" w:hAnsiTheme="minorHAnsi"/>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24267769"/>
    <w:multiLevelType w:val="hybridMultilevel"/>
    <w:tmpl w:val="0F30FD40"/>
    <w:lvl w:ilvl="0" w:tplc="0B3094C4">
      <w:start w:val="1"/>
      <w:numFmt w:val="lowerRoman"/>
      <w:pStyle w:val="Numbering3"/>
      <w:lvlText w:val="%1."/>
      <w:lvlJc w:val="right"/>
      <w:pPr>
        <w:ind w:left="2160" w:hanging="360"/>
      </w:pPr>
      <w:rPr>
        <w:rFonts w:ascii="Arial" w:hAnsi="Arial" w:cs="Times New Roman" w:hint="default"/>
        <w:sz w:val="24"/>
      </w:rPr>
    </w:lvl>
    <w:lvl w:ilvl="1" w:tplc="BA68CE34" w:tentative="1">
      <w:start w:val="1"/>
      <w:numFmt w:val="lowerLetter"/>
      <w:lvlText w:val="%2."/>
      <w:lvlJc w:val="left"/>
      <w:pPr>
        <w:ind w:left="2880" w:hanging="360"/>
      </w:pPr>
    </w:lvl>
    <w:lvl w:ilvl="2" w:tplc="28B88204" w:tentative="1">
      <w:start w:val="1"/>
      <w:numFmt w:val="lowerRoman"/>
      <w:lvlText w:val="%3."/>
      <w:lvlJc w:val="right"/>
      <w:pPr>
        <w:ind w:left="3600" w:hanging="180"/>
      </w:pPr>
    </w:lvl>
    <w:lvl w:ilvl="3" w:tplc="56080072" w:tentative="1">
      <w:start w:val="1"/>
      <w:numFmt w:val="decimal"/>
      <w:lvlText w:val="%4."/>
      <w:lvlJc w:val="left"/>
      <w:pPr>
        <w:ind w:left="4320" w:hanging="360"/>
      </w:pPr>
    </w:lvl>
    <w:lvl w:ilvl="4" w:tplc="81CE4DC6" w:tentative="1">
      <w:start w:val="1"/>
      <w:numFmt w:val="lowerLetter"/>
      <w:lvlText w:val="%5."/>
      <w:lvlJc w:val="left"/>
      <w:pPr>
        <w:ind w:left="5040" w:hanging="360"/>
      </w:pPr>
    </w:lvl>
    <w:lvl w:ilvl="5" w:tplc="396C77FA" w:tentative="1">
      <w:start w:val="1"/>
      <w:numFmt w:val="lowerRoman"/>
      <w:lvlText w:val="%6."/>
      <w:lvlJc w:val="right"/>
      <w:pPr>
        <w:ind w:left="5760" w:hanging="180"/>
      </w:pPr>
    </w:lvl>
    <w:lvl w:ilvl="6" w:tplc="53C64E98" w:tentative="1">
      <w:start w:val="1"/>
      <w:numFmt w:val="decimal"/>
      <w:lvlText w:val="%7."/>
      <w:lvlJc w:val="left"/>
      <w:pPr>
        <w:ind w:left="6480" w:hanging="360"/>
      </w:pPr>
    </w:lvl>
    <w:lvl w:ilvl="7" w:tplc="9146BD1C" w:tentative="1">
      <w:start w:val="1"/>
      <w:numFmt w:val="lowerLetter"/>
      <w:lvlText w:val="%8."/>
      <w:lvlJc w:val="left"/>
      <w:pPr>
        <w:ind w:left="7200" w:hanging="360"/>
      </w:pPr>
    </w:lvl>
    <w:lvl w:ilvl="8" w:tplc="721C3CE6" w:tentative="1">
      <w:start w:val="1"/>
      <w:numFmt w:val="lowerRoman"/>
      <w:lvlText w:val="%9."/>
      <w:lvlJc w:val="right"/>
      <w:pPr>
        <w:ind w:left="7920" w:hanging="180"/>
      </w:pPr>
    </w:lvl>
  </w:abstractNum>
  <w:abstractNum w:abstractNumId="15" w15:restartNumberingAfterBreak="0">
    <w:nsid w:val="26CB62C3"/>
    <w:multiLevelType w:val="hybridMultilevel"/>
    <w:tmpl w:val="C2E8B6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7383A85"/>
    <w:multiLevelType w:val="hybridMultilevel"/>
    <w:tmpl w:val="95F4393A"/>
    <w:lvl w:ilvl="0" w:tplc="DBA4E5AC">
      <w:start w:val="1"/>
      <w:numFmt w:val="lowerRoman"/>
      <w:lvlText w:val="%1."/>
      <w:lvlJc w:val="left"/>
      <w:pPr>
        <w:ind w:left="28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7F52124"/>
    <w:multiLevelType w:val="hybridMultilevel"/>
    <w:tmpl w:val="ED6287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AB34A1A"/>
    <w:multiLevelType w:val="multilevel"/>
    <w:tmpl w:val="8CD42D26"/>
    <w:name w:val="Numbering222222222"/>
    <w:numStyleLink w:val="NumericList"/>
  </w:abstractNum>
  <w:abstractNum w:abstractNumId="19" w15:restartNumberingAfterBreak="0">
    <w:nsid w:val="2BDB39CF"/>
    <w:multiLevelType w:val="hybridMultilevel"/>
    <w:tmpl w:val="DF402CC2"/>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0" w15:restartNumberingAfterBreak="0">
    <w:nsid w:val="2C1D004C"/>
    <w:multiLevelType w:val="multilevel"/>
    <w:tmpl w:val="8CD42D26"/>
    <w:name w:val="Numbering2222222222222"/>
    <w:numStyleLink w:val="NumericList"/>
  </w:abstractNum>
  <w:abstractNum w:abstractNumId="21" w15:restartNumberingAfterBreak="0">
    <w:nsid w:val="30B3111C"/>
    <w:multiLevelType w:val="hybridMultilevel"/>
    <w:tmpl w:val="09D6D9F8"/>
    <w:lvl w:ilvl="0" w:tplc="04090017">
      <w:start w:val="1"/>
      <w:numFmt w:val="lowerLetter"/>
      <w:lvlText w:val="%1)"/>
      <w:lvlJc w:val="left"/>
      <w:pPr>
        <w:ind w:left="1440" w:hanging="360"/>
      </w:pPr>
    </w:lvl>
    <w:lvl w:ilvl="1" w:tplc="04090017">
      <w:start w:val="1"/>
      <w:numFmt w:val="lowerLetter"/>
      <w:lvlText w:val="%2)"/>
      <w:lvlJc w:val="left"/>
      <w:pPr>
        <w:ind w:left="2520" w:hanging="72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336311E1"/>
    <w:multiLevelType w:val="multilevel"/>
    <w:tmpl w:val="FB8833C4"/>
    <w:styleLink w:val="StyleNumbersListOutlinenumberedLeft06"/>
    <w:lvl w:ilvl="0">
      <w:start w:val="1"/>
      <w:numFmt w:val="decimal"/>
      <w:lvlText w:val="%1."/>
      <w:lvlJc w:val="left"/>
      <w:pPr>
        <w:ind w:left="720" w:hanging="360"/>
      </w:p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3A713246"/>
    <w:multiLevelType w:val="hybridMultilevel"/>
    <w:tmpl w:val="AD820340"/>
    <w:lvl w:ilvl="0" w:tplc="A6FA2E34">
      <w:start w:val="1"/>
      <w:numFmt w:val="bullet"/>
      <w:pStyle w:val="ListParagraph3"/>
      <w:lvlText w:val="o"/>
      <w:lvlJc w:val="left"/>
      <w:pPr>
        <w:ind w:left="2520" w:hanging="360"/>
      </w:pPr>
      <w:rPr>
        <w:rFonts w:ascii="Courier New" w:hAnsi="Courier New" w:cs="Courier New" w:hint="default"/>
      </w:rPr>
    </w:lvl>
    <w:lvl w:ilvl="1" w:tplc="E86E724E" w:tentative="1">
      <w:start w:val="1"/>
      <w:numFmt w:val="bullet"/>
      <w:lvlText w:val="o"/>
      <w:lvlJc w:val="left"/>
      <w:pPr>
        <w:ind w:left="3240" w:hanging="360"/>
      </w:pPr>
      <w:rPr>
        <w:rFonts w:ascii="Courier New" w:hAnsi="Courier New" w:cs="Courier New" w:hint="default"/>
      </w:rPr>
    </w:lvl>
    <w:lvl w:ilvl="2" w:tplc="9820A976" w:tentative="1">
      <w:start w:val="1"/>
      <w:numFmt w:val="bullet"/>
      <w:lvlText w:val=""/>
      <w:lvlJc w:val="left"/>
      <w:pPr>
        <w:ind w:left="3960" w:hanging="360"/>
      </w:pPr>
      <w:rPr>
        <w:rFonts w:ascii="Wingdings" w:hAnsi="Wingdings" w:hint="default"/>
      </w:rPr>
    </w:lvl>
    <w:lvl w:ilvl="3" w:tplc="9F9A5048" w:tentative="1">
      <w:start w:val="1"/>
      <w:numFmt w:val="bullet"/>
      <w:lvlText w:val=""/>
      <w:lvlJc w:val="left"/>
      <w:pPr>
        <w:ind w:left="4680" w:hanging="360"/>
      </w:pPr>
      <w:rPr>
        <w:rFonts w:ascii="Symbol" w:hAnsi="Symbol" w:hint="default"/>
      </w:rPr>
    </w:lvl>
    <w:lvl w:ilvl="4" w:tplc="5A562400" w:tentative="1">
      <w:start w:val="1"/>
      <w:numFmt w:val="bullet"/>
      <w:lvlText w:val="o"/>
      <w:lvlJc w:val="left"/>
      <w:pPr>
        <w:ind w:left="5400" w:hanging="360"/>
      </w:pPr>
      <w:rPr>
        <w:rFonts w:ascii="Courier New" w:hAnsi="Courier New" w:cs="Courier New" w:hint="default"/>
      </w:rPr>
    </w:lvl>
    <w:lvl w:ilvl="5" w:tplc="9558E326" w:tentative="1">
      <w:start w:val="1"/>
      <w:numFmt w:val="bullet"/>
      <w:lvlText w:val=""/>
      <w:lvlJc w:val="left"/>
      <w:pPr>
        <w:ind w:left="6120" w:hanging="360"/>
      </w:pPr>
      <w:rPr>
        <w:rFonts w:ascii="Wingdings" w:hAnsi="Wingdings" w:hint="default"/>
      </w:rPr>
    </w:lvl>
    <w:lvl w:ilvl="6" w:tplc="D07CAFB0" w:tentative="1">
      <w:start w:val="1"/>
      <w:numFmt w:val="bullet"/>
      <w:lvlText w:val=""/>
      <w:lvlJc w:val="left"/>
      <w:pPr>
        <w:ind w:left="6840" w:hanging="360"/>
      </w:pPr>
      <w:rPr>
        <w:rFonts w:ascii="Symbol" w:hAnsi="Symbol" w:hint="default"/>
      </w:rPr>
    </w:lvl>
    <w:lvl w:ilvl="7" w:tplc="7142866C" w:tentative="1">
      <w:start w:val="1"/>
      <w:numFmt w:val="bullet"/>
      <w:lvlText w:val="o"/>
      <w:lvlJc w:val="left"/>
      <w:pPr>
        <w:ind w:left="7560" w:hanging="360"/>
      </w:pPr>
      <w:rPr>
        <w:rFonts w:ascii="Courier New" w:hAnsi="Courier New" w:cs="Courier New" w:hint="default"/>
      </w:rPr>
    </w:lvl>
    <w:lvl w:ilvl="8" w:tplc="72A2540E" w:tentative="1">
      <w:start w:val="1"/>
      <w:numFmt w:val="bullet"/>
      <w:lvlText w:val=""/>
      <w:lvlJc w:val="left"/>
      <w:pPr>
        <w:ind w:left="8280" w:hanging="360"/>
      </w:pPr>
      <w:rPr>
        <w:rFonts w:ascii="Wingdings" w:hAnsi="Wingdings" w:hint="default"/>
      </w:rPr>
    </w:lvl>
  </w:abstractNum>
  <w:abstractNum w:abstractNumId="24" w15:restartNumberingAfterBreak="0">
    <w:nsid w:val="3C763F43"/>
    <w:multiLevelType w:val="hybridMultilevel"/>
    <w:tmpl w:val="4C8626CC"/>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23F27F9"/>
    <w:multiLevelType w:val="hybridMultilevel"/>
    <w:tmpl w:val="EE084902"/>
    <w:lvl w:ilvl="0" w:tplc="AFD8827C">
      <w:start w:val="1"/>
      <w:numFmt w:val="lowerLetter"/>
      <w:pStyle w:val="Numbering2"/>
      <w:lvlText w:val="%1)"/>
      <w:lvlJc w:val="right"/>
      <w:pPr>
        <w:ind w:left="1800" w:hanging="360"/>
      </w:pPr>
      <w:rPr>
        <w:rFonts w:hint="default"/>
      </w:rPr>
    </w:lvl>
    <w:lvl w:ilvl="1" w:tplc="5F56F698" w:tentative="1">
      <w:start w:val="1"/>
      <w:numFmt w:val="lowerLetter"/>
      <w:lvlText w:val="%2."/>
      <w:lvlJc w:val="left"/>
      <w:pPr>
        <w:ind w:left="2520" w:hanging="360"/>
      </w:pPr>
    </w:lvl>
    <w:lvl w:ilvl="2" w:tplc="C066A9DE" w:tentative="1">
      <w:start w:val="1"/>
      <w:numFmt w:val="lowerRoman"/>
      <w:lvlText w:val="%3."/>
      <w:lvlJc w:val="right"/>
      <w:pPr>
        <w:ind w:left="3240" w:hanging="180"/>
      </w:pPr>
    </w:lvl>
    <w:lvl w:ilvl="3" w:tplc="5F164878" w:tentative="1">
      <w:start w:val="1"/>
      <w:numFmt w:val="decimal"/>
      <w:lvlText w:val="%4."/>
      <w:lvlJc w:val="left"/>
      <w:pPr>
        <w:ind w:left="3960" w:hanging="360"/>
      </w:pPr>
    </w:lvl>
    <w:lvl w:ilvl="4" w:tplc="B7A232B8" w:tentative="1">
      <w:start w:val="1"/>
      <w:numFmt w:val="lowerLetter"/>
      <w:lvlText w:val="%5."/>
      <w:lvlJc w:val="left"/>
      <w:pPr>
        <w:ind w:left="4680" w:hanging="360"/>
      </w:pPr>
    </w:lvl>
    <w:lvl w:ilvl="5" w:tplc="302EA1B6" w:tentative="1">
      <w:start w:val="1"/>
      <w:numFmt w:val="lowerRoman"/>
      <w:lvlText w:val="%6."/>
      <w:lvlJc w:val="right"/>
      <w:pPr>
        <w:ind w:left="5400" w:hanging="180"/>
      </w:pPr>
    </w:lvl>
    <w:lvl w:ilvl="6" w:tplc="626C5406" w:tentative="1">
      <w:start w:val="1"/>
      <w:numFmt w:val="decimal"/>
      <w:lvlText w:val="%7."/>
      <w:lvlJc w:val="left"/>
      <w:pPr>
        <w:ind w:left="6120" w:hanging="360"/>
      </w:pPr>
    </w:lvl>
    <w:lvl w:ilvl="7" w:tplc="DFF074B0" w:tentative="1">
      <w:start w:val="1"/>
      <w:numFmt w:val="lowerLetter"/>
      <w:lvlText w:val="%8."/>
      <w:lvlJc w:val="left"/>
      <w:pPr>
        <w:ind w:left="6840" w:hanging="360"/>
      </w:pPr>
    </w:lvl>
    <w:lvl w:ilvl="8" w:tplc="F6967AEA" w:tentative="1">
      <w:start w:val="1"/>
      <w:numFmt w:val="lowerRoman"/>
      <w:lvlText w:val="%9."/>
      <w:lvlJc w:val="right"/>
      <w:pPr>
        <w:ind w:left="7560" w:hanging="180"/>
      </w:pPr>
    </w:lvl>
  </w:abstractNum>
  <w:abstractNum w:abstractNumId="26" w15:restartNumberingAfterBreak="0">
    <w:nsid w:val="4A4B72B4"/>
    <w:multiLevelType w:val="multilevel"/>
    <w:tmpl w:val="8CD42D26"/>
    <w:name w:val="Numbering222222222222"/>
    <w:numStyleLink w:val="NumericList"/>
  </w:abstractNum>
  <w:abstractNum w:abstractNumId="27" w15:restartNumberingAfterBreak="0">
    <w:nsid w:val="4B2E64FD"/>
    <w:multiLevelType w:val="hybridMultilevel"/>
    <w:tmpl w:val="37482CF2"/>
    <w:lvl w:ilvl="0" w:tplc="04090001">
      <w:start w:val="1"/>
      <w:numFmt w:val="bullet"/>
      <w:lvlText w:val=""/>
      <w:lvlJc w:val="left"/>
      <w:pPr>
        <w:tabs>
          <w:tab w:val="num" w:pos="720"/>
        </w:tabs>
        <w:ind w:left="720" w:hanging="360"/>
      </w:pPr>
      <w:rPr>
        <w:rFonts w:ascii="Symbol" w:hAnsi="Symbol" w:hint="default"/>
      </w:rPr>
    </w:lvl>
    <w:lvl w:ilvl="1" w:tplc="EDA0CC8A">
      <w:numFmt w:val="bullet"/>
      <w:lvlText w:val="O"/>
      <w:lvlJc w:val="left"/>
      <w:pPr>
        <w:tabs>
          <w:tab w:val="num" w:pos="1440"/>
        </w:tabs>
        <w:ind w:left="1440" w:hanging="360"/>
      </w:pPr>
      <w:rPr>
        <w:rFonts w:ascii="Brush Script MT" w:hAnsi="Brush Script MT" w:hint="default"/>
      </w:rPr>
    </w:lvl>
    <w:lvl w:ilvl="2" w:tplc="659448F0" w:tentative="1">
      <w:start w:val="1"/>
      <w:numFmt w:val="bullet"/>
      <w:lvlText w:val="O"/>
      <w:lvlJc w:val="left"/>
      <w:pPr>
        <w:tabs>
          <w:tab w:val="num" w:pos="2160"/>
        </w:tabs>
        <w:ind w:left="2160" w:hanging="360"/>
      </w:pPr>
      <w:rPr>
        <w:rFonts w:ascii="Brush Script MT" w:hAnsi="Brush Script MT" w:hint="default"/>
      </w:rPr>
    </w:lvl>
    <w:lvl w:ilvl="3" w:tplc="94FAC130" w:tentative="1">
      <w:start w:val="1"/>
      <w:numFmt w:val="bullet"/>
      <w:lvlText w:val="O"/>
      <w:lvlJc w:val="left"/>
      <w:pPr>
        <w:tabs>
          <w:tab w:val="num" w:pos="2880"/>
        </w:tabs>
        <w:ind w:left="2880" w:hanging="360"/>
      </w:pPr>
      <w:rPr>
        <w:rFonts w:ascii="Brush Script MT" w:hAnsi="Brush Script MT" w:hint="default"/>
      </w:rPr>
    </w:lvl>
    <w:lvl w:ilvl="4" w:tplc="E3EC54F6" w:tentative="1">
      <w:start w:val="1"/>
      <w:numFmt w:val="bullet"/>
      <w:lvlText w:val="O"/>
      <w:lvlJc w:val="left"/>
      <w:pPr>
        <w:tabs>
          <w:tab w:val="num" w:pos="3600"/>
        </w:tabs>
        <w:ind w:left="3600" w:hanging="360"/>
      </w:pPr>
      <w:rPr>
        <w:rFonts w:ascii="Brush Script MT" w:hAnsi="Brush Script MT" w:hint="default"/>
      </w:rPr>
    </w:lvl>
    <w:lvl w:ilvl="5" w:tplc="D26C08FE" w:tentative="1">
      <w:start w:val="1"/>
      <w:numFmt w:val="bullet"/>
      <w:lvlText w:val="O"/>
      <w:lvlJc w:val="left"/>
      <w:pPr>
        <w:tabs>
          <w:tab w:val="num" w:pos="4320"/>
        </w:tabs>
        <w:ind w:left="4320" w:hanging="360"/>
      </w:pPr>
      <w:rPr>
        <w:rFonts w:ascii="Brush Script MT" w:hAnsi="Brush Script MT" w:hint="default"/>
      </w:rPr>
    </w:lvl>
    <w:lvl w:ilvl="6" w:tplc="406E09CE" w:tentative="1">
      <w:start w:val="1"/>
      <w:numFmt w:val="bullet"/>
      <w:lvlText w:val="O"/>
      <w:lvlJc w:val="left"/>
      <w:pPr>
        <w:tabs>
          <w:tab w:val="num" w:pos="5040"/>
        </w:tabs>
        <w:ind w:left="5040" w:hanging="360"/>
      </w:pPr>
      <w:rPr>
        <w:rFonts w:ascii="Brush Script MT" w:hAnsi="Brush Script MT" w:hint="default"/>
      </w:rPr>
    </w:lvl>
    <w:lvl w:ilvl="7" w:tplc="5E0C5626" w:tentative="1">
      <w:start w:val="1"/>
      <w:numFmt w:val="bullet"/>
      <w:lvlText w:val="O"/>
      <w:lvlJc w:val="left"/>
      <w:pPr>
        <w:tabs>
          <w:tab w:val="num" w:pos="5760"/>
        </w:tabs>
        <w:ind w:left="5760" w:hanging="360"/>
      </w:pPr>
      <w:rPr>
        <w:rFonts w:ascii="Brush Script MT" w:hAnsi="Brush Script MT" w:hint="default"/>
      </w:rPr>
    </w:lvl>
    <w:lvl w:ilvl="8" w:tplc="82D81D52" w:tentative="1">
      <w:start w:val="1"/>
      <w:numFmt w:val="bullet"/>
      <w:lvlText w:val="O"/>
      <w:lvlJc w:val="left"/>
      <w:pPr>
        <w:tabs>
          <w:tab w:val="num" w:pos="6480"/>
        </w:tabs>
        <w:ind w:left="6480" w:hanging="360"/>
      </w:pPr>
      <w:rPr>
        <w:rFonts w:ascii="Brush Script MT" w:hAnsi="Brush Script MT" w:hint="default"/>
      </w:rPr>
    </w:lvl>
  </w:abstractNum>
  <w:abstractNum w:abstractNumId="28" w15:restartNumberingAfterBreak="0">
    <w:nsid w:val="53DB5317"/>
    <w:multiLevelType w:val="multilevel"/>
    <w:tmpl w:val="93EA1444"/>
    <w:name w:val="Numbering2"/>
    <w:numStyleLink w:val="Style1"/>
  </w:abstractNum>
  <w:abstractNum w:abstractNumId="29" w15:restartNumberingAfterBreak="0">
    <w:nsid w:val="582F40D4"/>
    <w:multiLevelType w:val="multilevel"/>
    <w:tmpl w:val="8CD42D26"/>
    <w:name w:val="Numbering22222222222"/>
    <w:numStyleLink w:val="NumericList"/>
  </w:abstractNum>
  <w:abstractNum w:abstractNumId="30" w15:restartNumberingAfterBreak="0">
    <w:nsid w:val="58E460FA"/>
    <w:multiLevelType w:val="multilevel"/>
    <w:tmpl w:val="55B43924"/>
    <w:styleLink w:val="StyleNumbersListOutlinenumberedLeft061"/>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5AD43401"/>
    <w:multiLevelType w:val="hybridMultilevel"/>
    <w:tmpl w:val="E81C4010"/>
    <w:lvl w:ilvl="0" w:tplc="CDE0C03E">
      <w:start w:val="1"/>
      <w:numFmt w:val="bullet"/>
      <w:pStyle w:val="ListParagraph2"/>
      <w:lvlText w:val=""/>
      <w:lvlJc w:val="left"/>
      <w:pPr>
        <w:ind w:left="1440" w:hanging="360"/>
      </w:pPr>
      <w:rPr>
        <w:rFonts w:ascii="Symbol" w:hAnsi="Symbol" w:hint="default"/>
      </w:rPr>
    </w:lvl>
    <w:lvl w:ilvl="1" w:tplc="931298F6">
      <w:start w:val="1"/>
      <w:numFmt w:val="bullet"/>
      <w:lvlText w:val=""/>
      <w:lvlJc w:val="left"/>
      <w:pPr>
        <w:ind w:left="1440" w:hanging="360"/>
      </w:pPr>
      <w:rPr>
        <w:rFonts w:ascii="Symbol" w:hAnsi="Symbol" w:hint="default"/>
      </w:rPr>
    </w:lvl>
    <w:lvl w:ilvl="2" w:tplc="87AE8780">
      <w:start w:val="1"/>
      <w:numFmt w:val="bullet"/>
      <w:lvlText w:val="o"/>
      <w:lvlJc w:val="left"/>
      <w:pPr>
        <w:ind w:left="2160" w:hanging="360"/>
      </w:pPr>
      <w:rPr>
        <w:rFonts w:ascii="Courier New" w:hAnsi="Courier New" w:cs="Courier New" w:hint="default"/>
      </w:rPr>
    </w:lvl>
    <w:lvl w:ilvl="3" w:tplc="CCD6D0B6" w:tentative="1">
      <w:start w:val="1"/>
      <w:numFmt w:val="bullet"/>
      <w:lvlText w:val=""/>
      <w:lvlJc w:val="left"/>
      <w:pPr>
        <w:ind w:left="2880" w:hanging="360"/>
      </w:pPr>
      <w:rPr>
        <w:rFonts w:ascii="Symbol" w:hAnsi="Symbol" w:hint="default"/>
      </w:rPr>
    </w:lvl>
    <w:lvl w:ilvl="4" w:tplc="502AC82E" w:tentative="1">
      <w:start w:val="1"/>
      <w:numFmt w:val="bullet"/>
      <w:lvlText w:val="o"/>
      <w:lvlJc w:val="left"/>
      <w:pPr>
        <w:ind w:left="3600" w:hanging="360"/>
      </w:pPr>
      <w:rPr>
        <w:rFonts w:ascii="Courier New" w:hAnsi="Courier New" w:cs="Courier New" w:hint="default"/>
      </w:rPr>
    </w:lvl>
    <w:lvl w:ilvl="5" w:tplc="07BAE40E" w:tentative="1">
      <w:start w:val="1"/>
      <w:numFmt w:val="bullet"/>
      <w:lvlText w:val=""/>
      <w:lvlJc w:val="left"/>
      <w:pPr>
        <w:ind w:left="4320" w:hanging="360"/>
      </w:pPr>
      <w:rPr>
        <w:rFonts w:ascii="Wingdings" w:hAnsi="Wingdings" w:hint="default"/>
      </w:rPr>
    </w:lvl>
    <w:lvl w:ilvl="6" w:tplc="8A28C6C6" w:tentative="1">
      <w:start w:val="1"/>
      <w:numFmt w:val="bullet"/>
      <w:lvlText w:val=""/>
      <w:lvlJc w:val="left"/>
      <w:pPr>
        <w:ind w:left="5040" w:hanging="360"/>
      </w:pPr>
      <w:rPr>
        <w:rFonts w:ascii="Symbol" w:hAnsi="Symbol" w:hint="default"/>
      </w:rPr>
    </w:lvl>
    <w:lvl w:ilvl="7" w:tplc="40F8D0F0" w:tentative="1">
      <w:start w:val="1"/>
      <w:numFmt w:val="bullet"/>
      <w:lvlText w:val="o"/>
      <w:lvlJc w:val="left"/>
      <w:pPr>
        <w:ind w:left="5760" w:hanging="360"/>
      </w:pPr>
      <w:rPr>
        <w:rFonts w:ascii="Courier New" w:hAnsi="Courier New" w:cs="Courier New" w:hint="default"/>
      </w:rPr>
    </w:lvl>
    <w:lvl w:ilvl="8" w:tplc="3C1A0FDA" w:tentative="1">
      <w:start w:val="1"/>
      <w:numFmt w:val="bullet"/>
      <w:lvlText w:val=""/>
      <w:lvlJc w:val="left"/>
      <w:pPr>
        <w:ind w:left="6480" w:hanging="360"/>
      </w:pPr>
      <w:rPr>
        <w:rFonts w:ascii="Wingdings" w:hAnsi="Wingdings" w:hint="default"/>
      </w:rPr>
    </w:lvl>
  </w:abstractNum>
  <w:abstractNum w:abstractNumId="32" w15:restartNumberingAfterBreak="0">
    <w:nsid w:val="5B883E0D"/>
    <w:multiLevelType w:val="multilevel"/>
    <w:tmpl w:val="93EA1444"/>
    <w:name w:val="Numbering"/>
    <w:styleLink w:val="Style1"/>
    <w:lvl w:ilvl="0">
      <w:start w:val="1"/>
      <w:numFmt w:val="decimal"/>
      <w:lvlText w:val="%1."/>
      <w:lvlJc w:val="right"/>
      <w:pPr>
        <w:ind w:left="360" w:hanging="216"/>
      </w:pPr>
      <w:rPr>
        <w:rFonts w:asciiTheme="minorHAnsi" w:hAnsiTheme="minorHAnsi" w:hint="default"/>
        <w:b w:val="0"/>
        <w:bCs w:val="0"/>
        <w:i w:val="0"/>
        <w:iCs w:val="0"/>
        <w:caps w:val="0"/>
        <w:smallCaps w:val="0"/>
        <w:strike w:val="0"/>
        <w:dstrike w:val="0"/>
        <w:outline w:val="0"/>
        <w:shadow w:val="0"/>
        <w:emboss w:val="0"/>
        <w:imprint w:val="0"/>
        <w:noProof w:val="0"/>
        <w:vanish w:val="0"/>
        <w:color w:val="auto"/>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584" w:hanging="504"/>
      </w:pPr>
      <w:rPr>
        <w:rFonts w:hint="default"/>
      </w:rPr>
    </w:lvl>
    <w:lvl w:ilvl="2">
      <w:start w:val="1"/>
      <w:numFmt w:val="lowerRoman"/>
      <w:lvlText w:val="%3."/>
      <w:lvlJc w:val="right"/>
      <w:pPr>
        <w:ind w:left="1944" w:hanging="288"/>
      </w:pPr>
      <w:rPr>
        <w:rFonts w:hint="default"/>
      </w:rPr>
    </w:lvl>
    <w:lvl w:ilvl="3">
      <w:start w:val="1"/>
      <w:numFmt w:val="decimal"/>
      <w:lvlText w:val="%4."/>
      <w:lvlJc w:val="left"/>
      <w:pPr>
        <w:ind w:left="3384" w:hanging="360"/>
      </w:pPr>
      <w:rPr>
        <w:rFonts w:hint="default"/>
      </w:rPr>
    </w:lvl>
    <w:lvl w:ilvl="4">
      <w:start w:val="1"/>
      <w:numFmt w:val="lowerLetter"/>
      <w:lvlText w:val="%5."/>
      <w:lvlJc w:val="left"/>
      <w:pPr>
        <w:ind w:left="4104" w:hanging="360"/>
      </w:pPr>
      <w:rPr>
        <w:rFonts w:hint="default"/>
      </w:rPr>
    </w:lvl>
    <w:lvl w:ilvl="5">
      <w:start w:val="1"/>
      <w:numFmt w:val="lowerRoman"/>
      <w:lvlText w:val="%6."/>
      <w:lvlJc w:val="right"/>
      <w:pPr>
        <w:ind w:left="4824" w:hanging="180"/>
      </w:pPr>
      <w:rPr>
        <w:rFonts w:hint="default"/>
      </w:rPr>
    </w:lvl>
    <w:lvl w:ilvl="6">
      <w:start w:val="1"/>
      <w:numFmt w:val="decimal"/>
      <w:lvlText w:val="%7."/>
      <w:lvlJc w:val="left"/>
      <w:pPr>
        <w:ind w:left="5544" w:hanging="360"/>
      </w:pPr>
      <w:rPr>
        <w:rFonts w:hint="default"/>
      </w:rPr>
    </w:lvl>
    <w:lvl w:ilvl="7">
      <w:start w:val="1"/>
      <w:numFmt w:val="lowerLetter"/>
      <w:lvlText w:val="%8."/>
      <w:lvlJc w:val="left"/>
      <w:pPr>
        <w:ind w:left="6264" w:hanging="360"/>
      </w:pPr>
      <w:rPr>
        <w:rFonts w:hint="default"/>
      </w:rPr>
    </w:lvl>
    <w:lvl w:ilvl="8">
      <w:start w:val="1"/>
      <w:numFmt w:val="lowerRoman"/>
      <w:lvlText w:val="%9."/>
      <w:lvlJc w:val="right"/>
      <w:pPr>
        <w:ind w:left="6984" w:hanging="180"/>
      </w:pPr>
      <w:rPr>
        <w:rFonts w:hint="default"/>
      </w:rPr>
    </w:lvl>
  </w:abstractNum>
  <w:abstractNum w:abstractNumId="33" w15:restartNumberingAfterBreak="0">
    <w:nsid w:val="5F36752C"/>
    <w:multiLevelType w:val="hybridMultilevel"/>
    <w:tmpl w:val="DB9436A6"/>
    <w:name w:val="Numbering222222"/>
    <w:lvl w:ilvl="0" w:tplc="678843E8">
      <w:start w:val="1"/>
      <w:numFmt w:val="decimal"/>
      <w:lvlText w:val="%1."/>
      <w:lvlJc w:val="left"/>
      <w:pPr>
        <w:ind w:left="1368"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9D8204A2" w:tentative="1">
      <w:start w:val="1"/>
      <w:numFmt w:val="lowerLetter"/>
      <w:lvlText w:val="%2."/>
      <w:lvlJc w:val="left"/>
      <w:pPr>
        <w:ind w:left="1584" w:hanging="360"/>
      </w:pPr>
    </w:lvl>
    <w:lvl w:ilvl="2" w:tplc="0B44757C" w:tentative="1">
      <w:start w:val="1"/>
      <w:numFmt w:val="lowerRoman"/>
      <w:lvlText w:val="%3."/>
      <w:lvlJc w:val="right"/>
      <w:pPr>
        <w:ind w:left="2304" w:hanging="180"/>
      </w:pPr>
    </w:lvl>
    <w:lvl w:ilvl="3" w:tplc="B450F04A" w:tentative="1">
      <w:start w:val="1"/>
      <w:numFmt w:val="decimal"/>
      <w:lvlText w:val="%4."/>
      <w:lvlJc w:val="left"/>
      <w:pPr>
        <w:ind w:left="3024" w:hanging="360"/>
      </w:pPr>
    </w:lvl>
    <w:lvl w:ilvl="4" w:tplc="D756B4E4" w:tentative="1">
      <w:start w:val="1"/>
      <w:numFmt w:val="lowerLetter"/>
      <w:lvlText w:val="%5."/>
      <w:lvlJc w:val="left"/>
      <w:pPr>
        <w:ind w:left="3744" w:hanging="360"/>
      </w:pPr>
    </w:lvl>
    <w:lvl w:ilvl="5" w:tplc="34F4D62C" w:tentative="1">
      <w:start w:val="1"/>
      <w:numFmt w:val="lowerRoman"/>
      <w:lvlText w:val="%6."/>
      <w:lvlJc w:val="right"/>
      <w:pPr>
        <w:ind w:left="4464" w:hanging="180"/>
      </w:pPr>
    </w:lvl>
    <w:lvl w:ilvl="6" w:tplc="DFA083D2" w:tentative="1">
      <w:start w:val="1"/>
      <w:numFmt w:val="decimal"/>
      <w:lvlText w:val="%7."/>
      <w:lvlJc w:val="left"/>
      <w:pPr>
        <w:ind w:left="5184" w:hanging="360"/>
      </w:pPr>
    </w:lvl>
    <w:lvl w:ilvl="7" w:tplc="90BC162C" w:tentative="1">
      <w:start w:val="1"/>
      <w:numFmt w:val="lowerLetter"/>
      <w:lvlText w:val="%8."/>
      <w:lvlJc w:val="left"/>
      <w:pPr>
        <w:ind w:left="5904" w:hanging="360"/>
      </w:pPr>
    </w:lvl>
    <w:lvl w:ilvl="8" w:tplc="D540A8BE" w:tentative="1">
      <w:start w:val="1"/>
      <w:numFmt w:val="lowerRoman"/>
      <w:lvlText w:val="%9."/>
      <w:lvlJc w:val="right"/>
      <w:pPr>
        <w:ind w:left="6624" w:hanging="180"/>
      </w:pPr>
    </w:lvl>
  </w:abstractNum>
  <w:abstractNum w:abstractNumId="34" w15:restartNumberingAfterBreak="0">
    <w:nsid w:val="61013FDE"/>
    <w:multiLevelType w:val="multilevel"/>
    <w:tmpl w:val="93EA1444"/>
    <w:name w:val="Numbering22"/>
    <w:numStyleLink w:val="Style1"/>
  </w:abstractNum>
  <w:abstractNum w:abstractNumId="35" w15:restartNumberingAfterBreak="0">
    <w:nsid w:val="62906FCA"/>
    <w:multiLevelType w:val="hybridMultilevel"/>
    <w:tmpl w:val="1CA087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3796833"/>
    <w:multiLevelType w:val="multilevel"/>
    <w:tmpl w:val="93EA1444"/>
    <w:name w:val="Numbering222"/>
    <w:numStyleLink w:val="Style1"/>
  </w:abstractNum>
  <w:abstractNum w:abstractNumId="37" w15:restartNumberingAfterBreak="0">
    <w:nsid w:val="64E2038B"/>
    <w:multiLevelType w:val="hybridMultilevel"/>
    <w:tmpl w:val="D21AB6AA"/>
    <w:lvl w:ilvl="0" w:tplc="BFEAF56C">
      <w:start w:val="1"/>
      <w:numFmt w:val="bullet"/>
      <w:pStyle w:val="ListParagraph"/>
      <w:lvlText w:val=""/>
      <w:lvlJc w:val="left"/>
      <w:pPr>
        <w:ind w:left="1728" w:hanging="360"/>
      </w:pPr>
      <w:rPr>
        <w:rFonts w:ascii="Symbol" w:hAnsi="Symbol" w:hint="default"/>
      </w:rPr>
    </w:lvl>
    <w:lvl w:ilvl="1" w:tplc="FC920410" w:tentative="1">
      <w:start w:val="1"/>
      <w:numFmt w:val="bullet"/>
      <w:lvlText w:val="o"/>
      <w:lvlJc w:val="left"/>
      <w:pPr>
        <w:ind w:left="2448" w:hanging="360"/>
      </w:pPr>
      <w:rPr>
        <w:rFonts w:ascii="Courier New" w:hAnsi="Courier New" w:cs="Courier New" w:hint="default"/>
      </w:rPr>
    </w:lvl>
    <w:lvl w:ilvl="2" w:tplc="2662E650" w:tentative="1">
      <w:start w:val="1"/>
      <w:numFmt w:val="bullet"/>
      <w:lvlText w:val=""/>
      <w:lvlJc w:val="left"/>
      <w:pPr>
        <w:ind w:left="3168" w:hanging="360"/>
      </w:pPr>
      <w:rPr>
        <w:rFonts w:ascii="Wingdings" w:hAnsi="Wingdings" w:hint="default"/>
      </w:rPr>
    </w:lvl>
    <w:lvl w:ilvl="3" w:tplc="21F655B4" w:tentative="1">
      <w:start w:val="1"/>
      <w:numFmt w:val="bullet"/>
      <w:lvlText w:val=""/>
      <w:lvlJc w:val="left"/>
      <w:pPr>
        <w:ind w:left="3888" w:hanging="360"/>
      </w:pPr>
      <w:rPr>
        <w:rFonts w:ascii="Symbol" w:hAnsi="Symbol" w:hint="default"/>
      </w:rPr>
    </w:lvl>
    <w:lvl w:ilvl="4" w:tplc="64CC64C4" w:tentative="1">
      <w:start w:val="1"/>
      <w:numFmt w:val="bullet"/>
      <w:lvlText w:val="o"/>
      <w:lvlJc w:val="left"/>
      <w:pPr>
        <w:ind w:left="4608" w:hanging="360"/>
      </w:pPr>
      <w:rPr>
        <w:rFonts w:ascii="Courier New" w:hAnsi="Courier New" w:cs="Courier New" w:hint="default"/>
      </w:rPr>
    </w:lvl>
    <w:lvl w:ilvl="5" w:tplc="53F41F3E" w:tentative="1">
      <w:start w:val="1"/>
      <w:numFmt w:val="bullet"/>
      <w:lvlText w:val=""/>
      <w:lvlJc w:val="left"/>
      <w:pPr>
        <w:ind w:left="5328" w:hanging="360"/>
      </w:pPr>
      <w:rPr>
        <w:rFonts w:ascii="Wingdings" w:hAnsi="Wingdings" w:hint="default"/>
      </w:rPr>
    </w:lvl>
    <w:lvl w:ilvl="6" w:tplc="DB922616" w:tentative="1">
      <w:start w:val="1"/>
      <w:numFmt w:val="bullet"/>
      <w:lvlText w:val=""/>
      <w:lvlJc w:val="left"/>
      <w:pPr>
        <w:ind w:left="6048" w:hanging="360"/>
      </w:pPr>
      <w:rPr>
        <w:rFonts w:ascii="Symbol" w:hAnsi="Symbol" w:hint="default"/>
      </w:rPr>
    </w:lvl>
    <w:lvl w:ilvl="7" w:tplc="84900F8A" w:tentative="1">
      <w:start w:val="1"/>
      <w:numFmt w:val="bullet"/>
      <w:lvlText w:val="o"/>
      <w:lvlJc w:val="left"/>
      <w:pPr>
        <w:ind w:left="6768" w:hanging="360"/>
      </w:pPr>
      <w:rPr>
        <w:rFonts w:ascii="Courier New" w:hAnsi="Courier New" w:cs="Courier New" w:hint="default"/>
      </w:rPr>
    </w:lvl>
    <w:lvl w:ilvl="8" w:tplc="9106125A" w:tentative="1">
      <w:start w:val="1"/>
      <w:numFmt w:val="bullet"/>
      <w:lvlText w:val=""/>
      <w:lvlJc w:val="left"/>
      <w:pPr>
        <w:ind w:left="7488" w:hanging="360"/>
      </w:pPr>
      <w:rPr>
        <w:rFonts w:ascii="Wingdings" w:hAnsi="Wingdings" w:hint="default"/>
      </w:rPr>
    </w:lvl>
  </w:abstractNum>
  <w:abstractNum w:abstractNumId="38" w15:restartNumberingAfterBreak="0">
    <w:nsid w:val="657B6D9E"/>
    <w:multiLevelType w:val="hybridMultilevel"/>
    <w:tmpl w:val="2C4014EC"/>
    <w:lvl w:ilvl="0" w:tplc="FA32F298">
      <w:start w:val="1"/>
      <w:numFmt w:val="decimal"/>
      <w:pStyle w:val="Numbering1"/>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7655D13"/>
    <w:multiLevelType w:val="hybridMultilevel"/>
    <w:tmpl w:val="F5D20DBC"/>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6B3055C"/>
    <w:multiLevelType w:val="multilevel"/>
    <w:tmpl w:val="93EA1444"/>
    <w:name w:val="Numbering2222"/>
    <w:numStyleLink w:val="Style1"/>
  </w:abstractNum>
  <w:abstractNum w:abstractNumId="41" w15:restartNumberingAfterBreak="0">
    <w:nsid w:val="76E04754"/>
    <w:multiLevelType w:val="hybridMultilevel"/>
    <w:tmpl w:val="24A41880"/>
    <w:name w:val="Numbering2222222"/>
    <w:lvl w:ilvl="0" w:tplc="2F8EEB56">
      <w:start w:val="1"/>
      <w:numFmt w:val="decimal"/>
      <w:lvlText w:val="%1."/>
      <w:lvlJc w:val="left"/>
      <w:pPr>
        <w:ind w:left="1368"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DAEAEFC4" w:tentative="1">
      <w:start w:val="1"/>
      <w:numFmt w:val="lowerLetter"/>
      <w:lvlText w:val="%2."/>
      <w:lvlJc w:val="left"/>
      <w:pPr>
        <w:ind w:left="1440" w:hanging="360"/>
      </w:pPr>
    </w:lvl>
    <w:lvl w:ilvl="2" w:tplc="B9B25A26" w:tentative="1">
      <w:start w:val="1"/>
      <w:numFmt w:val="lowerRoman"/>
      <w:lvlText w:val="%3."/>
      <w:lvlJc w:val="right"/>
      <w:pPr>
        <w:ind w:left="2160" w:hanging="180"/>
      </w:pPr>
    </w:lvl>
    <w:lvl w:ilvl="3" w:tplc="CFA69F74" w:tentative="1">
      <w:start w:val="1"/>
      <w:numFmt w:val="decimal"/>
      <w:lvlText w:val="%4."/>
      <w:lvlJc w:val="left"/>
      <w:pPr>
        <w:ind w:left="2880" w:hanging="360"/>
      </w:pPr>
    </w:lvl>
    <w:lvl w:ilvl="4" w:tplc="8F701E00" w:tentative="1">
      <w:start w:val="1"/>
      <w:numFmt w:val="lowerLetter"/>
      <w:lvlText w:val="%5."/>
      <w:lvlJc w:val="left"/>
      <w:pPr>
        <w:ind w:left="3600" w:hanging="360"/>
      </w:pPr>
    </w:lvl>
    <w:lvl w:ilvl="5" w:tplc="2532720A" w:tentative="1">
      <w:start w:val="1"/>
      <w:numFmt w:val="lowerRoman"/>
      <w:lvlText w:val="%6."/>
      <w:lvlJc w:val="right"/>
      <w:pPr>
        <w:ind w:left="4320" w:hanging="180"/>
      </w:pPr>
    </w:lvl>
    <w:lvl w:ilvl="6" w:tplc="426CBD6C" w:tentative="1">
      <w:start w:val="1"/>
      <w:numFmt w:val="decimal"/>
      <w:lvlText w:val="%7."/>
      <w:lvlJc w:val="left"/>
      <w:pPr>
        <w:ind w:left="5040" w:hanging="360"/>
      </w:pPr>
    </w:lvl>
    <w:lvl w:ilvl="7" w:tplc="7DBAED8E" w:tentative="1">
      <w:start w:val="1"/>
      <w:numFmt w:val="lowerLetter"/>
      <w:lvlText w:val="%8."/>
      <w:lvlJc w:val="left"/>
      <w:pPr>
        <w:ind w:left="5760" w:hanging="360"/>
      </w:pPr>
    </w:lvl>
    <w:lvl w:ilvl="8" w:tplc="E392E120" w:tentative="1">
      <w:start w:val="1"/>
      <w:numFmt w:val="lowerRoman"/>
      <w:lvlText w:val="%9."/>
      <w:lvlJc w:val="right"/>
      <w:pPr>
        <w:ind w:left="6480" w:hanging="180"/>
      </w:pPr>
    </w:lvl>
  </w:abstractNum>
  <w:abstractNum w:abstractNumId="42" w15:restartNumberingAfterBreak="0">
    <w:nsid w:val="77C51D24"/>
    <w:multiLevelType w:val="hybridMultilevel"/>
    <w:tmpl w:val="C73A9D64"/>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3" w15:restartNumberingAfterBreak="0">
    <w:nsid w:val="78366EF6"/>
    <w:multiLevelType w:val="multilevel"/>
    <w:tmpl w:val="8CD42D26"/>
    <w:styleLink w:val="NumericList"/>
    <w:lvl w:ilvl="0">
      <w:start w:val="1"/>
      <w:numFmt w:val="decimal"/>
      <w:lvlText w:val="%1."/>
      <w:lvlJc w:val="left"/>
      <w:pPr>
        <w:ind w:left="1224" w:hanging="360"/>
      </w:pPr>
      <w:rPr>
        <w:rFonts w:asciiTheme="minorHAnsi" w:hAnsiTheme="minorHAnsi"/>
      </w:rPr>
    </w:lvl>
    <w:lvl w:ilvl="1">
      <w:start w:val="1"/>
      <w:numFmt w:val="lowerLetter"/>
      <w:lvlText w:val="%2."/>
      <w:lvlJc w:val="left"/>
      <w:pPr>
        <w:ind w:left="1944" w:hanging="360"/>
      </w:pPr>
    </w:lvl>
    <w:lvl w:ilvl="2">
      <w:start w:val="1"/>
      <w:numFmt w:val="lowerRoman"/>
      <w:lvlText w:val="%3."/>
      <w:lvlJc w:val="right"/>
      <w:pPr>
        <w:ind w:left="2664" w:hanging="180"/>
      </w:pPr>
    </w:lvl>
    <w:lvl w:ilvl="3">
      <w:start w:val="1"/>
      <w:numFmt w:val="decimal"/>
      <w:lvlText w:val="%4."/>
      <w:lvlJc w:val="left"/>
      <w:pPr>
        <w:ind w:left="3384" w:hanging="360"/>
      </w:pPr>
    </w:lvl>
    <w:lvl w:ilvl="4">
      <w:start w:val="1"/>
      <w:numFmt w:val="lowerLetter"/>
      <w:lvlText w:val="%5."/>
      <w:lvlJc w:val="left"/>
      <w:pPr>
        <w:ind w:left="4104" w:hanging="360"/>
      </w:pPr>
    </w:lvl>
    <w:lvl w:ilvl="5">
      <w:start w:val="1"/>
      <w:numFmt w:val="lowerRoman"/>
      <w:lvlText w:val="%6."/>
      <w:lvlJc w:val="right"/>
      <w:pPr>
        <w:ind w:left="4824" w:hanging="180"/>
      </w:pPr>
    </w:lvl>
    <w:lvl w:ilvl="6">
      <w:start w:val="1"/>
      <w:numFmt w:val="decimal"/>
      <w:lvlText w:val="%7."/>
      <w:lvlJc w:val="left"/>
      <w:pPr>
        <w:ind w:left="5544" w:hanging="360"/>
      </w:pPr>
    </w:lvl>
    <w:lvl w:ilvl="7">
      <w:start w:val="1"/>
      <w:numFmt w:val="lowerLetter"/>
      <w:lvlText w:val="%8."/>
      <w:lvlJc w:val="left"/>
      <w:pPr>
        <w:ind w:left="6264" w:hanging="360"/>
      </w:pPr>
    </w:lvl>
    <w:lvl w:ilvl="8">
      <w:start w:val="1"/>
      <w:numFmt w:val="lowerRoman"/>
      <w:lvlText w:val="%9."/>
      <w:lvlJc w:val="right"/>
      <w:pPr>
        <w:ind w:left="6984" w:hanging="180"/>
      </w:pPr>
    </w:lvl>
  </w:abstractNum>
  <w:abstractNum w:abstractNumId="44" w15:restartNumberingAfterBreak="0">
    <w:nsid w:val="7F332732"/>
    <w:multiLevelType w:val="hybridMultilevel"/>
    <w:tmpl w:val="9C2258BA"/>
    <w:lvl w:ilvl="0" w:tplc="04090017">
      <w:start w:val="1"/>
      <w:numFmt w:val="lowerLetter"/>
      <w:lvlText w:val="%1)"/>
      <w:lvlJc w:val="left"/>
      <w:pPr>
        <w:ind w:left="1440" w:hanging="360"/>
      </w:pPr>
    </w:lvl>
    <w:lvl w:ilvl="1" w:tplc="52CCB672">
      <w:start w:val="1"/>
      <w:numFmt w:val="lowerLetter"/>
      <w:lvlText w:val="%2."/>
      <w:lvlJc w:val="left"/>
      <w:pPr>
        <w:ind w:left="2808" w:hanging="360"/>
      </w:pPr>
      <w:rPr>
        <w:rFonts w:hint="default"/>
      </w:rPr>
    </w:lvl>
    <w:lvl w:ilvl="2" w:tplc="0409001B" w:tentative="1">
      <w:start w:val="1"/>
      <w:numFmt w:val="lowerRoman"/>
      <w:lvlText w:val="%3."/>
      <w:lvlJc w:val="right"/>
      <w:pPr>
        <w:ind w:left="3528" w:hanging="180"/>
      </w:pPr>
    </w:lvl>
    <w:lvl w:ilvl="3" w:tplc="0409000F" w:tentative="1">
      <w:start w:val="1"/>
      <w:numFmt w:val="decimal"/>
      <w:lvlText w:val="%4."/>
      <w:lvlJc w:val="left"/>
      <w:pPr>
        <w:ind w:left="4248" w:hanging="360"/>
      </w:pPr>
    </w:lvl>
    <w:lvl w:ilvl="4" w:tplc="04090019" w:tentative="1">
      <w:start w:val="1"/>
      <w:numFmt w:val="lowerLetter"/>
      <w:lvlText w:val="%5."/>
      <w:lvlJc w:val="left"/>
      <w:pPr>
        <w:ind w:left="4968" w:hanging="360"/>
      </w:pPr>
    </w:lvl>
    <w:lvl w:ilvl="5" w:tplc="0409001B" w:tentative="1">
      <w:start w:val="1"/>
      <w:numFmt w:val="lowerRoman"/>
      <w:lvlText w:val="%6."/>
      <w:lvlJc w:val="right"/>
      <w:pPr>
        <w:ind w:left="5688" w:hanging="180"/>
      </w:pPr>
    </w:lvl>
    <w:lvl w:ilvl="6" w:tplc="0409000F" w:tentative="1">
      <w:start w:val="1"/>
      <w:numFmt w:val="decimal"/>
      <w:lvlText w:val="%7."/>
      <w:lvlJc w:val="left"/>
      <w:pPr>
        <w:ind w:left="6408" w:hanging="360"/>
      </w:pPr>
    </w:lvl>
    <w:lvl w:ilvl="7" w:tplc="04090019" w:tentative="1">
      <w:start w:val="1"/>
      <w:numFmt w:val="lowerLetter"/>
      <w:lvlText w:val="%8."/>
      <w:lvlJc w:val="left"/>
      <w:pPr>
        <w:ind w:left="7128" w:hanging="360"/>
      </w:pPr>
    </w:lvl>
    <w:lvl w:ilvl="8" w:tplc="0409001B" w:tentative="1">
      <w:start w:val="1"/>
      <w:numFmt w:val="lowerRoman"/>
      <w:lvlText w:val="%9."/>
      <w:lvlJc w:val="right"/>
      <w:pPr>
        <w:ind w:left="7848" w:hanging="180"/>
      </w:pPr>
    </w:lvl>
  </w:abstractNum>
  <w:num w:numId="1" w16cid:durableId="1021510361">
    <w:abstractNumId w:val="31"/>
  </w:num>
  <w:num w:numId="2" w16cid:durableId="632952160">
    <w:abstractNumId w:val="37"/>
  </w:num>
  <w:num w:numId="3" w16cid:durableId="515461547">
    <w:abstractNumId w:val="23"/>
  </w:num>
  <w:num w:numId="4" w16cid:durableId="1311055461">
    <w:abstractNumId w:val="25"/>
  </w:num>
  <w:num w:numId="5" w16cid:durableId="492379668">
    <w:abstractNumId w:val="14"/>
  </w:num>
  <w:num w:numId="6" w16cid:durableId="1917931619">
    <w:abstractNumId w:val="32"/>
  </w:num>
  <w:num w:numId="7" w16cid:durableId="258410921">
    <w:abstractNumId w:val="43"/>
  </w:num>
  <w:num w:numId="8" w16cid:durableId="8526580">
    <w:abstractNumId w:val="12"/>
  </w:num>
  <w:num w:numId="9" w16cid:durableId="1410811826">
    <w:abstractNumId w:val="22"/>
  </w:num>
  <w:num w:numId="10" w16cid:durableId="1061518195">
    <w:abstractNumId w:val="30"/>
  </w:num>
  <w:num w:numId="11" w16cid:durableId="1492210408">
    <w:abstractNumId w:val="13"/>
  </w:num>
  <w:num w:numId="12" w16cid:durableId="479662220">
    <w:abstractNumId w:val="3"/>
  </w:num>
  <w:num w:numId="13" w16cid:durableId="1975518962">
    <w:abstractNumId w:val="38"/>
  </w:num>
  <w:num w:numId="14" w16cid:durableId="1145777716">
    <w:abstractNumId w:val="21"/>
  </w:num>
  <w:num w:numId="15" w16cid:durableId="658584468">
    <w:abstractNumId w:val="15"/>
  </w:num>
  <w:num w:numId="16" w16cid:durableId="1603369317">
    <w:abstractNumId w:val="24"/>
  </w:num>
  <w:num w:numId="17" w16cid:durableId="419257227">
    <w:abstractNumId w:val="35"/>
  </w:num>
  <w:num w:numId="18" w16cid:durableId="832259480">
    <w:abstractNumId w:val="17"/>
  </w:num>
  <w:num w:numId="19" w16cid:durableId="1804224820">
    <w:abstractNumId w:val="39"/>
  </w:num>
  <w:num w:numId="20" w16cid:durableId="380785902">
    <w:abstractNumId w:val="6"/>
  </w:num>
  <w:num w:numId="21" w16cid:durableId="1794321104">
    <w:abstractNumId w:val="44"/>
  </w:num>
  <w:num w:numId="22" w16cid:durableId="1216431432">
    <w:abstractNumId w:val="19"/>
  </w:num>
  <w:num w:numId="23" w16cid:durableId="1255170354">
    <w:abstractNumId w:val="2"/>
  </w:num>
  <w:num w:numId="24" w16cid:durableId="862405876">
    <w:abstractNumId w:val="16"/>
  </w:num>
  <w:num w:numId="25" w16cid:durableId="656610894">
    <w:abstractNumId w:val="0"/>
  </w:num>
  <w:num w:numId="26" w16cid:durableId="1895240218">
    <w:abstractNumId w:val="10"/>
  </w:num>
  <w:num w:numId="27" w16cid:durableId="1830513664">
    <w:abstractNumId w:val="11"/>
  </w:num>
  <w:num w:numId="28" w16cid:durableId="945192275">
    <w:abstractNumId w:val="9"/>
  </w:num>
  <w:num w:numId="29" w16cid:durableId="362676497">
    <w:abstractNumId w:val="27"/>
  </w:num>
  <w:num w:numId="30" w16cid:durableId="1225144990">
    <w:abstractNumId w:val="5"/>
  </w:num>
  <w:num w:numId="31" w16cid:durableId="321592463">
    <w:abstractNumId w:val="4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9424" w:allStyles="0" w:customStyles="0" w:latentStyles="1" w:stylesInUse="0" w:headingStyles="1" w:numberingStyles="0" w:tableStyles="0" w:directFormattingOnRuns="0" w:directFormattingOnParagraphs="0" w:directFormattingOnNumbering="1" w:directFormattingOnTables="0" w:clearFormatting="1" w:top3HeadingStyles="0" w:visibleStyles="0" w:alternateStyleNames="1"/>
  <w:stylePaneSortMethod w:val="0000"/>
  <w:styleLockTheme/>
  <w:styleLockQFSet/>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2549"/>
    <w:rsid w:val="000101F1"/>
    <w:rsid w:val="00016E1B"/>
    <w:rsid w:val="00027F0E"/>
    <w:rsid w:val="00057430"/>
    <w:rsid w:val="00060C89"/>
    <w:rsid w:val="00080053"/>
    <w:rsid w:val="000A0607"/>
    <w:rsid w:val="000B3142"/>
    <w:rsid w:val="000B450A"/>
    <w:rsid w:val="000D0B1D"/>
    <w:rsid w:val="000F7276"/>
    <w:rsid w:val="00101607"/>
    <w:rsid w:val="001268C9"/>
    <w:rsid w:val="00134353"/>
    <w:rsid w:val="00135369"/>
    <w:rsid w:val="00136E56"/>
    <w:rsid w:val="00143E1D"/>
    <w:rsid w:val="001447D0"/>
    <w:rsid w:val="0015326C"/>
    <w:rsid w:val="001540BA"/>
    <w:rsid w:val="0015545A"/>
    <w:rsid w:val="001559AE"/>
    <w:rsid w:val="00165930"/>
    <w:rsid w:val="00177BFC"/>
    <w:rsid w:val="00184D3A"/>
    <w:rsid w:val="001A2787"/>
    <w:rsid w:val="001B2CA1"/>
    <w:rsid w:val="001B67FA"/>
    <w:rsid w:val="001C34AE"/>
    <w:rsid w:val="001C4CE9"/>
    <w:rsid w:val="001D32E9"/>
    <w:rsid w:val="001E51D5"/>
    <w:rsid w:val="001F28DE"/>
    <w:rsid w:val="001F3BE4"/>
    <w:rsid w:val="00214F73"/>
    <w:rsid w:val="00220D74"/>
    <w:rsid w:val="0022545D"/>
    <w:rsid w:val="00231A29"/>
    <w:rsid w:val="00233082"/>
    <w:rsid w:val="00237DC5"/>
    <w:rsid w:val="002557F0"/>
    <w:rsid w:val="00255F2C"/>
    <w:rsid w:val="00267AC8"/>
    <w:rsid w:val="0027223F"/>
    <w:rsid w:val="002869D4"/>
    <w:rsid w:val="002905C0"/>
    <w:rsid w:val="00292C9D"/>
    <w:rsid w:val="00296C58"/>
    <w:rsid w:val="002A3D16"/>
    <w:rsid w:val="002A48D7"/>
    <w:rsid w:val="002C1194"/>
    <w:rsid w:val="002E6B2B"/>
    <w:rsid w:val="002F4F27"/>
    <w:rsid w:val="00300BE2"/>
    <w:rsid w:val="003072E6"/>
    <w:rsid w:val="003203B7"/>
    <w:rsid w:val="00323F77"/>
    <w:rsid w:val="0034307C"/>
    <w:rsid w:val="00354E1B"/>
    <w:rsid w:val="003905D9"/>
    <w:rsid w:val="00390B3B"/>
    <w:rsid w:val="00393661"/>
    <w:rsid w:val="0039743C"/>
    <w:rsid w:val="003B1A48"/>
    <w:rsid w:val="003C1FD0"/>
    <w:rsid w:val="003C21CA"/>
    <w:rsid w:val="003C39A7"/>
    <w:rsid w:val="003D3CBA"/>
    <w:rsid w:val="003D4541"/>
    <w:rsid w:val="003D5B82"/>
    <w:rsid w:val="003E41C4"/>
    <w:rsid w:val="003F30ED"/>
    <w:rsid w:val="003F4EC9"/>
    <w:rsid w:val="00405BD7"/>
    <w:rsid w:val="00406716"/>
    <w:rsid w:val="00413CC5"/>
    <w:rsid w:val="00423B5F"/>
    <w:rsid w:val="00443690"/>
    <w:rsid w:val="00445303"/>
    <w:rsid w:val="00445A9C"/>
    <w:rsid w:val="00450C89"/>
    <w:rsid w:val="00456E77"/>
    <w:rsid w:val="00457C95"/>
    <w:rsid w:val="00471DAD"/>
    <w:rsid w:val="00471F01"/>
    <w:rsid w:val="0047254E"/>
    <w:rsid w:val="0047342E"/>
    <w:rsid w:val="004800F8"/>
    <w:rsid w:val="00484EFD"/>
    <w:rsid w:val="00492585"/>
    <w:rsid w:val="004E12D0"/>
    <w:rsid w:val="00513A59"/>
    <w:rsid w:val="005207CB"/>
    <w:rsid w:val="00541222"/>
    <w:rsid w:val="005745E7"/>
    <w:rsid w:val="005762EA"/>
    <w:rsid w:val="00580D26"/>
    <w:rsid w:val="00585EF8"/>
    <w:rsid w:val="00590113"/>
    <w:rsid w:val="005F6281"/>
    <w:rsid w:val="005F7CBC"/>
    <w:rsid w:val="00612A13"/>
    <w:rsid w:val="0061711B"/>
    <w:rsid w:val="00620715"/>
    <w:rsid w:val="00620C57"/>
    <w:rsid w:val="00651643"/>
    <w:rsid w:val="00654E97"/>
    <w:rsid w:val="00661C9A"/>
    <w:rsid w:val="00672549"/>
    <w:rsid w:val="006737B2"/>
    <w:rsid w:val="0068458D"/>
    <w:rsid w:val="00685D9E"/>
    <w:rsid w:val="00695457"/>
    <w:rsid w:val="006A56FC"/>
    <w:rsid w:val="006B00BA"/>
    <w:rsid w:val="006E0AA4"/>
    <w:rsid w:val="006E6FB2"/>
    <w:rsid w:val="006F6174"/>
    <w:rsid w:val="006F7A7B"/>
    <w:rsid w:val="00721433"/>
    <w:rsid w:val="00734F31"/>
    <w:rsid w:val="00737718"/>
    <w:rsid w:val="007506EE"/>
    <w:rsid w:val="007556AE"/>
    <w:rsid w:val="00764206"/>
    <w:rsid w:val="007676F4"/>
    <w:rsid w:val="00796AB9"/>
    <w:rsid w:val="007A04F7"/>
    <w:rsid w:val="007C7FB6"/>
    <w:rsid w:val="007E62CD"/>
    <w:rsid w:val="00801A8A"/>
    <w:rsid w:val="00825760"/>
    <w:rsid w:val="00825AC9"/>
    <w:rsid w:val="00830C48"/>
    <w:rsid w:val="00837725"/>
    <w:rsid w:val="008441C4"/>
    <w:rsid w:val="00850154"/>
    <w:rsid w:val="00854B86"/>
    <w:rsid w:val="0086471A"/>
    <w:rsid w:val="0087145C"/>
    <w:rsid w:val="00874174"/>
    <w:rsid w:val="008967B9"/>
    <w:rsid w:val="008A0850"/>
    <w:rsid w:val="008A3BE4"/>
    <w:rsid w:val="008B6996"/>
    <w:rsid w:val="008C20C6"/>
    <w:rsid w:val="008C6E69"/>
    <w:rsid w:val="008E0ADA"/>
    <w:rsid w:val="008E6FC6"/>
    <w:rsid w:val="008F367A"/>
    <w:rsid w:val="008F7BAA"/>
    <w:rsid w:val="009129BE"/>
    <w:rsid w:val="00912C00"/>
    <w:rsid w:val="0092064E"/>
    <w:rsid w:val="0092217F"/>
    <w:rsid w:val="009221F2"/>
    <w:rsid w:val="009354E3"/>
    <w:rsid w:val="00965669"/>
    <w:rsid w:val="00965E60"/>
    <w:rsid w:val="0097245B"/>
    <w:rsid w:val="00980600"/>
    <w:rsid w:val="009C4143"/>
    <w:rsid w:val="009D0811"/>
    <w:rsid w:val="00A1127B"/>
    <w:rsid w:val="00A2371E"/>
    <w:rsid w:val="00A25140"/>
    <w:rsid w:val="00A30EE4"/>
    <w:rsid w:val="00A346DC"/>
    <w:rsid w:val="00A525AF"/>
    <w:rsid w:val="00A62F6E"/>
    <w:rsid w:val="00A63DEC"/>
    <w:rsid w:val="00A72993"/>
    <w:rsid w:val="00A72FBE"/>
    <w:rsid w:val="00A91D28"/>
    <w:rsid w:val="00A92590"/>
    <w:rsid w:val="00AA4F7B"/>
    <w:rsid w:val="00AD679E"/>
    <w:rsid w:val="00AF3E77"/>
    <w:rsid w:val="00AF56DF"/>
    <w:rsid w:val="00AF689F"/>
    <w:rsid w:val="00B02BCF"/>
    <w:rsid w:val="00B104B1"/>
    <w:rsid w:val="00B17F26"/>
    <w:rsid w:val="00B36DD9"/>
    <w:rsid w:val="00B516F8"/>
    <w:rsid w:val="00B75CEB"/>
    <w:rsid w:val="00B8198A"/>
    <w:rsid w:val="00BA6A3E"/>
    <w:rsid w:val="00BD1C3A"/>
    <w:rsid w:val="00BD31FC"/>
    <w:rsid w:val="00BD4E94"/>
    <w:rsid w:val="00BE6A4F"/>
    <w:rsid w:val="00C01F5C"/>
    <w:rsid w:val="00C069F1"/>
    <w:rsid w:val="00C11A0A"/>
    <w:rsid w:val="00C22C51"/>
    <w:rsid w:val="00C64D15"/>
    <w:rsid w:val="00C666F6"/>
    <w:rsid w:val="00C676EF"/>
    <w:rsid w:val="00C822ED"/>
    <w:rsid w:val="00CC311F"/>
    <w:rsid w:val="00CC5291"/>
    <w:rsid w:val="00CD0CAD"/>
    <w:rsid w:val="00CE26E8"/>
    <w:rsid w:val="00CE5A0D"/>
    <w:rsid w:val="00D07184"/>
    <w:rsid w:val="00D12119"/>
    <w:rsid w:val="00D2043C"/>
    <w:rsid w:val="00D32A57"/>
    <w:rsid w:val="00D35690"/>
    <w:rsid w:val="00D56153"/>
    <w:rsid w:val="00D57655"/>
    <w:rsid w:val="00D67FEC"/>
    <w:rsid w:val="00D726DD"/>
    <w:rsid w:val="00D74E42"/>
    <w:rsid w:val="00D7680A"/>
    <w:rsid w:val="00D8167E"/>
    <w:rsid w:val="00D81922"/>
    <w:rsid w:val="00DA2955"/>
    <w:rsid w:val="00DA597B"/>
    <w:rsid w:val="00DC7714"/>
    <w:rsid w:val="00DE40DD"/>
    <w:rsid w:val="00DE432C"/>
    <w:rsid w:val="00DE4F0A"/>
    <w:rsid w:val="00E22649"/>
    <w:rsid w:val="00E23617"/>
    <w:rsid w:val="00E2655A"/>
    <w:rsid w:val="00E312FF"/>
    <w:rsid w:val="00E37E9C"/>
    <w:rsid w:val="00E45F93"/>
    <w:rsid w:val="00E67387"/>
    <w:rsid w:val="00E74FB2"/>
    <w:rsid w:val="00E80F4E"/>
    <w:rsid w:val="00E81815"/>
    <w:rsid w:val="00E81E5E"/>
    <w:rsid w:val="00E827DA"/>
    <w:rsid w:val="00EA0C09"/>
    <w:rsid w:val="00EC42BD"/>
    <w:rsid w:val="00EC74BC"/>
    <w:rsid w:val="00EF77D4"/>
    <w:rsid w:val="00F03ECC"/>
    <w:rsid w:val="00F05B21"/>
    <w:rsid w:val="00F05DF3"/>
    <w:rsid w:val="00F12409"/>
    <w:rsid w:val="00F212C0"/>
    <w:rsid w:val="00F253F6"/>
    <w:rsid w:val="00F46047"/>
    <w:rsid w:val="00F5558A"/>
    <w:rsid w:val="00F63AC6"/>
    <w:rsid w:val="00F84B9E"/>
    <w:rsid w:val="00F946B4"/>
    <w:rsid w:val="00F951D0"/>
    <w:rsid w:val="00FC7289"/>
    <w:rsid w:val="00FD5E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E1B055"/>
  <w15:chartTrackingRefBased/>
  <w15:docId w15:val="{910EB5DE-53F4-494D-9FD8-C8DA8E190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167E"/>
  </w:style>
  <w:style w:type="paragraph" w:styleId="Heading1">
    <w:name w:val="heading 1"/>
    <w:basedOn w:val="Normal"/>
    <w:next w:val="Normal"/>
    <w:link w:val="Heading1Char"/>
    <w:autoRedefine/>
    <w:uiPriority w:val="9"/>
    <w:qFormat/>
    <w:rsid w:val="003072E6"/>
    <w:pPr>
      <w:keepNext/>
      <w:keepLines/>
      <w:spacing w:after="360"/>
      <w:outlineLvl w:val="0"/>
    </w:pPr>
    <w:rPr>
      <w:rFonts w:ascii="Arial" w:eastAsiaTheme="majorEastAsia" w:hAnsi="Arial" w:cstheme="majorBidi"/>
      <w:color w:val="005CAB"/>
      <w:sz w:val="44"/>
      <w:szCs w:val="32"/>
    </w:rPr>
  </w:style>
  <w:style w:type="paragraph" w:styleId="Heading2">
    <w:name w:val="heading 2"/>
    <w:basedOn w:val="Normal"/>
    <w:next w:val="Normal"/>
    <w:link w:val="Heading2Char"/>
    <w:uiPriority w:val="9"/>
    <w:unhideWhenUsed/>
    <w:qFormat/>
    <w:rsid w:val="001C4CE9"/>
    <w:pPr>
      <w:keepNext/>
      <w:keepLines/>
      <w:spacing w:before="120" w:after="240"/>
      <w:outlineLvl w:val="1"/>
    </w:pPr>
    <w:rPr>
      <w:rFonts w:ascii="Century Gothic" w:eastAsiaTheme="majorEastAsia" w:hAnsi="Century Gothic" w:cstheme="majorBidi"/>
      <w:b/>
      <w:caps/>
      <w:color w:val="005CAB"/>
      <w:sz w:val="26"/>
      <w:szCs w:val="26"/>
    </w:rPr>
  </w:style>
  <w:style w:type="paragraph" w:styleId="Heading3">
    <w:name w:val="heading 3"/>
    <w:basedOn w:val="Normal"/>
    <w:next w:val="Normal"/>
    <w:link w:val="Heading3Char"/>
    <w:uiPriority w:val="9"/>
    <w:unhideWhenUsed/>
    <w:qFormat/>
    <w:rsid w:val="006E6FB2"/>
    <w:pPr>
      <w:keepNext/>
      <w:keepLines/>
      <w:spacing w:before="120" w:after="160"/>
      <w:outlineLvl w:val="2"/>
    </w:pPr>
    <w:rPr>
      <w:rFonts w:asciiTheme="minorHAnsi" w:eastAsiaTheme="majorEastAsia" w:hAnsiTheme="minorHAnsi" w:cstheme="majorBidi"/>
      <w:b/>
      <w:sz w:val="26"/>
      <w:szCs w:val="24"/>
      <w:u w:val="single"/>
    </w:rPr>
  </w:style>
  <w:style w:type="paragraph" w:styleId="Heading4">
    <w:name w:val="heading 4"/>
    <w:basedOn w:val="Normal"/>
    <w:next w:val="Normal"/>
    <w:link w:val="Heading4Char"/>
    <w:uiPriority w:val="9"/>
    <w:unhideWhenUsed/>
    <w:qFormat/>
    <w:rsid w:val="001C4CE9"/>
    <w:pPr>
      <w:keepNext/>
      <w:keepLines/>
      <w:spacing w:before="120" w:after="120"/>
      <w:outlineLvl w:val="3"/>
    </w:pPr>
    <w:rPr>
      <w:rFonts w:asciiTheme="majorHAnsi" w:eastAsiaTheme="majorEastAsia" w:hAnsiTheme="majorHAnsi" w:cstheme="majorBidi"/>
      <w:b/>
      <w:i/>
      <w:iCs/>
      <w:color w:val="005CAB"/>
      <w:sz w:val="24"/>
    </w:rPr>
  </w:style>
  <w:style w:type="paragraph" w:styleId="Heading5">
    <w:name w:val="heading 5"/>
    <w:basedOn w:val="Normal"/>
    <w:next w:val="Normal"/>
    <w:link w:val="Heading5Char"/>
    <w:uiPriority w:val="9"/>
    <w:unhideWhenUsed/>
    <w:rsid w:val="00445303"/>
    <w:pPr>
      <w:keepNext/>
      <w:keepLines/>
      <w:spacing w:after="12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rsid w:val="00AA4F7B"/>
    <w:pPr>
      <w:outlineLvl w:val="5"/>
    </w:pPr>
  </w:style>
  <w:style w:type="paragraph" w:styleId="Heading7">
    <w:name w:val="heading 7"/>
    <w:basedOn w:val="Normal"/>
    <w:next w:val="Normal"/>
    <w:link w:val="Heading7Char"/>
    <w:uiPriority w:val="9"/>
    <w:semiHidden/>
    <w:unhideWhenUsed/>
    <w:rsid w:val="00296C58"/>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1F01"/>
    <w:pPr>
      <w:tabs>
        <w:tab w:val="center" w:pos="4680"/>
        <w:tab w:val="right" w:pos="9360"/>
      </w:tabs>
    </w:pPr>
  </w:style>
  <w:style w:type="character" w:customStyle="1" w:styleId="HeaderChar">
    <w:name w:val="Header Char"/>
    <w:basedOn w:val="DefaultParagraphFont"/>
    <w:link w:val="Header"/>
    <w:uiPriority w:val="99"/>
    <w:rsid w:val="00471F01"/>
  </w:style>
  <w:style w:type="paragraph" w:styleId="Footer">
    <w:name w:val="footer"/>
    <w:basedOn w:val="Normal"/>
    <w:link w:val="FooterChar"/>
    <w:uiPriority w:val="99"/>
    <w:unhideWhenUsed/>
    <w:rsid w:val="00471F01"/>
    <w:pPr>
      <w:tabs>
        <w:tab w:val="center" w:pos="4680"/>
        <w:tab w:val="right" w:pos="9360"/>
      </w:tabs>
    </w:pPr>
  </w:style>
  <w:style w:type="character" w:customStyle="1" w:styleId="FooterChar">
    <w:name w:val="Footer Char"/>
    <w:basedOn w:val="DefaultParagraphFont"/>
    <w:link w:val="Footer"/>
    <w:uiPriority w:val="99"/>
    <w:rsid w:val="00471F01"/>
  </w:style>
  <w:style w:type="paragraph" w:customStyle="1" w:styleId="ListParagraph2">
    <w:name w:val="List Paragraph 2"/>
    <w:basedOn w:val="ListParagraph"/>
    <w:qFormat/>
    <w:rsid w:val="001559AE"/>
    <w:pPr>
      <w:numPr>
        <w:numId w:val="1"/>
      </w:numPr>
      <w:ind w:left="1296" w:hanging="216"/>
    </w:pPr>
  </w:style>
  <w:style w:type="character" w:styleId="PlaceholderText">
    <w:name w:val="Placeholder Text"/>
    <w:basedOn w:val="DefaultParagraphFont"/>
    <w:uiPriority w:val="99"/>
    <w:semiHidden/>
    <w:rsid w:val="00471F01"/>
    <w:rPr>
      <w:color w:val="808080"/>
    </w:rPr>
  </w:style>
  <w:style w:type="table" w:styleId="TableGrid">
    <w:name w:val="Table Grid"/>
    <w:basedOn w:val="TableNormal"/>
    <w:uiPriority w:val="39"/>
    <w:rsid w:val="00471F01"/>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445303"/>
    <w:rPr>
      <w:rFonts w:asciiTheme="majorHAnsi" w:eastAsiaTheme="majorEastAsia" w:hAnsiTheme="majorHAnsi" w:cstheme="majorBidi"/>
      <w:color w:val="2E74B5" w:themeColor="accent1" w:themeShade="BF"/>
    </w:rPr>
  </w:style>
  <w:style w:type="character" w:customStyle="1" w:styleId="Heading1Char">
    <w:name w:val="Heading 1 Char"/>
    <w:basedOn w:val="DefaultParagraphFont"/>
    <w:link w:val="Heading1"/>
    <w:uiPriority w:val="9"/>
    <w:rsid w:val="003072E6"/>
    <w:rPr>
      <w:rFonts w:ascii="Arial" w:eastAsiaTheme="majorEastAsia" w:hAnsi="Arial" w:cstheme="majorBidi"/>
      <w:color w:val="005CAB"/>
      <w:sz w:val="44"/>
      <w:szCs w:val="32"/>
    </w:rPr>
  </w:style>
  <w:style w:type="paragraph" w:styleId="ListParagraph">
    <w:name w:val="List Paragraph"/>
    <w:basedOn w:val="Normal"/>
    <w:uiPriority w:val="34"/>
    <w:qFormat/>
    <w:rsid w:val="008B6996"/>
    <w:pPr>
      <w:numPr>
        <w:numId w:val="2"/>
      </w:numPr>
    </w:pPr>
  </w:style>
  <w:style w:type="character" w:customStyle="1" w:styleId="Heading2Char">
    <w:name w:val="Heading 2 Char"/>
    <w:basedOn w:val="DefaultParagraphFont"/>
    <w:link w:val="Heading2"/>
    <w:uiPriority w:val="9"/>
    <w:rsid w:val="001C4CE9"/>
    <w:rPr>
      <w:rFonts w:ascii="Century Gothic" w:eastAsiaTheme="majorEastAsia" w:hAnsi="Century Gothic" w:cstheme="majorBidi"/>
      <w:b/>
      <w:caps/>
      <w:color w:val="005CAB"/>
      <w:sz w:val="26"/>
      <w:szCs w:val="26"/>
    </w:rPr>
  </w:style>
  <w:style w:type="paragraph" w:styleId="BalloonText">
    <w:name w:val="Balloon Text"/>
    <w:basedOn w:val="Normal"/>
    <w:link w:val="BalloonTextChar"/>
    <w:uiPriority w:val="99"/>
    <w:semiHidden/>
    <w:unhideWhenUsed/>
    <w:rsid w:val="006E6FB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6FB2"/>
    <w:rPr>
      <w:rFonts w:ascii="Segoe UI" w:hAnsi="Segoe UI" w:cs="Segoe UI"/>
      <w:sz w:val="18"/>
      <w:szCs w:val="18"/>
    </w:rPr>
  </w:style>
  <w:style w:type="character" w:customStyle="1" w:styleId="Heading3Char">
    <w:name w:val="Heading 3 Char"/>
    <w:basedOn w:val="DefaultParagraphFont"/>
    <w:link w:val="Heading3"/>
    <w:uiPriority w:val="9"/>
    <w:rsid w:val="006E6FB2"/>
    <w:rPr>
      <w:rFonts w:asciiTheme="minorHAnsi" w:eastAsiaTheme="majorEastAsia" w:hAnsiTheme="minorHAnsi" w:cstheme="majorBidi"/>
      <w:b/>
      <w:sz w:val="26"/>
      <w:szCs w:val="24"/>
      <w:u w:val="single"/>
    </w:rPr>
  </w:style>
  <w:style w:type="character" w:customStyle="1" w:styleId="Heading4Char">
    <w:name w:val="Heading 4 Char"/>
    <w:basedOn w:val="DefaultParagraphFont"/>
    <w:link w:val="Heading4"/>
    <w:uiPriority w:val="9"/>
    <w:rsid w:val="001C4CE9"/>
    <w:rPr>
      <w:rFonts w:asciiTheme="majorHAnsi" w:eastAsiaTheme="majorEastAsia" w:hAnsiTheme="majorHAnsi" w:cstheme="majorBidi"/>
      <w:b/>
      <w:i/>
      <w:iCs/>
      <w:color w:val="005CAB"/>
      <w:sz w:val="24"/>
    </w:rPr>
  </w:style>
  <w:style w:type="paragraph" w:customStyle="1" w:styleId="ListParagraph3">
    <w:name w:val="List Paragraph 3"/>
    <w:basedOn w:val="ListParagraph2"/>
    <w:qFormat/>
    <w:rsid w:val="001559AE"/>
    <w:pPr>
      <w:numPr>
        <w:numId w:val="3"/>
      </w:numPr>
      <w:ind w:left="2016" w:hanging="216"/>
    </w:pPr>
  </w:style>
  <w:style w:type="character" w:customStyle="1" w:styleId="Heading6Char">
    <w:name w:val="Heading 6 Char"/>
    <w:basedOn w:val="DefaultParagraphFont"/>
    <w:link w:val="Heading6"/>
    <w:uiPriority w:val="9"/>
    <w:rsid w:val="00AA4F7B"/>
  </w:style>
  <w:style w:type="paragraph" w:customStyle="1" w:styleId="Numbering2">
    <w:name w:val="Numbering 2"/>
    <w:basedOn w:val="Normal"/>
    <w:qFormat/>
    <w:rsid w:val="00AA4F7B"/>
    <w:pPr>
      <w:numPr>
        <w:numId w:val="4"/>
      </w:numPr>
      <w:ind w:left="1224" w:hanging="144"/>
    </w:pPr>
    <w:rPr>
      <w:rFonts w:asciiTheme="minorHAnsi" w:hAnsiTheme="minorHAnsi" w:cstheme="minorBidi"/>
    </w:rPr>
  </w:style>
  <w:style w:type="paragraph" w:customStyle="1" w:styleId="Numbering3">
    <w:name w:val="Numbering 3"/>
    <w:basedOn w:val="ListParagraph"/>
    <w:qFormat/>
    <w:rsid w:val="0015545A"/>
    <w:pPr>
      <w:numPr>
        <w:numId w:val="5"/>
      </w:numPr>
      <w:spacing w:after="120"/>
      <w:ind w:left="1944" w:hanging="144"/>
    </w:pPr>
    <w:rPr>
      <w:rFonts w:asciiTheme="minorHAnsi" w:hAnsiTheme="minorHAnsi" w:cstheme="minorBidi"/>
    </w:rPr>
  </w:style>
  <w:style w:type="paragraph" w:customStyle="1" w:styleId="TableTitle">
    <w:name w:val="Table Title"/>
    <w:basedOn w:val="Normal"/>
    <w:qFormat/>
    <w:rsid w:val="00DE40DD"/>
    <w:pPr>
      <w:spacing w:after="120"/>
    </w:pPr>
    <w:rPr>
      <w:b/>
      <w:i/>
      <w:sz w:val="24"/>
      <w:szCs w:val="24"/>
    </w:rPr>
  </w:style>
  <w:style w:type="paragraph" w:styleId="TOCHeading">
    <w:name w:val="TOC Heading"/>
    <w:basedOn w:val="Heading1"/>
    <w:next w:val="Normal"/>
    <w:uiPriority w:val="39"/>
    <w:unhideWhenUsed/>
    <w:qFormat/>
    <w:rsid w:val="007E62CD"/>
    <w:pPr>
      <w:spacing w:before="240" w:after="0" w:line="259" w:lineRule="auto"/>
      <w:outlineLvl w:val="9"/>
    </w:pPr>
    <w:rPr>
      <w:rFonts w:asciiTheme="majorHAnsi" w:hAnsiTheme="majorHAnsi"/>
      <w:color w:val="2E74B5" w:themeColor="accent1" w:themeShade="BF"/>
      <w:sz w:val="32"/>
    </w:rPr>
  </w:style>
  <w:style w:type="paragraph" w:styleId="TOC1">
    <w:name w:val="toc 1"/>
    <w:basedOn w:val="Normal"/>
    <w:next w:val="Normal"/>
    <w:autoRedefine/>
    <w:uiPriority w:val="39"/>
    <w:unhideWhenUsed/>
    <w:rsid w:val="003C1FD0"/>
    <w:pPr>
      <w:spacing w:after="100"/>
    </w:pPr>
  </w:style>
  <w:style w:type="paragraph" w:styleId="TOC2">
    <w:name w:val="toc 2"/>
    <w:basedOn w:val="Normal"/>
    <w:next w:val="Normal"/>
    <w:autoRedefine/>
    <w:uiPriority w:val="39"/>
    <w:unhideWhenUsed/>
    <w:rsid w:val="00D8167E"/>
    <w:pPr>
      <w:tabs>
        <w:tab w:val="right" w:leader="dot" w:pos="9350"/>
      </w:tabs>
      <w:spacing w:after="100"/>
      <w:ind w:left="220"/>
    </w:pPr>
    <w:rPr>
      <w:b/>
      <w:noProof/>
    </w:rPr>
  </w:style>
  <w:style w:type="paragraph" w:styleId="TOC3">
    <w:name w:val="toc 3"/>
    <w:basedOn w:val="Normal"/>
    <w:next w:val="Normal"/>
    <w:autoRedefine/>
    <w:uiPriority w:val="39"/>
    <w:unhideWhenUsed/>
    <w:rsid w:val="003C1FD0"/>
    <w:pPr>
      <w:spacing w:after="100"/>
      <w:ind w:left="440"/>
    </w:pPr>
  </w:style>
  <w:style w:type="numbering" w:customStyle="1" w:styleId="Style1">
    <w:name w:val="Style1"/>
    <w:basedOn w:val="NoList"/>
    <w:uiPriority w:val="99"/>
    <w:rsid w:val="00F946B4"/>
    <w:pPr>
      <w:numPr>
        <w:numId w:val="6"/>
      </w:numPr>
    </w:pPr>
  </w:style>
  <w:style w:type="paragraph" w:styleId="List">
    <w:name w:val="List"/>
    <w:basedOn w:val="Normal"/>
    <w:uiPriority w:val="99"/>
    <w:semiHidden/>
    <w:unhideWhenUsed/>
    <w:rsid w:val="008B6996"/>
    <w:pPr>
      <w:ind w:left="360" w:hanging="360"/>
      <w:contextualSpacing/>
    </w:pPr>
  </w:style>
  <w:style w:type="numbering" w:customStyle="1" w:styleId="NumericList">
    <w:name w:val="Numeric List"/>
    <w:basedOn w:val="NoList"/>
    <w:rsid w:val="00F946B4"/>
    <w:pPr>
      <w:numPr>
        <w:numId w:val="7"/>
      </w:numPr>
    </w:pPr>
  </w:style>
  <w:style w:type="numbering" w:customStyle="1" w:styleId="NumbersList">
    <w:name w:val="Numbers List"/>
    <w:basedOn w:val="NoList"/>
    <w:rsid w:val="00F946B4"/>
    <w:pPr>
      <w:numPr>
        <w:numId w:val="8"/>
      </w:numPr>
    </w:pPr>
  </w:style>
  <w:style w:type="numbering" w:customStyle="1" w:styleId="StyleNumbersListOutlinenumberedLeft06">
    <w:name w:val="Style Numbers List + Outline numbered Left:  0.6&quot;"/>
    <w:basedOn w:val="NoList"/>
    <w:rsid w:val="00F03ECC"/>
    <w:pPr>
      <w:numPr>
        <w:numId w:val="9"/>
      </w:numPr>
    </w:pPr>
  </w:style>
  <w:style w:type="numbering" w:customStyle="1" w:styleId="StyleNumbersListOutlinenumberedLeft061">
    <w:name w:val="Style Numbers List + Outline numbered Left:  0.6&quot;1"/>
    <w:basedOn w:val="NoList"/>
    <w:rsid w:val="00F03ECC"/>
    <w:pPr>
      <w:numPr>
        <w:numId w:val="10"/>
      </w:numPr>
    </w:pPr>
  </w:style>
  <w:style w:type="numbering" w:customStyle="1" w:styleId="StyleNumbersListOutlinenumberedLeft062">
    <w:name w:val="Style Numbers List + Outline numbered Left:  0.6&quot;2"/>
    <w:basedOn w:val="NoList"/>
    <w:rsid w:val="00F03ECC"/>
    <w:pPr>
      <w:numPr>
        <w:numId w:val="11"/>
      </w:numPr>
    </w:pPr>
  </w:style>
  <w:style w:type="numbering" w:customStyle="1" w:styleId="StyleNumbersListOutlinenumberedLeft063">
    <w:name w:val="Style Numbers List + Outline numbered Left:  0.6&quot;3"/>
    <w:basedOn w:val="NoList"/>
    <w:rsid w:val="00F03ECC"/>
    <w:pPr>
      <w:numPr>
        <w:numId w:val="12"/>
      </w:numPr>
    </w:pPr>
  </w:style>
  <w:style w:type="paragraph" w:customStyle="1" w:styleId="Numbering1">
    <w:name w:val="Numbering 1"/>
    <w:basedOn w:val="Normal"/>
    <w:qFormat/>
    <w:rsid w:val="00492585"/>
    <w:pPr>
      <w:numPr>
        <w:numId w:val="13"/>
      </w:numPr>
      <w:ind w:left="1800"/>
    </w:pPr>
  </w:style>
  <w:style w:type="character" w:customStyle="1" w:styleId="Heading7Char">
    <w:name w:val="Heading 7 Char"/>
    <w:basedOn w:val="DefaultParagraphFont"/>
    <w:link w:val="Heading7"/>
    <w:uiPriority w:val="9"/>
    <w:semiHidden/>
    <w:rsid w:val="00296C58"/>
    <w:rPr>
      <w:rFonts w:asciiTheme="majorHAnsi" w:eastAsiaTheme="majorEastAsia" w:hAnsiTheme="majorHAnsi" w:cstheme="majorBidi"/>
      <w:i/>
      <w:iCs/>
      <w:color w:val="1F4D78" w:themeColor="accent1" w:themeShade="7F"/>
    </w:rPr>
  </w:style>
  <w:style w:type="character" w:styleId="Hyperlink">
    <w:name w:val="Hyperlink"/>
    <w:basedOn w:val="DefaultParagraphFont"/>
    <w:uiPriority w:val="99"/>
    <w:unhideWhenUsed/>
    <w:rsid w:val="00685D9E"/>
    <w:rPr>
      <w:color w:val="0563C1" w:themeColor="hyperlink"/>
      <w:u w:val="single"/>
    </w:rPr>
  </w:style>
  <w:style w:type="paragraph" w:styleId="BodyTextIndent2">
    <w:name w:val="Body Text Indent 2"/>
    <w:basedOn w:val="Normal"/>
    <w:link w:val="BodyTextIndent2Char"/>
    <w:uiPriority w:val="99"/>
    <w:rsid w:val="009354E3"/>
    <w:pPr>
      <w:autoSpaceDE w:val="0"/>
      <w:autoSpaceDN w:val="0"/>
      <w:ind w:left="720"/>
    </w:pPr>
    <w:rPr>
      <w:rFonts w:ascii="Times New Roman" w:eastAsia="Times New Roman" w:hAnsi="Times New Roman"/>
      <w:i/>
      <w:iCs/>
    </w:rPr>
  </w:style>
  <w:style w:type="character" w:customStyle="1" w:styleId="BodyTextIndent2Char">
    <w:name w:val="Body Text Indent 2 Char"/>
    <w:basedOn w:val="DefaultParagraphFont"/>
    <w:link w:val="BodyTextIndent2"/>
    <w:uiPriority w:val="99"/>
    <w:rsid w:val="009354E3"/>
    <w:rPr>
      <w:rFonts w:ascii="Times New Roman" w:eastAsia="Times New Roman" w:hAnsi="Times New Roman"/>
      <w:i/>
      <w:iCs/>
    </w:rPr>
  </w:style>
  <w:style w:type="paragraph" w:styleId="FootnoteText">
    <w:name w:val="footnote text"/>
    <w:basedOn w:val="Normal"/>
    <w:link w:val="FootnoteTextChar"/>
    <w:uiPriority w:val="99"/>
    <w:semiHidden/>
    <w:unhideWhenUsed/>
    <w:rsid w:val="00E67387"/>
    <w:pPr>
      <w:autoSpaceDE w:val="0"/>
      <w:autoSpaceDN w:val="0"/>
    </w:pPr>
    <w:rPr>
      <w:rFonts w:ascii="Times New Roman" w:eastAsia="Times New Roman" w:hAnsi="Times New Roman"/>
      <w:sz w:val="20"/>
      <w:szCs w:val="20"/>
    </w:rPr>
  </w:style>
  <w:style w:type="character" w:customStyle="1" w:styleId="FootnoteTextChar">
    <w:name w:val="Footnote Text Char"/>
    <w:basedOn w:val="DefaultParagraphFont"/>
    <w:link w:val="FootnoteText"/>
    <w:uiPriority w:val="99"/>
    <w:semiHidden/>
    <w:rsid w:val="00E67387"/>
    <w:rPr>
      <w:rFonts w:ascii="Times New Roman" w:eastAsia="Times New Roman" w:hAnsi="Times New Roman"/>
      <w:sz w:val="20"/>
      <w:szCs w:val="20"/>
    </w:rPr>
  </w:style>
  <w:style w:type="character" w:styleId="FootnoteReference">
    <w:name w:val="footnote reference"/>
    <w:uiPriority w:val="99"/>
    <w:semiHidden/>
    <w:unhideWhenUsed/>
    <w:rsid w:val="00E67387"/>
    <w:rPr>
      <w:rFonts w:cs="Times New Roman"/>
      <w:vertAlign w:val="superscript"/>
    </w:rPr>
  </w:style>
  <w:style w:type="table" w:customStyle="1" w:styleId="TableGrid1">
    <w:name w:val="Table Grid1"/>
    <w:basedOn w:val="TableNormal"/>
    <w:next w:val="TableGrid"/>
    <w:uiPriority w:val="39"/>
    <w:rsid w:val="00E67387"/>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67FEC"/>
    <w:rPr>
      <w:sz w:val="16"/>
      <w:szCs w:val="16"/>
    </w:rPr>
  </w:style>
  <w:style w:type="paragraph" w:styleId="CommentText">
    <w:name w:val="annotation text"/>
    <w:basedOn w:val="Normal"/>
    <w:link w:val="CommentTextChar"/>
    <w:uiPriority w:val="99"/>
    <w:semiHidden/>
    <w:unhideWhenUsed/>
    <w:rsid w:val="00D67FEC"/>
    <w:rPr>
      <w:sz w:val="20"/>
      <w:szCs w:val="20"/>
    </w:rPr>
  </w:style>
  <w:style w:type="character" w:customStyle="1" w:styleId="CommentTextChar">
    <w:name w:val="Comment Text Char"/>
    <w:basedOn w:val="DefaultParagraphFont"/>
    <w:link w:val="CommentText"/>
    <w:uiPriority w:val="99"/>
    <w:semiHidden/>
    <w:rsid w:val="00D67FEC"/>
    <w:rPr>
      <w:sz w:val="20"/>
      <w:szCs w:val="20"/>
    </w:rPr>
  </w:style>
  <w:style w:type="paragraph" w:styleId="CommentSubject">
    <w:name w:val="annotation subject"/>
    <w:basedOn w:val="CommentText"/>
    <w:next w:val="CommentText"/>
    <w:link w:val="CommentSubjectChar"/>
    <w:uiPriority w:val="99"/>
    <w:semiHidden/>
    <w:unhideWhenUsed/>
    <w:rsid w:val="00D67FEC"/>
    <w:rPr>
      <w:b/>
      <w:bCs/>
    </w:rPr>
  </w:style>
  <w:style w:type="character" w:customStyle="1" w:styleId="CommentSubjectChar">
    <w:name w:val="Comment Subject Char"/>
    <w:basedOn w:val="CommentTextChar"/>
    <w:link w:val="CommentSubject"/>
    <w:uiPriority w:val="99"/>
    <w:semiHidden/>
    <w:rsid w:val="00D67FEC"/>
    <w:rPr>
      <w:b/>
      <w:bCs/>
      <w:sz w:val="20"/>
      <w:szCs w:val="20"/>
    </w:rPr>
  </w:style>
  <w:style w:type="paragraph" w:styleId="EndnoteText">
    <w:name w:val="endnote text"/>
    <w:basedOn w:val="Normal"/>
    <w:link w:val="EndnoteTextChar"/>
    <w:uiPriority w:val="99"/>
    <w:semiHidden/>
    <w:unhideWhenUsed/>
    <w:rsid w:val="00AD679E"/>
    <w:rPr>
      <w:sz w:val="20"/>
      <w:szCs w:val="20"/>
    </w:rPr>
  </w:style>
  <w:style w:type="character" w:customStyle="1" w:styleId="EndnoteTextChar">
    <w:name w:val="Endnote Text Char"/>
    <w:basedOn w:val="DefaultParagraphFont"/>
    <w:link w:val="EndnoteText"/>
    <w:uiPriority w:val="99"/>
    <w:semiHidden/>
    <w:rsid w:val="00AD679E"/>
    <w:rPr>
      <w:sz w:val="20"/>
      <w:szCs w:val="20"/>
    </w:rPr>
  </w:style>
  <w:style w:type="character" w:styleId="EndnoteReference">
    <w:name w:val="endnote reference"/>
    <w:basedOn w:val="DefaultParagraphFont"/>
    <w:uiPriority w:val="99"/>
    <w:semiHidden/>
    <w:unhideWhenUsed/>
    <w:rsid w:val="00AD679E"/>
    <w:rPr>
      <w:vertAlign w:val="superscript"/>
    </w:rPr>
  </w:style>
  <w:style w:type="character" w:styleId="Strong">
    <w:name w:val="Strong"/>
    <w:basedOn w:val="DefaultParagraphFont"/>
    <w:uiPriority w:val="22"/>
    <w:qFormat/>
    <w:rsid w:val="00D8167E"/>
    <w:rPr>
      <w:b/>
      <w:bCs/>
    </w:rPr>
  </w:style>
  <w:style w:type="character" w:styleId="UnresolvedMention">
    <w:name w:val="Unresolved Mention"/>
    <w:basedOn w:val="DefaultParagraphFont"/>
    <w:uiPriority w:val="99"/>
    <w:semiHidden/>
    <w:unhideWhenUsed/>
    <w:rsid w:val="000574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366510">
      <w:bodyDiv w:val="1"/>
      <w:marLeft w:val="0"/>
      <w:marRight w:val="0"/>
      <w:marTop w:val="0"/>
      <w:marBottom w:val="0"/>
      <w:divBdr>
        <w:top w:val="none" w:sz="0" w:space="0" w:color="auto"/>
        <w:left w:val="none" w:sz="0" w:space="0" w:color="auto"/>
        <w:bottom w:val="none" w:sz="0" w:space="0" w:color="auto"/>
        <w:right w:val="none" w:sz="0" w:space="0" w:color="auto"/>
      </w:divBdr>
      <w:divsChild>
        <w:div w:id="1516922627">
          <w:marLeft w:val="547"/>
          <w:marRight w:val="0"/>
          <w:marTop w:val="0"/>
          <w:marBottom w:val="0"/>
          <w:divBdr>
            <w:top w:val="none" w:sz="0" w:space="0" w:color="auto"/>
            <w:left w:val="none" w:sz="0" w:space="0" w:color="auto"/>
            <w:bottom w:val="none" w:sz="0" w:space="0" w:color="auto"/>
            <w:right w:val="none" w:sz="0" w:space="0" w:color="auto"/>
          </w:divBdr>
        </w:div>
        <w:div w:id="939290904">
          <w:marLeft w:val="547"/>
          <w:marRight w:val="0"/>
          <w:marTop w:val="0"/>
          <w:marBottom w:val="0"/>
          <w:divBdr>
            <w:top w:val="none" w:sz="0" w:space="0" w:color="auto"/>
            <w:left w:val="none" w:sz="0" w:space="0" w:color="auto"/>
            <w:bottom w:val="none" w:sz="0" w:space="0" w:color="auto"/>
            <w:right w:val="none" w:sz="0" w:space="0" w:color="auto"/>
          </w:divBdr>
        </w:div>
        <w:div w:id="396779093">
          <w:marLeft w:val="547"/>
          <w:marRight w:val="0"/>
          <w:marTop w:val="0"/>
          <w:marBottom w:val="0"/>
          <w:divBdr>
            <w:top w:val="none" w:sz="0" w:space="0" w:color="auto"/>
            <w:left w:val="none" w:sz="0" w:space="0" w:color="auto"/>
            <w:bottom w:val="none" w:sz="0" w:space="0" w:color="auto"/>
            <w:right w:val="none" w:sz="0" w:space="0" w:color="auto"/>
          </w:divBdr>
        </w:div>
        <w:div w:id="191263440">
          <w:marLeft w:val="994"/>
          <w:marRight w:val="0"/>
          <w:marTop w:val="0"/>
          <w:marBottom w:val="0"/>
          <w:divBdr>
            <w:top w:val="none" w:sz="0" w:space="0" w:color="auto"/>
            <w:left w:val="none" w:sz="0" w:space="0" w:color="auto"/>
            <w:bottom w:val="none" w:sz="0" w:space="0" w:color="auto"/>
            <w:right w:val="none" w:sz="0" w:space="0" w:color="auto"/>
          </w:divBdr>
        </w:div>
        <w:div w:id="992375655">
          <w:marLeft w:val="994"/>
          <w:marRight w:val="0"/>
          <w:marTop w:val="0"/>
          <w:marBottom w:val="0"/>
          <w:divBdr>
            <w:top w:val="none" w:sz="0" w:space="0" w:color="auto"/>
            <w:left w:val="none" w:sz="0" w:space="0" w:color="auto"/>
            <w:bottom w:val="none" w:sz="0" w:space="0" w:color="auto"/>
            <w:right w:val="none" w:sz="0" w:space="0" w:color="auto"/>
          </w:divBdr>
        </w:div>
        <w:div w:id="907572019">
          <w:marLeft w:val="994"/>
          <w:marRight w:val="0"/>
          <w:marTop w:val="0"/>
          <w:marBottom w:val="0"/>
          <w:divBdr>
            <w:top w:val="none" w:sz="0" w:space="0" w:color="auto"/>
            <w:left w:val="none" w:sz="0" w:space="0" w:color="auto"/>
            <w:bottom w:val="none" w:sz="0" w:space="0" w:color="auto"/>
            <w:right w:val="none" w:sz="0" w:space="0" w:color="auto"/>
          </w:divBdr>
        </w:div>
      </w:divsChild>
    </w:div>
    <w:div w:id="437795970">
      <w:bodyDiv w:val="1"/>
      <w:marLeft w:val="0"/>
      <w:marRight w:val="0"/>
      <w:marTop w:val="0"/>
      <w:marBottom w:val="0"/>
      <w:divBdr>
        <w:top w:val="none" w:sz="0" w:space="0" w:color="auto"/>
        <w:left w:val="none" w:sz="0" w:space="0" w:color="auto"/>
        <w:bottom w:val="none" w:sz="0" w:space="0" w:color="auto"/>
        <w:right w:val="none" w:sz="0" w:space="0" w:color="auto"/>
      </w:divBdr>
      <w:divsChild>
        <w:div w:id="1991320767">
          <w:marLeft w:val="0"/>
          <w:marRight w:val="0"/>
          <w:marTop w:val="0"/>
          <w:marBottom w:val="0"/>
          <w:divBdr>
            <w:top w:val="none" w:sz="0" w:space="0" w:color="auto"/>
            <w:left w:val="none" w:sz="0" w:space="0" w:color="auto"/>
            <w:bottom w:val="none" w:sz="0" w:space="0" w:color="auto"/>
            <w:right w:val="none" w:sz="0" w:space="0" w:color="auto"/>
          </w:divBdr>
        </w:div>
        <w:div w:id="1075053267">
          <w:marLeft w:val="0"/>
          <w:marRight w:val="0"/>
          <w:marTop w:val="0"/>
          <w:marBottom w:val="0"/>
          <w:divBdr>
            <w:top w:val="none" w:sz="0" w:space="0" w:color="auto"/>
            <w:left w:val="none" w:sz="0" w:space="0" w:color="auto"/>
            <w:bottom w:val="none" w:sz="0" w:space="0" w:color="auto"/>
            <w:right w:val="none" w:sz="0" w:space="0" w:color="auto"/>
          </w:divBdr>
        </w:div>
        <w:div w:id="1272665495">
          <w:marLeft w:val="0"/>
          <w:marRight w:val="0"/>
          <w:marTop w:val="0"/>
          <w:marBottom w:val="0"/>
          <w:divBdr>
            <w:top w:val="none" w:sz="0" w:space="0" w:color="auto"/>
            <w:left w:val="none" w:sz="0" w:space="0" w:color="auto"/>
            <w:bottom w:val="none" w:sz="0" w:space="0" w:color="auto"/>
            <w:right w:val="none" w:sz="0" w:space="0" w:color="auto"/>
          </w:divBdr>
          <w:divsChild>
            <w:div w:id="1811898660">
              <w:marLeft w:val="0"/>
              <w:marRight w:val="0"/>
              <w:marTop w:val="0"/>
              <w:marBottom w:val="0"/>
              <w:divBdr>
                <w:top w:val="none" w:sz="0" w:space="0" w:color="auto"/>
                <w:left w:val="none" w:sz="0" w:space="0" w:color="auto"/>
                <w:bottom w:val="none" w:sz="0" w:space="0" w:color="auto"/>
                <w:right w:val="none" w:sz="0" w:space="0" w:color="auto"/>
              </w:divBdr>
            </w:div>
            <w:div w:id="910778083">
              <w:marLeft w:val="0"/>
              <w:marRight w:val="0"/>
              <w:marTop w:val="0"/>
              <w:marBottom w:val="0"/>
              <w:divBdr>
                <w:top w:val="none" w:sz="0" w:space="0" w:color="auto"/>
                <w:left w:val="none" w:sz="0" w:space="0" w:color="auto"/>
                <w:bottom w:val="none" w:sz="0" w:space="0" w:color="auto"/>
                <w:right w:val="none" w:sz="0" w:space="0" w:color="auto"/>
              </w:divBdr>
            </w:div>
            <w:div w:id="1428765388">
              <w:marLeft w:val="0"/>
              <w:marRight w:val="0"/>
              <w:marTop w:val="0"/>
              <w:marBottom w:val="0"/>
              <w:divBdr>
                <w:top w:val="none" w:sz="0" w:space="0" w:color="auto"/>
                <w:left w:val="none" w:sz="0" w:space="0" w:color="auto"/>
                <w:bottom w:val="none" w:sz="0" w:space="0" w:color="auto"/>
                <w:right w:val="none" w:sz="0" w:space="0" w:color="auto"/>
              </w:divBdr>
            </w:div>
            <w:div w:id="955717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203851">
      <w:bodyDiv w:val="1"/>
      <w:marLeft w:val="0"/>
      <w:marRight w:val="0"/>
      <w:marTop w:val="0"/>
      <w:marBottom w:val="0"/>
      <w:divBdr>
        <w:top w:val="none" w:sz="0" w:space="0" w:color="auto"/>
        <w:left w:val="none" w:sz="0" w:space="0" w:color="auto"/>
        <w:bottom w:val="none" w:sz="0" w:space="0" w:color="auto"/>
        <w:right w:val="none" w:sz="0" w:space="0" w:color="auto"/>
      </w:divBdr>
      <w:divsChild>
        <w:div w:id="2128622526">
          <w:marLeft w:val="360"/>
          <w:marRight w:val="0"/>
          <w:marTop w:val="200"/>
          <w:marBottom w:val="0"/>
          <w:divBdr>
            <w:top w:val="none" w:sz="0" w:space="0" w:color="auto"/>
            <w:left w:val="none" w:sz="0" w:space="0" w:color="auto"/>
            <w:bottom w:val="none" w:sz="0" w:space="0" w:color="auto"/>
            <w:right w:val="none" w:sz="0" w:space="0" w:color="auto"/>
          </w:divBdr>
        </w:div>
      </w:divsChild>
    </w:div>
    <w:div w:id="1128627018">
      <w:bodyDiv w:val="1"/>
      <w:marLeft w:val="0"/>
      <w:marRight w:val="0"/>
      <w:marTop w:val="0"/>
      <w:marBottom w:val="0"/>
      <w:divBdr>
        <w:top w:val="none" w:sz="0" w:space="0" w:color="auto"/>
        <w:left w:val="none" w:sz="0" w:space="0" w:color="auto"/>
        <w:bottom w:val="none" w:sz="0" w:space="0" w:color="auto"/>
        <w:right w:val="none" w:sz="0" w:space="0" w:color="auto"/>
      </w:divBdr>
    </w:div>
    <w:div w:id="1343974113">
      <w:bodyDiv w:val="1"/>
      <w:marLeft w:val="0"/>
      <w:marRight w:val="0"/>
      <w:marTop w:val="0"/>
      <w:marBottom w:val="0"/>
      <w:divBdr>
        <w:top w:val="none" w:sz="0" w:space="0" w:color="auto"/>
        <w:left w:val="none" w:sz="0" w:space="0" w:color="auto"/>
        <w:bottom w:val="none" w:sz="0" w:space="0" w:color="auto"/>
        <w:right w:val="none" w:sz="0" w:space="0" w:color="auto"/>
      </w:divBdr>
      <w:divsChild>
        <w:div w:id="1966891385">
          <w:marLeft w:val="0"/>
          <w:marRight w:val="0"/>
          <w:marTop w:val="0"/>
          <w:marBottom w:val="0"/>
          <w:divBdr>
            <w:top w:val="none" w:sz="0" w:space="0" w:color="auto"/>
            <w:left w:val="none" w:sz="0" w:space="0" w:color="auto"/>
            <w:bottom w:val="none" w:sz="0" w:space="0" w:color="auto"/>
            <w:right w:val="none" w:sz="0" w:space="0" w:color="auto"/>
          </w:divBdr>
        </w:div>
        <w:div w:id="372199196">
          <w:marLeft w:val="0"/>
          <w:marRight w:val="0"/>
          <w:marTop w:val="0"/>
          <w:marBottom w:val="0"/>
          <w:divBdr>
            <w:top w:val="none" w:sz="0" w:space="0" w:color="auto"/>
            <w:left w:val="none" w:sz="0" w:space="0" w:color="auto"/>
            <w:bottom w:val="none" w:sz="0" w:space="0" w:color="auto"/>
            <w:right w:val="none" w:sz="0" w:space="0" w:color="auto"/>
          </w:divBdr>
        </w:div>
        <w:div w:id="373582856">
          <w:marLeft w:val="0"/>
          <w:marRight w:val="0"/>
          <w:marTop w:val="0"/>
          <w:marBottom w:val="0"/>
          <w:divBdr>
            <w:top w:val="none" w:sz="0" w:space="0" w:color="auto"/>
            <w:left w:val="none" w:sz="0" w:space="0" w:color="auto"/>
            <w:bottom w:val="none" w:sz="0" w:space="0" w:color="auto"/>
            <w:right w:val="none" w:sz="0" w:space="0" w:color="auto"/>
          </w:divBdr>
        </w:div>
        <w:div w:id="507526490">
          <w:marLeft w:val="0"/>
          <w:marRight w:val="0"/>
          <w:marTop w:val="0"/>
          <w:marBottom w:val="0"/>
          <w:divBdr>
            <w:top w:val="none" w:sz="0" w:space="0" w:color="auto"/>
            <w:left w:val="none" w:sz="0" w:space="0" w:color="auto"/>
            <w:bottom w:val="none" w:sz="0" w:space="0" w:color="auto"/>
            <w:right w:val="none" w:sz="0" w:space="0" w:color="auto"/>
          </w:divBdr>
        </w:div>
      </w:divsChild>
    </w:div>
    <w:div w:id="1933473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cky.gawlick@dshs.wa.gov"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liva\AppData\Local\Microsoft\Windows\INetCache\Content.Outlook\ZPMYTM1W\LTC%20Manual%20New%20Template%209-26-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5D1DFE-6CF0-4E85-B98B-CF28346FA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LTC Manual New Template 9-26-19</Template>
  <TotalTime>0</TotalTime>
  <Pages>17</Pages>
  <Words>4660</Words>
  <Characters>26563</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Washington State DSHS</Company>
  <LinksUpToDate>false</LinksUpToDate>
  <CharactersWithSpaces>31161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Graff, Stacy (DSHS/ALTSA/HCS)</dc:creator>
  <cp:keywords/>
  <dc:description/>
  <cp:lastModifiedBy>Sanchez, Jovi A (DSHS/ALTSA/HCS)</cp:lastModifiedBy>
  <cp:revision>2</cp:revision>
  <cp:lastPrinted>2019-10-24T20:09:00Z</cp:lastPrinted>
  <dcterms:created xsi:type="dcterms:W3CDTF">2023-03-27T16:42:00Z</dcterms:created>
  <dcterms:modified xsi:type="dcterms:W3CDTF">2023-03-27T16:42:00Z</dcterms:modified>
</cp:coreProperties>
</file>