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F9F6E" w14:textId="77777777" w:rsidR="007676F4" w:rsidRPr="00471F01" w:rsidRDefault="008A21D5" w:rsidP="00A804AE">
      <w:pPr>
        <w:pStyle w:val="Heading1"/>
      </w:pPr>
      <w:bookmarkStart w:id="0" w:name="_Toc24111184"/>
      <w:r>
        <w:t>Medicaid Fraud</w:t>
      </w:r>
      <w:bookmarkEnd w:id="0"/>
    </w:p>
    <w:p w14:paraId="6C03FEA6" w14:textId="77777777" w:rsidR="00B02288" w:rsidRDefault="008A21D5" w:rsidP="007676F4">
      <w:r>
        <w:t>Chapter 28:</w:t>
      </w:r>
      <w:r w:rsidRPr="008A21D5">
        <w:t xml:space="preserve"> The purpose of this chapter is to provide instruction and information to staff regarding suspected fraud, </w:t>
      </w:r>
      <w:proofErr w:type="gramStart"/>
      <w:r w:rsidRPr="008A21D5">
        <w:t>waste</w:t>
      </w:r>
      <w:proofErr w:type="gramEnd"/>
      <w:r w:rsidRPr="008A21D5">
        <w:t xml:space="preserve"> and abuse in Medicaid-funded programs.</w:t>
      </w:r>
      <w:r w:rsidR="00B02288">
        <w:t xml:space="preserve"> </w:t>
      </w:r>
    </w:p>
    <w:p w14:paraId="704D0F47" w14:textId="77777777" w:rsidR="00B02288" w:rsidRDefault="00B02288" w:rsidP="007676F4"/>
    <w:p w14:paraId="57500310" w14:textId="77777777" w:rsidR="007676F4" w:rsidRPr="007676F4" w:rsidRDefault="00B02288" w:rsidP="007676F4">
      <w:pPr>
        <w:rPr>
          <w:color w:val="808080" w:themeColor="background1" w:themeShade="80"/>
        </w:rPr>
      </w:pPr>
      <w:r>
        <w:t xml:space="preserve">Adult Protective Services staff please refer to Chapter 6 of the </w:t>
      </w:r>
      <w:proofErr w:type="gramStart"/>
      <w:r>
        <w:t>Long Term</w:t>
      </w:r>
      <w:proofErr w:type="gramEnd"/>
      <w:r>
        <w:t xml:space="preserve"> Care Manual for instructions on reporting fraud. </w:t>
      </w:r>
    </w:p>
    <w:p w14:paraId="339268C9" w14:textId="77777777" w:rsidR="00E45F93" w:rsidRDefault="00E45F93" w:rsidP="00E45F93"/>
    <w:p w14:paraId="12CAB70C" w14:textId="77777777" w:rsidR="007676F4" w:rsidRDefault="007676F4" w:rsidP="007676F4">
      <w:pPr>
        <w:pStyle w:val="Heading4"/>
      </w:pPr>
      <w:r>
        <w:t>Ask the Expert</w:t>
      </w:r>
    </w:p>
    <w:p w14:paraId="05DCFA8A" w14:textId="77777777" w:rsidR="007676F4" w:rsidRDefault="007676F4" w:rsidP="007676F4">
      <w:r>
        <w:t>If you have questions or need clarification about the content in this chapter, please contact:</w:t>
      </w:r>
    </w:p>
    <w:p w14:paraId="098435EF" w14:textId="77777777" w:rsidR="00E95CA6" w:rsidRDefault="00E95CA6" w:rsidP="007676F4">
      <w:r>
        <w:t>Cheryl Timmons</w:t>
      </w:r>
      <w:r>
        <w:tab/>
        <w:t>Program Integrity Manager</w:t>
      </w:r>
    </w:p>
    <w:p w14:paraId="3015D556" w14:textId="77777777" w:rsidR="007676F4" w:rsidRDefault="00E95CA6" w:rsidP="00E95CA6">
      <w:pPr>
        <w:ind w:left="1440" w:firstLine="720"/>
      </w:pPr>
      <w:r>
        <w:t>(360)725-2530</w:t>
      </w:r>
      <w:r>
        <w:tab/>
        <w:t xml:space="preserve">Office </w:t>
      </w:r>
      <w:r>
        <w:tab/>
      </w:r>
      <w:r>
        <w:tab/>
      </w:r>
      <w:r w:rsidR="008A21D5">
        <w:t>Cheryl.Timmons2@dshs.wa.gov</w:t>
      </w:r>
    </w:p>
    <w:p w14:paraId="50A610F8" w14:textId="77777777" w:rsidR="00296C58" w:rsidRDefault="00296C58" w:rsidP="00E22649"/>
    <w:bookmarkStart w:id="1" w:name="_Toc24111185"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0DE5D3F0" w14:textId="77777777" w:rsidR="007E62CD" w:rsidRDefault="007E62CD" w:rsidP="007E62CD">
          <w:pPr>
            <w:pStyle w:val="Heading2"/>
          </w:pPr>
          <w:r>
            <w:t>Table of Contents</w:t>
          </w:r>
          <w:bookmarkEnd w:id="1"/>
        </w:p>
        <w:p w14:paraId="4500497F" w14:textId="77777777" w:rsidR="00A2005A" w:rsidRDefault="007E62CD">
          <w:pPr>
            <w:pStyle w:val="TOC1"/>
            <w:tabs>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24111184" w:history="1">
            <w:r w:rsidR="00A2005A" w:rsidRPr="00041C5B">
              <w:rPr>
                <w:rStyle w:val="Hyperlink"/>
                <w:noProof/>
              </w:rPr>
              <w:t>Medicaid Fraud</w:t>
            </w:r>
            <w:r w:rsidR="00A2005A">
              <w:rPr>
                <w:noProof/>
                <w:webHidden/>
              </w:rPr>
              <w:tab/>
            </w:r>
            <w:r w:rsidR="00A2005A">
              <w:rPr>
                <w:noProof/>
                <w:webHidden/>
              </w:rPr>
              <w:fldChar w:fldCharType="begin"/>
            </w:r>
            <w:r w:rsidR="00A2005A">
              <w:rPr>
                <w:noProof/>
                <w:webHidden/>
              </w:rPr>
              <w:instrText xml:space="preserve"> PAGEREF _Toc24111184 \h </w:instrText>
            </w:r>
            <w:r w:rsidR="00A2005A">
              <w:rPr>
                <w:noProof/>
                <w:webHidden/>
              </w:rPr>
            </w:r>
            <w:r w:rsidR="00A2005A">
              <w:rPr>
                <w:noProof/>
                <w:webHidden/>
              </w:rPr>
              <w:fldChar w:fldCharType="separate"/>
            </w:r>
            <w:r w:rsidR="00B36278">
              <w:rPr>
                <w:noProof/>
                <w:webHidden/>
              </w:rPr>
              <w:t>1</w:t>
            </w:r>
            <w:r w:rsidR="00A2005A">
              <w:rPr>
                <w:noProof/>
                <w:webHidden/>
              </w:rPr>
              <w:fldChar w:fldCharType="end"/>
            </w:r>
          </w:hyperlink>
        </w:p>
        <w:p w14:paraId="37106687" w14:textId="77777777" w:rsidR="00A2005A" w:rsidRDefault="00A804AE">
          <w:pPr>
            <w:pStyle w:val="TOC2"/>
            <w:rPr>
              <w:rFonts w:asciiTheme="minorHAnsi" w:eastAsiaTheme="minorEastAsia" w:hAnsiTheme="minorHAnsi" w:cstheme="minorBidi"/>
              <w:b w:val="0"/>
            </w:rPr>
          </w:pPr>
          <w:hyperlink w:anchor="_Toc24111185" w:history="1">
            <w:r w:rsidR="00A2005A" w:rsidRPr="00041C5B">
              <w:rPr>
                <w:rStyle w:val="Hyperlink"/>
              </w:rPr>
              <w:t>Table of Contents</w:t>
            </w:r>
            <w:r w:rsidR="00A2005A">
              <w:rPr>
                <w:webHidden/>
              </w:rPr>
              <w:tab/>
            </w:r>
            <w:r w:rsidR="00A2005A">
              <w:rPr>
                <w:webHidden/>
              </w:rPr>
              <w:fldChar w:fldCharType="begin"/>
            </w:r>
            <w:r w:rsidR="00A2005A">
              <w:rPr>
                <w:webHidden/>
              </w:rPr>
              <w:instrText xml:space="preserve"> PAGEREF _Toc24111185 \h </w:instrText>
            </w:r>
            <w:r w:rsidR="00A2005A">
              <w:rPr>
                <w:webHidden/>
              </w:rPr>
            </w:r>
            <w:r w:rsidR="00A2005A">
              <w:rPr>
                <w:webHidden/>
              </w:rPr>
              <w:fldChar w:fldCharType="separate"/>
            </w:r>
            <w:r w:rsidR="00B36278">
              <w:rPr>
                <w:webHidden/>
              </w:rPr>
              <w:t>1</w:t>
            </w:r>
            <w:r w:rsidR="00A2005A">
              <w:rPr>
                <w:webHidden/>
              </w:rPr>
              <w:fldChar w:fldCharType="end"/>
            </w:r>
          </w:hyperlink>
        </w:p>
        <w:p w14:paraId="0B3A1746" w14:textId="77777777" w:rsidR="00A2005A" w:rsidRDefault="00A804AE">
          <w:pPr>
            <w:pStyle w:val="TOC2"/>
            <w:rPr>
              <w:rFonts w:asciiTheme="minorHAnsi" w:eastAsiaTheme="minorEastAsia" w:hAnsiTheme="minorHAnsi" w:cstheme="minorBidi"/>
              <w:b w:val="0"/>
            </w:rPr>
          </w:pPr>
          <w:hyperlink w:anchor="_Toc24111186" w:history="1">
            <w:r w:rsidR="00A2005A" w:rsidRPr="00041C5B">
              <w:rPr>
                <w:rStyle w:val="Hyperlink"/>
              </w:rPr>
              <w:t>Background</w:t>
            </w:r>
            <w:r w:rsidR="00A2005A">
              <w:rPr>
                <w:webHidden/>
              </w:rPr>
              <w:tab/>
            </w:r>
            <w:r w:rsidR="00A2005A">
              <w:rPr>
                <w:webHidden/>
              </w:rPr>
              <w:fldChar w:fldCharType="begin"/>
            </w:r>
            <w:r w:rsidR="00A2005A">
              <w:rPr>
                <w:webHidden/>
              </w:rPr>
              <w:instrText xml:space="preserve"> PAGEREF _Toc24111186 \h </w:instrText>
            </w:r>
            <w:r w:rsidR="00A2005A">
              <w:rPr>
                <w:webHidden/>
              </w:rPr>
            </w:r>
            <w:r w:rsidR="00A2005A">
              <w:rPr>
                <w:webHidden/>
              </w:rPr>
              <w:fldChar w:fldCharType="separate"/>
            </w:r>
            <w:r w:rsidR="00B36278">
              <w:rPr>
                <w:webHidden/>
              </w:rPr>
              <w:t>2</w:t>
            </w:r>
            <w:r w:rsidR="00A2005A">
              <w:rPr>
                <w:webHidden/>
              </w:rPr>
              <w:fldChar w:fldCharType="end"/>
            </w:r>
          </w:hyperlink>
        </w:p>
        <w:p w14:paraId="4E9B7DD1" w14:textId="77777777" w:rsidR="00A2005A" w:rsidRDefault="00A804AE">
          <w:pPr>
            <w:pStyle w:val="TOC2"/>
            <w:rPr>
              <w:rFonts w:asciiTheme="minorHAnsi" w:eastAsiaTheme="minorEastAsia" w:hAnsiTheme="minorHAnsi" w:cstheme="minorBidi"/>
              <w:b w:val="0"/>
            </w:rPr>
          </w:pPr>
          <w:hyperlink w:anchor="_Toc24111187" w:history="1">
            <w:r w:rsidR="00A2005A" w:rsidRPr="00041C5B">
              <w:rPr>
                <w:rStyle w:val="Hyperlink"/>
              </w:rPr>
              <w:t>Preliminary Action Steps</w:t>
            </w:r>
            <w:r w:rsidR="00A2005A">
              <w:rPr>
                <w:webHidden/>
              </w:rPr>
              <w:tab/>
            </w:r>
            <w:r w:rsidR="00A2005A">
              <w:rPr>
                <w:webHidden/>
              </w:rPr>
              <w:fldChar w:fldCharType="begin"/>
            </w:r>
            <w:r w:rsidR="00A2005A">
              <w:rPr>
                <w:webHidden/>
              </w:rPr>
              <w:instrText xml:space="preserve"> PAGEREF _Toc24111187 \h </w:instrText>
            </w:r>
            <w:r w:rsidR="00A2005A">
              <w:rPr>
                <w:webHidden/>
              </w:rPr>
            </w:r>
            <w:r w:rsidR="00A2005A">
              <w:rPr>
                <w:webHidden/>
              </w:rPr>
              <w:fldChar w:fldCharType="separate"/>
            </w:r>
            <w:r w:rsidR="00B36278">
              <w:rPr>
                <w:webHidden/>
              </w:rPr>
              <w:t>3</w:t>
            </w:r>
            <w:r w:rsidR="00A2005A">
              <w:rPr>
                <w:webHidden/>
              </w:rPr>
              <w:fldChar w:fldCharType="end"/>
            </w:r>
          </w:hyperlink>
        </w:p>
        <w:p w14:paraId="3E36AD44" w14:textId="77777777" w:rsidR="00A2005A" w:rsidRDefault="00A804AE">
          <w:pPr>
            <w:pStyle w:val="TOC2"/>
            <w:rPr>
              <w:rFonts w:asciiTheme="minorHAnsi" w:eastAsiaTheme="minorEastAsia" w:hAnsiTheme="minorHAnsi" w:cstheme="minorBidi"/>
              <w:b w:val="0"/>
            </w:rPr>
          </w:pPr>
          <w:hyperlink w:anchor="_Toc24111188" w:history="1">
            <w:r w:rsidR="00A2005A" w:rsidRPr="00041C5B">
              <w:rPr>
                <w:rStyle w:val="Hyperlink"/>
              </w:rPr>
              <w:t>Payment Suspension Policy</w:t>
            </w:r>
            <w:r w:rsidR="00A2005A">
              <w:rPr>
                <w:webHidden/>
              </w:rPr>
              <w:tab/>
            </w:r>
            <w:r w:rsidR="00A2005A">
              <w:rPr>
                <w:webHidden/>
              </w:rPr>
              <w:fldChar w:fldCharType="begin"/>
            </w:r>
            <w:r w:rsidR="00A2005A">
              <w:rPr>
                <w:webHidden/>
              </w:rPr>
              <w:instrText xml:space="preserve"> PAGEREF _Toc24111188 \h </w:instrText>
            </w:r>
            <w:r w:rsidR="00A2005A">
              <w:rPr>
                <w:webHidden/>
              </w:rPr>
            </w:r>
            <w:r w:rsidR="00A2005A">
              <w:rPr>
                <w:webHidden/>
              </w:rPr>
              <w:fldChar w:fldCharType="separate"/>
            </w:r>
            <w:r w:rsidR="00B36278">
              <w:rPr>
                <w:webHidden/>
              </w:rPr>
              <w:t>5</w:t>
            </w:r>
            <w:r w:rsidR="00A2005A">
              <w:rPr>
                <w:webHidden/>
              </w:rPr>
              <w:fldChar w:fldCharType="end"/>
            </w:r>
          </w:hyperlink>
        </w:p>
        <w:p w14:paraId="52A1EA96" w14:textId="77777777" w:rsidR="00A2005A" w:rsidRDefault="00A804AE">
          <w:pPr>
            <w:pStyle w:val="TOC3"/>
            <w:tabs>
              <w:tab w:val="right" w:leader="dot" w:pos="9350"/>
            </w:tabs>
            <w:rPr>
              <w:rFonts w:asciiTheme="minorHAnsi" w:eastAsiaTheme="minorEastAsia" w:hAnsiTheme="minorHAnsi" w:cstheme="minorBidi"/>
              <w:noProof/>
            </w:rPr>
          </w:pPr>
          <w:hyperlink w:anchor="_Toc24111189" w:history="1">
            <w:r w:rsidR="00A2005A" w:rsidRPr="00041C5B">
              <w:rPr>
                <w:rStyle w:val="Hyperlink"/>
                <w:noProof/>
              </w:rPr>
              <w:t>Good Cause Exceptions</w:t>
            </w:r>
            <w:r w:rsidR="00A2005A">
              <w:rPr>
                <w:noProof/>
                <w:webHidden/>
              </w:rPr>
              <w:tab/>
            </w:r>
            <w:r w:rsidR="00A2005A">
              <w:rPr>
                <w:noProof/>
                <w:webHidden/>
              </w:rPr>
              <w:fldChar w:fldCharType="begin"/>
            </w:r>
            <w:r w:rsidR="00A2005A">
              <w:rPr>
                <w:noProof/>
                <w:webHidden/>
              </w:rPr>
              <w:instrText xml:space="preserve"> PAGEREF _Toc24111189 \h </w:instrText>
            </w:r>
            <w:r w:rsidR="00A2005A">
              <w:rPr>
                <w:noProof/>
                <w:webHidden/>
              </w:rPr>
            </w:r>
            <w:r w:rsidR="00A2005A">
              <w:rPr>
                <w:noProof/>
                <w:webHidden/>
              </w:rPr>
              <w:fldChar w:fldCharType="separate"/>
            </w:r>
            <w:r w:rsidR="00B36278">
              <w:rPr>
                <w:noProof/>
                <w:webHidden/>
              </w:rPr>
              <w:t>5</w:t>
            </w:r>
            <w:r w:rsidR="00A2005A">
              <w:rPr>
                <w:noProof/>
                <w:webHidden/>
              </w:rPr>
              <w:fldChar w:fldCharType="end"/>
            </w:r>
          </w:hyperlink>
        </w:p>
        <w:p w14:paraId="28B15103" w14:textId="77777777" w:rsidR="00A2005A" w:rsidRDefault="00A804AE">
          <w:pPr>
            <w:pStyle w:val="TOC2"/>
            <w:rPr>
              <w:rFonts w:asciiTheme="minorHAnsi" w:eastAsiaTheme="minorEastAsia" w:hAnsiTheme="minorHAnsi" w:cstheme="minorBidi"/>
              <w:b w:val="0"/>
            </w:rPr>
          </w:pPr>
          <w:hyperlink w:anchor="_Toc24111190" w:history="1">
            <w:r w:rsidR="00A2005A" w:rsidRPr="00041C5B">
              <w:rPr>
                <w:rStyle w:val="Hyperlink"/>
              </w:rPr>
              <w:t>Provider Fraud Referral Policy and Process</w:t>
            </w:r>
            <w:r w:rsidR="00A2005A">
              <w:rPr>
                <w:webHidden/>
              </w:rPr>
              <w:tab/>
            </w:r>
            <w:r w:rsidR="00A2005A">
              <w:rPr>
                <w:webHidden/>
              </w:rPr>
              <w:fldChar w:fldCharType="begin"/>
            </w:r>
            <w:r w:rsidR="00A2005A">
              <w:rPr>
                <w:webHidden/>
              </w:rPr>
              <w:instrText xml:space="preserve"> PAGEREF _Toc24111190 \h </w:instrText>
            </w:r>
            <w:r w:rsidR="00A2005A">
              <w:rPr>
                <w:webHidden/>
              </w:rPr>
            </w:r>
            <w:r w:rsidR="00A2005A">
              <w:rPr>
                <w:webHidden/>
              </w:rPr>
              <w:fldChar w:fldCharType="separate"/>
            </w:r>
            <w:r w:rsidR="00B36278">
              <w:rPr>
                <w:webHidden/>
              </w:rPr>
              <w:t>8</w:t>
            </w:r>
            <w:r w:rsidR="00A2005A">
              <w:rPr>
                <w:webHidden/>
              </w:rPr>
              <w:fldChar w:fldCharType="end"/>
            </w:r>
          </w:hyperlink>
        </w:p>
        <w:p w14:paraId="357DB5BC" w14:textId="77777777" w:rsidR="00A2005A" w:rsidRDefault="00A804AE">
          <w:pPr>
            <w:pStyle w:val="TOC3"/>
            <w:tabs>
              <w:tab w:val="right" w:leader="dot" w:pos="9350"/>
            </w:tabs>
            <w:rPr>
              <w:rFonts w:asciiTheme="minorHAnsi" w:eastAsiaTheme="minorEastAsia" w:hAnsiTheme="minorHAnsi" w:cstheme="minorBidi"/>
              <w:noProof/>
            </w:rPr>
          </w:pPr>
          <w:hyperlink w:anchor="_Toc24111191" w:history="1">
            <w:r w:rsidR="00A2005A" w:rsidRPr="00041C5B">
              <w:rPr>
                <w:rStyle w:val="Hyperlink"/>
                <w:noProof/>
              </w:rPr>
              <w:t>Considerations before a Referral is Made</w:t>
            </w:r>
            <w:r w:rsidR="00A2005A">
              <w:rPr>
                <w:noProof/>
                <w:webHidden/>
              </w:rPr>
              <w:tab/>
            </w:r>
            <w:r w:rsidR="00A2005A">
              <w:rPr>
                <w:noProof/>
                <w:webHidden/>
              </w:rPr>
              <w:fldChar w:fldCharType="begin"/>
            </w:r>
            <w:r w:rsidR="00A2005A">
              <w:rPr>
                <w:noProof/>
                <w:webHidden/>
              </w:rPr>
              <w:instrText xml:space="preserve"> PAGEREF _Toc24111191 \h </w:instrText>
            </w:r>
            <w:r w:rsidR="00A2005A">
              <w:rPr>
                <w:noProof/>
                <w:webHidden/>
              </w:rPr>
            </w:r>
            <w:r w:rsidR="00A2005A">
              <w:rPr>
                <w:noProof/>
                <w:webHidden/>
              </w:rPr>
              <w:fldChar w:fldCharType="separate"/>
            </w:r>
            <w:r w:rsidR="00B36278">
              <w:rPr>
                <w:noProof/>
                <w:webHidden/>
              </w:rPr>
              <w:t>8</w:t>
            </w:r>
            <w:r w:rsidR="00A2005A">
              <w:rPr>
                <w:noProof/>
                <w:webHidden/>
              </w:rPr>
              <w:fldChar w:fldCharType="end"/>
            </w:r>
          </w:hyperlink>
        </w:p>
        <w:p w14:paraId="32B1B860" w14:textId="77777777" w:rsidR="00A2005A" w:rsidRDefault="00A804AE">
          <w:pPr>
            <w:pStyle w:val="TOC3"/>
            <w:tabs>
              <w:tab w:val="right" w:leader="dot" w:pos="9350"/>
            </w:tabs>
            <w:rPr>
              <w:rFonts w:asciiTheme="minorHAnsi" w:eastAsiaTheme="minorEastAsia" w:hAnsiTheme="minorHAnsi" w:cstheme="minorBidi"/>
              <w:noProof/>
            </w:rPr>
          </w:pPr>
          <w:hyperlink w:anchor="_Toc24111192" w:history="1">
            <w:r w:rsidR="00A2005A" w:rsidRPr="00041C5B">
              <w:rPr>
                <w:rStyle w:val="Hyperlink"/>
                <w:noProof/>
              </w:rPr>
              <w:t>Submitting the Medicaid Provider Fraud Referral Package</w:t>
            </w:r>
            <w:r w:rsidR="00A2005A">
              <w:rPr>
                <w:noProof/>
                <w:webHidden/>
              </w:rPr>
              <w:tab/>
            </w:r>
            <w:r w:rsidR="00A2005A">
              <w:rPr>
                <w:noProof/>
                <w:webHidden/>
              </w:rPr>
              <w:fldChar w:fldCharType="begin"/>
            </w:r>
            <w:r w:rsidR="00A2005A">
              <w:rPr>
                <w:noProof/>
                <w:webHidden/>
              </w:rPr>
              <w:instrText xml:space="preserve"> PAGEREF _Toc24111192 \h </w:instrText>
            </w:r>
            <w:r w:rsidR="00A2005A">
              <w:rPr>
                <w:noProof/>
                <w:webHidden/>
              </w:rPr>
            </w:r>
            <w:r w:rsidR="00A2005A">
              <w:rPr>
                <w:noProof/>
                <w:webHidden/>
              </w:rPr>
              <w:fldChar w:fldCharType="separate"/>
            </w:r>
            <w:r w:rsidR="00B36278">
              <w:rPr>
                <w:noProof/>
                <w:webHidden/>
              </w:rPr>
              <w:t>8</w:t>
            </w:r>
            <w:r w:rsidR="00A2005A">
              <w:rPr>
                <w:noProof/>
                <w:webHidden/>
              </w:rPr>
              <w:fldChar w:fldCharType="end"/>
            </w:r>
          </w:hyperlink>
        </w:p>
        <w:p w14:paraId="66FB14DD" w14:textId="77777777" w:rsidR="00A2005A" w:rsidRDefault="00A804AE">
          <w:pPr>
            <w:pStyle w:val="TOC3"/>
            <w:tabs>
              <w:tab w:val="right" w:leader="dot" w:pos="9350"/>
            </w:tabs>
            <w:rPr>
              <w:rFonts w:asciiTheme="minorHAnsi" w:eastAsiaTheme="minorEastAsia" w:hAnsiTheme="minorHAnsi" w:cstheme="minorBidi"/>
              <w:noProof/>
            </w:rPr>
          </w:pPr>
          <w:hyperlink w:anchor="_Toc24111193" w:history="1">
            <w:r w:rsidR="00A2005A" w:rsidRPr="00041C5B">
              <w:rPr>
                <w:rStyle w:val="Hyperlink"/>
                <w:noProof/>
              </w:rPr>
              <w:t>Notices to Client and Provider</w:t>
            </w:r>
            <w:r w:rsidR="00A2005A">
              <w:rPr>
                <w:noProof/>
                <w:webHidden/>
              </w:rPr>
              <w:tab/>
            </w:r>
            <w:r w:rsidR="00A2005A">
              <w:rPr>
                <w:noProof/>
                <w:webHidden/>
              </w:rPr>
              <w:fldChar w:fldCharType="begin"/>
            </w:r>
            <w:r w:rsidR="00A2005A">
              <w:rPr>
                <w:noProof/>
                <w:webHidden/>
              </w:rPr>
              <w:instrText xml:space="preserve"> PAGEREF _Toc24111193 \h </w:instrText>
            </w:r>
            <w:r w:rsidR="00A2005A">
              <w:rPr>
                <w:noProof/>
                <w:webHidden/>
              </w:rPr>
            </w:r>
            <w:r w:rsidR="00A2005A">
              <w:rPr>
                <w:noProof/>
                <w:webHidden/>
              </w:rPr>
              <w:fldChar w:fldCharType="separate"/>
            </w:r>
            <w:r w:rsidR="00B36278">
              <w:rPr>
                <w:noProof/>
                <w:webHidden/>
              </w:rPr>
              <w:t>9</w:t>
            </w:r>
            <w:r w:rsidR="00A2005A">
              <w:rPr>
                <w:noProof/>
                <w:webHidden/>
              </w:rPr>
              <w:fldChar w:fldCharType="end"/>
            </w:r>
          </w:hyperlink>
        </w:p>
        <w:p w14:paraId="495C41E5" w14:textId="77777777" w:rsidR="00A2005A" w:rsidRDefault="00A804AE">
          <w:pPr>
            <w:pStyle w:val="TOC3"/>
            <w:tabs>
              <w:tab w:val="right" w:leader="dot" w:pos="9350"/>
            </w:tabs>
            <w:rPr>
              <w:rFonts w:asciiTheme="minorHAnsi" w:eastAsiaTheme="minorEastAsia" w:hAnsiTheme="minorHAnsi" w:cstheme="minorBidi"/>
              <w:noProof/>
            </w:rPr>
          </w:pPr>
          <w:hyperlink w:anchor="_Toc24111194" w:history="1">
            <w:r w:rsidR="00A2005A" w:rsidRPr="00041C5B">
              <w:rPr>
                <w:rStyle w:val="Hyperlink"/>
                <w:noProof/>
              </w:rPr>
              <w:t>Documentation of Referral</w:t>
            </w:r>
            <w:r w:rsidR="00A2005A">
              <w:rPr>
                <w:noProof/>
                <w:webHidden/>
              </w:rPr>
              <w:tab/>
            </w:r>
            <w:r w:rsidR="00A2005A">
              <w:rPr>
                <w:noProof/>
                <w:webHidden/>
              </w:rPr>
              <w:fldChar w:fldCharType="begin"/>
            </w:r>
            <w:r w:rsidR="00A2005A">
              <w:rPr>
                <w:noProof/>
                <w:webHidden/>
              </w:rPr>
              <w:instrText xml:space="preserve"> PAGEREF _Toc24111194 \h </w:instrText>
            </w:r>
            <w:r w:rsidR="00A2005A">
              <w:rPr>
                <w:noProof/>
                <w:webHidden/>
              </w:rPr>
            </w:r>
            <w:r w:rsidR="00A2005A">
              <w:rPr>
                <w:noProof/>
                <w:webHidden/>
              </w:rPr>
              <w:fldChar w:fldCharType="separate"/>
            </w:r>
            <w:r w:rsidR="00B36278">
              <w:rPr>
                <w:noProof/>
                <w:webHidden/>
              </w:rPr>
              <w:t>9</w:t>
            </w:r>
            <w:r w:rsidR="00A2005A">
              <w:rPr>
                <w:noProof/>
                <w:webHidden/>
              </w:rPr>
              <w:fldChar w:fldCharType="end"/>
            </w:r>
          </w:hyperlink>
        </w:p>
        <w:p w14:paraId="7358BF56" w14:textId="77777777" w:rsidR="00A2005A" w:rsidRDefault="00A804AE">
          <w:pPr>
            <w:pStyle w:val="TOC2"/>
            <w:rPr>
              <w:rFonts w:asciiTheme="minorHAnsi" w:eastAsiaTheme="minorEastAsia" w:hAnsiTheme="minorHAnsi" w:cstheme="minorBidi"/>
              <w:b w:val="0"/>
            </w:rPr>
          </w:pPr>
          <w:hyperlink w:anchor="_Toc24111195" w:history="1">
            <w:r w:rsidR="00A2005A" w:rsidRPr="00041C5B">
              <w:rPr>
                <w:rStyle w:val="Hyperlink"/>
              </w:rPr>
              <w:t>Full Investigation</w:t>
            </w:r>
            <w:r w:rsidR="00A2005A">
              <w:rPr>
                <w:webHidden/>
              </w:rPr>
              <w:tab/>
            </w:r>
            <w:r w:rsidR="00A2005A">
              <w:rPr>
                <w:webHidden/>
              </w:rPr>
              <w:fldChar w:fldCharType="begin"/>
            </w:r>
            <w:r w:rsidR="00A2005A">
              <w:rPr>
                <w:webHidden/>
              </w:rPr>
              <w:instrText xml:space="preserve"> PAGEREF _Toc24111195 \h </w:instrText>
            </w:r>
            <w:r w:rsidR="00A2005A">
              <w:rPr>
                <w:webHidden/>
              </w:rPr>
            </w:r>
            <w:r w:rsidR="00A2005A">
              <w:rPr>
                <w:webHidden/>
              </w:rPr>
              <w:fldChar w:fldCharType="separate"/>
            </w:r>
            <w:r w:rsidR="00B36278">
              <w:rPr>
                <w:webHidden/>
              </w:rPr>
              <w:t>9</w:t>
            </w:r>
            <w:r w:rsidR="00A2005A">
              <w:rPr>
                <w:webHidden/>
              </w:rPr>
              <w:fldChar w:fldCharType="end"/>
            </w:r>
          </w:hyperlink>
        </w:p>
        <w:p w14:paraId="2EB13B95" w14:textId="77777777" w:rsidR="00A2005A" w:rsidRDefault="00A804AE">
          <w:pPr>
            <w:pStyle w:val="TOC2"/>
            <w:rPr>
              <w:rFonts w:asciiTheme="minorHAnsi" w:eastAsiaTheme="minorEastAsia" w:hAnsiTheme="minorHAnsi" w:cstheme="minorBidi"/>
              <w:b w:val="0"/>
            </w:rPr>
          </w:pPr>
          <w:hyperlink w:anchor="_Toc24111196" w:history="1">
            <w:r w:rsidR="00A2005A" w:rsidRPr="00041C5B">
              <w:rPr>
                <w:rStyle w:val="Hyperlink"/>
              </w:rPr>
              <w:t>W</w:t>
            </w:r>
            <w:r w:rsidR="00A2005A">
              <w:rPr>
                <w:rStyle w:val="Hyperlink"/>
              </w:rPr>
              <w:t>hen</w:t>
            </w:r>
            <w:r w:rsidR="00A2005A" w:rsidRPr="00041C5B">
              <w:rPr>
                <w:rStyle w:val="Hyperlink"/>
              </w:rPr>
              <w:t xml:space="preserve"> </w:t>
            </w:r>
            <w:r w:rsidR="00A2005A">
              <w:rPr>
                <w:rStyle w:val="Hyperlink"/>
              </w:rPr>
              <w:t>a</w:t>
            </w:r>
            <w:r w:rsidR="00A2005A" w:rsidRPr="00041C5B">
              <w:rPr>
                <w:rStyle w:val="Hyperlink"/>
              </w:rPr>
              <w:t xml:space="preserve"> </w:t>
            </w:r>
            <w:r w:rsidR="00A2005A">
              <w:rPr>
                <w:rStyle w:val="Hyperlink"/>
              </w:rPr>
              <w:t>Referral is</w:t>
            </w:r>
            <w:r w:rsidR="00A2005A" w:rsidRPr="00041C5B">
              <w:rPr>
                <w:rStyle w:val="Hyperlink"/>
              </w:rPr>
              <w:t xml:space="preserve"> N</w:t>
            </w:r>
            <w:r w:rsidR="00A2005A">
              <w:rPr>
                <w:rStyle w:val="Hyperlink"/>
              </w:rPr>
              <w:t>ot</w:t>
            </w:r>
            <w:r w:rsidR="00A2005A" w:rsidRPr="00041C5B">
              <w:rPr>
                <w:rStyle w:val="Hyperlink"/>
              </w:rPr>
              <w:t xml:space="preserve"> A</w:t>
            </w:r>
            <w:r w:rsidR="00A2005A">
              <w:rPr>
                <w:rStyle w:val="Hyperlink"/>
              </w:rPr>
              <w:t>ccepted</w:t>
            </w:r>
            <w:r w:rsidR="00A2005A" w:rsidRPr="00041C5B">
              <w:rPr>
                <w:rStyle w:val="Hyperlink"/>
              </w:rPr>
              <w:t xml:space="preserve"> </w:t>
            </w:r>
            <w:r w:rsidR="00A2005A">
              <w:rPr>
                <w:rStyle w:val="Hyperlink"/>
              </w:rPr>
              <w:t>by</w:t>
            </w:r>
            <w:r w:rsidR="00A2005A" w:rsidRPr="00041C5B">
              <w:rPr>
                <w:rStyle w:val="Hyperlink"/>
              </w:rPr>
              <w:t xml:space="preserve"> MFCU</w:t>
            </w:r>
            <w:r w:rsidR="00A2005A">
              <w:rPr>
                <w:webHidden/>
              </w:rPr>
              <w:tab/>
            </w:r>
            <w:r w:rsidR="00A2005A">
              <w:rPr>
                <w:webHidden/>
              </w:rPr>
              <w:fldChar w:fldCharType="begin"/>
            </w:r>
            <w:r w:rsidR="00A2005A">
              <w:rPr>
                <w:webHidden/>
              </w:rPr>
              <w:instrText xml:space="preserve"> PAGEREF _Toc24111196 \h </w:instrText>
            </w:r>
            <w:r w:rsidR="00A2005A">
              <w:rPr>
                <w:webHidden/>
              </w:rPr>
            </w:r>
            <w:r w:rsidR="00A2005A">
              <w:rPr>
                <w:webHidden/>
              </w:rPr>
              <w:fldChar w:fldCharType="separate"/>
            </w:r>
            <w:r w:rsidR="00B36278">
              <w:rPr>
                <w:webHidden/>
              </w:rPr>
              <w:t>10</w:t>
            </w:r>
            <w:r w:rsidR="00A2005A">
              <w:rPr>
                <w:webHidden/>
              </w:rPr>
              <w:fldChar w:fldCharType="end"/>
            </w:r>
          </w:hyperlink>
        </w:p>
        <w:p w14:paraId="604787FD" w14:textId="77777777" w:rsidR="00A2005A" w:rsidRDefault="00A804AE">
          <w:pPr>
            <w:pStyle w:val="TOC2"/>
            <w:rPr>
              <w:rFonts w:asciiTheme="minorHAnsi" w:eastAsiaTheme="minorEastAsia" w:hAnsiTheme="minorHAnsi" w:cstheme="minorBidi"/>
              <w:b w:val="0"/>
            </w:rPr>
          </w:pPr>
          <w:hyperlink w:anchor="_Toc24111197" w:history="1">
            <w:r w:rsidR="000058B7">
              <w:rPr>
                <w:rStyle w:val="Hyperlink"/>
              </w:rPr>
              <w:t>Contract T</w:t>
            </w:r>
            <w:r w:rsidR="00A2005A" w:rsidRPr="00041C5B">
              <w:rPr>
                <w:rStyle w:val="Hyperlink"/>
              </w:rPr>
              <w:t>ermination</w:t>
            </w:r>
            <w:r w:rsidR="00A2005A">
              <w:rPr>
                <w:webHidden/>
              </w:rPr>
              <w:tab/>
            </w:r>
            <w:r w:rsidR="00A2005A">
              <w:rPr>
                <w:webHidden/>
              </w:rPr>
              <w:fldChar w:fldCharType="begin"/>
            </w:r>
            <w:r w:rsidR="00A2005A">
              <w:rPr>
                <w:webHidden/>
              </w:rPr>
              <w:instrText xml:space="preserve"> PAGEREF _Toc24111197 \h </w:instrText>
            </w:r>
            <w:r w:rsidR="00A2005A">
              <w:rPr>
                <w:webHidden/>
              </w:rPr>
            </w:r>
            <w:r w:rsidR="00A2005A">
              <w:rPr>
                <w:webHidden/>
              </w:rPr>
              <w:fldChar w:fldCharType="separate"/>
            </w:r>
            <w:r w:rsidR="00B36278">
              <w:rPr>
                <w:webHidden/>
              </w:rPr>
              <w:t>10</w:t>
            </w:r>
            <w:r w:rsidR="00A2005A">
              <w:rPr>
                <w:webHidden/>
              </w:rPr>
              <w:fldChar w:fldCharType="end"/>
            </w:r>
          </w:hyperlink>
        </w:p>
        <w:p w14:paraId="3338CBFA" w14:textId="77777777" w:rsidR="00A2005A" w:rsidRDefault="00A804AE">
          <w:pPr>
            <w:pStyle w:val="TOC2"/>
            <w:rPr>
              <w:rFonts w:asciiTheme="minorHAnsi" w:eastAsiaTheme="minorEastAsia" w:hAnsiTheme="minorHAnsi" w:cstheme="minorBidi"/>
              <w:b w:val="0"/>
            </w:rPr>
          </w:pPr>
          <w:hyperlink w:anchor="_Toc24111198" w:history="1">
            <w:r w:rsidR="000058B7">
              <w:rPr>
                <w:rStyle w:val="Hyperlink"/>
              </w:rPr>
              <w:t>Reporting C</w:t>
            </w:r>
            <w:r w:rsidR="00A2005A" w:rsidRPr="00041C5B">
              <w:rPr>
                <w:rStyle w:val="Hyperlink"/>
              </w:rPr>
              <w:t xml:space="preserve">lient </w:t>
            </w:r>
            <w:r w:rsidR="000058B7">
              <w:rPr>
                <w:rStyle w:val="Hyperlink"/>
              </w:rPr>
              <w:t>F</w:t>
            </w:r>
            <w:r w:rsidR="00A2005A" w:rsidRPr="00041C5B">
              <w:rPr>
                <w:rStyle w:val="Hyperlink"/>
              </w:rPr>
              <w:t>raud</w:t>
            </w:r>
            <w:r w:rsidR="00A2005A">
              <w:rPr>
                <w:webHidden/>
              </w:rPr>
              <w:tab/>
            </w:r>
            <w:r w:rsidR="00A2005A">
              <w:rPr>
                <w:webHidden/>
              </w:rPr>
              <w:fldChar w:fldCharType="begin"/>
            </w:r>
            <w:r w:rsidR="00A2005A">
              <w:rPr>
                <w:webHidden/>
              </w:rPr>
              <w:instrText xml:space="preserve"> PAGEREF _Toc24111198 \h </w:instrText>
            </w:r>
            <w:r w:rsidR="00A2005A">
              <w:rPr>
                <w:webHidden/>
              </w:rPr>
            </w:r>
            <w:r w:rsidR="00A2005A">
              <w:rPr>
                <w:webHidden/>
              </w:rPr>
              <w:fldChar w:fldCharType="separate"/>
            </w:r>
            <w:r w:rsidR="00B36278">
              <w:rPr>
                <w:webHidden/>
              </w:rPr>
              <w:t>11</w:t>
            </w:r>
            <w:r w:rsidR="00A2005A">
              <w:rPr>
                <w:webHidden/>
              </w:rPr>
              <w:fldChar w:fldCharType="end"/>
            </w:r>
          </w:hyperlink>
        </w:p>
        <w:p w14:paraId="24F61235" w14:textId="77777777" w:rsidR="00A2005A" w:rsidRDefault="00A804AE">
          <w:pPr>
            <w:pStyle w:val="TOC2"/>
            <w:rPr>
              <w:rFonts w:asciiTheme="minorHAnsi" w:eastAsiaTheme="minorEastAsia" w:hAnsiTheme="minorHAnsi" w:cstheme="minorBidi"/>
              <w:b w:val="0"/>
            </w:rPr>
          </w:pPr>
          <w:hyperlink w:anchor="_Toc24111199" w:history="1">
            <w:r w:rsidR="00A2005A" w:rsidRPr="00041C5B">
              <w:rPr>
                <w:rStyle w:val="Hyperlink"/>
              </w:rPr>
              <w:t>Resources</w:t>
            </w:r>
            <w:r w:rsidR="00A2005A">
              <w:rPr>
                <w:webHidden/>
              </w:rPr>
              <w:tab/>
            </w:r>
            <w:r w:rsidR="00A2005A">
              <w:rPr>
                <w:webHidden/>
              </w:rPr>
              <w:fldChar w:fldCharType="begin"/>
            </w:r>
            <w:r w:rsidR="00A2005A">
              <w:rPr>
                <w:webHidden/>
              </w:rPr>
              <w:instrText xml:space="preserve"> PAGEREF _Toc24111199 \h </w:instrText>
            </w:r>
            <w:r w:rsidR="00A2005A">
              <w:rPr>
                <w:webHidden/>
              </w:rPr>
            </w:r>
            <w:r w:rsidR="00A2005A">
              <w:rPr>
                <w:webHidden/>
              </w:rPr>
              <w:fldChar w:fldCharType="separate"/>
            </w:r>
            <w:r w:rsidR="00B36278">
              <w:rPr>
                <w:webHidden/>
              </w:rPr>
              <w:t>11</w:t>
            </w:r>
            <w:r w:rsidR="00A2005A">
              <w:rPr>
                <w:webHidden/>
              </w:rPr>
              <w:fldChar w:fldCharType="end"/>
            </w:r>
          </w:hyperlink>
        </w:p>
        <w:p w14:paraId="0F2553AC" w14:textId="77777777" w:rsidR="00A2005A" w:rsidRDefault="00A804AE">
          <w:pPr>
            <w:pStyle w:val="TOC3"/>
            <w:tabs>
              <w:tab w:val="right" w:leader="dot" w:pos="9350"/>
            </w:tabs>
            <w:rPr>
              <w:rFonts w:asciiTheme="minorHAnsi" w:eastAsiaTheme="minorEastAsia" w:hAnsiTheme="minorHAnsi" w:cstheme="minorBidi"/>
              <w:noProof/>
            </w:rPr>
          </w:pPr>
          <w:hyperlink w:anchor="_Toc24111200" w:history="1">
            <w:r w:rsidR="00A2005A" w:rsidRPr="00041C5B">
              <w:rPr>
                <w:rStyle w:val="Hyperlink"/>
                <w:noProof/>
              </w:rPr>
              <w:t>Related WACs and RCWs</w:t>
            </w:r>
            <w:r w:rsidR="00A2005A">
              <w:rPr>
                <w:noProof/>
                <w:webHidden/>
              </w:rPr>
              <w:tab/>
            </w:r>
            <w:r w:rsidR="00A2005A">
              <w:rPr>
                <w:noProof/>
                <w:webHidden/>
              </w:rPr>
              <w:fldChar w:fldCharType="begin"/>
            </w:r>
            <w:r w:rsidR="00A2005A">
              <w:rPr>
                <w:noProof/>
                <w:webHidden/>
              </w:rPr>
              <w:instrText xml:space="preserve"> PAGEREF _Toc24111200 \h </w:instrText>
            </w:r>
            <w:r w:rsidR="00A2005A">
              <w:rPr>
                <w:noProof/>
                <w:webHidden/>
              </w:rPr>
            </w:r>
            <w:r w:rsidR="00A2005A">
              <w:rPr>
                <w:noProof/>
                <w:webHidden/>
              </w:rPr>
              <w:fldChar w:fldCharType="separate"/>
            </w:r>
            <w:r w:rsidR="00B36278">
              <w:rPr>
                <w:noProof/>
                <w:webHidden/>
              </w:rPr>
              <w:t>11</w:t>
            </w:r>
            <w:r w:rsidR="00A2005A">
              <w:rPr>
                <w:noProof/>
                <w:webHidden/>
              </w:rPr>
              <w:fldChar w:fldCharType="end"/>
            </w:r>
          </w:hyperlink>
        </w:p>
        <w:p w14:paraId="2607ADDA" w14:textId="77777777" w:rsidR="00A2005A" w:rsidRDefault="00A804AE">
          <w:pPr>
            <w:pStyle w:val="TOC3"/>
            <w:tabs>
              <w:tab w:val="right" w:leader="dot" w:pos="9350"/>
            </w:tabs>
            <w:rPr>
              <w:rFonts w:asciiTheme="minorHAnsi" w:eastAsiaTheme="minorEastAsia" w:hAnsiTheme="minorHAnsi" w:cstheme="minorBidi"/>
              <w:noProof/>
            </w:rPr>
          </w:pPr>
          <w:hyperlink w:anchor="_Toc24111201" w:history="1">
            <w:r w:rsidR="00A2005A" w:rsidRPr="00041C5B">
              <w:rPr>
                <w:rStyle w:val="Hyperlink"/>
                <w:noProof/>
              </w:rPr>
              <w:t>Acronyms</w:t>
            </w:r>
            <w:r w:rsidR="00A2005A">
              <w:rPr>
                <w:noProof/>
                <w:webHidden/>
              </w:rPr>
              <w:tab/>
            </w:r>
            <w:r w:rsidR="00A2005A">
              <w:rPr>
                <w:noProof/>
                <w:webHidden/>
              </w:rPr>
              <w:fldChar w:fldCharType="begin"/>
            </w:r>
            <w:r w:rsidR="00A2005A">
              <w:rPr>
                <w:noProof/>
                <w:webHidden/>
              </w:rPr>
              <w:instrText xml:space="preserve"> PAGEREF _Toc24111201 \h </w:instrText>
            </w:r>
            <w:r w:rsidR="00A2005A">
              <w:rPr>
                <w:noProof/>
                <w:webHidden/>
              </w:rPr>
            </w:r>
            <w:r w:rsidR="00A2005A">
              <w:rPr>
                <w:noProof/>
                <w:webHidden/>
              </w:rPr>
              <w:fldChar w:fldCharType="separate"/>
            </w:r>
            <w:r w:rsidR="00B36278">
              <w:rPr>
                <w:noProof/>
                <w:webHidden/>
              </w:rPr>
              <w:t>11</w:t>
            </w:r>
            <w:r w:rsidR="00A2005A">
              <w:rPr>
                <w:noProof/>
                <w:webHidden/>
              </w:rPr>
              <w:fldChar w:fldCharType="end"/>
            </w:r>
          </w:hyperlink>
        </w:p>
        <w:p w14:paraId="0FA538CC" w14:textId="77777777" w:rsidR="00A2005A" w:rsidRDefault="00A804AE">
          <w:pPr>
            <w:pStyle w:val="TOC3"/>
            <w:tabs>
              <w:tab w:val="right" w:leader="dot" w:pos="9350"/>
            </w:tabs>
            <w:rPr>
              <w:rFonts w:asciiTheme="minorHAnsi" w:eastAsiaTheme="minorEastAsia" w:hAnsiTheme="minorHAnsi" w:cstheme="minorBidi"/>
              <w:noProof/>
            </w:rPr>
          </w:pPr>
          <w:hyperlink w:anchor="_Toc24111202" w:history="1">
            <w:r w:rsidR="00A2005A" w:rsidRPr="00041C5B">
              <w:rPr>
                <w:rStyle w:val="Hyperlink"/>
                <w:noProof/>
              </w:rPr>
              <w:t>Glossary</w:t>
            </w:r>
            <w:r w:rsidR="00A2005A">
              <w:rPr>
                <w:noProof/>
                <w:webHidden/>
              </w:rPr>
              <w:tab/>
            </w:r>
            <w:r w:rsidR="00A2005A">
              <w:rPr>
                <w:noProof/>
                <w:webHidden/>
              </w:rPr>
              <w:fldChar w:fldCharType="begin"/>
            </w:r>
            <w:r w:rsidR="00A2005A">
              <w:rPr>
                <w:noProof/>
                <w:webHidden/>
              </w:rPr>
              <w:instrText xml:space="preserve"> PAGEREF _Toc24111202 \h </w:instrText>
            </w:r>
            <w:r w:rsidR="00A2005A">
              <w:rPr>
                <w:noProof/>
                <w:webHidden/>
              </w:rPr>
            </w:r>
            <w:r w:rsidR="00A2005A">
              <w:rPr>
                <w:noProof/>
                <w:webHidden/>
              </w:rPr>
              <w:fldChar w:fldCharType="separate"/>
            </w:r>
            <w:r w:rsidR="00B36278">
              <w:rPr>
                <w:noProof/>
                <w:webHidden/>
              </w:rPr>
              <w:t>12</w:t>
            </w:r>
            <w:r w:rsidR="00A2005A">
              <w:rPr>
                <w:noProof/>
                <w:webHidden/>
              </w:rPr>
              <w:fldChar w:fldCharType="end"/>
            </w:r>
          </w:hyperlink>
        </w:p>
        <w:p w14:paraId="5080B137" w14:textId="77777777" w:rsidR="00A2005A" w:rsidRDefault="00A804AE">
          <w:pPr>
            <w:pStyle w:val="TOC2"/>
            <w:rPr>
              <w:rFonts w:asciiTheme="minorHAnsi" w:eastAsiaTheme="minorEastAsia" w:hAnsiTheme="minorHAnsi" w:cstheme="minorBidi"/>
              <w:b w:val="0"/>
            </w:rPr>
          </w:pPr>
          <w:hyperlink w:anchor="_Toc24111203" w:history="1">
            <w:r w:rsidR="00A2005A" w:rsidRPr="00041C5B">
              <w:rPr>
                <w:rStyle w:val="Hyperlink"/>
              </w:rPr>
              <w:t>Revision History</w:t>
            </w:r>
            <w:r w:rsidR="00A2005A">
              <w:rPr>
                <w:webHidden/>
              </w:rPr>
              <w:tab/>
            </w:r>
            <w:r w:rsidR="00A2005A">
              <w:rPr>
                <w:webHidden/>
              </w:rPr>
              <w:fldChar w:fldCharType="begin"/>
            </w:r>
            <w:r w:rsidR="00A2005A">
              <w:rPr>
                <w:webHidden/>
              </w:rPr>
              <w:instrText xml:space="preserve"> PAGEREF _Toc24111203 \h </w:instrText>
            </w:r>
            <w:r w:rsidR="00A2005A">
              <w:rPr>
                <w:webHidden/>
              </w:rPr>
            </w:r>
            <w:r w:rsidR="00A2005A">
              <w:rPr>
                <w:webHidden/>
              </w:rPr>
              <w:fldChar w:fldCharType="separate"/>
            </w:r>
            <w:r w:rsidR="00B36278">
              <w:rPr>
                <w:webHidden/>
              </w:rPr>
              <w:t>13</w:t>
            </w:r>
            <w:r w:rsidR="00A2005A">
              <w:rPr>
                <w:webHidden/>
              </w:rPr>
              <w:fldChar w:fldCharType="end"/>
            </w:r>
          </w:hyperlink>
        </w:p>
        <w:p w14:paraId="741B7347" w14:textId="77777777" w:rsidR="00A2005A" w:rsidRDefault="00A804AE">
          <w:pPr>
            <w:pStyle w:val="TOC2"/>
            <w:rPr>
              <w:rFonts w:asciiTheme="minorHAnsi" w:eastAsiaTheme="minorEastAsia" w:hAnsiTheme="minorHAnsi" w:cstheme="minorBidi"/>
              <w:b w:val="0"/>
            </w:rPr>
          </w:pPr>
          <w:hyperlink w:anchor="_Toc24111204" w:history="1">
            <w:r w:rsidR="00A2005A" w:rsidRPr="00041C5B">
              <w:rPr>
                <w:rStyle w:val="Hyperlink"/>
              </w:rPr>
              <w:t>Appendix</w:t>
            </w:r>
            <w:r w:rsidR="00A2005A">
              <w:rPr>
                <w:webHidden/>
              </w:rPr>
              <w:tab/>
            </w:r>
            <w:r w:rsidR="00A2005A">
              <w:rPr>
                <w:webHidden/>
              </w:rPr>
              <w:fldChar w:fldCharType="begin"/>
            </w:r>
            <w:r w:rsidR="00A2005A">
              <w:rPr>
                <w:webHidden/>
              </w:rPr>
              <w:instrText xml:space="preserve"> PAGEREF _Toc24111204 \h </w:instrText>
            </w:r>
            <w:r w:rsidR="00A2005A">
              <w:rPr>
                <w:webHidden/>
              </w:rPr>
            </w:r>
            <w:r w:rsidR="00A2005A">
              <w:rPr>
                <w:webHidden/>
              </w:rPr>
              <w:fldChar w:fldCharType="separate"/>
            </w:r>
            <w:r w:rsidR="00B36278">
              <w:rPr>
                <w:webHidden/>
              </w:rPr>
              <w:t>13</w:t>
            </w:r>
            <w:r w:rsidR="00A2005A">
              <w:rPr>
                <w:webHidden/>
              </w:rPr>
              <w:fldChar w:fldCharType="end"/>
            </w:r>
          </w:hyperlink>
        </w:p>
        <w:p w14:paraId="5C226500" w14:textId="77777777" w:rsidR="007E62CD" w:rsidRDefault="007E62CD">
          <w:r>
            <w:rPr>
              <w:b/>
              <w:bCs/>
              <w:noProof/>
            </w:rPr>
            <w:lastRenderedPageBreak/>
            <w:fldChar w:fldCharType="end"/>
          </w:r>
        </w:p>
      </w:sdtContent>
    </w:sdt>
    <w:p w14:paraId="2E8994BB" w14:textId="77777777" w:rsidR="007676F4" w:rsidRDefault="007676F4" w:rsidP="007676F4">
      <w:pPr>
        <w:pStyle w:val="Heading2"/>
      </w:pPr>
      <w:bookmarkStart w:id="2" w:name="_Toc525727012"/>
      <w:bookmarkStart w:id="3" w:name="_Toc525727112"/>
      <w:bookmarkStart w:id="4" w:name="_Toc528758278"/>
      <w:bookmarkStart w:id="5" w:name="_Toc528759426"/>
      <w:bookmarkStart w:id="6" w:name="_Toc528760021"/>
      <w:bookmarkStart w:id="7" w:name="_Toc24111186"/>
      <w:r>
        <w:t>Background</w:t>
      </w:r>
      <w:bookmarkEnd w:id="2"/>
      <w:bookmarkEnd w:id="3"/>
      <w:bookmarkEnd w:id="4"/>
      <w:bookmarkEnd w:id="5"/>
      <w:bookmarkEnd w:id="6"/>
      <w:bookmarkEnd w:id="7"/>
    </w:p>
    <w:p w14:paraId="6F1B9AB4" w14:textId="77777777" w:rsidR="008A21D5" w:rsidRDefault="008A21D5" w:rsidP="00742AE0">
      <w:r>
        <w:t>Federal regulation requires the Department to have methods and criteria to identify suspected fraud cases, procedures regarding investigation of these cases, and processes for referring suspected fraud cases to law enforcement officials</w:t>
      </w:r>
      <w:r w:rsidR="00BB20DB">
        <w:rPr>
          <w:rStyle w:val="FootnoteReference"/>
        </w:rPr>
        <w:footnoteReference w:id="1"/>
      </w:r>
      <w:r>
        <w:t xml:space="preserve">.  </w:t>
      </w:r>
    </w:p>
    <w:p w14:paraId="110AE441" w14:textId="77777777" w:rsidR="008A21D5" w:rsidRDefault="008A21D5" w:rsidP="00742AE0"/>
    <w:p w14:paraId="69E344A3" w14:textId="77777777" w:rsidR="003D44EC" w:rsidRDefault="008A21D5" w:rsidP="00742AE0">
      <w:r>
        <w:t>When a complaint alleging Medicaid fraud is received, federal rules require the completion of a preliminary determination on whether there is sufficient basis to warrant a full investigation</w:t>
      </w:r>
      <w:r w:rsidR="00BB20DB">
        <w:rPr>
          <w:rStyle w:val="FootnoteReference"/>
        </w:rPr>
        <w:footnoteReference w:id="2"/>
      </w:r>
      <w:r>
        <w:t xml:space="preserve">. Because direct line field staff in HCS, </w:t>
      </w:r>
      <w:proofErr w:type="gramStart"/>
      <w:r>
        <w:t>DDA  and</w:t>
      </w:r>
      <w:proofErr w:type="gramEnd"/>
      <w:r>
        <w:t xml:space="preserve"> AAA offices conduct case management activities and are often the level of staff receiving this information, the preliminary determination is conducted at this level. If the preliminary results give staff reason to believe that an incident of fraud, waste or abuse has occurred, a referral for full investigation should be made to DSHS </w:t>
      </w:r>
      <w:r w:rsidR="00DD4EBE">
        <w:t>ALTSA</w:t>
      </w:r>
      <w:r w:rsidR="00142CC1">
        <w:t>/DDA</w:t>
      </w:r>
      <w:r w:rsidR="00DD4EBE">
        <w:t xml:space="preserve"> </w:t>
      </w:r>
      <w:r>
        <w:t>Headquarters (HQ) for routing to the Medicaid Fraud Control Unit for their review and evaluation</w:t>
      </w:r>
      <w:r w:rsidR="00BB20DB">
        <w:rPr>
          <w:rStyle w:val="FootnoteReference"/>
        </w:rPr>
        <w:footnoteReference w:id="3"/>
      </w:r>
      <w:r>
        <w:t xml:space="preserve">. </w:t>
      </w:r>
    </w:p>
    <w:p w14:paraId="4ECD15CD" w14:textId="77777777" w:rsidR="003D44EC" w:rsidRDefault="003D44EC" w:rsidP="00742AE0"/>
    <w:p w14:paraId="2CCA4B97" w14:textId="77777777" w:rsidR="008A21D5" w:rsidRDefault="008A21D5" w:rsidP="00742AE0">
      <w:r>
        <w:t>The Medicaid Fraud Control Unit (MFCU) conducts criminal and civil investigation and prosecution of health care provider fraud committed against the State of Washington’s Medicaid program. MFCU also monitors complaints of resident abuse or neglect in Medicaid funded nursing homes, adult family homes and assisted living providers</w:t>
      </w:r>
      <w:r w:rsidR="00BB20DB">
        <w:rPr>
          <w:rStyle w:val="FootnoteReference"/>
        </w:rPr>
        <w:footnoteReference w:id="4"/>
      </w:r>
      <w:r>
        <w:t>.</w:t>
      </w:r>
    </w:p>
    <w:p w14:paraId="67C2ABD5" w14:textId="77777777" w:rsidR="008A21D5" w:rsidRDefault="008A21D5" w:rsidP="00742AE0"/>
    <w:p w14:paraId="3246EB43" w14:textId="77777777" w:rsidR="008A21D5" w:rsidRDefault="008A21D5" w:rsidP="00742AE0">
      <w:r>
        <w:t xml:space="preserve">The guidance contained in this chapter is based on federal requirements, training materials offered by MFCU, and a collection of practices from field and headquarters program staff. Since this guidance document cannot cover or predict every possible fraud scheme or scenario, this information is presented as a resource to assist staff at reporting agencies when allegations of potential fraud are made, and to better understand the federal reporting requirements associated with Medicaid providers. HCS and DDA Headquarters program staff are available for consultation as requested. </w:t>
      </w:r>
    </w:p>
    <w:p w14:paraId="65BC3DDB" w14:textId="77777777" w:rsidR="00742AE0" w:rsidRDefault="00742AE0" w:rsidP="00742AE0"/>
    <w:p w14:paraId="019DF692" w14:textId="77777777" w:rsidR="007676F4" w:rsidRDefault="008A21D5" w:rsidP="00742AE0">
      <w:proofErr w:type="gramStart"/>
      <w:r>
        <w:t>The vast majority of</w:t>
      </w:r>
      <w:proofErr w:type="gramEnd"/>
      <w:r>
        <w:t xml:space="preserve"> Medicaid providers are honest, hardworking individuals and agency staff who provide high quality care that enables individuals to continue living in their own home and communities. However, a few individuals attempt to be paid for services they did not provide, for services that the client is not eligible to receive, or by other fraudulent schemes. By identifying provider fraud, we ensure a </w:t>
      </w:r>
      <w:proofErr w:type="gramStart"/>
      <w:r>
        <w:t>high quality</w:t>
      </w:r>
      <w:proofErr w:type="gramEnd"/>
      <w:r>
        <w:t xml:space="preserve"> provider base to support vulnerable consumers and that taxpayer dollars are used accountably</w:t>
      </w:r>
      <w:r w:rsidR="00A60CA6">
        <w:t>.</w:t>
      </w:r>
    </w:p>
    <w:p w14:paraId="2408E3C2" w14:textId="77777777" w:rsidR="008B6996" w:rsidRDefault="008B6996" w:rsidP="00651643"/>
    <w:p w14:paraId="04163D1B" w14:textId="77777777" w:rsidR="00553141" w:rsidRDefault="00553141">
      <w:pPr>
        <w:rPr>
          <w:rFonts w:ascii="Century Gothic" w:eastAsiaTheme="majorEastAsia" w:hAnsi="Century Gothic" w:cstheme="majorBidi"/>
          <w:b/>
          <w:caps/>
          <w:color w:val="005CAB"/>
          <w:sz w:val="26"/>
          <w:szCs w:val="26"/>
        </w:rPr>
      </w:pPr>
      <w:bookmarkStart w:id="8" w:name="_Toc528758279"/>
      <w:bookmarkStart w:id="9" w:name="_Toc528759427"/>
      <w:bookmarkStart w:id="10" w:name="_Toc528760022"/>
      <w:r>
        <w:br w:type="page"/>
      </w:r>
    </w:p>
    <w:p w14:paraId="6432F98E" w14:textId="77777777" w:rsidR="007676F4" w:rsidRDefault="00DB4600" w:rsidP="007676F4">
      <w:pPr>
        <w:pStyle w:val="Heading2"/>
      </w:pPr>
      <w:bookmarkStart w:id="11" w:name="_Toc24111187"/>
      <w:r w:rsidRPr="00DB4600">
        <w:lastRenderedPageBreak/>
        <w:t>Preliminary Action Steps</w:t>
      </w:r>
      <w:bookmarkEnd w:id="8"/>
      <w:bookmarkEnd w:id="9"/>
      <w:bookmarkEnd w:id="10"/>
      <w:bookmarkEnd w:id="11"/>
    </w:p>
    <w:p w14:paraId="129C9C63" w14:textId="77777777" w:rsidR="003D44EC" w:rsidRDefault="00DB4600" w:rsidP="00742AE0">
      <w:r w:rsidRPr="00743760">
        <w:t xml:space="preserve">Case Managers and social services workers are at the front lines of the fight against provider </w:t>
      </w:r>
      <w:proofErr w:type="gramStart"/>
      <w:r w:rsidRPr="00743760">
        <w:t>fraud, and</w:t>
      </w:r>
      <w:proofErr w:type="gramEnd"/>
      <w:r w:rsidRPr="00743760">
        <w:t xml:space="preserve"> are in a critical position to identify instances of suspected provider fraud. </w:t>
      </w:r>
      <w:r>
        <w:t>Reporting agency f</w:t>
      </w:r>
      <w:r w:rsidRPr="00743760">
        <w:t xml:space="preserve">ield staff have the most knowledge of a client/provider </w:t>
      </w:r>
      <w:proofErr w:type="gramStart"/>
      <w:r w:rsidRPr="00743760">
        <w:t>situation, and</w:t>
      </w:r>
      <w:proofErr w:type="gramEnd"/>
      <w:r w:rsidRPr="00743760">
        <w:t xml:space="preserve"> are often the point of entry for awareness of any suspicious acts. Field staff at AAA/HCS/DDA office</w:t>
      </w:r>
      <w:r>
        <w:t>s</w:t>
      </w:r>
      <w:r w:rsidRPr="00743760">
        <w:t xml:space="preserve"> may receive information regarding a client or provider’s actions that may indicate program rules are not being followed in multiple ways, such as:</w:t>
      </w:r>
    </w:p>
    <w:p w14:paraId="1D282B07" w14:textId="77777777" w:rsidR="00DB4600" w:rsidRPr="00743760" w:rsidRDefault="00DB4600" w:rsidP="00742AE0">
      <w:pPr>
        <w:pStyle w:val="ListParagraph"/>
      </w:pPr>
      <w:r>
        <w:t>T</w:t>
      </w:r>
      <w:r w:rsidRPr="00743760">
        <w:t xml:space="preserve">ip received from an anonymous phone call or letter, </w:t>
      </w:r>
    </w:p>
    <w:p w14:paraId="290773B3" w14:textId="77777777" w:rsidR="00DB4600" w:rsidRPr="00743760" w:rsidRDefault="00DB4600" w:rsidP="00742AE0">
      <w:pPr>
        <w:pStyle w:val="ListParagraph"/>
      </w:pPr>
      <w:r>
        <w:t>O</w:t>
      </w:r>
      <w:r w:rsidRPr="00743760">
        <w:t xml:space="preserve">bservation </w:t>
      </w:r>
      <w:proofErr w:type="gramStart"/>
      <w:r w:rsidRPr="00743760">
        <w:t>during the course of</w:t>
      </w:r>
      <w:proofErr w:type="gramEnd"/>
      <w:r w:rsidRPr="00743760">
        <w:t xml:space="preserve"> regular case management activities, </w:t>
      </w:r>
    </w:p>
    <w:p w14:paraId="1DEE70CC" w14:textId="77777777" w:rsidR="00DB4600" w:rsidRPr="00743760" w:rsidRDefault="00DB4600" w:rsidP="00742AE0">
      <w:pPr>
        <w:pStyle w:val="ListParagraph"/>
      </w:pPr>
      <w:r>
        <w:t>C</w:t>
      </w:r>
      <w:r w:rsidRPr="00743760">
        <w:t xml:space="preserve">ontact by another interested party, or </w:t>
      </w:r>
    </w:p>
    <w:p w14:paraId="5F6A029F" w14:textId="77777777" w:rsidR="00DB4600" w:rsidRPr="00743760" w:rsidRDefault="00DB4600" w:rsidP="00742AE0">
      <w:pPr>
        <w:pStyle w:val="ListParagraph"/>
      </w:pPr>
      <w:r>
        <w:t>I</w:t>
      </w:r>
      <w:r w:rsidRPr="00743760">
        <w:t>nformation found in a report or data review.</w:t>
      </w:r>
    </w:p>
    <w:p w14:paraId="4D8698CF" w14:textId="77777777" w:rsidR="00936564" w:rsidRDefault="00936564" w:rsidP="00936564"/>
    <w:p w14:paraId="7B49099E" w14:textId="062B7DD2" w:rsidR="00936564" w:rsidRDefault="00936564" w:rsidP="00A804AE">
      <w:r>
        <w:t xml:space="preserve">CDE will also submit fraud referrals to DSHS. The referral will be shared with the local office staff as an FYI. If the Individual Provider is working for other </w:t>
      </w:r>
      <w:proofErr w:type="gramStart"/>
      <w:r>
        <w:t>clients</w:t>
      </w:r>
      <w:proofErr w:type="gramEnd"/>
      <w:r>
        <w:t xml:space="preserve"> headquarters staff will work with CDE and local office staff to determine if Good Cause Applies (see page 5).  </w:t>
      </w:r>
    </w:p>
    <w:p w14:paraId="00F376AA" w14:textId="77777777" w:rsidR="00742AE0" w:rsidRDefault="00742AE0" w:rsidP="00742AE0"/>
    <w:p w14:paraId="171C16A0" w14:textId="30F24840" w:rsidR="00A60CA6" w:rsidRDefault="00DB4600" w:rsidP="00742AE0">
      <w:r w:rsidRPr="00743760">
        <w:t xml:space="preserve">However, before a referral is made to the Medicaid Fraud Control Unit for potential investigation of a provider’s actions, a preliminary </w:t>
      </w:r>
      <w:r>
        <w:t xml:space="preserve">review </w:t>
      </w:r>
      <w:r w:rsidRPr="00743760">
        <w:t>must be conducted at the field level</w:t>
      </w:r>
      <w:r w:rsidR="0026292C">
        <w:t xml:space="preserve"> or by CDE</w:t>
      </w:r>
      <w:r w:rsidRPr="00743760">
        <w:t xml:space="preserve">. This preliminary </w:t>
      </w:r>
      <w:r>
        <w:t>review contains action steps that are required to establish the credibility of the claim</w:t>
      </w:r>
      <w:r w:rsidRPr="00743760">
        <w:t xml:space="preserve"> and to determine </w:t>
      </w:r>
      <w:proofErr w:type="gramStart"/>
      <w:r w:rsidRPr="00743760">
        <w:t>whether or not</w:t>
      </w:r>
      <w:proofErr w:type="gramEnd"/>
      <w:r w:rsidRPr="00743760">
        <w:t xml:space="preserve"> field staff </w:t>
      </w:r>
      <w:r w:rsidR="0026292C">
        <w:t xml:space="preserve">or CDE </w:t>
      </w:r>
      <w:r w:rsidRPr="00743760">
        <w:t>believe behavior which rises to the level of fraud may be involved</w:t>
      </w:r>
      <w:r w:rsidR="0056273A" w:rsidRPr="00743760">
        <w:rPr>
          <w:rStyle w:val="FootnoteReference"/>
          <w:rFonts w:ascii="Arial" w:hAnsi="Arial" w:cs="Arial"/>
          <w:bCs/>
        </w:rPr>
        <w:footnoteReference w:id="5"/>
      </w:r>
      <w:r w:rsidR="00A60CA6">
        <w:t>.</w:t>
      </w:r>
      <w:r w:rsidRPr="00743760">
        <w:t xml:space="preserve"> </w:t>
      </w:r>
    </w:p>
    <w:p w14:paraId="2B9CBAD0" w14:textId="77777777" w:rsidR="00A60CA6" w:rsidRDefault="00A60CA6" w:rsidP="00742AE0"/>
    <w:p w14:paraId="36B795DE" w14:textId="77777777" w:rsidR="00DB4600" w:rsidRPr="00743760" w:rsidRDefault="00DB4600" w:rsidP="00742AE0">
      <w:r w:rsidRPr="00743760">
        <w:t xml:space="preserve">Professional judgment should be applied on a </w:t>
      </w:r>
      <w:proofErr w:type="gramStart"/>
      <w:r w:rsidRPr="00743760">
        <w:t>case by case</w:t>
      </w:r>
      <w:proofErr w:type="gramEnd"/>
      <w:r w:rsidRPr="00743760">
        <w:t xml:space="preserve"> basis to determine what steps are appropriate, as all situations are unique. Some steps to take as part of a preliminary </w:t>
      </w:r>
      <w:r>
        <w:t xml:space="preserve">review </w:t>
      </w:r>
      <w:r w:rsidRPr="00743760">
        <w:t>to determine the credibility of the allegation may include</w:t>
      </w:r>
      <w:r>
        <w:t xml:space="preserve"> the following (if there is any concern that any of these actions might have an unintended influence on a subsequent investigation, contact the Program Integrity Manager for guidance)</w:t>
      </w:r>
      <w:r w:rsidRPr="00743760">
        <w:t>:</w:t>
      </w:r>
    </w:p>
    <w:p w14:paraId="3BFD2EBE" w14:textId="77777777" w:rsidR="00DB4600" w:rsidRPr="00743760" w:rsidRDefault="00DB4600" w:rsidP="00A60CA6">
      <w:pPr>
        <w:pStyle w:val="ListParagraph"/>
      </w:pPr>
      <w:r w:rsidRPr="00743760">
        <w:t xml:space="preserve">Talk to the client </w:t>
      </w:r>
    </w:p>
    <w:p w14:paraId="7AF6FCF2" w14:textId="77777777" w:rsidR="00DB4600" w:rsidRPr="00743760" w:rsidRDefault="00DB4600" w:rsidP="00A60CA6">
      <w:pPr>
        <w:pStyle w:val="ListParagraph"/>
      </w:pPr>
      <w:r w:rsidRPr="00743760">
        <w:t>Talk to other involved parties</w:t>
      </w:r>
    </w:p>
    <w:p w14:paraId="45588F71" w14:textId="77777777" w:rsidR="00852093" w:rsidRPr="00743760" w:rsidRDefault="00DB4600" w:rsidP="00852093">
      <w:pPr>
        <w:pStyle w:val="ListParagraph"/>
      </w:pPr>
      <w:r w:rsidRPr="00743760">
        <w:t>Request and review the provider’ timesheets</w:t>
      </w:r>
      <w:r>
        <w:t>/records of services provided</w:t>
      </w:r>
      <w:r w:rsidR="00852093">
        <w:t>. For CDE employees HQ staff will request shift details from CDE,</w:t>
      </w:r>
    </w:p>
    <w:p w14:paraId="337CE6DB" w14:textId="77777777" w:rsidR="00DB4600" w:rsidRPr="00743760" w:rsidRDefault="00DB4600" w:rsidP="00A60CA6">
      <w:pPr>
        <w:pStyle w:val="ListParagraph"/>
      </w:pPr>
      <w:r w:rsidRPr="00743760">
        <w:t xml:space="preserve">Review and confirm the </w:t>
      </w:r>
      <w:r>
        <w:t>care plan and compare to what is being delivered</w:t>
      </w:r>
    </w:p>
    <w:p w14:paraId="59B11F9F" w14:textId="77777777" w:rsidR="00DB4600" w:rsidRPr="00743760" w:rsidRDefault="00DB4600" w:rsidP="00A60CA6">
      <w:pPr>
        <w:pStyle w:val="ListParagraph"/>
      </w:pPr>
      <w:r w:rsidRPr="00743760">
        <w:t xml:space="preserve">Review invoices, staff logs, </w:t>
      </w:r>
      <w:r w:rsidR="0086476F" w:rsidRPr="00743760">
        <w:t>etc.</w:t>
      </w:r>
    </w:p>
    <w:p w14:paraId="7B16FC36" w14:textId="77777777" w:rsidR="00DB4600" w:rsidRPr="00743760" w:rsidRDefault="00DB4600" w:rsidP="00A60CA6">
      <w:pPr>
        <w:pStyle w:val="ListParagraph"/>
      </w:pPr>
      <w:r w:rsidRPr="00743760">
        <w:t>Review the provider’s contract file</w:t>
      </w:r>
      <w:r>
        <w:t xml:space="preserve"> for any relevant documentation</w:t>
      </w:r>
    </w:p>
    <w:p w14:paraId="3BD6A192" w14:textId="77777777" w:rsidR="00DB4600" w:rsidRDefault="00DB4600" w:rsidP="00A60CA6">
      <w:pPr>
        <w:pStyle w:val="ListParagraph"/>
      </w:pPr>
      <w:r w:rsidRPr="00743760">
        <w:t>Gather documentation such as SER notes and/or provider education that occurred prior to current incident</w:t>
      </w:r>
    </w:p>
    <w:p w14:paraId="340144EB" w14:textId="77777777" w:rsidR="00DB4600" w:rsidRPr="00743760" w:rsidRDefault="00DB4600" w:rsidP="00A60CA6">
      <w:pPr>
        <w:pStyle w:val="ListParagraph"/>
      </w:pPr>
      <w:r w:rsidRPr="00743760">
        <w:t>Consult with supervisor about possible actions before a referral is made, such as:</w:t>
      </w:r>
    </w:p>
    <w:p w14:paraId="2FBDADE9" w14:textId="77777777" w:rsidR="00DB4600" w:rsidRPr="00743760" w:rsidRDefault="00DB4600" w:rsidP="00A60CA6">
      <w:pPr>
        <w:pStyle w:val="ListParagraph2"/>
      </w:pPr>
      <w:r w:rsidRPr="00743760">
        <w:t xml:space="preserve">Increased monitoring of </w:t>
      </w:r>
      <w:r>
        <w:t>services</w:t>
      </w:r>
      <w:r w:rsidRPr="00743760">
        <w:t xml:space="preserve"> </w:t>
      </w:r>
    </w:p>
    <w:p w14:paraId="1AC58283" w14:textId="77777777" w:rsidR="00DB4600" w:rsidRPr="00743760" w:rsidRDefault="00DB4600" w:rsidP="00A60CA6">
      <w:pPr>
        <w:pStyle w:val="ListParagraph2"/>
      </w:pPr>
      <w:r w:rsidRPr="00743760">
        <w:t>Unscheduled home/office visits (depending on provider type)</w:t>
      </w:r>
    </w:p>
    <w:p w14:paraId="262C9E47" w14:textId="77777777" w:rsidR="00DB4600" w:rsidRPr="00743760" w:rsidRDefault="00DB4600" w:rsidP="00A60CA6">
      <w:pPr>
        <w:pStyle w:val="ListParagraph2"/>
      </w:pPr>
      <w:r>
        <w:t xml:space="preserve">Conversations </w:t>
      </w:r>
      <w:r w:rsidRPr="00743760">
        <w:t>with provider regarding the allegation, with appropriate level of detail</w:t>
      </w:r>
      <w:r>
        <w:t xml:space="preserve"> and reference to program rules (</w:t>
      </w:r>
      <w:proofErr w:type="gramStart"/>
      <w:r>
        <w:t>i.e.</w:t>
      </w:r>
      <w:proofErr w:type="gramEnd"/>
      <w:r>
        <w:t xml:space="preserve"> a reminder not to claim hours while a client is hospitalized).</w:t>
      </w:r>
    </w:p>
    <w:p w14:paraId="18C0D699" w14:textId="77777777" w:rsidR="00A60CA6" w:rsidRDefault="00A60CA6" w:rsidP="00DB4600">
      <w:pPr>
        <w:pStyle w:val="NormalWeb"/>
        <w:spacing w:before="0" w:beforeAutospacing="0" w:after="0" w:afterAutospacing="0" w:line="252" w:lineRule="auto"/>
        <w:rPr>
          <w:rFonts w:ascii="Arial" w:hAnsi="Arial" w:cs="Arial"/>
          <w:bCs/>
        </w:rPr>
      </w:pPr>
    </w:p>
    <w:p w14:paraId="38F56607" w14:textId="77777777" w:rsidR="00DB4600" w:rsidRPr="00743760" w:rsidRDefault="00DB4600" w:rsidP="00A60CA6">
      <w:r w:rsidRPr="00743760">
        <w:lastRenderedPageBreak/>
        <w:t xml:space="preserve">Allegations </w:t>
      </w:r>
      <w:proofErr w:type="gramStart"/>
      <w:r w:rsidRPr="00743760">
        <w:t>are considered to be</w:t>
      </w:r>
      <w:proofErr w:type="gramEnd"/>
      <w:r w:rsidRPr="00743760">
        <w:t xml:space="preserve"> credible when they have “indicia of reliability” (see </w:t>
      </w:r>
      <w:r w:rsidR="00CB4872">
        <w:t>Glossary</w:t>
      </w:r>
      <w:r w:rsidRPr="00743760">
        <w:t>)</w:t>
      </w:r>
      <w:r>
        <w:t xml:space="preserve"> or indicators of probability</w:t>
      </w:r>
      <w:r w:rsidRPr="00743760">
        <w:t>. Examples of some indicators that support the conclusion that the allegation may be true include, but are not limited to:</w:t>
      </w:r>
    </w:p>
    <w:p w14:paraId="3957E818" w14:textId="77777777" w:rsidR="00DB4600" w:rsidRPr="00743760" w:rsidRDefault="00A60CA6" w:rsidP="00A60CA6">
      <w:pPr>
        <w:pStyle w:val="ListParagraph"/>
      </w:pPr>
      <w:r>
        <w:t>A</w:t>
      </w:r>
      <w:r w:rsidR="00DB4600" w:rsidRPr="00743760">
        <w:t xml:space="preserve">dmission/confession to fraud activities, </w:t>
      </w:r>
    </w:p>
    <w:p w14:paraId="7C6FBA7B" w14:textId="77777777" w:rsidR="00DB4600" w:rsidRPr="00743760" w:rsidRDefault="00A60CA6" w:rsidP="00A60CA6">
      <w:pPr>
        <w:pStyle w:val="ListParagraph"/>
      </w:pPr>
      <w:r>
        <w:t>S</w:t>
      </w:r>
      <w:r w:rsidR="00DB4600" w:rsidRPr="00743760">
        <w:t xml:space="preserve">upporting documentation, </w:t>
      </w:r>
    </w:p>
    <w:p w14:paraId="6551F1C0" w14:textId="77777777" w:rsidR="00DB4600" w:rsidRPr="00743760" w:rsidRDefault="00A60CA6" w:rsidP="00A60CA6">
      <w:pPr>
        <w:pStyle w:val="ListParagraph"/>
      </w:pPr>
      <w:r>
        <w:t>V</w:t>
      </w:r>
      <w:r w:rsidR="00DB4600" w:rsidRPr="00743760">
        <w:t xml:space="preserve">erification by two or more sources, </w:t>
      </w:r>
    </w:p>
    <w:p w14:paraId="13B43057" w14:textId="77777777" w:rsidR="00DB4600" w:rsidRPr="00743760" w:rsidRDefault="00A60CA6" w:rsidP="00A60CA6">
      <w:pPr>
        <w:pStyle w:val="ListParagraph"/>
      </w:pPr>
      <w:r>
        <w:t>C</w:t>
      </w:r>
      <w:r w:rsidR="00DB4600" w:rsidRPr="00743760">
        <w:t>lear patterns of misconduct,</w:t>
      </w:r>
    </w:p>
    <w:p w14:paraId="02AF2811" w14:textId="77777777" w:rsidR="00DB4600" w:rsidRPr="00743760" w:rsidRDefault="00A60CA6" w:rsidP="00A60CA6">
      <w:pPr>
        <w:pStyle w:val="ListParagraph"/>
      </w:pPr>
      <w:r>
        <w:t>C</w:t>
      </w:r>
      <w:r w:rsidR="00DB4600" w:rsidRPr="00743760">
        <w:t xml:space="preserve">ontinued misconduct after education on contract requirements (which should be documented in the contract file by </w:t>
      </w:r>
      <w:r w:rsidR="00DB4600">
        <w:t>the</w:t>
      </w:r>
      <w:r w:rsidR="00DB4600" w:rsidRPr="00743760">
        <w:t xml:space="preserve"> staff person who provided the </w:t>
      </w:r>
      <w:r w:rsidR="00DB4600">
        <w:t>notifi</w:t>
      </w:r>
      <w:r w:rsidR="00DB4600" w:rsidRPr="00743760">
        <w:t>cation),</w:t>
      </w:r>
    </w:p>
    <w:p w14:paraId="14A0B8F8" w14:textId="77777777" w:rsidR="00DB4600" w:rsidRPr="00743760" w:rsidRDefault="00A60CA6" w:rsidP="00A60CA6">
      <w:pPr>
        <w:pStyle w:val="ListParagraph"/>
      </w:pPr>
      <w:r>
        <w:t>A</w:t>
      </w:r>
      <w:r w:rsidR="00DB4600" w:rsidRPr="00743760">
        <w:t xml:space="preserve">ny internal communications expressing concern about a provider’s actions or conduct, </w:t>
      </w:r>
    </w:p>
    <w:p w14:paraId="74E4BCB0" w14:textId="77777777" w:rsidR="00DB4600" w:rsidRPr="00743760" w:rsidRDefault="00A60CA6" w:rsidP="00A60CA6">
      <w:pPr>
        <w:pStyle w:val="ListParagraph"/>
      </w:pPr>
      <w:r>
        <w:t>H</w:t>
      </w:r>
      <w:r w:rsidR="00DB4600" w:rsidRPr="00743760">
        <w:t xml:space="preserve">istory of multiple billing “errors”, </w:t>
      </w:r>
      <w:r w:rsidR="00DB4600">
        <w:t>which result in a loss to the Medicaid program,</w:t>
      </w:r>
    </w:p>
    <w:p w14:paraId="06279E6F" w14:textId="77777777" w:rsidR="00DB4600" w:rsidRPr="00743760" w:rsidRDefault="0086476F" w:rsidP="00A60CA6">
      <w:pPr>
        <w:pStyle w:val="ListParagraph"/>
      </w:pPr>
      <w:r w:rsidRPr="00743760">
        <w:t>A</w:t>
      </w:r>
      <w:r w:rsidR="00DB4600" w:rsidRPr="00743760">
        <w:t xml:space="preserve"> lack of reasonable legitimate explanation, etc.  </w:t>
      </w:r>
    </w:p>
    <w:p w14:paraId="38F5AA6B" w14:textId="77777777" w:rsidR="00A60CA6" w:rsidRDefault="00A60CA6" w:rsidP="003D44EC"/>
    <w:p w14:paraId="43979726" w14:textId="77777777" w:rsidR="003D44EC" w:rsidRDefault="00DB4600" w:rsidP="00A60CA6">
      <w:r w:rsidRPr="00743760">
        <w:t xml:space="preserve">It should be clear that the act under </w:t>
      </w:r>
      <w:r>
        <w:t>review</w:t>
      </w:r>
      <w:r w:rsidRPr="00743760">
        <w:t xml:space="preserve"> is not accidental or </w:t>
      </w:r>
      <w:proofErr w:type="gramStart"/>
      <w:r w:rsidRPr="00743760">
        <w:t>inadvertent, and</w:t>
      </w:r>
      <w:proofErr w:type="gramEnd"/>
      <w:r w:rsidRPr="00743760">
        <w:t xml:space="preserve"> is action by design. At the very least, it requires an intentional deception or misrepresentation made with the knowledge that the deception could result in an unauthorized benefit or payment, where the provider has made a knowing false statement. Not every overpayment is fraud, especially where an incident can be attributed to a mistake made by the provider. </w:t>
      </w:r>
    </w:p>
    <w:p w14:paraId="298E6333" w14:textId="77777777" w:rsidR="003D44EC" w:rsidRDefault="003D44EC" w:rsidP="00A60CA6"/>
    <w:p w14:paraId="56805F90" w14:textId="77777777" w:rsidR="00670C51" w:rsidRDefault="00DB4600" w:rsidP="00A60CA6">
      <w:r w:rsidRPr="00743760">
        <w:t xml:space="preserve">If there is no pattern or history of behavior that persists over time, many times the most appropriate administrative remedy is to write an overpayment.  When a pattern seems apparent, document the activity and corrective discussion with the provider, as well as any </w:t>
      </w:r>
      <w:r>
        <w:t>notific</w:t>
      </w:r>
      <w:r w:rsidRPr="00743760">
        <w:t xml:space="preserve">ation that was provided to correct the situation. </w:t>
      </w:r>
    </w:p>
    <w:p w14:paraId="15DEEE75" w14:textId="77777777" w:rsidR="00670C51" w:rsidRDefault="00670C51" w:rsidP="00A60CA6"/>
    <w:p w14:paraId="246EBB7F" w14:textId="77777777" w:rsidR="00DB4600" w:rsidRPr="00743760" w:rsidRDefault="00DB4600" w:rsidP="00A60CA6">
      <w:r w:rsidRPr="00743760">
        <w:t>This documentation should be made in either the client’s SER or the provider’s contract file, whichever is most appropriate for the situation. If the behavior occurs again, this information will strengthen a referral as it will help establish a pattern of behavior as well as possible intent of the provider. Field staff should staff concerns with supervisors as appropriate.</w:t>
      </w:r>
    </w:p>
    <w:p w14:paraId="471BCB6E" w14:textId="77777777" w:rsidR="00A60CA6" w:rsidRDefault="00A60CA6" w:rsidP="00A60CA6"/>
    <w:p w14:paraId="10582211" w14:textId="77777777" w:rsidR="00DB4600" w:rsidRDefault="00DB4600" w:rsidP="00A60CA6">
      <w:r w:rsidRPr="00743760">
        <w:t xml:space="preserve">Field staff should submit the referral package (see </w:t>
      </w:r>
      <w:r w:rsidRPr="00743760">
        <w:rPr>
          <w:u w:val="single"/>
        </w:rPr>
        <w:t>Provider Fraud Referral Policy &amp; Process</w:t>
      </w:r>
      <w:r w:rsidRPr="00743760">
        <w:t xml:space="preserve"> section for detailed instructions, </w:t>
      </w:r>
      <w:r w:rsidRPr="00F60B46">
        <w:t xml:space="preserve">page </w:t>
      </w:r>
      <w:r>
        <w:t>9</w:t>
      </w:r>
      <w:r w:rsidRPr="00F60B46">
        <w:t>)</w:t>
      </w:r>
      <w:r w:rsidRPr="00743760">
        <w:t xml:space="preserve"> with information and supporting documentation that addresses the</w:t>
      </w:r>
      <w:r>
        <w:t xml:space="preserve"> allegations </w:t>
      </w:r>
      <w:r w:rsidRPr="00743760">
        <w:t xml:space="preserve">to the greatest extent possible. See also the </w:t>
      </w:r>
      <w:r>
        <w:t xml:space="preserve">Medicaid </w:t>
      </w:r>
      <w:r w:rsidRPr="00743760">
        <w:t xml:space="preserve">Provider Fraud Referral form (DSHS Form #12-210) and </w:t>
      </w:r>
      <w:r>
        <w:t xml:space="preserve">accompanying </w:t>
      </w:r>
      <w:r w:rsidRPr="00743760">
        <w:t>instructions for the specific information and required documentation. Following th</w:t>
      </w:r>
      <w:r>
        <w:t>ese</w:t>
      </w:r>
      <w:r w:rsidRPr="00743760">
        <w:t xml:space="preserve"> </w:t>
      </w:r>
      <w:r>
        <w:t xml:space="preserve">instructions </w:t>
      </w:r>
      <w:r w:rsidRPr="00743760">
        <w:t>will provide assurance that quality referrals are submitted to MFCU for their evaluation and review. Be sure that all mandatory fields, those marked with an asterisk (“*”), are completed.</w:t>
      </w:r>
    </w:p>
    <w:p w14:paraId="201F9742" w14:textId="77777777" w:rsidR="00A60CA6" w:rsidRPr="00743760" w:rsidRDefault="00A60CA6" w:rsidP="00A60CA6"/>
    <w:p w14:paraId="76FA717A" w14:textId="77777777" w:rsidR="00DB4600" w:rsidRDefault="00DB4600" w:rsidP="00A60CA6">
      <w:r w:rsidRPr="00743760">
        <w:t>Examples of supporting documentation to submit with a completed referral form may include, but are not limited to:</w:t>
      </w:r>
    </w:p>
    <w:p w14:paraId="00E03F7F" w14:textId="48B64FD8" w:rsidR="00DB4600" w:rsidRDefault="00DB4600" w:rsidP="00A60CA6">
      <w:pPr>
        <w:pStyle w:val="ListParagraph"/>
      </w:pPr>
      <w:r w:rsidRPr="00743760">
        <w:t xml:space="preserve">Provider Timesheets (if applicable) for a </w:t>
      </w:r>
      <w:proofErr w:type="gramStart"/>
      <w:r w:rsidRPr="00743760">
        <w:t>3-6 month</w:t>
      </w:r>
      <w:proofErr w:type="gramEnd"/>
      <w:r w:rsidRPr="00743760">
        <w:t xml:space="preserve"> span</w:t>
      </w:r>
      <w:r>
        <w:t xml:space="preserve">, </w:t>
      </w:r>
      <w:r w:rsidR="009667D9">
        <w:t>f</w:t>
      </w:r>
      <w:r>
        <w:t>or</w:t>
      </w:r>
      <w:r w:rsidR="009667D9">
        <w:t xml:space="preserve"> the</w:t>
      </w:r>
      <w:r>
        <w:t xml:space="preserve"> period of the identified concern</w:t>
      </w:r>
      <w:r w:rsidRPr="00743760">
        <w:t>,</w:t>
      </w:r>
    </w:p>
    <w:p w14:paraId="42360D7A" w14:textId="77777777" w:rsidR="009667D9" w:rsidRPr="00743760" w:rsidRDefault="009667D9" w:rsidP="009667D9">
      <w:pPr>
        <w:pStyle w:val="ListParagraph"/>
        <w:numPr>
          <w:ilvl w:val="1"/>
          <w:numId w:val="2"/>
        </w:numPr>
      </w:pPr>
      <w:r>
        <w:t>For CDE employees HQ staff will request shift details from CDE,</w:t>
      </w:r>
    </w:p>
    <w:p w14:paraId="35F0AD73" w14:textId="77777777" w:rsidR="00DB4600" w:rsidRPr="00743760" w:rsidRDefault="00DB4600" w:rsidP="00A60CA6">
      <w:pPr>
        <w:pStyle w:val="ListParagraph"/>
      </w:pPr>
      <w:r>
        <w:t>Documentation of any overpayment associated with the allegation,</w:t>
      </w:r>
    </w:p>
    <w:p w14:paraId="6D3AE519" w14:textId="77777777" w:rsidR="00DB4600" w:rsidRPr="00743760" w:rsidRDefault="00DB4600" w:rsidP="00A60CA6">
      <w:pPr>
        <w:pStyle w:val="ListParagraph"/>
      </w:pPr>
      <w:r w:rsidRPr="00743760">
        <w:t>SER notes that document discussions with the provider regarding either the incident being investigated or any previous discussions with the provider on the same or similar topic,</w:t>
      </w:r>
    </w:p>
    <w:p w14:paraId="0773F0F6" w14:textId="77777777" w:rsidR="00DB4600" w:rsidRPr="00743760" w:rsidRDefault="00DB4600" w:rsidP="00A60CA6">
      <w:pPr>
        <w:pStyle w:val="ListParagraph"/>
      </w:pPr>
      <w:r w:rsidRPr="00743760">
        <w:lastRenderedPageBreak/>
        <w:t xml:space="preserve">Name and contact information of any witness who would </w:t>
      </w:r>
      <w:r>
        <w:t xml:space="preserve">be </w:t>
      </w:r>
      <w:r w:rsidRPr="00743760">
        <w:t>contact</w:t>
      </w:r>
      <w:r>
        <w:t>ed</w:t>
      </w:r>
      <w:r w:rsidRPr="00743760">
        <w:t xml:space="preserve"> for more information during a full investigation. This could be the person who provided a tip to field staff, or someone who has additional information about the allegation or provider’s actions,</w:t>
      </w:r>
    </w:p>
    <w:p w14:paraId="05EFD108" w14:textId="77777777" w:rsidR="00DB4600" w:rsidRPr="00743760" w:rsidRDefault="00DB4600" w:rsidP="00A60CA6">
      <w:pPr>
        <w:pStyle w:val="ListParagraph"/>
      </w:pPr>
      <w:r w:rsidRPr="00743760">
        <w:t>Documentation requested in the Provider Fraud referral form instructions, and</w:t>
      </w:r>
    </w:p>
    <w:p w14:paraId="5C32D434" w14:textId="77777777" w:rsidR="00DB4600" w:rsidRPr="00743760" w:rsidRDefault="00DB4600" w:rsidP="00A60CA6">
      <w:pPr>
        <w:pStyle w:val="ListParagraph"/>
      </w:pPr>
      <w:r w:rsidRPr="00743760">
        <w:t>Any other documents which support and substantiate the allegation.</w:t>
      </w:r>
    </w:p>
    <w:p w14:paraId="2503C6DA" w14:textId="77777777" w:rsidR="00DB4600" w:rsidRDefault="00DB4600" w:rsidP="00937317"/>
    <w:p w14:paraId="1CF06B9E" w14:textId="77777777" w:rsidR="003D44EC" w:rsidRDefault="003D44EC">
      <w:pPr>
        <w:rPr>
          <w:rFonts w:ascii="Century Gothic" w:eastAsiaTheme="majorEastAsia" w:hAnsi="Century Gothic" w:cstheme="majorBidi"/>
          <w:b/>
          <w:caps/>
          <w:color w:val="005CAB"/>
          <w:sz w:val="26"/>
          <w:szCs w:val="26"/>
        </w:rPr>
      </w:pPr>
    </w:p>
    <w:p w14:paraId="4E5D5EBE" w14:textId="77777777" w:rsidR="00DB4600" w:rsidRDefault="00937317" w:rsidP="00DB4600">
      <w:pPr>
        <w:pStyle w:val="Heading2"/>
      </w:pPr>
      <w:bookmarkStart w:id="12" w:name="_Toc24111188"/>
      <w:r>
        <w:t>Payment Suspension Policy</w:t>
      </w:r>
      <w:bookmarkEnd w:id="12"/>
    </w:p>
    <w:p w14:paraId="6F0890C3" w14:textId="77777777" w:rsidR="007E4CEB" w:rsidRDefault="00DB4600" w:rsidP="00A60CA6">
      <w:r w:rsidRPr="00743760">
        <w:t>In accordance with the Affordable Care Act (ACA) and federal regulation at 42 CFR 455.23, the State of Washington must ensure that federal funding is not provided to individuals or entities when there is a pending investigation of</w:t>
      </w:r>
      <w:r>
        <w:t xml:space="preserve"> a credible allegation of fraud</w:t>
      </w:r>
      <w:r w:rsidRPr="00743760">
        <w:t xml:space="preserve">. </w:t>
      </w:r>
    </w:p>
    <w:p w14:paraId="36A67EB4" w14:textId="77777777" w:rsidR="007E4CEB" w:rsidRDefault="007E4CEB" w:rsidP="00A60CA6"/>
    <w:p w14:paraId="2C578E97" w14:textId="77777777" w:rsidR="007E4CEB" w:rsidRDefault="00DB4600" w:rsidP="00A60CA6">
      <w:r w:rsidRPr="004855CE">
        <w:t xml:space="preserve">This means that system payments to a provider must be suspended when there is a credible allegation of fraud, unless Good Cause exists not to suspend payment. </w:t>
      </w:r>
      <w:r w:rsidRPr="00743760">
        <w:t xml:space="preserve">Terminating the </w:t>
      </w:r>
      <w:r>
        <w:t xml:space="preserve">provider’s </w:t>
      </w:r>
      <w:r w:rsidRPr="00743760">
        <w:t>payment authorization is the equivalent of a payment suspension.</w:t>
      </w:r>
      <w:r w:rsidR="007E4CEB">
        <w:t xml:space="preserve"> </w:t>
      </w:r>
      <w:r w:rsidR="007E4CEB" w:rsidRPr="00743760">
        <w:t>If the payment is not suspended, or suspended only in part, federal rules require that a “good cause” exception must be documented</w:t>
      </w:r>
      <w:r w:rsidR="007E4CEB">
        <w:t>.</w:t>
      </w:r>
      <w:r w:rsidRPr="00743760">
        <w:t> </w:t>
      </w:r>
    </w:p>
    <w:p w14:paraId="36061078" w14:textId="0A7E62F8" w:rsidR="007E4CEB" w:rsidRDefault="009667D9" w:rsidP="00A804AE">
      <w:pPr>
        <w:pStyle w:val="ListParagraph"/>
        <w:numPr>
          <w:ilvl w:val="0"/>
          <w:numId w:val="32"/>
        </w:numPr>
      </w:pPr>
      <w:r>
        <w:t>For referrals involving Individual Providers, the CDWA authorization does not need to be ended if CDWA confirms that a new Individual Provider will start serving the client.</w:t>
      </w:r>
    </w:p>
    <w:p w14:paraId="21B2AEBA" w14:textId="77777777" w:rsidR="00590106" w:rsidRDefault="00937317" w:rsidP="00367DD3">
      <w:pPr>
        <w:pStyle w:val="Heading3"/>
      </w:pPr>
      <w:bookmarkStart w:id="13" w:name="_Toc24111189"/>
      <w:r>
        <w:t xml:space="preserve">Good </w:t>
      </w:r>
      <w:r w:rsidR="003D44EC">
        <w:t>C</w:t>
      </w:r>
      <w:r>
        <w:t>ause Exceptions</w:t>
      </w:r>
      <w:bookmarkEnd w:id="13"/>
    </w:p>
    <w:p w14:paraId="5EE5D4F5" w14:textId="77777777" w:rsidR="00DB4600" w:rsidRDefault="00DB4600" w:rsidP="00A60CA6">
      <w:r w:rsidRPr="00743760">
        <w:t>The federal rule allows that the reporting agency may find that good cause exists to</w:t>
      </w:r>
      <w:r>
        <w:t>:</w:t>
      </w:r>
    </w:p>
    <w:p w14:paraId="3227AE78" w14:textId="77777777" w:rsidR="00DB4600" w:rsidRDefault="003D44EC" w:rsidP="00A60CA6">
      <w:pPr>
        <w:pStyle w:val="ListParagraph"/>
      </w:pPr>
      <w:r>
        <w:rPr>
          <w:u w:val="single"/>
        </w:rPr>
        <w:t>N</w:t>
      </w:r>
      <w:r w:rsidR="00DB4600" w:rsidRPr="00743760">
        <w:rPr>
          <w:u w:val="single"/>
        </w:rPr>
        <w:t>ot</w:t>
      </w:r>
      <w:r w:rsidR="00DB4600" w:rsidRPr="003D44EC">
        <w:t xml:space="preserve"> </w:t>
      </w:r>
      <w:r w:rsidR="00DB4600" w:rsidRPr="00743760">
        <w:t xml:space="preserve">suspend payments, </w:t>
      </w:r>
    </w:p>
    <w:p w14:paraId="375D07E9" w14:textId="77777777" w:rsidR="00DB4600" w:rsidRDefault="003D44EC" w:rsidP="00A60CA6">
      <w:pPr>
        <w:pStyle w:val="ListParagraph"/>
      </w:pPr>
      <w:r>
        <w:t>D</w:t>
      </w:r>
      <w:r w:rsidR="00DB4600" w:rsidRPr="00743760">
        <w:t xml:space="preserve">iscontinue a payment suspension previously imposed, or </w:t>
      </w:r>
    </w:p>
    <w:p w14:paraId="07055914" w14:textId="77777777" w:rsidR="00DB4600" w:rsidRDefault="003D44EC" w:rsidP="00A60CA6">
      <w:pPr>
        <w:pStyle w:val="ListParagraph"/>
      </w:pPr>
      <w:r>
        <w:t>S</w:t>
      </w:r>
      <w:r w:rsidR="00DB4600" w:rsidRPr="00977C1D">
        <w:t>uspend payments only in part</w:t>
      </w:r>
      <w:r>
        <w:rPr>
          <w:rStyle w:val="FootnoteReference"/>
        </w:rPr>
        <w:footnoteReference w:id="6"/>
      </w:r>
      <w:r w:rsidR="00DB4600" w:rsidRPr="00977C1D">
        <w:t>.</w:t>
      </w:r>
    </w:p>
    <w:p w14:paraId="7337092A" w14:textId="77777777" w:rsidR="007E4CEB" w:rsidRDefault="007E4CEB" w:rsidP="007E4CEB">
      <w:pPr>
        <w:pStyle w:val="Heading4"/>
      </w:pPr>
      <w:r>
        <w:t>Documentation</w:t>
      </w:r>
    </w:p>
    <w:p w14:paraId="2167733E" w14:textId="61FB2D31" w:rsidR="007E4CEB" w:rsidRDefault="007E4CEB" w:rsidP="007E4CEB">
      <w:r w:rsidRPr="00662930">
        <w:t xml:space="preserve">If </w:t>
      </w:r>
      <w:r w:rsidR="009667D9">
        <w:t>local office</w:t>
      </w:r>
      <w:r w:rsidR="009667D9" w:rsidRPr="00662930">
        <w:t xml:space="preserve"> </w:t>
      </w:r>
      <w:r w:rsidRPr="00662930">
        <w:t xml:space="preserve">staff </w:t>
      </w:r>
      <w:r w:rsidR="009667D9">
        <w:t>and CDE recommends</w:t>
      </w:r>
      <w:r w:rsidR="009667D9" w:rsidRPr="00662930">
        <w:t xml:space="preserve"> </w:t>
      </w:r>
      <w:r w:rsidRPr="00662930">
        <w:t xml:space="preserve">that a </w:t>
      </w:r>
      <w:r w:rsidRPr="00367DD3">
        <w:t xml:space="preserve">Good Cause Exception </w:t>
      </w:r>
      <w:r w:rsidR="009667D9">
        <w:t xml:space="preserve">based on client safety needs </w:t>
      </w:r>
      <w:r w:rsidRPr="00367DD3">
        <w:t>applies</w:t>
      </w:r>
      <w:r w:rsidR="009667D9">
        <w:t xml:space="preserve"> and is approved by DSHS HQ</w:t>
      </w:r>
      <w:r w:rsidRPr="007E4CEB">
        <w:rPr>
          <w:b/>
        </w:rPr>
        <w:t>,</w:t>
      </w:r>
      <w:r w:rsidRPr="00367DD3">
        <w:t xml:space="preserve"> </w:t>
      </w:r>
      <w:r w:rsidRPr="00662930">
        <w:t xml:space="preserve">the case manager </w:t>
      </w:r>
      <w:r w:rsidRPr="00A87A98">
        <w:t>(or designee)</w:t>
      </w:r>
      <w:r w:rsidR="009667D9">
        <w:t xml:space="preserve"> and CDE</w:t>
      </w:r>
      <w:r w:rsidRPr="00662930">
        <w:t xml:space="preserve"> must ensure the applicable exception is documented, including the relevant facts, circumstances and any other information or supporting documentation to support the finding that a Good Cause Exception applies.</w:t>
      </w:r>
    </w:p>
    <w:p w14:paraId="01A6914D" w14:textId="77777777" w:rsidR="009667D9" w:rsidRDefault="009667D9" w:rsidP="009667D9">
      <w:pPr>
        <w:pStyle w:val="ListParagraph"/>
      </w:pPr>
      <w:r w:rsidRPr="00367DD3">
        <w:t>For a provider with one or only a few clients, such as an Individual Provider</w:t>
      </w:r>
      <w:r>
        <w:t>,</w:t>
      </w:r>
      <w:r w:rsidRPr="00367DD3">
        <w:t xml:space="preserve"> documentation of Good Cause Exception must be made in the client(s)’s SER. </w:t>
      </w:r>
    </w:p>
    <w:p w14:paraId="6E20D611" w14:textId="77777777" w:rsidR="009667D9" w:rsidRDefault="009667D9" w:rsidP="009667D9">
      <w:pPr>
        <w:pStyle w:val="ListParagraph"/>
      </w:pPr>
      <w:r>
        <w:t xml:space="preserve">For Contracted DSHS providers a </w:t>
      </w:r>
      <w:r w:rsidRPr="00367DD3">
        <w:t xml:space="preserve">note in </w:t>
      </w:r>
      <w:proofErr w:type="gramStart"/>
      <w:r w:rsidRPr="00367DD3">
        <w:t>the  provider’s</w:t>
      </w:r>
      <w:proofErr w:type="gramEnd"/>
      <w:r w:rsidRPr="00367DD3">
        <w:t xml:space="preserve"> </w:t>
      </w:r>
      <w:r>
        <w:t xml:space="preserve">ACD </w:t>
      </w:r>
      <w:r w:rsidRPr="00367DD3">
        <w:t>contract</w:t>
      </w:r>
      <w:r>
        <w:t xml:space="preserve"> file needs to be added to </w:t>
      </w:r>
      <w:r w:rsidRPr="00367DD3">
        <w:t>indicate that a referral was made, the date, a summary of the circumstances, and the Good Cause Exception that applies to the situation.</w:t>
      </w:r>
    </w:p>
    <w:p w14:paraId="7CC132A0" w14:textId="77777777" w:rsidR="009667D9" w:rsidRDefault="009667D9" w:rsidP="009667D9">
      <w:pPr>
        <w:pStyle w:val="ListParagraph"/>
      </w:pPr>
      <w:r w:rsidRPr="007E4CEB">
        <w:t xml:space="preserve">For </w:t>
      </w:r>
      <w:r>
        <w:t>Contracted</w:t>
      </w:r>
      <w:r w:rsidRPr="007E4CEB">
        <w:t xml:space="preserve"> </w:t>
      </w:r>
      <w:r>
        <w:t xml:space="preserve">DSHS </w:t>
      </w:r>
      <w:r w:rsidRPr="007E4CEB">
        <w:t>provider with several clients, such as an agency provider, documentation of Good Cause Exception must be made in the provider’s contract file</w:t>
      </w:r>
      <w:r>
        <w:t>/ACD</w:t>
      </w:r>
      <w:r w:rsidRPr="007E4CEB">
        <w:t xml:space="preserve">. </w:t>
      </w:r>
      <w:r>
        <w:t xml:space="preserve">Local or HQ Contract Staff may enter documentation of </w:t>
      </w:r>
      <w:r w:rsidRPr="007E4CEB">
        <w:t>any mon</w:t>
      </w:r>
      <w:r>
        <w:t>itoring action being considered</w:t>
      </w:r>
      <w:r w:rsidRPr="007E4CEB">
        <w:t xml:space="preserve"> and add a Comment to the provider’s Contractor Profile in ACD to summarize all actions taken. </w:t>
      </w:r>
    </w:p>
    <w:p w14:paraId="67C8E400" w14:textId="66CB6E30" w:rsidR="009667D9" w:rsidRDefault="009667D9" w:rsidP="009667D9"/>
    <w:p w14:paraId="4BB9C3ED" w14:textId="4C32AFC3" w:rsidR="009667D9" w:rsidRDefault="009667D9" w:rsidP="009667D9"/>
    <w:p w14:paraId="4F8D9EDC" w14:textId="77777777" w:rsidR="009667D9" w:rsidRDefault="009667D9" w:rsidP="00A804AE"/>
    <w:p w14:paraId="675578B7" w14:textId="77777777" w:rsidR="007E4CEB" w:rsidRDefault="007E4CEB" w:rsidP="007E4CEB"/>
    <w:tbl>
      <w:tblPr>
        <w:tblStyle w:val="TableGrid"/>
        <w:tblW w:w="9445" w:type="dxa"/>
        <w:tblLook w:val="04A0" w:firstRow="1" w:lastRow="0" w:firstColumn="1" w:lastColumn="0" w:noHBand="0" w:noVBand="1"/>
      </w:tblPr>
      <w:tblGrid>
        <w:gridCol w:w="4722"/>
        <w:gridCol w:w="4723"/>
      </w:tblGrid>
      <w:tr w:rsidR="007E4CEB" w:rsidRPr="001E61DA" w14:paraId="70678A6F" w14:textId="77777777" w:rsidTr="0096661C">
        <w:tc>
          <w:tcPr>
            <w:tcW w:w="4722" w:type="dxa"/>
          </w:tcPr>
          <w:p w14:paraId="5504EF54" w14:textId="77777777" w:rsidR="007E4CEB" w:rsidRPr="001E61DA" w:rsidRDefault="007E4CEB" w:rsidP="0096661C">
            <w:pPr>
              <w:jc w:val="center"/>
              <w:rPr>
                <w:b/>
              </w:rPr>
            </w:pPr>
            <w:r w:rsidRPr="001E61DA">
              <w:rPr>
                <w:b/>
              </w:rPr>
              <w:t>NOT Suspend Payment</w:t>
            </w:r>
          </w:p>
        </w:tc>
        <w:tc>
          <w:tcPr>
            <w:tcW w:w="4723" w:type="dxa"/>
          </w:tcPr>
          <w:p w14:paraId="395E441B" w14:textId="77777777" w:rsidR="007E4CEB" w:rsidRPr="001E61DA" w:rsidRDefault="007E4CEB" w:rsidP="0096661C">
            <w:pPr>
              <w:jc w:val="center"/>
              <w:rPr>
                <w:b/>
              </w:rPr>
            </w:pPr>
            <w:r w:rsidRPr="001E61DA">
              <w:rPr>
                <w:b/>
              </w:rPr>
              <w:t>Suspend Payment in PART</w:t>
            </w:r>
          </w:p>
        </w:tc>
      </w:tr>
      <w:tr w:rsidR="007E4CEB" w:rsidRPr="00662930" w14:paraId="58362B35" w14:textId="77777777" w:rsidTr="0096661C">
        <w:trPr>
          <w:cantSplit/>
          <w:trHeight w:val="1952"/>
        </w:trPr>
        <w:tc>
          <w:tcPr>
            <w:tcW w:w="4722" w:type="dxa"/>
          </w:tcPr>
          <w:p w14:paraId="4F36C13B" w14:textId="77777777" w:rsidR="007E4CEB" w:rsidRPr="00662930" w:rsidRDefault="007E4CEB" w:rsidP="0096661C">
            <w:pPr>
              <w:pStyle w:val="ListParagraph"/>
              <w:ind w:left="257"/>
            </w:pPr>
            <w:r w:rsidRPr="00662930">
              <w:t xml:space="preserve">Case manager must staff the case with Supervisor, considering all relevant factors and documentation to determine if a Good Cause Exception applies. </w:t>
            </w:r>
          </w:p>
        </w:tc>
        <w:tc>
          <w:tcPr>
            <w:tcW w:w="4723" w:type="dxa"/>
          </w:tcPr>
          <w:p w14:paraId="029FC67C" w14:textId="77777777" w:rsidR="007E4CEB" w:rsidRDefault="007E4CEB" w:rsidP="0096661C">
            <w:pPr>
              <w:pStyle w:val="ListParagraph"/>
              <w:ind w:left="257"/>
            </w:pPr>
            <w:r w:rsidRPr="00662930">
              <w:t>The case manager who is making the referral must coordinate with the other case manager(s) of the provider’s other clients to determine if there are any c</w:t>
            </w:r>
            <w:r>
              <w:t xml:space="preserve">oncerns regarding the provider. </w:t>
            </w:r>
          </w:p>
          <w:p w14:paraId="468E328D" w14:textId="77777777" w:rsidR="007E4CEB" w:rsidRPr="00662930" w:rsidRDefault="007E4CEB" w:rsidP="0096661C">
            <w:pPr>
              <w:pStyle w:val="ListParagraph"/>
              <w:ind w:left="257"/>
            </w:pPr>
            <w:r>
              <w:t>The c</w:t>
            </w:r>
            <w:r w:rsidRPr="00662930">
              <w:t xml:space="preserve">ase manager must also staff the case with </w:t>
            </w:r>
            <w:r>
              <w:t xml:space="preserve">their </w:t>
            </w:r>
            <w:proofErr w:type="gramStart"/>
            <w:r w:rsidRPr="00662930">
              <w:t>Supervisor</w:t>
            </w:r>
            <w:proofErr w:type="gramEnd"/>
            <w:r w:rsidRPr="00662930">
              <w:t xml:space="preserve">, considering all relevant factors and documentation to determine if a Good Cause Exception applies to suspend only in part. </w:t>
            </w:r>
          </w:p>
        </w:tc>
      </w:tr>
    </w:tbl>
    <w:p w14:paraId="312474E2" w14:textId="77777777" w:rsidR="007E4CEB" w:rsidRDefault="007E4CEB" w:rsidP="007E4CEB">
      <w:pPr>
        <w:jc w:val="center"/>
      </w:pPr>
      <w:r w:rsidRPr="00317DF4">
        <w:rPr>
          <w:noProof/>
        </w:rPr>
        <w:drawing>
          <wp:inline distT="0" distB="0" distL="0" distR="0" wp14:anchorId="3371A969" wp14:editId="2A7CF7FD">
            <wp:extent cx="5943600" cy="2463892"/>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733"/>
                    <a:stretch/>
                  </pic:blipFill>
                  <pic:spPr bwMode="auto">
                    <a:xfrm>
                      <a:off x="0" y="0"/>
                      <a:ext cx="5943600" cy="2463892"/>
                    </a:xfrm>
                    <a:prstGeom prst="rect">
                      <a:avLst/>
                    </a:prstGeom>
                    <a:noFill/>
                    <a:ln>
                      <a:noFill/>
                    </a:ln>
                    <a:extLst>
                      <a:ext uri="{53640926-AAD7-44D8-BBD7-CCE9431645EC}">
                        <a14:shadowObscured xmlns:a14="http://schemas.microsoft.com/office/drawing/2010/main"/>
                      </a:ext>
                    </a:extLst>
                  </pic:spPr>
                </pic:pic>
              </a:graphicData>
            </a:graphic>
          </wp:inline>
        </w:drawing>
      </w:r>
    </w:p>
    <w:p w14:paraId="5EA4D9C4" w14:textId="77777777" w:rsidR="007E4CEB" w:rsidRDefault="007E4CEB" w:rsidP="007E4CEB">
      <w:pPr>
        <w:jc w:val="center"/>
      </w:pPr>
    </w:p>
    <w:p w14:paraId="754321F8" w14:textId="77777777" w:rsidR="00553141" w:rsidRPr="00C92F34" w:rsidRDefault="00553141" w:rsidP="00553141">
      <w:pPr>
        <w:pStyle w:val="Heading4"/>
      </w:pPr>
      <w:r>
        <w:t>Not Suspend Payment</w:t>
      </w:r>
    </w:p>
    <w:p w14:paraId="2B7B2B45" w14:textId="77777777" w:rsidR="00553141" w:rsidRPr="00662930" w:rsidRDefault="00553141" w:rsidP="00553141">
      <w:pPr>
        <w:rPr>
          <w:rFonts w:ascii="Times New Roman" w:hAnsi="Times New Roman"/>
        </w:rPr>
      </w:pPr>
      <w:r w:rsidRPr="00743760">
        <w:t>If there is a good reason not to terminate the authorization of a provider (</w:t>
      </w:r>
      <w:proofErr w:type="gramStart"/>
      <w:r>
        <w:t>i</w:t>
      </w:r>
      <w:r w:rsidRPr="00743760">
        <w:t>.e.</w:t>
      </w:r>
      <w:proofErr w:type="gramEnd"/>
      <w:r w:rsidRPr="00743760">
        <w:t xml:space="preserve"> to allow a provider to continue working for the client) when a credible allegation of fraud </w:t>
      </w:r>
      <w:r>
        <w:t xml:space="preserve">is referred </w:t>
      </w:r>
      <w:r w:rsidRPr="00743760">
        <w:t>for potential investigation, this</w:t>
      </w:r>
      <w:r>
        <w:t xml:space="preserve"> reason</w:t>
      </w:r>
      <w:r w:rsidRPr="00743760">
        <w:t xml:space="preserve"> </w:t>
      </w:r>
      <w:r>
        <w:t xml:space="preserve">is called a Good Cause Exception and </w:t>
      </w:r>
      <w:r w:rsidRPr="00743760">
        <w:t>must be documented</w:t>
      </w:r>
      <w:r>
        <w:t xml:space="preserve">.  </w:t>
      </w:r>
      <w:r w:rsidRPr="00662930">
        <w:rPr>
          <w:b/>
        </w:rPr>
        <w:t>42 CFR §455.23</w:t>
      </w:r>
      <w:r w:rsidRPr="00662930">
        <w:t xml:space="preserve"> includes a provision for a good cause exception to not suspend payments. Allowable </w:t>
      </w:r>
      <w:r w:rsidRPr="00662930">
        <w:rPr>
          <w:b/>
        </w:rPr>
        <w:t xml:space="preserve">Good Cause </w:t>
      </w:r>
      <w:r w:rsidRPr="00662930">
        <w:t>reasons</w:t>
      </w:r>
      <w:r w:rsidRPr="00662930">
        <w:rPr>
          <w:b/>
        </w:rPr>
        <w:t xml:space="preserve"> </w:t>
      </w:r>
      <w:r w:rsidRPr="00662930">
        <w:t xml:space="preserve">to either (1) </w:t>
      </w:r>
      <w:r w:rsidRPr="00662930">
        <w:rPr>
          <w:u w:val="single"/>
        </w:rPr>
        <w:t>NOT suspend payments</w:t>
      </w:r>
      <w:r w:rsidRPr="00662930">
        <w:t xml:space="preserve">, or (2) </w:t>
      </w:r>
      <w:r w:rsidRPr="00662930">
        <w:rPr>
          <w:u w:val="single"/>
        </w:rPr>
        <w:t>NOT continue a payment suspension previously imposed</w:t>
      </w:r>
      <w:r w:rsidRPr="00662930">
        <w:t xml:space="preserve"> are:</w:t>
      </w:r>
    </w:p>
    <w:p w14:paraId="2F37B96E" w14:textId="77777777" w:rsidR="00553141" w:rsidRDefault="00553141" w:rsidP="00553141">
      <w:r>
        <w:t xml:space="preserve"> </w:t>
      </w:r>
    </w:p>
    <w:p w14:paraId="07D16FC1" w14:textId="77777777" w:rsidR="00553141" w:rsidRDefault="00553141" w:rsidP="00553141">
      <w:r w:rsidRPr="001E61DA">
        <w:rPr>
          <w:rFonts w:ascii="Arial" w:hAnsi="Arial" w:cs="Arial"/>
          <w:bCs/>
          <w:noProof/>
        </w:rPr>
        <w:lastRenderedPageBreak/>
        <mc:AlternateContent>
          <mc:Choice Requires="wps">
            <w:drawing>
              <wp:inline distT="0" distB="0" distL="0" distR="0" wp14:anchorId="17426C65" wp14:editId="6A451D1B">
                <wp:extent cx="5875655" cy="1404620"/>
                <wp:effectExtent l="0" t="0" r="10795"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1404620"/>
                        </a:xfrm>
                        <a:prstGeom prst="rect">
                          <a:avLst/>
                        </a:prstGeom>
                        <a:solidFill>
                          <a:srgbClr val="FFFFFF"/>
                        </a:solidFill>
                        <a:ln w="9525">
                          <a:solidFill>
                            <a:srgbClr val="000000"/>
                          </a:solidFill>
                          <a:miter lim="800000"/>
                          <a:headEnd/>
                          <a:tailEnd/>
                        </a:ln>
                      </wps:spPr>
                      <wps:txbx>
                        <w:txbxContent>
                          <w:p w14:paraId="727AF30F" w14:textId="77777777" w:rsidR="00553141" w:rsidRPr="001E61DA" w:rsidRDefault="00553141" w:rsidP="00553141">
                            <w:pPr>
                              <w:pStyle w:val="TableTitle"/>
                              <w:jc w:val="center"/>
                              <w:rPr>
                                <w:rStyle w:val="SubtleEmphasis"/>
                                <w:color w:val="0070C0"/>
                              </w:rPr>
                            </w:pPr>
                            <w:r w:rsidRPr="001E61DA">
                              <w:rPr>
                                <w:rStyle w:val="SubtleEmphasis"/>
                                <w:color w:val="0070C0"/>
                              </w:rPr>
                              <w:t>Payment Not Suspended Due to Good Cause Exception</w:t>
                            </w:r>
                          </w:p>
                          <w:p w14:paraId="71CB774A" w14:textId="77777777" w:rsidR="00553141" w:rsidRPr="003D44EC" w:rsidRDefault="00553141" w:rsidP="00553141">
                            <w:pPr>
                              <w:pStyle w:val="ListParagraph"/>
                            </w:pPr>
                            <w:r w:rsidRPr="003D44EC">
                              <w:t>MFCU (or other law enforcement agency) specifically requests that a payment suspension not be imposed because such a payment suspension may compromise or jeopardize an investigation.</w:t>
                            </w:r>
                          </w:p>
                          <w:p w14:paraId="25AC4101" w14:textId="77777777" w:rsidR="00553141" w:rsidRPr="003D44EC" w:rsidRDefault="00553141" w:rsidP="00553141">
                            <w:pPr>
                              <w:pStyle w:val="ListParagraph"/>
                            </w:pPr>
                            <w:r w:rsidRPr="003D44EC">
                              <w:t>Other available remedies implemented by the State more effectively or quickly protect Medicaid funds.</w:t>
                            </w:r>
                          </w:p>
                          <w:p w14:paraId="5C468539" w14:textId="77777777" w:rsidR="00553141" w:rsidRPr="003D44EC" w:rsidRDefault="00553141" w:rsidP="00553141">
                            <w:pPr>
                              <w:pStyle w:val="ListParagraph"/>
                            </w:pPr>
                            <w:r w:rsidRPr="003D44EC">
                              <w:t>Based upon the submission of written evidence by the individual or entity that is the subject of the payment suspension, the suspension should be removed.</w:t>
                            </w:r>
                          </w:p>
                          <w:p w14:paraId="1871CEF3" w14:textId="77777777" w:rsidR="00553141" w:rsidRPr="003D44EC" w:rsidRDefault="00553141" w:rsidP="00553141">
                            <w:pPr>
                              <w:pStyle w:val="ListParagraph"/>
                            </w:pPr>
                            <w:r w:rsidRPr="003D44EC">
                              <w:t>Client access to care would be jeopardized by a payment suspension because of either of the following: (please indicate)</w:t>
                            </w:r>
                          </w:p>
                          <w:p w14:paraId="611D01B0" w14:textId="77777777" w:rsidR="00553141" w:rsidRPr="00662930" w:rsidRDefault="00553141" w:rsidP="00553141">
                            <w:pPr>
                              <w:pStyle w:val="ListParagraph2"/>
                            </w:pPr>
                            <w:r w:rsidRPr="00662930">
                              <w:t>(i) The individual or entity is the sole source of essential specialized services in a community.</w:t>
                            </w:r>
                          </w:p>
                          <w:p w14:paraId="30D6ACBB" w14:textId="77777777" w:rsidR="00553141" w:rsidRPr="00662930" w:rsidRDefault="00553141" w:rsidP="00553141">
                            <w:pPr>
                              <w:pStyle w:val="ListParagraph2"/>
                            </w:pPr>
                            <w:r w:rsidRPr="00662930">
                              <w:t>(ii) The individual or entity serves a large number of clients within a federally designated medically underserved area.</w:t>
                            </w:r>
                          </w:p>
                          <w:p w14:paraId="36AD5C13" w14:textId="77777777" w:rsidR="00553141" w:rsidRPr="003D44EC" w:rsidRDefault="00553141" w:rsidP="00553141">
                            <w:pPr>
                              <w:pStyle w:val="ListParagraph"/>
                            </w:pPr>
                            <w:r w:rsidRPr="003D44EC">
                              <w:t xml:space="preserve">MFCU (or other law enforcement agency) declines to certify that this matter continues to be under investigation. </w:t>
                            </w:r>
                          </w:p>
                          <w:p w14:paraId="33B20C16" w14:textId="77777777" w:rsidR="00553141" w:rsidRDefault="00553141" w:rsidP="00553141">
                            <w:pPr>
                              <w:pStyle w:val="ListParagraph"/>
                            </w:pPr>
                            <w:r w:rsidRPr="003D44EC">
                              <w:t>Payment suspension is not in the best interests of the Medicaid program.</w:t>
                            </w:r>
                          </w:p>
                        </w:txbxContent>
                      </wps:txbx>
                      <wps:bodyPr rot="0" vert="horz" wrap="square" lIns="91440" tIns="45720" rIns="91440" bIns="45720" anchor="t" anchorCtr="0">
                        <a:spAutoFit/>
                      </wps:bodyPr>
                    </wps:wsp>
                  </a:graphicData>
                </a:graphic>
              </wp:inline>
            </w:drawing>
          </mc:Choice>
          <mc:Fallback>
            <w:pict>
              <v:shapetype w14:anchorId="17426C65" id="_x0000_t202" coordsize="21600,21600" o:spt="202" path="m,l,21600r21600,l21600,xe">
                <v:stroke joinstyle="miter"/>
                <v:path gradientshapeok="t" o:connecttype="rect"/>
              </v:shapetype>
              <v:shape id="Text Box 2" o:spid="_x0000_s1026" type="#_x0000_t202" style="width:46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">
                <v:textbox style="mso-fit-shape-to-text:t">
                  <w:txbxContent>
                    <w:p w14:paraId="727AF30F" w14:textId="77777777" w:rsidR="00553141" w:rsidRPr="001E61DA" w:rsidRDefault="00553141" w:rsidP="00553141">
                      <w:pPr>
                        <w:pStyle w:val="TableTitle"/>
                        <w:jc w:val="center"/>
                        <w:rPr>
                          <w:rStyle w:val="SubtleEmphasis"/>
                          <w:color w:val="0070C0"/>
                        </w:rPr>
                      </w:pPr>
                      <w:r w:rsidRPr="001E61DA">
                        <w:rPr>
                          <w:rStyle w:val="SubtleEmphasis"/>
                          <w:color w:val="0070C0"/>
                        </w:rPr>
                        <w:t>Payment Not Suspended Due to Good Cause Exception</w:t>
                      </w:r>
                    </w:p>
                    <w:p w14:paraId="71CB774A" w14:textId="77777777" w:rsidR="00553141" w:rsidRPr="003D44EC" w:rsidRDefault="00553141" w:rsidP="00553141">
                      <w:pPr>
                        <w:pStyle w:val="ListParagraph"/>
                      </w:pPr>
                      <w:r w:rsidRPr="003D44EC">
                        <w:t>MFCU (or other law enforcement agency) specifically requests that a payment suspension not be imposed because such a payment suspension may compromise or jeopardize an investigation.</w:t>
                      </w:r>
                    </w:p>
                    <w:p w14:paraId="25AC4101" w14:textId="77777777" w:rsidR="00553141" w:rsidRPr="003D44EC" w:rsidRDefault="00553141" w:rsidP="00553141">
                      <w:pPr>
                        <w:pStyle w:val="ListParagraph"/>
                      </w:pPr>
                      <w:r w:rsidRPr="003D44EC">
                        <w:t>Other available remedies implemented by the State more effectively or quickly protect Medicaid funds.</w:t>
                      </w:r>
                    </w:p>
                    <w:p w14:paraId="5C468539" w14:textId="77777777" w:rsidR="00553141" w:rsidRPr="003D44EC" w:rsidRDefault="00553141" w:rsidP="00553141">
                      <w:pPr>
                        <w:pStyle w:val="ListParagraph"/>
                      </w:pPr>
                      <w:r w:rsidRPr="003D44EC">
                        <w:t>Based upon the submission of written evidence by the individual or entity that is the subject of the payment suspension, the suspension should be removed.</w:t>
                      </w:r>
                    </w:p>
                    <w:p w14:paraId="1871CEF3" w14:textId="77777777" w:rsidR="00553141" w:rsidRPr="003D44EC" w:rsidRDefault="00553141" w:rsidP="00553141">
                      <w:pPr>
                        <w:pStyle w:val="ListParagraph"/>
                      </w:pPr>
                      <w:r w:rsidRPr="003D44EC">
                        <w:t>Client access to care would be jeopardized by a payment suspension because of either of the following: (please indicate)</w:t>
                      </w:r>
                    </w:p>
                    <w:p w14:paraId="611D01B0" w14:textId="77777777" w:rsidR="00553141" w:rsidRPr="00662930" w:rsidRDefault="00553141" w:rsidP="00553141">
                      <w:pPr>
                        <w:pStyle w:val="ListParagraph2"/>
                      </w:pPr>
                      <w:r w:rsidRPr="00662930">
                        <w:t>(i) The individual or entity is the sole source of essential specialized services in a community.</w:t>
                      </w:r>
                    </w:p>
                    <w:p w14:paraId="30D6ACBB" w14:textId="77777777" w:rsidR="00553141" w:rsidRPr="00662930" w:rsidRDefault="00553141" w:rsidP="00553141">
                      <w:pPr>
                        <w:pStyle w:val="ListParagraph2"/>
                      </w:pPr>
                      <w:r w:rsidRPr="00662930">
                        <w:t>(ii) The individual or entity serves a large number of clients within a federally designated medically underserved area.</w:t>
                      </w:r>
                    </w:p>
                    <w:p w14:paraId="36AD5C13" w14:textId="77777777" w:rsidR="00553141" w:rsidRPr="003D44EC" w:rsidRDefault="00553141" w:rsidP="00553141">
                      <w:pPr>
                        <w:pStyle w:val="ListParagraph"/>
                      </w:pPr>
                      <w:r w:rsidRPr="003D44EC">
                        <w:t xml:space="preserve">MFCU (or other law enforcement agency) declines to certify that this matter continues to be under investigation. </w:t>
                      </w:r>
                    </w:p>
                    <w:p w14:paraId="33B20C16" w14:textId="77777777" w:rsidR="00553141" w:rsidRDefault="00553141" w:rsidP="00553141">
                      <w:pPr>
                        <w:pStyle w:val="ListParagraph"/>
                      </w:pPr>
                      <w:r w:rsidRPr="003D44EC">
                        <w:t>Payment suspension is not in the best interests of the Medicaid program.</w:t>
                      </w:r>
                    </w:p>
                  </w:txbxContent>
                </v:textbox>
                <w10:anchorlock/>
              </v:shape>
            </w:pict>
          </mc:Fallback>
        </mc:AlternateContent>
      </w:r>
    </w:p>
    <w:p w14:paraId="08B8FAD6" w14:textId="77777777" w:rsidR="007E4CEB" w:rsidRDefault="007E4CEB" w:rsidP="007E4CEB"/>
    <w:p w14:paraId="3B7B8E4D" w14:textId="77777777" w:rsidR="00553141" w:rsidRDefault="00553141" w:rsidP="00553141">
      <w:pPr>
        <w:pStyle w:val="Heading4"/>
      </w:pPr>
      <w:r>
        <w:t>Suspend Payment Only in Part</w:t>
      </w:r>
    </w:p>
    <w:p w14:paraId="0E0F0069" w14:textId="77777777" w:rsidR="00553141" w:rsidRDefault="00553141" w:rsidP="00553141">
      <w:r w:rsidRPr="00743760">
        <w:t>The federal rule allows that the reporting agency may find that good cause exists to suspend payments in part, or to convert a payment suspension previously imposed in whole to one only in part if there is a good reason to allow an individual or entity to</w:t>
      </w:r>
      <w:r>
        <w:t xml:space="preserve"> </w:t>
      </w:r>
      <w:r w:rsidRPr="00743760">
        <w:t>continue working where there is an investigation of a credible allegation of fraud</w:t>
      </w:r>
      <w:r w:rsidRPr="00743760">
        <w:rPr>
          <w:rStyle w:val="FootnoteReference"/>
          <w:rFonts w:ascii="Arial" w:hAnsi="Arial" w:cs="Arial"/>
          <w:bCs/>
        </w:rPr>
        <w:footnoteReference w:id="7"/>
      </w:r>
      <w:r>
        <w:t>.</w:t>
      </w:r>
      <w:r w:rsidRPr="00743760">
        <w:t xml:space="preserve">  </w:t>
      </w:r>
    </w:p>
    <w:p w14:paraId="708F66DA" w14:textId="77777777" w:rsidR="00553141" w:rsidRDefault="00553141" w:rsidP="00553141"/>
    <w:p w14:paraId="4869A791" w14:textId="77777777" w:rsidR="00553141" w:rsidRDefault="00553141" w:rsidP="00553141">
      <w:r w:rsidRPr="00743760">
        <w:t>Suspending a payment only in part would be applicable when a provider has more than one client, the credible allegation of fraud is regarding only one client, and there are no issue</w:t>
      </w:r>
      <w:r w:rsidR="007E4CEB">
        <w:t xml:space="preserve">s with the remaining client(s). </w:t>
      </w:r>
      <w:r>
        <w:t xml:space="preserve">The </w:t>
      </w:r>
      <w:r w:rsidRPr="00743760">
        <w:t>applicable exceptions to suspend payment only in part are as follows:</w:t>
      </w:r>
      <w:r>
        <w:t xml:space="preserve"> </w:t>
      </w:r>
    </w:p>
    <w:p w14:paraId="184E2E95" w14:textId="77777777" w:rsidR="00553141" w:rsidRDefault="00553141" w:rsidP="00553141"/>
    <w:p w14:paraId="0A5DD9DB" w14:textId="77777777" w:rsidR="00553141" w:rsidRDefault="00553141" w:rsidP="00553141">
      <w:pPr>
        <w:rPr>
          <w:b/>
        </w:rPr>
      </w:pPr>
      <w:r w:rsidRPr="001E61DA">
        <w:rPr>
          <w:rFonts w:ascii="Arial" w:hAnsi="Arial" w:cs="Arial"/>
          <w:bCs/>
          <w:noProof/>
        </w:rPr>
        <w:lastRenderedPageBreak/>
        <mc:AlternateContent>
          <mc:Choice Requires="wps">
            <w:drawing>
              <wp:inline distT="0" distB="0" distL="0" distR="0" wp14:anchorId="787A7A69" wp14:editId="0DB6F3AD">
                <wp:extent cx="5875655" cy="3385547"/>
                <wp:effectExtent l="0" t="0" r="10795" b="247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3385547"/>
                        </a:xfrm>
                        <a:prstGeom prst="rect">
                          <a:avLst/>
                        </a:prstGeom>
                        <a:solidFill>
                          <a:srgbClr val="FFFFFF"/>
                        </a:solidFill>
                        <a:ln w="9525">
                          <a:solidFill>
                            <a:srgbClr val="000000"/>
                          </a:solidFill>
                          <a:miter lim="800000"/>
                          <a:headEnd/>
                          <a:tailEnd/>
                        </a:ln>
                      </wps:spPr>
                      <wps:txbx>
                        <w:txbxContent>
                          <w:p w14:paraId="50A5F747" w14:textId="77777777" w:rsidR="00553141" w:rsidRDefault="00553141" w:rsidP="00553141">
                            <w:pPr>
                              <w:pStyle w:val="TableTitle"/>
                              <w:jc w:val="center"/>
                              <w:rPr>
                                <w:rStyle w:val="SubtleEmphasis"/>
                                <w:color w:val="0070C0"/>
                              </w:rPr>
                            </w:pPr>
                            <w:r w:rsidRPr="001E61DA">
                              <w:rPr>
                                <w:rStyle w:val="SubtleEmphasis"/>
                                <w:color w:val="0070C0"/>
                              </w:rPr>
                              <w:t xml:space="preserve">Payment Suspended </w:t>
                            </w:r>
                            <w:r>
                              <w:rPr>
                                <w:rStyle w:val="SubtleEmphasis"/>
                                <w:color w:val="0070C0"/>
                              </w:rPr>
                              <w:t xml:space="preserve">Only in Part </w:t>
                            </w:r>
                            <w:r w:rsidRPr="001E61DA">
                              <w:rPr>
                                <w:rStyle w:val="SubtleEmphasis"/>
                                <w:color w:val="0070C0"/>
                              </w:rPr>
                              <w:t>Due to Good Cause Exception</w:t>
                            </w:r>
                          </w:p>
                          <w:p w14:paraId="0A0C42D3" w14:textId="77777777" w:rsidR="00553141" w:rsidRPr="00662930" w:rsidRDefault="00553141" w:rsidP="00553141">
                            <w:pPr>
                              <w:pStyle w:val="ListParagraph"/>
                            </w:pPr>
                            <w:r w:rsidRPr="00662930">
                              <w:t>Client access to care would be jeopardized by a payment suspension in whole or part because of either of the following: (please indicate)</w:t>
                            </w:r>
                          </w:p>
                          <w:p w14:paraId="136C5EF0" w14:textId="77777777" w:rsidR="00553141" w:rsidRPr="00662930" w:rsidRDefault="00553141" w:rsidP="00553141">
                            <w:pPr>
                              <w:pStyle w:val="ListParagraph2"/>
                            </w:pPr>
                            <w:r w:rsidRPr="00662930">
                              <w:t>(i) The individual or entity is the sole source of essential specialized services in a community.</w:t>
                            </w:r>
                          </w:p>
                          <w:p w14:paraId="3F82DF33" w14:textId="77777777" w:rsidR="00553141" w:rsidRPr="00662930" w:rsidRDefault="00553141" w:rsidP="00553141">
                            <w:pPr>
                              <w:pStyle w:val="ListParagraph2"/>
                            </w:pPr>
                            <w:r w:rsidRPr="00662930">
                              <w:t>(ii) The individual or entity serves a large number of clients within a federally designated medically underserved area.</w:t>
                            </w:r>
                          </w:p>
                          <w:p w14:paraId="1AB98258" w14:textId="77777777" w:rsidR="00553141" w:rsidRPr="00553141" w:rsidRDefault="00553141" w:rsidP="00553141">
                            <w:pPr>
                              <w:pStyle w:val="ListParagraph"/>
                            </w:pPr>
                            <w:r w:rsidRPr="00553141">
                              <w:t>The reporting agency determines, based upon the submission of written evidence by the individual or entity that is the subject of a whole payment suspension, that the previously imposed payment suspension should be imposed only in part.</w:t>
                            </w:r>
                          </w:p>
                          <w:p w14:paraId="59CA2323" w14:textId="77777777" w:rsidR="00553141" w:rsidRPr="00553141" w:rsidRDefault="00553141" w:rsidP="00553141">
                            <w:pPr>
                              <w:pStyle w:val="ListParagraph"/>
                            </w:pPr>
                            <w:r w:rsidRPr="00553141">
                              <w:t>The credible allegation focuses solely and definitively on only a specific type of business area of a provider, and the reporting agency determines and documents in writing that a payment suspension in part would effectively ensure that potentially fraudulent claims were not continuing to be paid.</w:t>
                            </w:r>
                          </w:p>
                          <w:p w14:paraId="3AB2E642" w14:textId="77777777" w:rsidR="00553141" w:rsidRPr="00553141" w:rsidRDefault="00553141" w:rsidP="00553141">
                            <w:pPr>
                              <w:pStyle w:val="ListParagraph"/>
                            </w:pPr>
                            <w:r w:rsidRPr="00553141">
                              <w:t xml:space="preserve">MFCU (or other law enforcement agency) declines to certify that this matter continues to be under investigation. </w:t>
                            </w:r>
                          </w:p>
                          <w:p w14:paraId="7C384512" w14:textId="77777777" w:rsidR="00553141" w:rsidRPr="00553141" w:rsidRDefault="00553141" w:rsidP="00553141">
                            <w:pPr>
                              <w:pStyle w:val="ListParagraph"/>
                            </w:pPr>
                            <w:r w:rsidRPr="00553141">
                              <w:t>The reporting agency determines that payment suspension only in part is in the best interests of the Medicaid program.</w:t>
                            </w:r>
                          </w:p>
                          <w:p w14:paraId="15BEAE3D" w14:textId="77777777" w:rsidR="00553141" w:rsidRPr="001E61DA" w:rsidRDefault="00553141" w:rsidP="00553141">
                            <w:pPr>
                              <w:pStyle w:val="TableTitle"/>
                              <w:jc w:val="center"/>
                              <w:rPr>
                                <w:rStyle w:val="SubtleEmphasis"/>
                                <w:color w:val="0070C0"/>
                              </w:rPr>
                            </w:pPr>
                          </w:p>
                        </w:txbxContent>
                      </wps:txbx>
                      <wps:bodyPr rot="0" vert="horz" wrap="square" lIns="91440" tIns="45720" rIns="91440" bIns="45720" anchor="t" anchorCtr="0">
                        <a:noAutofit/>
                      </wps:bodyPr>
                    </wps:wsp>
                  </a:graphicData>
                </a:graphic>
              </wp:inline>
            </w:drawing>
          </mc:Choice>
          <mc:Fallback>
            <w:pict>
              <v:shape w14:anchorId="787A7A69" id="_x0000_s1027" type="#_x0000_t202" style="width:462.65pt;height:2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">
                <v:textbox>
                  <w:txbxContent>
                    <w:p w14:paraId="50A5F747" w14:textId="77777777" w:rsidR="00553141" w:rsidRDefault="00553141" w:rsidP="00553141">
                      <w:pPr>
                        <w:pStyle w:val="TableTitle"/>
                        <w:jc w:val="center"/>
                        <w:rPr>
                          <w:rStyle w:val="SubtleEmphasis"/>
                          <w:color w:val="0070C0"/>
                        </w:rPr>
                      </w:pPr>
                      <w:r w:rsidRPr="001E61DA">
                        <w:rPr>
                          <w:rStyle w:val="SubtleEmphasis"/>
                          <w:color w:val="0070C0"/>
                        </w:rPr>
                        <w:t xml:space="preserve">Payment Suspended </w:t>
                      </w:r>
                      <w:r>
                        <w:rPr>
                          <w:rStyle w:val="SubtleEmphasis"/>
                          <w:color w:val="0070C0"/>
                        </w:rPr>
                        <w:t xml:space="preserve">Only in Part </w:t>
                      </w:r>
                      <w:r w:rsidRPr="001E61DA">
                        <w:rPr>
                          <w:rStyle w:val="SubtleEmphasis"/>
                          <w:color w:val="0070C0"/>
                        </w:rPr>
                        <w:t>Due to Good Cause Exception</w:t>
                      </w:r>
                    </w:p>
                    <w:p w14:paraId="0A0C42D3" w14:textId="77777777" w:rsidR="00553141" w:rsidRPr="00662930" w:rsidRDefault="00553141" w:rsidP="00553141">
                      <w:pPr>
                        <w:pStyle w:val="ListParagraph"/>
                      </w:pPr>
                      <w:r w:rsidRPr="00662930">
                        <w:t>Client access to care would be jeopardized by a payment suspension in whole or part because of either of the following: (please indicate)</w:t>
                      </w:r>
                    </w:p>
                    <w:p w14:paraId="136C5EF0" w14:textId="77777777" w:rsidR="00553141" w:rsidRPr="00662930" w:rsidRDefault="00553141" w:rsidP="00553141">
                      <w:pPr>
                        <w:pStyle w:val="ListParagraph2"/>
                      </w:pPr>
                      <w:r w:rsidRPr="00662930">
                        <w:t>(i) The individual or entity is the sole source of essential specialized services in a community.</w:t>
                      </w:r>
                    </w:p>
                    <w:p w14:paraId="3F82DF33" w14:textId="77777777" w:rsidR="00553141" w:rsidRPr="00662930" w:rsidRDefault="00553141" w:rsidP="00553141">
                      <w:pPr>
                        <w:pStyle w:val="ListParagraph2"/>
                      </w:pPr>
                      <w:r w:rsidRPr="00662930">
                        <w:t>(ii) The individual or entity serves a large number of clients within a federally designated medically underserved area.</w:t>
                      </w:r>
                    </w:p>
                    <w:p w14:paraId="1AB98258" w14:textId="77777777" w:rsidR="00553141" w:rsidRPr="00553141" w:rsidRDefault="00553141" w:rsidP="00553141">
                      <w:pPr>
                        <w:pStyle w:val="ListParagraph"/>
                      </w:pPr>
                      <w:r w:rsidRPr="00553141">
                        <w:t>The reporting agency determines, based upon the submission of written evidence by the individual or entity that is the subject of a whole payment suspension, that the previously imposed payment suspension should be imposed only in part.</w:t>
                      </w:r>
                    </w:p>
                    <w:p w14:paraId="59CA2323" w14:textId="77777777" w:rsidR="00553141" w:rsidRPr="00553141" w:rsidRDefault="00553141" w:rsidP="00553141">
                      <w:pPr>
                        <w:pStyle w:val="ListParagraph"/>
                      </w:pPr>
                      <w:r w:rsidRPr="00553141">
                        <w:t>The credible allegation focuses solely and definitively on only a specific type of business area of a provider, and the reporting agency determines and documents in writing that a payment suspension in part would effectively ensure that potentially fraudulent claims were not continuing to be paid.</w:t>
                      </w:r>
                    </w:p>
                    <w:p w14:paraId="3AB2E642" w14:textId="77777777" w:rsidR="00553141" w:rsidRPr="00553141" w:rsidRDefault="00553141" w:rsidP="00553141">
                      <w:pPr>
                        <w:pStyle w:val="ListParagraph"/>
                      </w:pPr>
                      <w:r w:rsidRPr="00553141">
                        <w:t xml:space="preserve">MFCU (or other law enforcement agency) declines to certify that this matter continues to be under investigation. </w:t>
                      </w:r>
                    </w:p>
                    <w:p w14:paraId="7C384512" w14:textId="77777777" w:rsidR="00553141" w:rsidRPr="00553141" w:rsidRDefault="00553141" w:rsidP="00553141">
                      <w:pPr>
                        <w:pStyle w:val="ListParagraph"/>
                      </w:pPr>
                      <w:r w:rsidRPr="00553141">
                        <w:t>The reporting agency determines that payment suspension only in part is in the best interests of the Medicaid program.</w:t>
                      </w:r>
                    </w:p>
                    <w:p w14:paraId="15BEAE3D" w14:textId="77777777" w:rsidR="00553141" w:rsidRPr="001E61DA" w:rsidRDefault="00553141" w:rsidP="00553141">
                      <w:pPr>
                        <w:pStyle w:val="TableTitle"/>
                        <w:jc w:val="center"/>
                        <w:rPr>
                          <w:rStyle w:val="SubtleEmphasis"/>
                          <w:color w:val="0070C0"/>
                        </w:rPr>
                      </w:pPr>
                    </w:p>
                  </w:txbxContent>
                </v:textbox>
                <w10:anchorlock/>
              </v:shape>
            </w:pict>
          </mc:Fallback>
        </mc:AlternateContent>
      </w:r>
    </w:p>
    <w:p w14:paraId="4D7B6439" w14:textId="77777777" w:rsidR="00553141" w:rsidRDefault="00553141" w:rsidP="00553141"/>
    <w:p w14:paraId="11C0CB5B" w14:textId="77777777" w:rsidR="00553141" w:rsidRDefault="00553141" w:rsidP="00553141">
      <w:r w:rsidRPr="00743760">
        <w:t>If none of the exceptions apply, the</w:t>
      </w:r>
      <w:r>
        <w:t xml:space="preserve"> payment authorization must be terminated when a provider fraud referral is submitted to MFCU. Notice to the provider regarding the termination of the</w:t>
      </w:r>
      <w:r w:rsidRPr="00743760">
        <w:t xml:space="preserve"> payment authorization must be </w:t>
      </w:r>
      <w:r>
        <w:t xml:space="preserve">sent </w:t>
      </w:r>
      <w:r w:rsidRPr="00743760">
        <w:t xml:space="preserve">within five (5) </w:t>
      </w:r>
      <w:r w:rsidR="00A438AE">
        <w:t>of the termination date on the</w:t>
      </w:r>
      <w:r>
        <w:t xml:space="preserve"> authorization, in accordance with the federal requirement at 42 CFR 455.23(b)</w:t>
      </w:r>
      <w:r w:rsidRPr="00743760">
        <w:t>.</w:t>
      </w:r>
      <w:r w:rsidRPr="00DE46F9">
        <w:t xml:space="preserve"> </w:t>
      </w:r>
    </w:p>
    <w:p w14:paraId="2C462412" w14:textId="77777777" w:rsidR="00553141" w:rsidRPr="00743760" w:rsidRDefault="00553141" w:rsidP="00553141">
      <w:pPr>
        <w:pStyle w:val="NormalWeb"/>
        <w:spacing w:before="120" w:beforeAutospacing="0" w:after="120" w:afterAutospacing="0" w:line="252" w:lineRule="auto"/>
        <w:rPr>
          <w:rFonts w:ascii="Arial" w:hAnsi="Arial" w:cs="Arial"/>
          <w:bCs/>
        </w:rPr>
      </w:pPr>
    </w:p>
    <w:p w14:paraId="19E2A15B" w14:textId="77777777" w:rsidR="00553141" w:rsidRDefault="00553141">
      <w:r>
        <w:br w:type="page"/>
      </w:r>
    </w:p>
    <w:p w14:paraId="2654D93B" w14:textId="77777777" w:rsidR="006B49A1" w:rsidRDefault="003D44EC" w:rsidP="006B49A1">
      <w:pPr>
        <w:pStyle w:val="Heading2"/>
      </w:pPr>
      <w:bookmarkStart w:id="14" w:name="_Toc24111190"/>
      <w:r>
        <w:lastRenderedPageBreak/>
        <w:t>Provider F</w:t>
      </w:r>
      <w:r w:rsidR="006B49A1">
        <w:t xml:space="preserve">raud </w:t>
      </w:r>
      <w:r>
        <w:t>R</w:t>
      </w:r>
      <w:r w:rsidR="006B49A1">
        <w:t xml:space="preserve">eferral </w:t>
      </w:r>
      <w:r>
        <w:t>P</w:t>
      </w:r>
      <w:r w:rsidR="006B49A1">
        <w:t xml:space="preserve">olicy and </w:t>
      </w:r>
      <w:r>
        <w:t>P</w:t>
      </w:r>
      <w:r w:rsidR="006B49A1">
        <w:t>rocess</w:t>
      </w:r>
      <w:bookmarkEnd w:id="14"/>
    </w:p>
    <w:p w14:paraId="201E769D" w14:textId="77777777" w:rsidR="0008607E" w:rsidRDefault="0008607E" w:rsidP="0008607E">
      <w:pPr>
        <w:pStyle w:val="Heading3"/>
      </w:pPr>
      <w:bookmarkStart w:id="15" w:name="_Toc24111191"/>
      <w:r>
        <w:t xml:space="preserve">Considerations </w:t>
      </w:r>
      <w:r w:rsidR="00553141">
        <w:t>b</w:t>
      </w:r>
      <w:r>
        <w:t>efore a Referral is Made</w:t>
      </w:r>
      <w:bookmarkEnd w:id="15"/>
    </w:p>
    <w:p w14:paraId="4BB93821" w14:textId="77777777" w:rsidR="0008607E" w:rsidRDefault="0008607E" w:rsidP="003D44EC">
      <w:r w:rsidRPr="00743760">
        <w:t>A referral should contain sufficient information to support the Department’s belief that an illegal act by a M</w:t>
      </w:r>
      <w:r>
        <w:t xml:space="preserve">edicaid provider has occurred. </w:t>
      </w:r>
      <w:r w:rsidRPr="00743760">
        <w:t xml:space="preserve">There is </w:t>
      </w:r>
      <w:r w:rsidRPr="00743760">
        <w:rPr>
          <w:b/>
        </w:rPr>
        <w:t>no</w:t>
      </w:r>
      <w:r w:rsidRPr="00743760">
        <w:t xml:space="preserve"> “minimum dollar threshold” which must be met </w:t>
      </w:r>
      <w:proofErr w:type="gramStart"/>
      <w:r w:rsidRPr="00743760">
        <w:t>in order to</w:t>
      </w:r>
      <w:proofErr w:type="gramEnd"/>
      <w:r w:rsidRPr="00743760">
        <w:t xml:space="preserve"> make a </w:t>
      </w:r>
      <w:r>
        <w:t xml:space="preserve">provider fraud </w:t>
      </w:r>
      <w:r w:rsidRPr="00743760">
        <w:t xml:space="preserve">referral. If staff suspect a situation is Medicaid fraud, a referral should be made using the guidance presented in this chapter. Intake staff at the MFCU will review and evaluate cases referred by DSHS and </w:t>
      </w:r>
      <w:proofErr w:type="gramStart"/>
      <w:r w:rsidRPr="00743760">
        <w:t>make a determination</w:t>
      </w:r>
      <w:proofErr w:type="gramEnd"/>
      <w:r w:rsidRPr="00743760">
        <w:t xml:space="preserve"> to accept a case for further investigation and potential prosecution based on the information presented and their agency’s criteria. Field staff should not “screen out” or decide not to make a referral based on an assumption that a case might not be accepted due to dollar value. </w:t>
      </w:r>
    </w:p>
    <w:p w14:paraId="1BAB34B0" w14:textId="77777777" w:rsidR="003D44EC" w:rsidRPr="00743760" w:rsidRDefault="003D44EC" w:rsidP="003D44EC"/>
    <w:p w14:paraId="12111098" w14:textId="77777777" w:rsidR="0008607E" w:rsidRPr="00743760" w:rsidRDefault="0008607E" w:rsidP="003D44EC">
      <w:r w:rsidRPr="00743760">
        <w:t>Before a provider fraud referral is submitted to HQ for</w:t>
      </w:r>
      <w:r>
        <w:t xml:space="preserve"> referral</w:t>
      </w:r>
      <w:r w:rsidRPr="00743760">
        <w:t xml:space="preserve"> to MFCU, </w:t>
      </w:r>
      <w:r>
        <w:t>the referring staff (</w:t>
      </w:r>
      <w:proofErr w:type="gramStart"/>
      <w:r>
        <w:t>i.e.</w:t>
      </w:r>
      <w:proofErr w:type="gramEnd"/>
      <w:r>
        <w:t xml:space="preserve"> case manager or contract manager) </w:t>
      </w:r>
      <w:r w:rsidRPr="00743760">
        <w:t>must staff the referral package with supervisor</w:t>
      </w:r>
      <w:r>
        <w:t>(s) and/or others per AAA or regional practice</w:t>
      </w:r>
      <w:r w:rsidRPr="00743760">
        <w:t>. This should include a review of the allegation circumstances, all relevant supporting information and documentation, and a determination regarding payment suspension, documenting good cause exception where applicable. Supervisor review should ensure all required components of the referral are met according to the referral form instructions, and to ensure appropriate professional judgment has been applied to the process.</w:t>
      </w:r>
    </w:p>
    <w:p w14:paraId="33B643BA" w14:textId="77777777" w:rsidR="0008607E" w:rsidRDefault="0008607E" w:rsidP="0008607E">
      <w:pPr>
        <w:spacing w:after="120" w:line="252" w:lineRule="auto"/>
        <w:rPr>
          <w:rFonts w:cs="Arial"/>
        </w:rPr>
      </w:pPr>
    </w:p>
    <w:p w14:paraId="72510C5C" w14:textId="77777777" w:rsidR="0008607E" w:rsidRDefault="0008607E" w:rsidP="0008607E">
      <w:pPr>
        <w:pStyle w:val="Heading3"/>
      </w:pPr>
      <w:bookmarkStart w:id="16" w:name="_Toc24111192"/>
      <w:r>
        <w:t>Submitting the Medicaid Provider Fraud Referral Package</w:t>
      </w:r>
      <w:bookmarkEnd w:id="16"/>
    </w:p>
    <w:p w14:paraId="2A5424CD" w14:textId="77777777" w:rsidR="0008607E" w:rsidRDefault="0008607E" w:rsidP="003D44EC">
      <w:r w:rsidRPr="00743760">
        <w:t xml:space="preserve">Complete the </w:t>
      </w:r>
      <w:r>
        <w:t xml:space="preserve">Medicaid </w:t>
      </w:r>
      <w:r w:rsidRPr="00743760">
        <w:t>Provider Fraud Referral form (</w:t>
      </w:r>
      <w:hyperlink r:id="rId9" w:history="1">
        <w:r w:rsidRPr="00743760">
          <w:rPr>
            <w:rStyle w:val="Hyperlink"/>
            <w:rFonts w:cs="Arial"/>
          </w:rPr>
          <w:t>DSHS Form 12-210</w:t>
        </w:r>
      </w:hyperlink>
      <w:r w:rsidRPr="00743760">
        <w:t xml:space="preserve">) according to the form instructions, gather all appropriate documentation (see Preliminary </w:t>
      </w:r>
      <w:r>
        <w:t>Action Steps</w:t>
      </w:r>
      <w:r w:rsidRPr="00743760">
        <w:t xml:space="preserve"> section), and submit this package to the email </w:t>
      </w:r>
      <w:r>
        <w:t>addresses listed in the table below. HQ program staff monitors the email inbox</w:t>
      </w:r>
      <w:r w:rsidRPr="00383032">
        <w:t xml:space="preserve"> </w:t>
      </w:r>
      <w:proofErr w:type="gramStart"/>
      <w:r>
        <w:t>on a daily basis</w:t>
      </w:r>
      <w:proofErr w:type="gramEnd"/>
      <w:r>
        <w:t>.</w:t>
      </w:r>
      <w:r w:rsidRPr="00743760">
        <w:rPr>
          <w:b/>
        </w:rPr>
        <w:t xml:space="preserve"> </w:t>
      </w:r>
      <w:r>
        <w:rPr>
          <w:b/>
        </w:rPr>
        <w:t>Reporting agency f</w:t>
      </w:r>
      <w:r w:rsidRPr="00743760">
        <w:rPr>
          <w:b/>
        </w:rPr>
        <w:t>ield staff should not make any provider fraud referrals directly to MFCU</w:t>
      </w:r>
      <w:r w:rsidRPr="00743760">
        <w:t>, either via email, phone, or through the online complaint form.</w:t>
      </w:r>
      <w:r>
        <w:t xml:space="preserve"> MFCU Intake Unit staff are available for consultation upon </w:t>
      </w:r>
      <w:proofErr w:type="gramStart"/>
      <w:r>
        <w:t>request, if</w:t>
      </w:r>
      <w:proofErr w:type="gramEnd"/>
      <w:r>
        <w:t xml:space="preserve"> field staff would like to consult regarding a case before considering it for referral.</w:t>
      </w:r>
    </w:p>
    <w:p w14:paraId="79149E37" w14:textId="77777777" w:rsidR="003D44EC" w:rsidRDefault="003D44EC" w:rsidP="003D44E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50"/>
      </w:tblGrid>
      <w:tr w:rsidR="0008607E" w:rsidRPr="0008607E" w14:paraId="4546E501" w14:textId="77777777" w:rsidTr="00E95CA6">
        <w:trPr>
          <w:trHeight w:val="619"/>
        </w:trPr>
        <w:tc>
          <w:tcPr>
            <w:tcW w:w="4068" w:type="dxa"/>
            <w:shd w:val="clear" w:color="auto" w:fill="B8CCE4"/>
          </w:tcPr>
          <w:p w14:paraId="2706AAB4" w14:textId="77777777" w:rsidR="0008607E" w:rsidRPr="00E95CA6" w:rsidRDefault="0008607E" w:rsidP="00E95CA6">
            <w:pPr>
              <w:jc w:val="center"/>
            </w:pPr>
            <w:r w:rsidRPr="00E95CA6">
              <w:t xml:space="preserve">For ALTSA Home &amp; Community </w:t>
            </w:r>
            <w:r w:rsidR="00670C51">
              <w:br/>
            </w:r>
            <w:r w:rsidRPr="00E95CA6">
              <w:t>Services (HCS) Division Referrals</w:t>
            </w:r>
          </w:p>
        </w:tc>
        <w:tc>
          <w:tcPr>
            <w:tcW w:w="4050" w:type="dxa"/>
            <w:shd w:val="clear" w:color="auto" w:fill="B8CCE4"/>
          </w:tcPr>
          <w:p w14:paraId="45CF85A5" w14:textId="77777777" w:rsidR="0008607E" w:rsidRPr="00E95CA6" w:rsidRDefault="0008607E" w:rsidP="00E95CA6">
            <w:pPr>
              <w:jc w:val="center"/>
            </w:pPr>
            <w:r w:rsidRPr="00E95CA6">
              <w:t>For Development Disabilities Administration (DDA) Referrals</w:t>
            </w:r>
          </w:p>
        </w:tc>
      </w:tr>
      <w:tr w:rsidR="00E95CA6" w:rsidRPr="0008607E" w14:paraId="31264AC1" w14:textId="77777777" w:rsidTr="00E95CA6">
        <w:trPr>
          <w:trHeight w:val="691"/>
        </w:trPr>
        <w:tc>
          <w:tcPr>
            <w:tcW w:w="4068" w:type="dxa"/>
            <w:shd w:val="clear" w:color="auto" w:fill="auto"/>
          </w:tcPr>
          <w:p w14:paraId="4BCC3DF1" w14:textId="77777777" w:rsidR="00E95CA6" w:rsidRPr="0008607E" w:rsidRDefault="00E95CA6" w:rsidP="00E95CA6">
            <w:r w:rsidRPr="0008607E">
              <w:t>Send referrals to this email address:</w:t>
            </w:r>
          </w:p>
          <w:p w14:paraId="75711393" w14:textId="77777777" w:rsidR="00E95CA6" w:rsidRPr="0008607E" w:rsidRDefault="00A804AE" w:rsidP="0008607E">
            <w:pPr>
              <w:spacing w:before="60" w:after="60" w:line="252" w:lineRule="auto"/>
            </w:pPr>
            <w:hyperlink r:id="rId10" w:history="1">
              <w:r w:rsidR="00E95CA6" w:rsidRPr="00E95CA6">
                <w:rPr>
                  <w:rStyle w:val="Hyperlink"/>
                </w:rPr>
                <w:t>ProviderFraudHCS@dshs.wa.gov</w:t>
              </w:r>
            </w:hyperlink>
          </w:p>
        </w:tc>
        <w:tc>
          <w:tcPr>
            <w:tcW w:w="4050" w:type="dxa"/>
            <w:shd w:val="clear" w:color="auto" w:fill="auto"/>
          </w:tcPr>
          <w:p w14:paraId="0E08E41E" w14:textId="77777777" w:rsidR="00E95CA6" w:rsidRPr="0008607E" w:rsidRDefault="00E95CA6" w:rsidP="00E95CA6">
            <w:r w:rsidRPr="0008607E">
              <w:t>Send referrals to this email address:</w:t>
            </w:r>
          </w:p>
          <w:p w14:paraId="0624142A" w14:textId="77777777" w:rsidR="00E95CA6" w:rsidRPr="0008607E" w:rsidRDefault="00A804AE" w:rsidP="0008607E">
            <w:pPr>
              <w:spacing w:before="60" w:after="60" w:line="252" w:lineRule="auto"/>
            </w:pPr>
            <w:hyperlink r:id="rId11" w:history="1">
              <w:r w:rsidR="00E95CA6" w:rsidRPr="00E95CA6">
                <w:rPr>
                  <w:rStyle w:val="Hyperlink"/>
                </w:rPr>
                <w:t>ProviderFraudDDA@dshs.wa.gov</w:t>
              </w:r>
            </w:hyperlink>
            <w:r w:rsidR="00E95CA6" w:rsidRPr="00E95CA6">
              <w:rPr>
                <w:rStyle w:val="Hyperlink"/>
              </w:rPr>
              <w:t xml:space="preserve"> </w:t>
            </w:r>
          </w:p>
        </w:tc>
      </w:tr>
    </w:tbl>
    <w:p w14:paraId="250E8A22" w14:textId="77777777" w:rsidR="00742AE0" w:rsidRDefault="00742AE0" w:rsidP="00742AE0"/>
    <w:p w14:paraId="39D600C9" w14:textId="77777777" w:rsidR="000876D9" w:rsidRDefault="0008607E" w:rsidP="000876D9">
      <w:r w:rsidRPr="00743760">
        <w:t>HCS and DDA H</w:t>
      </w:r>
      <w:r>
        <w:t xml:space="preserve">Q </w:t>
      </w:r>
      <w:r w:rsidRPr="00743760">
        <w:t xml:space="preserve">program staff monitor the email Inbox regularly to receive referrals. These are reviewed for completeness and compliance with federal regulations, and then </w:t>
      </w:r>
      <w:proofErr w:type="gramStart"/>
      <w:r w:rsidRPr="00743760">
        <w:t>entered into</w:t>
      </w:r>
      <w:proofErr w:type="gramEnd"/>
      <w:r w:rsidRPr="00743760">
        <w:t xml:space="preserve"> a tracking system.  Provider fraud referrals are reported to this centralized location for tracking purposes related to quality assurance and annual reporting. This process facilitates collaboration with Health Care Authority’s </w:t>
      </w:r>
      <w:r w:rsidR="00B33D70">
        <w:t>Division</w:t>
      </w:r>
      <w:r w:rsidRPr="00743760">
        <w:t xml:space="preserve"> of Program Integrity (</w:t>
      </w:r>
      <w:r w:rsidR="00B33D70">
        <w:t>D</w:t>
      </w:r>
      <w:r w:rsidRPr="00743760">
        <w:t>PI</w:t>
      </w:r>
      <w:proofErr w:type="gramStart"/>
      <w:r w:rsidRPr="00743760">
        <w:t>), and</w:t>
      </w:r>
      <w:proofErr w:type="gramEnd"/>
      <w:r w:rsidRPr="00743760">
        <w:t xml:space="preserve"> ensures a standardized reporting process is followed</w:t>
      </w:r>
      <w:r w:rsidR="000876D9">
        <w:t xml:space="preserve"> </w:t>
      </w:r>
      <w:r w:rsidR="000876D9" w:rsidRPr="00743760">
        <w:t>in order to meet mutual reporting requirements to federal authorizing entities.</w:t>
      </w:r>
    </w:p>
    <w:p w14:paraId="61E8EEF7" w14:textId="77777777" w:rsidR="0008607E" w:rsidRPr="00743760" w:rsidRDefault="0008607E" w:rsidP="00742AE0">
      <w:r w:rsidRPr="00743760">
        <w:t xml:space="preserve"> </w:t>
      </w:r>
    </w:p>
    <w:p w14:paraId="402472AA" w14:textId="77777777" w:rsidR="00742AE0" w:rsidRDefault="00742AE0" w:rsidP="00742AE0"/>
    <w:p w14:paraId="514FC40A" w14:textId="77777777" w:rsidR="00742AE0" w:rsidRDefault="0008607E" w:rsidP="00742AE0">
      <w:r w:rsidRPr="00743760">
        <w:lastRenderedPageBreak/>
        <w:t>HCS and DDA H</w:t>
      </w:r>
      <w:r>
        <w:t xml:space="preserve">Q </w:t>
      </w:r>
      <w:r w:rsidRPr="00743760">
        <w:t xml:space="preserve">program staff will forward the completed referral package along with any supporting documentation to the appropriate investigating entity, MFCU and/or </w:t>
      </w:r>
      <w:r>
        <w:t xml:space="preserve">the DSHS </w:t>
      </w:r>
      <w:r w:rsidRPr="00743760">
        <w:t xml:space="preserve">Office of Fraud and Accountability </w:t>
      </w:r>
      <w:r>
        <w:t>(</w:t>
      </w:r>
      <w:r w:rsidRPr="00743760">
        <w:t>OFA</w:t>
      </w:r>
      <w:r>
        <w:t>)</w:t>
      </w:r>
      <w:r w:rsidRPr="00743760">
        <w:t xml:space="preserve">, as appropriate. </w:t>
      </w:r>
      <w:r>
        <w:t>HQ p</w:t>
      </w:r>
      <w:r w:rsidRPr="00743760">
        <w:t xml:space="preserve">rogram staff will monitor, track, and report on the follow-up provided by the fraud investigators, as well as communicate with case managers and field staff as needed </w:t>
      </w:r>
      <w:r>
        <w:t>on a case-by-case basis</w:t>
      </w:r>
      <w:r w:rsidRPr="00743760">
        <w:t>.</w:t>
      </w:r>
      <w:r>
        <w:t xml:space="preserve"> </w:t>
      </w:r>
    </w:p>
    <w:p w14:paraId="7C209D21" w14:textId="77777777" w:rsidR="00684906" w:rsidRDefault="00684906" w:rsidP="00742AE0"/>
    <w:p w14:paraId="0A38F19A" w14:textId="77777777" w:rsidR="0008607E" w:rsidRDefault="0008607E" w:rsidP="0008607E">
      <w:pPr>
        <w:pStyle w:val="Heading3"/>
      </w:pPr>
      <w:bookmarkStart w:id="17" w:name="_Toc24111193"/>
      <w:r>
        <w:t>Notices to Client and Provider</w:t>
      </w:r>
      <w:bookmarkEnd w:id="17"/>
    </w:p>
    <w:p w14:paraId="4599691A" w14:textId="144134EF" w:rsidR="0008607E" w:rsidRDefault="0008607E" w:rsidP="00742AE0">
      <w:r w:rsidRPr="00743760">
        <w:t xml:space="preserve">Send the </w:t>
      </w:r>
      <w:r w:rsidR="002B1BE6">
        <w:t xml:space="preserve">appropriate notice </w:t>
      </w:r>
      <w:r w:rsidRPr="00743760">
        <w:t>to the Client</w:t>
      </w:r>
      <w:r>
        <w:t xml:space="preserve"> </w:t>
      </w:r>
      <w:r w:rsidR="002B1BE6">
        <w:t xml:space="preserve">and </w:t>
      </w:r>
      <w:r>
        <w:t>provider according to current practice and policy</w:t>
      </w:r>
      <w:r w:rsidR="002B1BE6">
        <w:t>. I</w:t>
      </w:r>
      <w:r w:rsidRPr="00743760">
        <w:t xml:space="preserve">nclude </w:t>
      </w:r>
      <w:r w:rsidRPr="00911BF8">
        <w:t xml:space="preserve">WAC and CFR citations from the </w:t>
      </w:r>
      <w:r w:rsidR="00C7672C">
        <w:t>Resources</w:t>
      </w:r>
      <w:r w:rsidRPr="00911BF8">
        <w:t xml:space="preserve"> section at the </w:t>
      </w:r>
      <w:r w:rsidR="00C7672C">
        <w:t>end</w:t>
      </w:r>
      <w:r w:rsidRPr="00911BF8">
        <w:t xml:space="preserve"> of this chapter, as applicable, as well as any other applicable WACs which support the action being taken.</w:t>
      </w:r>
    </w:p>
    <w:p w14:paraId="0ED6D23A" w14:textId="77777777" w:rsidR="002B1BE6" w:rsidRDefault="002B1BE6" w:rsidP="002B1BE6">
      <w:pPr>
        <w:pStyle w:val="ListParagraph"/>
        <w:numPr>
          <w:ilvl w:val="0"/>
          <w:numId w:val="33"/>
        </w:numPr>
      </w:pPr>
      <w:r>
        <w:t xml:space="preserve">If the provider is an IP, the Consumer Directed Employer will provide notice to their employee.  </w:t>
      </w:r>
    </w:p>
    <w:p w14:paraId="2961E137" w14:textId="77777777" w:rsidR="00742AE0" w:rsidRDefault="00742AE0" w:rsidP="00742AE0"/>
    <w:p w14:paraId="2B09BB7F" w14:textId="0E47FA1F" w:rsidR="00A438AE" w:rsidRDefault="0008607E" w:rsidP="00A438AE">
      <w:r w:rsidRPr="002072A6">
        <w:t>Payment authorization to provider s</w:t>
      </w:r>
      <w:r>
        <w:t>hould be</w:t>
      </w:r>
      <w:r w:rsidRPr="002072A6">
        <w:t xml:space="preserve"> </w:t>
      </w:r>
      <w:r w:rsidR="002B1BE6">
        <w:t xml:space="preserve">end dated </w:t>
      </w:r>
      <w:r>
        <w:t>according to the Payment Suspension section</w:t>
      </w:r>
      <w:r w:rsidRPr="002072A6">
        <w:t xml:space="preserve">, unless a Good Cause Exception applies. </w:t>
      </w:r>
      <w:r w:rsidR="00A438AE">
        <w:t xml:space="preserve">When a fraud referral is made, terminate payment to the </w:t>
      </w:r>
      <w:r w:rsidR="002B1BE6">
        <w:t>provider</w:t>
      </w:r>
      <w:r w:rsidR="00A438AE">
        <w:t xml:space="preserve"> immediately and according to the Payment Suspension section, unless a Good Cause Exception applies</w:t>
      </w:r>
      <w:r w:rsidR="002B1BE6">
        <w:t xml:space="preserve">, or client selects another CDE IP. </w:t>
      </w:r>
      <w:r w:rsidR="00A438AE">
        <w:t xml:space="preserve">Contact the </w:t>
      </w:r>
      <w:r w:rsidR="0081632F">
        <w:t xml:space="preserve">provider </w:t>
      </w:r>
      <w:r w:rsidR="00A438AE">
        <w:t xml:space="preserve">about the termination and send written notice within five (5) days of the termination date on the authorization. Contact the client for care planning purposes and send a PAN. </w:t>
      </w:r>
    </w:p>
    <w:p w14:paraId="071D66C7" w14:textId="77777777" w:rsidR="0081632F" w:rsidRPr="00F700AF" w:rsidRDefault="0081632F" w:rsidP="0081632F">
      <w:pPr>
        <w:pStyle w:val="ListParagraph"/>
        <w:numPr>
          <w:ilvl w:val="0"/>
          <w:numId w:val="33"/>
        </w:numPr>
        <w:rPr>
          <w:color w:val="FF0000"/>
        </w:rPr>
      </w:pPr>
      <w:r>
        <w:t>If the provider is an IP, the Consumer Directed Employer will provide notice to their employee</w:t>
      </w:r>
    </w:p>
    <w:p w14:paraId="2C61E0B7" w14:textId="77777777" w:rsidR="00492585" w:rsidRDefault="00492585" w:rsidP="0015545A"/>
    <w:p w14:paraId="41F68F2B" w14:textId="77777777" w:rsidR="0008607E" w:rsidRDefault="0008607E" w:rsidP="0008607E">
      <w:pPr>
        <w:pStyle w:val="Heading3"/>
      </w:pPr>
      <w:bookmarkStart w:id="18" w:name="_Toc24111194"/>
      <w:r>
        <w:t>Documentation of Referral</w:t>
      </w:r>
      <w:bookmarkEnd w:id="18"/>
    </w:p>
    <w:p w14:paraId="2ADF316D" w14:textId="77777777" w:rsidR="0008607E" w:rsidRDefault="0008607E" w:rsidP="00742AE0">
      <w:r>
        <w:t>The r</w:t>
      </w:r>
      <w:r w:rsidRPr="00D14524">
        <w:t xml:space="preserve">eferring field staff must ensure the provider fraud referral is documented, including the </w:t>
      </w:r>
      <w:r>
        <w:t xml:space="preserve">date of referral, </w:t>
      </w:r>
      <w:r w:rsidRPr="00D14524">
        <w:t xml:space="preserve">relevant facts, </w:t>
      </w:r>
      <w:proofErr w:type="gramStart"/>
      <w:r w:rsidRPr="00D14524">
        <w:t>circumstances</w:t>
      </w:r>
      <w:proofErr w:type="gramEnd"/>
      <w:r w:rsidRPr="00D14524">
        <w:t xml:space="preserve"> and any other information or supporting documentation. </w:t>
      </w:r>
    </w:p>
    <w:p w14:paraId="4F77DD0B" w14:textId="77777777" w:rsidR="00742AE0" w:rsidRDefault="00742AE0" w:rsidP="00742AE0"/>
    <w:p w14:paraId="4467BC8C" w14:textId="65111585" w:rsidR="0008607E" w:rsidRPr="00742AE0" w:rsidRDefault="0008607E" w:rsidP="00742AE0">
      <w:pPr>
        <w:pStyle w:val="ListParagraph"/>
      </w:pPr>
      <w:r w:rsidRPr="00742AE0">
        <w:t>For a provider with one or only a few clients, such as an Individual Provider</w:t>
      </w:r>
      <w:r w:rsidR="00664788">
        <w:t xml:space="preserve"> employed CDE</w:t>
      </w:r>
      <w:r w:rsidRPr="00742AE0">
        <w:t xml:space="preserve">, document the referral in the client(s)’s SER. </w:t>
      </w:r>
    </w:p>
    <w:p w14:paraId="5AB9209F" w14:textId="77777777" w:rsidR="0008607E" w:rsidRDefault="0008607E" w:rsidP="00742AE0">
      <w:pPr>
        <w:pStyle w:val="ListParagraph"/>
      </w:pPr>
      <w:r w:rsidRPr="00742AE0">
        <w:t>For a provider with several clients, such as an agency provider, a notation in the provider’s contract file must be added to document the date of referral, relevant facts, a summary of the circumstances, and any contract or monitoring action being considered. Add a Comment to the provider’s Contractor Profile in ACD to summarize all actions taken.</w:t>
      </w:r>
    </w:p>
    <w:p w14:paraId="0B2564D5" w14:textId="77777777" w:rsidR="00742AE0" w:rsidRPr="00742AE0" w:rsidRDefault="00742AE0" w:rsidP="00742AE0">
      <w:pPr>
        <w:pStyle w:val="ListParagraph"/>
        <w:numPr>
          <w:ilvl w:val="0"/>
          <w:numId w:val="0"/>
        </w:numPr>
        <w:ind w:left="720"/>
      </w:pPr>
    </w:p>
    <w:p w14:paraId="3499F687" w14:textId="77777777" w:rsidR="002E0814" w:rsidRDefault="002E0814" w:rsidP="002E0814">
      <w:pPr>
        <w:pStyle w:val="Heading2"/>
      </w:pPr>
      <w:bookmarkStart w:id="19" w:name="_Toc24111195"/>
      <w:r>
        <w:t>Full Investigation</w:t>
      </w:r>
      <w:bookmarkEnd w:id="19"/>
    </w:p>
    <w:p w14:paraId="119366E6" w14:textId="77777777" w:rsidR="00BE1E20" w:rsidRDefault="00BE1E20" w:rsidP="00742AE0">
      <w:r w:rsidRPr="00743760">
        <w:t>Cases that are accepted by MFCU for investigation will be assigned to a MFCU Investigator, who may contact field staff to request cooperation and records related to the provider being investigated. An investigation will continue until the appropriate legal action is initiated, or the case is closed or dropped because of insufficient evidence to support the allegations of fraud or abuse.  A matter may also be resolved between the agency and the provider through other means, such as a warning notice to the provider, assessing an overpayment, terminating the provider’s contract, or other sanctions as appropriate</w:t>
      </w:r>
      <w:r w:rsidRPr="00743760">
        <w:rPr>
          <w:rStyle w:val="FootnoteReference"/>
          <w:rFonts w:ascii="Arial" w:hAnsi="Arial" w:cs="Arial"/>
          <w:bCs/>
        </w:rPr>
        <w:footnoteReference w:id="8"/>
      </w:r>
      <w:r w:rsidR="00553141">
        <w:t>.</w:t>
      </w:r>
    </w:p>
    <w:p w14:paraId="5EDF2E77" w14:textId="77777777" w:rsidR="00742AE0" w:rsidRDefault="00742AE0" w:rsidP="00742AE0"/>
    <w:p w14:paraId="33066BD0" w14:textId="77777777" w:rsidR="00BE1E20" w:rsidRDefault="00BE1E20" w:rsidP="00742AE0">
      <w:r w:rsidRPr="00743760">
        <w:lastRenderedPageBreak/>
        <w:t>HCS</w:t>
      </w:r>
      <w:r>
        <w:t xml:space="preserve"> </w:t>
      </w:r>
      <w:r w:rsidRPr="00743760">
        <w:t>and AAA</w:t>
      </w:r>
      <w:r>
        <w:t xml:space="preserve"> field staff and case management staff</w:t>
      </w:r>
      <w:r w:rsidRPr="00743760">
        <w:t xml:space="preserve"> </w:t>
      </w:r>
      <w:r>
        <w:t xml:space="preserve">as well as </w:t>
      </w:r>
      <w:r w:rsidRPr="000F0CA8">
        <w:t xml:space="preserve">HQ program staff will cooperate </w:t>
      </w:r>
      <w:r>
        <w:t xml:space="preserve">fully </w:t>
      </w:r>
      <w:r w:rsidRPr="000F0CA8">
        <w:t>with the investigatory and prosecutorial activities of the MFCU</w:t>
      </w:r>
      <w:r>
        <w:t xml:space="preserve"> to the extent allowed by law and rule. This includes providing access to records or information kept by the reporting agency as well as making records and/or reports available upon request. An example of records which may be requested include a c</w:t>
      </w:r>
      <w:r w:rsidRPr="00743760">
        <w:t xml:space="preserve">opy </w:t>
      </w:r>
      <w:r>
        <w:t xml:space="preserve">of the </w:t>
      </w:r>
      <w:r w:rsidRPr="00743760">
        <w:t xml:space="preserve">provider contract and any documents signed by the provider at contracting indicating awareness of and willingness </w:t>
      </w:r>
      <w:r>
        <w:t>to comply with program policies.</w:t>
      </w:r>
    </w:p>
    <w:p w14:paraId="1862E993" w14:textId="77777777" w:rsidR="00742AE0" w:rsidRDefault="00742AE0" w:rsidP="00742AE0"/>
    <w:p w14:paraId="25A76C2B" w14:textId="77777777" w:rsidR="00BE1E20" w:rsidRDefault="00BE1E20" w:rsidP="00742AE0">
      <w:r>
        <w:t xml:space="preserve">Further, DSHS and its contractors will cooperate with Health Care Authority staff </w:t>
      </w:r>
      <w:proofErr w:type="gramStart"/>
      <w:r>
        <w:t>with regard to</w:t>
      </w:r>
      <w:proofErr w:type="gramEnd"/>
      <w:r>
        <w:t xml:space="preserve"> the prevention and detection of fraud, waste and abuse as outlined in the Cooperative Agreement between DSHS and HCA, and by extension through the Memorandum of Understanding between MFCU and HCA. </w:t>
      </w:r>
    </w:p>
    <w:p w14:paraId="22ED7734" w14:textId="77777777" w:rsidR="00742AE0" w:rsidRDefault="00742AE0" w:rsidP="00742AE0"/>
    <w:p w14:paraId="0B02C79B" w14:textId="77777777" w:rsidR="00221F9E" w:rsidRDefault="00756FA9" w:rsidP="00221F9E">
      <w:pPr>
        <w:pStyle w:val="Heading2"/>
      </w:pPr>
      <w:bookmarkStart w:id="20" w:name="_Toc24111196"/>
      <w:r>
        <w:t>WHEN A REFERRAL IS NOT ACCEPTED BY MFCU</w:t>
      </w:r>
      <w:bookmarkEnd w:id="20"/>
    </w:p>
    <w:p w14:paraId="04B04441" w14:textId="5B736A0E" w:rsidR="00BE1E20" w:rsidRPr="00BE1E20" w:rsidRDefault="00BE1E20" w:rsidP="00742AE0">
      <w:pPr>
        <w:rPr>
          <w:bCs/>
        </w:rPr>
      </w:pPr>
      <w:r w:rsidRPr="00BE1E20">
        <w:t>When a referral is screened out or declined by MFCU, field staff will receive notification from either HCS/DDA program staff or from MFCU staff directly. Field staff may then decide to resume payment to a provider for either the same client or a different client. For agency providers, this may mean that a previously imposed payment suspension in part would be ended. Before resuming payment or ending any payment suspension</w:t>
      </w:r>
      <w:r>
        <w:t xml:space="preserve"> consider if a Character, Competence &amp; Suitability Review is appropriate. </w:t>
      </w:r>
    </w:p>
    <w:p w14:paraId="793714E7" w14:textId="77777777" w:rsidR="00BE1E20" w:rsidRPr="00742AE0" w:rsidRDefault="00BE1E20" w:rsidP="00742AE0">
      <w:pPr>
        <w:pStyle w:val="ListParagraph"/>
      </w:pPr>
      <w:r w:rsidRPr="00742AE0">
        <w:t xml:space="preserve">For an agency provider, please reference Policy &amp; Procedure Manual for AAA Operations, Chapter 6: Interlocal Agreements, Subcontracts and Grievances for guidance related to contract monitoring </w:t>
      </w:r>
      <w:proofErr w:type="gramStart"/>
      <w:r w:rsidRPr="00742AE0">
        <w:t>activities;</w:t>
      </w:r>
      <w:proofErr w:type="gramEnd"/>
    </w:p>
    <w:p w14:paraId="5129D0F6" w14:textId="77777777" w:rsidR="000876D9" w:rsidRDefault="00BE1E20" w:rsidP="006756C0">
      <w:pPr>
        <w:pStyle w:val="ListParagraph"/>
      </w:pPr>
      <w:r w:rsidRPr="00742AE0">
        <w:t xml:space="preserve">Staff with case management supervisor to ensure awareness of prior referral </w:t>
      </w:r>
      <w:proofErr w:type="gramStart"/>
      <w:r w:rsidRPr="00742AE0">
        <w:t>activity;</w:t>
      </w:r>
      <w:proofErr w:type="gramEnd"/>
    </w:p>
    <w:p w14:paraId="4C424EB3" w14:textId="75B873A6" w:rsidR="00BE1E20" w:rsidRPr="00BE1E20" w:rsidRDefault="00BE1E20" w:rsidP="006756C0">
      <w:pPr>
        <w:pStyle w:val="ListParagraph"/>
      </w:pPr>
      <w:r w:rsidRPr="00BE1E20">
        <w:t>Document CCS results in provider’s contract folder and add a Comment to the provider’s Contractor Profile in ACD with the CCS results and any monitoring activities or report(s).</w:t>
      </w:r>
    </w:p>
    <w:p w14:paraId="770656D0" w14:textId="77777777" w:rsidR="005D74DB" w:rsidRPr="00BE1E20" w:rsidRDefault="005D74DB" w:rsidP="005D74DB">
      <w:pPr>
        <w:pStyle w:val="ListParagraph"/>
      </w:pPr>
      <w:bookmarkStart w:id="21" w:name="_Toc525727013"/>
      <w:bookmarkStart w:id="22" w:name="_Toc525727113"/>
      <w:bookmarkStart w:id="23" w:name="_Toc528758280"/>
      <w:bookmarkStart w:id="24" w:name="_Toc528759428"/>
      <w:bookmarkStart w:id="25" w:name="_Toc528760023"/>
      <w:r>
        <w:t>CDE will perform CCS as appropriate for their employees</w:t>
      </w:r>
    </w:p>
    <w:p w14:paraId="26D200FF" w14:textId="77777777" w:rsidR="009F5FB6" w:rsidRDefault="009F5FB6" w:rsidP="009F5FB6">
      <w:pPr>
        <w:pStyle w:val="Numbering2"/>
        <w:numPr>
          <w:ilvl w:val="0"/>
          <w:numId w:val="0"/>
        </w:numPr>
        <w:rPr>
          <w:rFonts w:ascii="Calibri" w:hAnsi="Calibri" w:cs="Times New Roman"/>
        </w:rPr>
      </w:pPr>
    </w:p>
    <w:p w14:paraId="617CF38D" w14:textId="77777777" w:rsidR="00756FA9" w:rsidRDefault="00756FA9" w:rsidP="00756FA9">
      <w:pPr>
        <w:pStyle w:val="Heading2"/>
      </w:pPr>
      <w:bookmarkStart w:id="26" w:name="_Toc24111197"/>
      <w:r>
        <w:t>Contract termination</w:t>
      </w:r>
      <w:bookmarkEnd w:id="26"/>
    </w:p>
    <w:p w14:paraId="11985BEA" w14:textId="77777777" w:rsidR="00756FA9" w:rsidRDefault="00756FA9" w:rsidP="00756FA9">
      <w:r w:rsidRPr="0083678A">
        <w:t>According to DSHS Central Contract and Legal Services (CCLS), termination of a contract for default means a contractor is not in compliance with the expectations or requirements of the contract. Requests for termination for default must be staffed with a supervisor, then submitted to the Contracts Unit for routing to CCLS who makes the final review and determination of default. </w:t>
      </w:r>
    </w:p>
    <w:p w14:paraId="1D0AE4DF" w14:textId="77777777" w:rsidR="00756FA9" w:rsidRDefault="00756FA9" w:rsidP="00756FA9"/>
    <w:p w14:paraId="45FAEFB7" w14:textId="7D214BE3" w:rsidR="00756FA9" w:rsidRDefault="00756FA9" w:rsidP="00756FA9">
      <w:r w:rsidRPr="0083678A">
        <w:t>The reporting agency may determine that a provider’s contract should be terminated as the result of the actions or activities that gave rise to the provider fraud referral. Please refer to information presented in other chapters of the LTC Manual regarding contract termination processes, such as Chapters 3</w:t>
      </w:r>
      <w:r w:rsidR="0004523C">
        <w:t xml:space="preserve"> and </w:t>
      </w:r>
      <w:r w:rsidRPr="0083678A">
        <w:t xml:space="preserve">5, or AAA Policy and Procedure Manual, Chapter 6. </w:t>
      </w:r>
    </w:p>
    <w:p w14:paraId="46CB1BDE" w14:textId="77777777" w:rsidR="00756FA9" w:rsidRDefault="00756FA9" w:rsidP="00756FA9"/>
    <w:p w14:paraId="78F8EC10" w14:textId="77777777" w:rsidR="00756FA9" w:rsidRDefault="00756FA9" w:rsidP="00756FA9">
      <w:r w:rsidRPr="0083678A">
        <w:t>Contract terminations resulting from a Medicaid Provider Fraud Referral are an annual reporting requirement to HCA and CMS, so this information is collected on the Medicaid Provider Fraud Referral form as well as through follow up with case management staff by HQ program staff. Reporting agency staff should respond promptly to any inquiry made by HQ program staff about planned contract action following a provider fraud referral.</w:t>
      </w:r>
    </w:p>
    <w:p w14:paraId="0085088B" w14:textId="77777777" w:rsidR="00756FA9" w:rsidRDefault="00756FA9" w:rsidP="00756FA9"/>
    <w:p w14:paraId="0AA5712D" w14:textId="77777777" w:rsidR="00756FA9" w:rsidRDefault="00756FA9" w:rsidP="00756FA9">
      <w:pPr>
        <w:pStyle w:val="Heading2"/>
      </w:pPr>
      <w:bookmarkStart w:id="27" w:name="_Toc24111198"/>
      <w:r>
        <w:lastRenderedPageBreak/>
        <w:t>Reporting client fraud</w:t>
      </w:r>
      <w:bookmarkEnd w:id="27"/>
    </w:p>
    <w:p w14:paraId="07F37311" w14:textId="77777777" w:rsidR="00756FA9" w:rsidRPr="009F5FB6" w:rsidRDefault="00756FA9" w:rsidP="00756FA9">
      <w:r w:rsidRPr="009F5FB6">
        <w:t xml:space="preserve">The Office of Fraud and Accountability (OFA), an office within DSHS, investigates Medicaid client fraud. MFCU and OFA may collaborate on investigations that may involve both a client and a provider. </w:t>
      </w:r>
    </w:p>
    <w:p w14:paraId="2191F622" w14:textId="77777777" w:rsidR="00756FA9" w:rsidRPr="009F5FB6" w:rsidRDefault="00756FA9" w:rsidP="00756FA9">
      <w:r w:rsidRPr="009F5FB6">
        <w:t xml:space="preserve">When an intake report, tip received, or investigation indicates that a client may have committed fraud involving Medicaid funds, suspected client fraud should be reported to OFA using the Fraud Early Detection (FRED) process through Barcode.  Some DSHS staff may not have access to Barcode. If this is the case, the referring worker should complete the </w:t>
      </w:r>
      <w:hyperlink r:id="rId12" w:history="1">
        <w:r w:rsidRPr="00742AE0">
          <w:rPr>
            <w:rStyle w:val="Hyperlink"/>
          </w:rPr>
          <w:t>DSHS 12-209 Client Fraud Report</w:t>
        </w:r>
      </w:hyperlink>
      <w:r w:rsidRPr="009F5FB6">
        <w:rPr>
          <w:color w:val="FF0000"/>
        </w:rPr>
        <w:t xml:space="preserve"> </w:t>
      </w:r>
      <w:r w:rsidRPr="009F5FB6">
        <w:t>form and send via email to the correct email addresses listed above.</w:t>
      </w:r>
    </w:p>
    <w:p w14:paraId="779C32DA" w14:textId="77777777" w:rsidR="00756FA9" w:rsidRDefault="00756FA9" w:rsidP="00756FA9"/>
    <w:p w14:paraId="3E57DC1B" w14:textId="77777777" w:rsidR="00756FA9" w:rsidRDefault="00756FA9" w:rsidP="00756FA9">
      <w:r w:rsidRPr="009F5FB6">
        <w:t xml:space="preserve">Please note: </w:t>
      </w:r>
      <w:proofErr w:type="gramStart"/>
      <w:r w:rsidRPr="009F5FB6">
        <w:t>In order to</w:t>
      </w:r>
      <w:proofErr w:type="gramEnd"/>
      <w:r w:rsidRPr="009F5FB6">
        <w:t xml:space="preserve"> report suspected Client fraud using this form, the client must have an </w:t>
      </w:r>
      <w:r w:rsidRPr="009F5FB6">
        <w:rPr>
          <w:u w:val="single"/>
        </w:rPr>
        <w:t>ADSA ID number</w:t>
      </w:r>
      <w:r w:rsidRPr="009F5FB6">
        <w:t xml:space="preserve"> which means the client is actively receiving services from either ALTSA or DDA. If a client doesn’t have an </w:t>
      </w:r>
      <w:r w:rsidRPr="009F5FB6">
        <w:rPr>
          <w:u w:val="single"/>
        </w:rPr>
        <w:t>ADSA ID</w:t>
      </w:r>
      <w:r w:rsidRPr="009F5FB6">
        <w:t>, the client fraud activity should be referred to the client’s financial worker, who will submit the referral through the FRED process in Barcode.</w:t>
      </w:r>
    </w:p>
    <w:p w14:paraId="4BA3C044" w14:textId="77777777" w:rsidR="00756FA9" w:rsidRPr="0083678A" w:rsidRDefault="00756FA9" w:rsidP="00756FA9">
      <w:pPr>
        <w:rPr>
          <w:rFonts w:eastAsiaTheme="majorEastAsia"/>
          <w:color w:val="005CAB"/>
        </w:rPr>
      </w:pPr>
    </w:p>
    <w:p w14:paraId="6413BCFA" w14:textId="77777777" w:rsidR="00756FA9" w:rsidRDefault="00756FA9" w:rsidP="009F5FB6">
      <w:pPr>
        <w:pStyle w:val="Numbering2"/>
        <w:numPr>
          <w:ilvl w:val="0"/>
          <w:numId w:val="0"/>
        </w:numPr>
        <w:rPr>
          <w:rFonts w:ascii="Calibri" w:hAnsi="Calibri" w:cs="Times New Roman"/>
        </w:rPr>
      </w:pPr>
    </w:p>
    <w:p w14:paraId="6445BF93" w14:textId="77777777" w:rsidR="007676F4" w:rsidRDefault="007676F4" w:rsidP="007676F4">
      <w:pPr>
        <w:pStyle w:val="Heading2"/>
      </w:pPr>
      <w:bookmarkStart w:id="28" w:name="_Toc24111199"/>
      <w:r>
        <w:t>Resources</w:t>
      </w:r>
      <w:bookmarkEnd w:id="21"/>
      <w:bookmarkEnd w:id="22"/>
      <w:bookmarkEnd w:id="23"/>
      <w:bookmarkEnd w:id="24"/>
      <w:bookmarkEnd w:id="25"/>
      <w:bookmarkEnd w:id="28"/>
    </w:p>
    <w:p w14:paraId="62D354CC" w14:textId="77777777" w:rsidR="007676F4" w:rsidRDefault="007676F4" w:rsidP="007676F4">
      <w:pPr>
        <w:pStyle w:val="Heading3"/>
      </w:pPr>
      <w:bookmarkStart w:id="29" w:name="_Toc525727014"/>
      <w:bookmarkStart w:id="30" w:name="_Toc525727114"/>
      <w:bookmarkStart w:id="31" w:name="_Toc528758281"/>
      <w:bookmarkStart w:id="32" w:name="_Toc528759429"/>
      <w:bookmarkStart w:id="33" w:name="_Toc528760024"/>
      <w:bookmarkStart w:id="34" w:name="_Toc24111200"/>
      <w:r>
        <w:t>Related WACs and RCWs</w:t>
      </w:r>
      <w:bookmarkEnd w:id="29"/>
      <w:bookmarkEnd w:id="30"/>
      <w:bookmarkEnd w:id="31"/>
      <w:bookmarkEnd w:id="32"/>
      <w:bookmarkEnd w:id="33"/>
      <w:bookmarkEnd w:id="34"/>
    </w:p>
    <w:p w14:paraId="6069139D" w14:textId="77777777" w:rsidR="007676F4" w:rsidRDefault="003C1FD0" w:rsidP="007676F4">
      <w:r w:rsidRPr="007F7F52">
        <w:rPr>
          <w:b/>
        </w:rPr>
        <w:t>WAC</w:t>
      </w:r>
      <w:r>
        <w:t xml:space="preserve"> </w:t>
      </w:r>
      <w:hyperlink r:id="rId13" w:history="1">
        <w:r w:rsidR="008E44A0" w:rsidRPr="00AC19F4">
          <w:rPr>
            <w:rStyle w:val="Hyperlink"/>
          </w:rPr>
          <w:t>388-71-0540</w:t>
        </w:r>
      </w:hyperlink>
      <w:r w:rsidR="00E23222">
        <w:t xml:space="preserve"> – </w:t>
      </w:r>
      <w:hyperlink r:id="rId14" w:history="1">
        <w:r w:rsidR="00E23222" w:rsidRPr="00836191">
          <w:rPr>
            <w:rStyle w:val="Hyperlink"/>
          </w:rPr>
          <w:t>388-</w:t>
        </w:r>
        <w:r w:rsidR="00AC19F4" w:rsidRPr="00836191">
          <w:rPr>
            <w:rStyle w:val="Hyperlink"/>
          </w:rPr>
          <w:t>71-0561</w:t>
        </w:r>
      </w:hyperlink>
      <w:r>
        <w:tab/>
      </w:r>
      <w:r w:rsidR="00836191">
        <w:t>Home and Community Services and Programs</w:t>
      </w:r>
    </w:p>
    <w:p w14:paraId="3A225164" w14:textId="77777777" w:rsidR="00E45F93" w:rsidRDefault="00E45F93" w:rsidP="007676F4"/>
    <w:p w14:paraId="51993D9F" w14:textId="77777777" w:rsidR="007F7F52" w:rsidRDefault="007676F4" w:rsidP="007676F4">
      <w:r w:rsidRPr="007F7F52">
        <w:rPr>
          <w:b/>
        </w:rPr>
        <w:t>RCW</w:t>
      </w:r>
      <w:r>
        <w:t xml:space="preserve"> </w:t>
      </w:r>
      <w:hyperlink r:id="rId15" w:history="1">
        <w:r w:rsidR="007F7F52" w:rsidRPr="007F7F52">
          <w:rPr>
            <w:rStyle w:val="Hyperlink"/>
          </w:rPr>
          <w:t>74.66</w:t>
        </w:r>
      </w:hyperlink>
      <w:r w:rsidR="007F7F52">
        <w:t xml:space="preserve"> </w:t>
      </w:r>
      <w:r>
        <w:tab/>
      </w:r>
      <w:r w:rsidR="007F7F52">
        <w:tab/>
      </w:r>
      <w:r w:rsidR="007F7F52">
        <w:tab/>
      </w:r>
      <w:r w:rsidR="007F7F52">
        <w:tab/>
        <w:t>Medicaid Fraud False Claims Act</w:t>
      </w:r>
    </w:p>
    <w:p w14:paraId="7EDDE3DC" w14:textId="77777777" w:rsidR="007676F4" w:rsidRDefault="007F7F52" w:rsidP="007676F4">
      <w:r>
        <w:t xml:space="preserve">          </w:t>
      </w:r>
      <w:hyperlink r:id="rId16" w:history="1">
        <w:r w:rsidRPr="00662930">
          <w:rPr>
            <w:rFonts w:cs="Arial"/>
            <w:bCs/>
            <w:u w:val="single"/>
          </w:rPr>
          <w:t>9A.56.030</w:t>
        </w:r>
      </w:hyperlink>
      <w:r w:rsidRPr="007F7F52">
        <w:rPr>
          <w:rFonts w:cs="Arial"/>
          <w:bCs/>
        </w:rPr>
        <w:t xml:space="preserve">                                            Theft</w:t>
      </w:r>
      <w:r>
        <w:t>, 1</w:t>
      </w:r>
      <w:r w:rsidRPr="007F7F52">
        <w:rPr>
          <w:vertAlign w:val="superscript"/>
        </w:rPr>
        <w:t>st</w:t>
      </w:r>
      <w:r>
        <w:t xml:space="preserve"> degree</w:t>
      </w:r>
    </w:p>
    <w:p w14:paraId="217B6CBB" w14:textId="77777777" w:rsidR="007F7F52" w:rsidRPr="007F7F52" w:rsidRDefault="007F7F52" w:rsidP="007676F4">
      <w:r>
        <w:t xml:space="preserve">          </w:t>
      </w:r>
      <w:hyperlink r:id="rId17" w:history="1">
        <w:r w:rsidRPr="00662930">
          <w:rPr>
            <w:rFonts w:cs="Arial"/>
            <w:bCs/>
            <w:u w:val="single"/>
          </w:rPr>
          <w:t>9A.56.020(b)</w:t>
        </w:r>
      </w:hyperlink>
      <w:r>
        <w:rPr>
          <w:rFonts w:cs="Arial"/>
          <w:bCs/>
          <w:u w:val="single"/>
        </w:rPr>
        <w:t xml:space="preserve"> (4) &amp; (5)</w:t>
      </w:r>
      <w:r w:rsidRPr="007F7F52">
        <w:rPr>
          <w:rFonts w:cs="Arial"/>
          <w:bCs/>
        </w:rPr>
        <w:t xml:space="preserve">                       </w:t>
      </w:r>
      <w:r>
        <w:rPr>
          <w:rFonts w:cs="Arial"/>
          <w:bCs/>
        </w:rPr>
        <w:t>Theft</w:t>
      </w:r>
      <w:r>
        <w:rPr>
          <w:rFonts w:cs="Arial"/>
          <w:bCs/>
          <w:u w:val="single"/>
        </w:rPr>
        <w:t xml:space="preserve"> </w:t>
      </w:r>
      <w:r>
        <w:rPr>
          <w:rFonts w:cs="Arial"/>
          <w:bCs/>
        </w:rPr>
        <w:t>by Deceptions</w:t>
      </w:r>
    </w:p>
    <w:p w14:paraId="1706F483" w14:textId="77777777" w:rsidR="00E45F93" w:rsidRDefault="00E45F93" w:rsidP="007676F4"/>
    <w:p w14:paraId="00DF105F" w14:textId="77777777" w:rsidR="00E45F93" w:rsidRDefault="00E45F93" w:rsidP="007676F4">
      <w:pPr>
        <w:rPr>
          <w:rFonts w:cs="Arial"/>
          <w:bCs/>
        </w:rPr>
      </w:pPr>
      <w:r w:rsidRPr="007F7F52">
        <w:rPr>
          <w:b/>
        </w:rPr>
        <w:t>CFR</w:t>
      </w:r>
      <w:r w:rsidR="007F7F52">
        <w:t xml:space="preserve"> </w:t>
      </w:r>
      <w:hyperlink r:id="rId18" w:anchor="se42.4.455_12" w:history="1">
        <w:r w:rsidR="007F7F52" w:rsidRPr="00662930">
          <w:rPr>
            <w:rFonts w:cs="Arial"/>
            <w:bCs/>
            <w:u w:val="single"/>
          </w:rPr>
          <w:t>42 CFR §455.2</w:t>
        </w:r>
      </w:hyperlink>
      <w:r w:rsidR="007F7F52">
        <w:rPr>
          <w:rFonts w:cs="Arial"/>
          <w:bCs/>
        </w:rPr>
        <w:tab/>
      </w:r>
      <w:r w:rsidR="007F7F52">
        <w:rPr>
          <w:rFonts w:cs="Arial"/>
          <w:bCs/>
        </w:rPr>
        <w:tab/>
      </w:r>
      <w:r w:rsidR="007F7F52">
        <w:rPr>
          <w:rFonts w:cs="Arial"/>
          <w:bCs/>
        </w:rPr>
        <w:tab/>
        <w:t>Definitions</w:t>
      </w:r>
    </w:p>
    <w:p w14:paraId="0883CAA2" w14:textId="77777777" w:rsidR="007F7F52" w:rsidRDefault="007F7F52" w:rsidP="007676F4">
      <w:pPr>
        <w:rPr>
          <w:rFonts w:cs="Arial"/>
          <w:bCs/>
        </w:rPr>
      </w:pPr>
      <w:r>
        <w:rPr>
          <w:rFonts w:cs="Arial"/>
          <w:bCs/>
        </w:rPr>
        <w:t xml:space="preserve">        </w:t>
      </w:r>
      <w:hyperlink r:id="rId19" w:anchor="se42.4.455_112" w:history="1">
        <w:r w:rsidRPr="00662930">
          <w:rPr>
            <w:rFonts w:cs="Arial"/>
            <w:bCs/>
            <w:u w:val="single"/>
          </w:rPr>
          <w:t>42 CFR §455.12</w:t>
        </w:r>
      </w:hyperlink>
      <w:r>
        <w:rPr>
          <w:rFonts w:cs="Arial"/>
          <w:bCs/>
          <w:u w:val="single"/>
        </w:rPr>
        <w:t xml:space="preserve">- </w:t>
      </w:r>
      <w:hyperlink r:id="rId20" w:anchor="se42.4.455_117" w:history="1">
        <w:r w:rsidRPr="00662930">
          <w:rPr>
            <w:rFonts w:cs="Arial"/>
            <w:bCs/>
            <w:u w:val="single"/>
          </w:rPr>
          <w:t>42 CFR §455.17</w:t>
        </w:r>
      </w:hyperlink>
      <w:r w:rsidRPr="007F7F52">
        <w:rPr>
          <w:rFonts w:cs="Arial"/>
          <w:bCs/>
        </w:rPr>
        <w:t xml:space="preserve">      Preliminary &amp; Full Investigation Requirements</w:t>
      </w:r>
    </w:p>
    <w:p w14:paraId="43014C38" w14:textId="77777777" w:rsidR="00C94537" w:rsidRPr="007F7F52" w:rsidRDefault="00C94537" w:rsidP="007676F4">
      <w:r>
        <w:rPr>
          <w:rFonts w:cs="Arial"/>
          <w:bCs/>
        </w:rPr>
        <w:t xml:space="preserve">        </w:t>
      </w:r>
      <w:hyperlink r:id="rId21" w:history="1">
        <w:r w:rsidRPr="00662930">
          <w:rPr>
            <w:rFonts w:cs="Arial"/>
            <w:bCs/>
            <w:u w:val="single"/>
          </w:rPr>
          <w:t>42 CFR §455.21</w:t>
        </w:r>
      </w:hyperlink>
      <w:r w:rsidRPr="005279CD">
        <w:rPr>
          <w:rFonts w:cs="Arial"/>
          <w:bCs/>
        </w:rPr>
        <w:t xml:space="preserve">                                    </w:t>
      </w:r>
      <w:r w:rsidR="005279CD" w:rsidRPr="005279CD">
        <w:rPr>
          <w:rFonts w:cs="Arial"/>
          <w:bCs/>
        </w:rPr>
        <w:t>Co</w:t>
      </w:r>
      <w:r w:rsidR="005279CD">
        <w:rPr>
          <w:rFonts w:cs="Arial"/>
          <w:bCs/>
        </w:rPr>
        <w:t>operation with State Medicaid Fraud Control Units</w:t>
      </w:r>
    </w:p>
    <w:p w14:paraId="23D5DB7F" w14:textId="77777777" w:rsidR="007676F4" w:rsidRPr="005279CD" w:rsidRDefault="00C94537" w:rsidP="007676F4">
      <w:pPr>
        <w:rPr>
          <w:i/>
        </w:rPr>
      </w:pPr>
      <w:r>
        <w:rPr>
          <w:i/>
        </w:rPr>
        <w:t xml:space="preserve">        </w:t>
      </w:r>
      <w:hyperlink r:id="rId22" w:history="1">
        <w:r w:rsidRPr="005279CD">
          <w:rPr>
            <w:rFonts w:cs="Arial"/>
            <w:bCs/>
            <w:u w:val="single"/>
          </w:rPr>
          <w:t>42 CFR §455.23</w:t>
        </w:r>
      </w:hyperlink>
      <w:r w:rsidR="005279CD" w:rsidRPr="005279CD">
        <w:rPr>
          <w:rFonts w:cs="Arial"/>
          <w:bCs/>
        </w:rPr>
        <w:t xml:space="preserve">                                    Suspension of </w:t>
      </w:r>
      <w:r w:rsidR="001E0B3E" w:rsidRPr="005279CD">
        <w:rPr>
          <w:rFonts w:cs="Arial"/>
          <w:bCs/>
        </w:rPr>
        <w:t xml:space="preserve">Payments </w:t>
      </w:r>
      <w:r w:rsidR="001E0B3E">
        <w:rPr>
          <w:rFonts w:cs="Arial"/>
          <w:bCs/>
        </w:rPr>
        <w:t>and</w:t>
      </w:r>
      <w:r w:rsidR="005279CD">
        <w:rPr>
          <w:rFonts w:cs="Arial"/>
          <w:bCs/>
        </w:rPr>
        <w:t xml:space="preserve"> Good Cause Exception</w:t>
      </w:r>
    </w:p>
    <w:p w14:paraId="5E525C85" w14:textId="77777777" w:rsidR="007676F4" w:rsidRDefault="007676F4" w:rsidP="007676F4"/>
    <w:p w14:paraId="18B43BCD" w14:textId="77777777" w:rsidR="007676F4" w:rsidRDefault="007676F4" w:rsidP="007676F4">
      <w:pPr>
        <w:pStyle w:val="Heading3"/>
      </w:pPr>
      <w:bookmarkStart w:id="35" w:name="_Toc525727015"/>
      <w:bookmarkStart w:id="36" w:name="_Toc525727115"/>
      <w:bookmarkStart w:id="37" w:name="_Toc528758282"/>
      <w:bookmarkStart w:id="38" w:name="_Toc528759430"/>
      <w:bookmarkStart w:id="39" w:name="_Toc528760025"/>
      <w:bookmarkStart w:id="40" w:name="_Toc24111201"/>
      <w:r>
        <w:t>Acronyms</w:t>
      </w:r>
      <w:bookmarkEnd w:id="35"/>
      <w:bookmarkEnd w:id="36"/>
      <w:bookmarkEnd w:id="37"/>
      <w:bookmarkEnd w:id="38"/>
      <w:bookmarkEnd w:id="39"/>
      <w:bookmarkEnd w:id="40"/>
    </w:p>
    <w:p w14:paraId="5566E703" w14:textId="77777777" w:rsidR="00742AE0" w:rsidRDefault="00742AE0" w:rsidP="00742AE0">
      <w:pPr>
        <w:tabs>
          <w:tab w:val="left" w:pos="2160"/>
        </w:tabs>
      </w:pPr>
      <w:r>
        <w:t>AAA</w:t>
      </w:r>
      <w:r>
        <w:tab/>
        <w:t>Area Agency on Aging</w:t>
      </w:r>
    </w:p>
    <w:p w14:paraId="67B93920" w14:textId="77777777" w:rsidR="00742AE0" w:rsidRDefault="00742AE0" w:rsidP="00742AE0">
      <w:pPr>
        <w:tabs>
          <w:tab w:val="left" w:pos="2160"/>
        </w:tabs>
      </w:pPr>
      <w:r>
        <w:t>ACA</w:t>
      </w:r>
      <w:r>
        <w:tab/>
        <w:t>Affordable Care Act</w:t>
      </w:r>
    </w:p>
    <w:p w14:paraId="47D17510" w14:textId="77777777" w:rsidR="00742AE0" w:rsidRDefault="00742AE0" w:rsidP="00742AE0">
      <w:pPr>
        <w:tabs>
          <w:tab w:val="left" w:pos="2160"/>
        </w:tabs>
      </w:pPr>
      <w:r>
        <w:t>ACD</w:t>
      </w:r>
      <w:r>
        <w:tab/>
        <w:t>Agency Contracts Database</w:t>
      </w:r>
    </w:p>
    <w:p w14:paraId="4984CAFE" w14:textId="77777777" w:rsidR="00B36278" w:rsidRDefault="00B36278" w:rsidP="00742AE0">
      <w:pPr>
        <w:tabs>
          <w:tab w:val="left" w:pos="2160"/>
        </w:tabs>
      </w:pPr>
      <w:r>
        <w:t>ALTSA</w:t>
      </w:r>
      <w:r>
        <w:tab/>
        <w:t xml:space="preserve">Aging and </w:t>
      </w:r>
      <w:proofErr w:type="gramStart"/>
      <w:r>
        <w:t>Long Term</w:t>
      </w:r>
      <w:proofErr w:type="gramEnd"/>
      <w:r>
        <w:t xml:space="preserve"> Support Administration</w:t>
      </w:r>
    </w:p>
    <w:p w14:paraId="066C467F" w14:textId="77777777" w:rsidR="00742AE0" w:rsidRDefault="00742AE0" w:rsidP="00742AE0">
      <w:pPr>
        <w:tabs>
          <w:tab w:val="left" w:pos="2160"/>
        </w:tabs>
      </w:pPr>
      <w:r>
        <w:t>APS</w:t>
      </w:r>
      <w:r>
        <w:tab/>
        <w:t>Adult Protection Services</w:t>
      </w:r>
    </w:p>
    <w:p w14:paraId="02D92FE9" w14:textId="2543E1AD" w:rsidR="00742AE0" w:rsidRDefault="00742AE0" w:rsidP="00742AE0">
      <w:pPr>
        <w:tabs>
          <w:tab w:val="left" w:pos="2160"/>
        </w:tabs>
      </w:pPr>
      <w:r>
        <w:t>CCLS</w:t>
      </w:r>
      <w:r>
        <w:tab/>
        <w:t>Central Contracts and Legal Services</w:t>
      </w:r>
    </w:p>
    <w:p w14:paraId="4A3FFFE5" w14:textId="493A9569" w:rsidR="00B1131D" w:rsidRDefault="00B1131D" w:rsidP="00B1131D">
      <w:pPr>
        <w:tabs>
          <w:tab w:val="left" w:pos="2160"/>
        </w:tabs>
      </w:pPr>
      <w:r>
        <w:t>CDE</w:t>
      </w:r>
      <w:r>
        <w:tab/>
        <w:t>Consumer Directed Employer entity</w:t>
      </w:r>
    </w:p>
    <w:p w14:paraId="5D402F5F" w14:textId="77777777" w:rsidR="00B1131D" w:rsidRDefault="00B1131D" w:rsidP="00B1131D">
      <w:pPr>
        <w:tabs>
          <w:tab w:val="left" w:pos="2160"/>
        </w:tabs>
      </w:pPr>
      <w:r>
        <w:t>CDWA</w:t>
      </w:r>
      <w:r>
        <w:tab/>
        <w:t>Consumer Direct Care Network of Washington, the contracted CDE entity</w:t>
      </w:r>
    </w:p>
    <w:p w14:paraId="610FB2D8" w14:textId="77777777" w:rsidR="00742AE0" w:rsidRDefault="00742AE0" w:rsidP="00742AE0">
      <w:pPr>
        <w:tabs>
          <w:tab w:val="left" w:pos="2160"/>
        </w:tabs>
      </w:pPr>
      <w:r>
        <w:t>CMS</w:t>
      </w:r>
      <w:r>
        <w:tab/>
        <w:t>Centers for Medicare and Medicaid Services</w:t>
      </w:r>
    </w:p>
    <w:p w14:paraId="324CE0F6" w14:textId="77777777" w:rsidR="00742AE0" w:rsidRDefault="00742AE0" w:rsidP="00742AE0">
      <w:pPr>
        <w:tabs>
          <w:tab w:val="left" w:pos="2160"/>
        </w:tabs>
      </w:pPr>
      <w:r>
        <w:t>DDA</w:t>
      </w:r>
      <w:r>
        <w:tab/>
        <w:t>Development Disabilities Administration</w:t>
      </w:r>
    </w:p>
    <w:p w14:paraId="4A5F1BB4" w14:textId="77777777" w:rsidR="00742AE0" w:rsidRDefault="00742AE0" w:rsidP="00742AE0">
      <w:pPr>
        <w:tabs>
          <w:tab w:val="left" w:pos="2160"/>
        </w:tabs>
      </w:pPr>
      <w:r>
        <w:t>DPI</w:t>
      </w:r>
      <w:r>
        <w:tab/>
        <w:t>Division of Program Integrity within Health Care Authority</w:t>
      </w:r>
    </w:p>
    <w:p w14:paraId="3DB6962B" w14:textId="77777777" w:rsidR="00742AE0" w:rsidRDefault="00742AE0" w:rsidP="00742AE0">
      <w:pPr>
        <w:tabs>
          <w:tab w:val="left" w:pos="2160"/>
        </w:tabs>
      </w:pPr>
      <w:r>
        <w:t>DSHS</w:t>
      </w:r>
      <w:r>
        <w:tab/>
        <w:t xml:space="preserve">Department of Social and Health Services </w:t>
      </w:r>
    </w:p>
    <w:p w14:paraId="20ABB7EE" w14:textId="77777777" w:rsidR="00742AE0" w:rsidRDefault="00742AE0" w:rsidP="00742AE0">
      <w:pPr>
        <w:tabs>
          <w:tab w:val="left" w:pos="2160"/>
        </w:tabs>
      </w:pPr>
      <w:r>
        <w:lastRenderedPageBreak/>
        <w:t>FRED</w:t>
      </w:r>
      <w:r>
        <w:tab/>
        <w:t>Fraud Early Detection with OFA</w:t>
      </w:r>
    </w:p>
    <w:p w14:paraId="76BBE3CC" w14:textId="77777777" w:rsidR="00742AE0" w:rsidRDefault="00742AE0" w:rsidP="00742AE0">
      <w:pPr>
        <w:tabs>
          <w:tab w:val="left" w:pos="2160"/>
        </w:tabs>
      </w:pPr>
      <w:r>
        <w:t>HCA</w:t>
      </w:r>
      <w:r>
        <w:tab/>
        <w:t>Health Care Authority</w:t>
      </w:r>
    </w:p>
    <w:p w14:paraId="211F0E1C" w14:textId="77777777" w:rsidR="00742AE0" w:rsidRDefault="00742AE0" w:rsidP="00742AE0">
      <w:pPr>
        <w:tabs>
          <w:tab w:val="left" w:pos="2160"/>
        </w:tabs>
      </w:pPr>
      <w:r>
        <w:t>HQ</w:t>
      </w:r>
      <w:r>
        <w:tab/>
        <w:t>DSHS</w:t>
      </w:r>
      <w:r w:rsidR="00B36278">
        <w:t xml:space="preserve"> ALTSA</w:t>
      </w:r>
      <w:r w:rsidR="00142CC1">
        <w:t xml:space="preserve"> &amp; DDA</w:t>
      </w:r>
      <w:r>
        <w:t xml:space="preserve"> Headquarters</w:t>
      </w:r>
    </w:p>
    <w:p w14:paraId="3F6D0B88" w14:textId="77777777" w:rsidR="00742AE0" w:rsidRDefault="00742AE0" w:rsidP="00742AE0">
      <w:pPr>
        <w:tabs>
          <w:tab w:val="left" w:pos="2160"/>
        </w:tabs>
      </w:pPr>
      <w:r>
        <w:t>LTC Manual</w:t>
      </w:r>
      <w:r>
        <w:tab/>
        <w:t>Long Term Care Manual</w:t>
      </w:r>
    </w:p>
    <w:p w14:paraId="5560458F" w14:textId="77777777" w:rsidR="00742AE0" w:rsidRDefault="00742AE0" w:rsidP="00742AE0">
      <w:pPr>
        <w:tabs>
          <w:tab w:val="left" w:pos="2160"/>
        </w:tabs>
      </w:pPr>
      <w:r>
        <w:t>MFCU/MFCD</w:t>
      </w:r>
      <w:r>
        <w:tab/>
        <w:t>Medicaid Fraud Control Unit/Division</w:t>
      </w:r>
    </w:p>
    <w:p w14:paraId="69596107" w14:textId="77777777" w:rsidR="00742AE0" w:rsidRDefault="00742AE0" w:rsidP="00742AE0">
      <w:pPr>
        <w:tabs>
          <w:tab w:val="left" w:pos="2160"/>
        </w:tabs>
      </w:pPr>
      <w:r>
        <w:t>OFA</w:t>
      </w:r>
      <w:r>
        <w:tab/>
        <w:t>Office of Fraud and Accountability</w:t>
      </w:r>
    </w:p>
    <w:p w14:paraId="24EC40D5" w14:textId="77777777" w:rsidR="00742AE0" w:rsidRDefault="00742AE0" w:rsidP="00742AE0">
      <w:pPr>
        <w:tabs>
          <w:tab w:val="left" w:pos="2160"/>
        </w:tabs>
      </w:pPr>
      <w:r>
        <w:t>PAN</w:t>
      </w:r>
      <w:r>
        <w:tab/>
        <w:t>Planned Action Notice</w:t>
      </w:r>
    </w:p>
    <w:p w14:paraId="167FE574" w14:textId="77777777" w:rsidR="00742AE0" w:rsidRDefault="00742AE0" w:rsidP="00742AE0">
      <w:pPr>
        <w:tabs>
          <w:tab w:val="left" w:pos="2160"/>
        </w:tabs>
      </w:pPr>
      <w:r>
        <w:t>SER</w:t>
      </w:r>
      <w:r>
        <w:tab/>
        <w:t>Service Episode Record</w:t>
      </w:r>
    </w:p>
    <w:p w14:paraId="43923DDA" w14:textId="77777777" w:rsidR="00742AE0" w:rsidRDefault="00742AE0" w:rsidP="00742AE0">
      <w:pPr>
        <w:tabs>
          <w:tab w:val="left" w:pos="2160"/>
        </w:tabs>
      </w:pPr>
      <w:r>
        <w:t>The Department</w:t>
      </w:r>
      <w:r>
        <w:tab/>
      </w:r>
      <w:proofErr w:type="spellStart"/>
      <w:r>
        <w:t>Department</w:t>
      </w:r>
      <w:proofErr w:type="spellEnd"/>
      <w:r>
        <w:t xml:space="preserve"> of Social and Health Services</w:t>
      </w:r>
    </w:p>
    <w:p w14:paraId="5C5B9C33" w14:textId="77777777" w:rsidR="007676F4" w:rsidRDefault="007676F4" w:rsidP="007676F4">
      <w:r>
        <w:tab/>
      </w:r>
      <w:r>
        <w:tab/>
      </w:r>
    </w:p>
    <w:p w14:paraId="41843FB9" w14:textId="77777777" w:rsidR="00742AE0" w:rsidRDefault="007676F4" w:rsidP="007676F4">
      <w:pPr>
        <w:pStyle w:val="Heading3"/>
      </w:pPr>
      <w:bookmarkStart w:id="41" w:name="_Toc525727016"/>
      <w:bookmarkStart w:id="42" w:name="_Toc525727116"/>
      <w:bookmarkStart w:id="43" w:name="_Toc528758283"/>
      <w:bookmarkStart w:id="44" w:name="_Toc528759431"/>
      <w:bookmarkStart w:id="45" w:name="_Toc528760026"/>
      <w:bookmarkStart w:id="46" w:name="_Toc24111202"/>
      <w:r>
        <w:t>Glossary</w:t>
      </w:r>
      <w:bookmarkEnd w:id="41"/>
      <w:bookmarkEnd w:id="42"/>
      <w:bookmarkEnd w:id="43"/>
      <w:bookmarkEnd w:id="44"/>
      <w:bookmarkEnd w:id="45"/>
      <w:bookmarkEnd w:id="46"/>
      <w:r w:rsidR="00FE3C11">
        <w:t xml:space="preserve"> </w:t>
      </w:r>
    </w:p>
    <w:p w14:paraId="098D64F7" w14:textId="77777777" w:rsidR="007676F4" w:rsidRDefault="00FE3C11" w:rsidP="00742AE0">
      <w:r w:rsidRPr="00FE3C11">
        <w:t>For purposes of Medicaid Fraud, and according to 42 CFR 455.2, the following definitions apply:</w:t>
      </w:r>
    </w:p>
    <w:tbl>
      <w:tblPr>
        <w:tblStyle w:val="TableGrid"/>
        <w:tblW w:w="0" w:type="auto"/>
        <w:tblLook w:val="04A0" w:firstRow="1" w:lastRow="0" w:firstColumn="1" w:lastColumn="0" w:noHBand="0" w:noVBand="1"/>
      </w:tblPr>
      <w:tblGrid>
        <w:gridCol w:w="2155"/>
        <w:gridCol w:w="7195"/>
      </w:tblGrid>
      <w:tr w:rsidR="007676F4" w14:paraId="76167B9A" w14:textId="77777777" w:rsidTr="008967B9">
        <w:tc>
          <w:tcPr>
            <w:tcW w:w="2155" w:type="dxa"/>
          </w:tcPr>
          <w:p w14:paraId="10671985" w14:textId="77777777" w:rsidR="007676F4" w:rsidRPr="00A9357F" w:rsidRDefault="007676F4" w:rsidP="008967B9">
            <w:pPr>
              <w:rPr>
                <w:b/>
                <w:caps/>
              </w:rPr>
            </w:pPr>
            <w:r w:rsidRPr="00A9357F">
              <w:rPr>
                <w:b/>
                <w:caps/>
              </w:rPr>
              <w:t>Word</w:t>
            </w:r>
          </w:p>
        </w:tc>
        <w:tc>
          <w:tcPr>
            <w:tcW w:w="7195" w:type="dxa"/>
          </w:tcPr>
          <w:p w14:paraId="5E4AC939" w14:textId="77777777" w:rsidR="007676F4" w:rsidRPr="00A9357F" w:rsidRDefault="007676F4" w:rsidP="008967B9">
            <w:pPr>
              <w:rPr>
                <w:b/>
                <w:caps/>
              </w:rPr>
            </w:pPr>
            <w:r w:rsidRPr="00A9357F">
              <w:rPr>
                <w:b/>
                <w:caps/>
              </w:rPr>
              <w:t>Definition</w:t>
            </w:r>
          </w:p>
        </w:tc>
      </w:tr>
      <w:tr w:rsidR="007676F4" w14:paraId="50510C12" w14:textId="77777777" w:rsidTr="008967B9">
        <w:tc>
          <w:tcPr>
            <w:tcW w:w="2155" w:type="dxa"/>
          </w:tcPr>
          <w:p w14:paraId="5790B25D" w14:textId="77777777" w:rsidR="007676F4" w:rsidRDefault="00505AAE" w:rsidP="00E95CA6">
            <w:r>
              <w:t>Abuse</w:t>
            </w:r>
          </w:p>
        </w:tc>
        <w:tc>
          <w:tcPr>
            <w:tcW w:w="7195" w:type="dxa"/>
          </w:tcPr>
          <w:p w14:paraId="65177785" w14:textId="77777777" w:rsidR="007676F4" w:rsidRDefault="00505AAE" w:rsidP="00E95CA6">
            <w:r w:rsidRPr="00743760">
              <w:rPr>
                <w:rFonts w:cs="Arial"/>
              </w:rPr>
              <w:t>(</w:t>
            </w:r>
            <w:proofErr w:type="gramStart"/>
            <w:r w:rsidRPr="00743760">
              <w:rPr>
                <w:rFonts w:cs="Arial"/>
              </w:rPr>
              <w:t>meaning</w:t>
            </w:r>
            <w:proofErr w:type="gramEnd"/>
            <w:r w:rsidRPr="00743760">
              <w:rPr>
                <w:rFonts w:cs="Arial"/>
              </w:rPr>
              <w:t xml:space="preserve"> for th</w:t>
            </w:r>
            <w:r>
              <w:rPr>
                <w:rFonts w:cs="Arial"/>
              </w:rPr>
              <w:t>is</w:t>
            </w:r>
            <w:r w:rsidRPr="00743760">
              <w:rPr>
                <w:rFonts w:cs="Arial"/>
              </w:rPr>
              <w:t xml:space="preserve"> term as </w:t>
            </w:r>
            <w:r>
              <w:rPr>
                <w:rFonts w:cs="Arial"/>
              </w:rPr>
              <w:t xml:space="preserve">it is </w:t>
            </w:r>
            <w:r w:rsidRPr="00743760">
              <w:rPr>
                <w:rFonts w:cs="Arial"/>
              </w:rPr>
              <w:t xml:space="preserve">used within this chapter and </w:t>
            </w:r>
            <w:r w:rsidRPr="004855CE">
              <w:rPr>
                <w:rFonts w:cs="Arial"/>
                <w:u w:val="single"/>
              </w:rPr>
              <w:t>not as it applies to Adult Protective Services investigations</w:t>
            </w:r>
            <w:r w:rsidRPr="00743760">
              <w:rPr>
                <w:rFonts w:cs="Arial"/>
              </w:rPr>
              <w:t>) means 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w:t>
            </w:r>
          </w:p>
        </w:tc>
      </w:tr>
      <w:tr w:rsidR="007676F4" w14:paraId="34AAD383" w14:textId="77777777" w:rsidTr="008967B9">
        <w:tc>
          <w:tcPr>
            <w:tcW w:w="2155" w:type="dxa"/>
          </w:tcPr>
          <w:p w14:paraId="5048F7D0" w14:textId="77777777" w:rsidR="007676F4" w:rsidRDefault="00505AAE" w:rsidP="00E95CA6">
            <w:r w:rsidRPr="00743760">
              <w:rPr>
                <w:rFonts w:cs="Arial"/>
              </w:rPr>
              <w:t>Credible allegation of fraud</w:t>
            </w:r>
          </w:p>
        </w:tc>
        <w:tc>
          <w:tcPr>
            <w:tcW w:w="7195" w:type="dxa"/>
          </w:tcPr>
          <w:p w14:paraId="1A57C846" w14:textId="77777777" w:rsidR="007676F4" w:rsidRPr="00E95CA6" w:rsidRDefault="001E0B3E" w:rsidP="00E95CA6">
            <w:pPr>
              <w:rPr>
                <w:rFonts w:cs="Arial"/>
              </w:rPr>
            </w:pPr>
            <w:r>
              <w:rPr>
                <w:rFonts w:cs="Arial"/>
              </w:rPr>
              <w:t>I</w:t>
            </w:r>
            <w:r w:rsidR="00505AAE">
              <w:rPr>
                <w:rFonts w:cs="Arial"/>
              </w:rPr>
              <w:t>s an allegation</w:t>
            </w:r>
            <w:r w:rsidR="00505AAE" w:rsidRPr="00743760">
              <w:rPr>
                <w:rFonts w:cs="Arial"/>
              </w:rPr>
              <w:t xml:space="preserve"> which has been verified by the reporting agency (see </w:t>
            </w:r>
            <w:r w:rsidR="00505AAE">
              <w:rPr>
                <w:rFonts w:cs="Arial"/>
              </w:rPr>
              <w:t xml:space="preserve">definition </w:t>
            </w:r>
            <w:r w:rsidR="00505AAE" w:rsidRPr="00743760">
              <w:rPr>
                <w:rFonts w:cs="Arial"/>
              </w:rPr>
              <w:t xml:space="preserve">below), </w:t>
            </w:r>
            <w:r w:rsidR="00505AAE">
              <w:rPr>
                <w:rFonts w:cs="Arial"/>
              </w:rPr>
              <w:t xml:space="preserve">received </w:t>
            </w:r>
            <w:r w:rsidR="00505AAE" w:rsidRPr="00743760">
              <w:rPr>
                <w:rFonts w:cs="Arial"/>
              </w:rPr>
              <w:t>from any source, such as complaints</w:t>
            </w:r>
            <w:r w:rsidR="00505AAE">
              <w:rPr>
                <w:rFonts w:cs="Arial"/>
              </w:rPr>
              <w:t xml:space="preserve"> received or</w:t>
            </w:r>
            <w:r w:rsidR="00505AAE" w:rsidRPr="00743760">
              <w:rPr>
                <w:rFonts w:cs="Arial"/>
              </w:rPr>
              <w:t xml:space="preserve"> </w:t>
            </w:r>
            <w:r w:rsidR="00505AAE">
              <w:rPr>
                <w:rFonts w:cs="Arial"/>
              </w:rPr>
              <w:t xml:space="preserve">observations during case management. Other sources could be </w:t>
            </w:r>
            <w:r w:rsidR="00505AAE" w:rsidRPr="00743760">
              <w:rPr>
                <w:rFonts w:cs="Arial"/>
              </w:rPr>
              <w:t xml:space="preserve">patterns identified through </w:t>
            </w:r>
            <w:r w:rsidR="00505AAE">
              <w:rPr>
                <w:rFonts w:cs="Arial"/>
              </w:rPr>
              <w:t xml:space="preserve">report review or </w:t>
            </w:r>
            <w:r w:rsidR="00505AAE" w:rsidRPr="00743760">
              <w:rPr>
                <w:rFonts w:cs="Arial"/>
              </w:rPr>
              <w:t xml:space="preserve">provider audits, </w:t>
            </w:r>
            <w:r w:rsidR="00505AAE">
              <w:rPr>
                <w:rFonts w:cs="Arial"/>
              </w:rPr>
              <w:t xml:space="preserve">information resulting from </w:t>
            </w:r>
            <w:r w:rsidR="00505AAE" w:rsidRPr="00743760">
              <w:rPr>
                <w:rFonts w:cs="Arial"/>
              </w:rPr>
              <w:t xml:space="preserve">civil cases, </w:t>
            </w:r>
            <w:r w:rsidR="00505AAE">
              <w:rPr>
                <w:rFonts w:cs="Arial"/>
              </w:rPr>
              <w:t xml:space="preserve">or </w:t>
            </w:r>
            <w:r w:rsidR="00505AAE" w:rsidRPr="00743760">
              <w:rPr>
                <w:rFonts w:cs="Arial"/>
              </w:rPr>
              <w:t xml:space="preserve">law enforcement investigations. Allegations are considered to be credible when they have </w:t>
            </w:r>
            <w:r w:rsidR="00505AAE">
              <w:rPr>
                <w:rFonts w:cs="Arial"/>
              </w:rPr>
              <w:t>“</w:t>
            </w:r>
            <w:r w:rsidR="00505AAE" w:rsidRPr="00743760">
              <w:rPr>
                <w:rFonts w:cs="Arial"/>
              </w:rPr>
              <w:t>indicia of reliability</w:t>
            </w:r>
            <w:r w:rsidR="00505AAE">
              <w:rPr>
                <w:rFonts w:cs="Arial"/>
              </w:rPr>
              <w:t>”</w:t>
            </w:r>
            <w:r w:rsidR="00505AAE" w:rsidRPr="00743760">
              <w:rPr>
                <w:rFonts w:cs="Arial"/>
              </w:rPr>
              <w:t xml:space="preserve"> (see definition below</w:t>
            </w:r>
            <w:proofErr w:type="gramStart"/>
            <w:r w:rsidR="00505AAE" w:rsidRPr="00743760">
              <w:rPr>
                <w:rFonts w:cs="Arial"/>
              </w:rPr>
              <w:t>)</w:t>
            </w:r>
            <w:proofErr w:type="gramEnd"/>
            <w:r w:rsidR="00505AAE" w:rsidRPr="00743760">
              <w:rPr>
                <w:rFonts w:cs="Arial"/>
              </w:rPr>
              <w:t xml:space="preserve"> and the reporting agency (see definition below) has reviewed all allegations, facts, and evidence carefully and acts judiciously on a case-by-case basis.</w:t>
            </w:r>
          </w:p>
        </w:tc>
      </w:tr>
      <w:tr w:rsidR="007676F4" w14:paraId="10BA2989" w14:textId="77777777" w:rsidTr="008967B9">
        <w:tc>
          <w:tcPr>
            <w:tcW w:w="2155" w:type="dxa"/>
          </w:tcPr>
          <w:p w14:paraId="18811744" w14:textId="77777777" w:rsidR="007676F4" w:rsidRDefault="001E0B3E" w:rsidP="00E95CA6">
            <w:r>
              <w:t>Fraud</w:t>
            </w:r>
          </w:p>
        </w:tc>
        <w:tc>
          <w:tcPr>
            <w:tcW w:w="7195" w:type="dxa"/>
          </w:tcPr>
          <w:p w14:paraId="2B665AE7" w14:textId="77777777" w:rsidR="007676F4" w:rsidRDefault="001E0B3E" w:rsidP="00E95CA6">
            <w:r>
              <w:rPr>
                <w:rFonts w:cs="Arial"/>
              </w:rPr>
              <w:t>M</w:t>
            </w:r>
            <w:r w:rsidRPr="00743760">
              <w:rPr>
                <w:rFonts w:cs="Arial"/>
              </w:rPr>
              <w:t>eans an intentional deception or misrepresentation made by a person with the knowledge that the deception could result in some unauthorized benefit to himself or some other person. It includes any act that constitutes fraud under applicable Federal or State law.</w:t>
            </w:r>
          </w:p>
        </w:tc>
      </w:tr>
      <w:tr w:rsidR="007676F4" w14:paraId="1370ABC9" w14:textId="77777777" w:rsidTr="008967B9">
        <w:tc>
          <w:tcPr>
            <w:tcW w:w="2155" w:type="dxa"/>
          </w:tcPr>
          <w:p w14:paraId="50D82989" w14:textId="77777777" w:rsidR="007676F4" w:rsidRDefault="001E0B3E" w:rsidP="00E95CA6">
            <w:r w:rsidRPr="00743760">
              <w:rPr>
                <w:rFonts w:cs="Arial"/>
                <w:bCs/>
              </w:rPr>
              <w:t>Indicia of reliability</w:t>
            </w:r>
          </w:p>
        </w:tc>
        <w:tc>
          <w:tcPr>
            <w:tcW w:w="7195" w:type="dxa"/>
          </w:tcPr>
          <w:p w14:paraId="0FBE5287" w14:textId="77777777" w:rsidR="007676F4" w:rsidRPr="001E0B3E" w:rsidRDefault="001E0B3E" w:rsidP="00E95CA6">
            <w:pPr>
              <w:rPr>
                <w:rFonts w:cs="Arial"/>
                <w:bCs/>
              </w:rPr>
            </w:pPr>
            <w:r>
              <w:rPr>
                <w:rFonts w:cs="Arial"/>
                <w:bCs/>
              </w:rPr>
              <w:t>A</w:t>
            </w:r>
            <w:r w:rsidRPr="00743760">
              <w:rPr>
                <w:rFonts w:cs="Arial"/>
                <w:bCs/>
              </w:rPr>
              <w:t xml:space="preserve">re signs, </w:t>
            </w:r>
            <w:proofErr w:type="gramStart"/>
            <w:r w:rsidRPr="00743760">
              <w:rPr>
                <w:rFonts w:cs="Arial"/>
                <w:bCs/>
              </w:rPr>
              <w:t>indicators</w:t>
            </w:r>
            <w:proofErr w:type="gramEnd"/>
            <w:r w:rsidRPr="00743760">
              <w:rPr>
                <w:rFonts w:cs="Arial"/>
                <w:bCs/>
              </w:rPr>
              <w:t xml:space="preserve"> or circumstances, which tend to show or indicate that something is probable.</w:t>
            </w:r>
          </w:p>
        </w:tc>
      </w:tr>
      <w:tr w:rsidR="007676F4" w14:paraId="687A7BBA" w14:textId="77777777" w:rsidTr="008967B9">
        <w:tc>
          <w:tcPr>
            <w:tcW w:w="2155" w:type="dxa"/>
          </w:tcPr>
          <w:p w14:paraId="647AEDF9" w14:textId="77777777" w:rsidR="007676F4" w:rsidRDefault="001E0B3E" w:rsidP="00E95CA6">
            <w:r w:rsidRPr="00743760">
              <w:rPr>
                <w:rFonts w:cs="Arial"/>
              </w:rPr>
              <w:t>Reporting agency</w:t>
            </w:r>
          </w:p>
        </w:tc>
        <w:tc>
          <w:tcPr>
            <w:tcW w:w="7195" w:type="dxa"/>
          </w:tcPr>
          <w:p w14:paraId="5B084CE3" w14:textId="77777777" w:rsidR="007676F4" w:rsidRPr="00E95CA6" w:rsidRDefault="001E0B3E" w:rsidP="00E95CA6">
            <w:pPr>
              <w:rPr>
                <w:rFonts w:cs="Arial"/>
              </w:rPr>
            </w:pPr>
            <w:r>
              <w:rPr>
                <w:rFonts w:cs="Arial"/>
              </w:rPr>
              <w:t>R</w:t>
            </w:r>
            <w:r w:rsidRPr="00743760">
              <w:rPr>
                <w:rFonts w:cs="Arial"/>
              </w:rPr>
              <w:t>efers to DSHS (also referenced within this chapter as “the Department”) or any contracted AAA entity. This could mean any HCS, DDA, or AAA office.</w:t>
            </w:r>
          </w:p>
        </w:tc>
      </w:tr>
      <w:tr w:rsidR="001E0B3E" w14:paraId="451282FA" w14:textId="77777777" w:rsidTr="008967B9">
        <w:tc>
          <w:tcPr>
            <w:tcW w:w="2155" w:type="dxa"/>
          </w:tcPr>
          <w:p w14:paraId="3DE9718D" w14:textId="77777777" w:rsidR="001E0B3E" w:rsidRDefault="001E0B3E" w:rsidP="00E95CA6">
            <w:r w:rsidRPr="00743760">
              <w:rPr>
                <w:rFonts w:cs="Arial"/>
              </w:rPr>
              <w:t>Waste</w:t>
            </w:r>
          </w:p>
        </w:tc>
        <w:tc>
          <w:tcPr>
            <w:tcW w:w="7195" w:type="dxa"/>
          </w:tcPr>
          <w:p w14:paraId="3FB6060A" w14:textId="77777777" w:rsidR="001E0B3E" w:rsidRDefault="001E0B3E" w:rsidP="00E95CA6">
            <w:r>
              <w:rPr>
                <w:rFonts w:cs="Arial"/>
              </w:rPr>
              <w:t>I</w:t>
            </w:r>
            <w:r w:rsidRPr="00743760">
              <w:rPr>
                <w:rFonts w:cs="Arial"/>
              </w:rPr>
              <w:t xml:space="preserve">s defined as any activity that uses resources but creates no value. While all fraud is waste, not all waste is fraud. Waste is inefficiency that may be, for example, a medically unnecessary service, inefficient delivery of care, inflated prices, </w:t>
            </w:r>
            <w:r>
              <w:rPr>
                <w:rFonts w:cs="Arial"/>
              </w:rPr>
              <w:t xml:space="preserve">or </w:t>
            </w:r>
            <w:r w:rsidRPr="00743760">
              <w:rPr>
                <w:rFonts w:cs="Arial"/>
              </w:rPr>
              <w:t>excess administrative costs.</w:t>
            </w:r>
          </w:p>
        </w:tc>
      </w:tr>
    </w:tbl>
    <w:p w14:paraId="72378663" w14:textId="77777777" w:rsidR="007676F4" w:rsidRDefault="007676F4" w:rsidP="007676F4"/>
    <w:p w14:paraId="572B6E70" w14:textId="77777777" w:rsidR="003C1FD0" w:rsidRPr="003072E6" w:rsidRDefault="003C1FD0" w:rsidP="007676F4"/>
    <w:p w14:paraId="38389CE0" w14:textId="77777777" w:rsidR="007676F4" w:rsidRDefault="007676F4" w:rsidP="007676F4">
      <w:pPr>
        <w:pStyle w:val="Heading2"/>
      </w:pPr>
      <w:bookmarkStart w:id="47" w:name="_Toc525727017"/>
      <w:bookmarkStart w:id="48" w:name="_Toc525727117"/>
      <w:bookmarkStart w:id="49" w:name="_Toc528758284"/>
      <w:bookmarkStart w:id="50" w:name="_Toc528759432"/>
      <w:bookmarkStart w:id="51" w:name="_Toc528760027"/>
      <w:bookmarkStart w:id="52" w:name="_Toc24111203"/>
      <w:r>
        <w:lastRenderedPageBreak/>
        <w:t>Revision History</w:t>
      </w:r>
      <w:bookmarkEnd w:id="47"/>
      <w:bookmarkEnd w:id="48"/>
      <w:bookmarkEnd w:id="49"/>
      <w:bookmarkEnd w:id="50"/>
      <w:bookmarkEnd w:id="51"/>
      <w:bookmarkEnd w:id="52"/>
    </w:p>
    <w:tbl>
      <w:tblPr>
        <w:tblStyle w:val="TableGrid"/>
        <w:tblW w:w="0" w:type="auto"/>
        <w:tblLook w:val="04A0" w:firstRow="1" w:lastRow="0" w:firstColumn="1" w:lastColumn="0" w:noHBand="0" w:noVBand="1"/>
      </w:tblPr>
      <w:tblGrid>
        <w:gridCol w:w="1435"/>
        <w:gridCol w:w="1530"/>
        <w:gridCol w:w="4958"/>
        <w:gridCol w:w="1427"/>
      </w:tblGrid>
      <w:tr w:rsidR="007676F4" w14:paraId="41F7E099" w14:textId="77777777" w:rsidTr="008967B9">
        <w:tc>
          <w:tcPr>
            <w:tcW w:w="1435" w:type="dxa"/>
          </w:tcPr>
          <w:p w14:paraId="6EE6FD36" w14:textId="77777777" w:rsidR="007676F4" w:rsidRPr="00A9357F" w:rsidRDefault="007676F4" w:rsidP="008967B9">
            <w:pPr>
              <w:rPr>
                <w:b/>
                <w:caps/>
              </w:rPr>
            </w:pPr>
            <w:r w:rsidRPr="00A9357F">
              <w:rPr>
                <w:b/>
                <w:caps/>
              </w:rPr>
              <w:t>Date</w:t>
            </w:r>
          </w:p>
        </w:tc>
        <w:tc>
          <w:tcPr>
            <w:tcW w:w="1530" w:type="dxa"/>
          </w:tcPr>
          <w:p w14:paraId="2E8CF788" w14:textId="77777777" w:rsidR="007676F4" w:rsidRPr="00A9357F" w:rsidRDefault="007676F4" w:rsidP="008967B9">
            <w:pPr>
              <w:rPr>
                <w:b/>
                <w:caps/>
              </w:rPr>
            </w:pPr>
            <w:r w:rsidRPr="00A9357F">
              <w:rPr>
                <w:b/>
                <w:caps/>
              </w:rPr>
              <w:t>Made By</w:t>
            </w:r>
          </w:p>
        </w:tc>
        <w:tc>
          <w:tcPr>
            <w:tcW w:w="4958" w:type="dxa"/>
          </w:tcPr>
          <w:p w14:paraId="7100DA12" w14:textId="77777777" w:rsidR="007676F4" w:rsidRPr="00A9357F" w:rsidRDefault="007676F4" w:rsidP="008967B9">
            <w:pPr>
              <w:rPr>
                <w:b/>
                <w:caps/>
              </w:rPr>
            </w:pPr>
            <w:r w:rsidRPr="00A9357F">
              <w:rPr>
                <w:b/>
                <w:caps/>
              </w:rPr>
              <w:t>Change(s)</w:t>
            </w:r>
          </w:p>
        </w:tc>
        <w:tc>
          <w:tcPr>
            <w:tcW w:w="1427" w:type="dxa"/>
          </w:tcPr>
          <w:p w14:paraId="48BAD12F" w14:textId="77777777" w:rsidR="007676F4" w:rsidRPr="00A9357F" w:rsidRDefault="007676F4" w:rsidP="008967B9">
            <w:pPr>
              <w:rPr>
                <w:b/>
                <w:caps/>
              </w:rPr>
            </w:pPr>
            <w:r>
              <w:rPr>
                <w:b/>
                <w:caps/>
              </w:rPr>
              <w:t>MB #</w:t>
            </w:r>
          </w:p>
        </w:tc>
      </w:tr>
      <w:tr w:rsidR="007676F4" w14:paraId="73485C4C" w14:textId="77777777" w:rsidTr="008967B9">
        <w:tc>
          <w:tcPr>
            <w:tcW w:w="1435" w:type="dxa"/>
          </w:tcPr>
          <w:p w14:paraId="5D703655" w14:textId="32ADF81C" w:rsidR="007676F4" w:rsidRDefault="007676F4" w:rsidP="008967B9">
            <w:r>
              <w:fldChar w:fldCharType="begin"/>
            </w:r>
            <w:r>
              <w:instrText xml:space="preserve"> DATE  \@ "M/d/yyyy"  \* MERGEFORMAT </w:instrText>
            </w:r>
            <w:r>
              <w:fldChar w:fldCharType="separate"/>
            </w:r>
            <w:r w:rsidR="00A804AE">
              <w:rPr>
                <w:noProof/>
              </w:rPr>
              <w:t>12/22/2022</w:t>
            </w:r>
            <w:r>
              <w:fldChar w:fldCharType="end"/>
            </w:r>
          </w:p>
        </w:tc>
        <w:tc>
          <w:tcPr>
            <w:tcW w:w="1530" w:type="dxa"/>
          </w:tcPr>
          <w:p w14:paraId="34E1322C" w14:textId="77777777" w:rsidR="007676F4" w:rsidRDefault="00E50C18" w:rsidP="008967B9">
            <w:r>
              <w:t>Cheryl Timmons</w:t>
            </w:r>
          </w:p>
        </w:tc>
        <w:tc>
          <w:tcPr>
            <w:tcW w:w="4958" w:type="dxa"/>
          </w:tcPr>
          <w:p w14:paraId="3E4E8CEA" w14:textId="57142BE1" w:rsidR="007676F4" w:rsidRDefault="009C17BC" w:rsidP="008967B9">
            <w:r>
              <w:t>Updated language of Good Cause process and added language to include CDE providers</w:t>
            </w:r>
          </w:p>
        </w:tc>
        <w:tc>
          <w:tcPr>
            <w:tcW w:w="1427" w:type="dxa"/>
          </w:tcPr>
          <w:p w14:paraId="6680B90F" w14:textId="77777777" w:rsidR="007676F4" w:rsidRDefault="00E50C18" w:rsidP="008967B9">
            <w:r>
              <w:t>n/a</w:t>
            </w:r>
          </w:p>
        </w:tc>
      </w:tr>
    </w:tbl>
    <w:p w14:paraId="3A09C65F" w14:textId="77777777" w:rsidR="003C1FD0" w:rsidRDefault="003C1FD0" w:rsidP="003C1FD0"/>
    <w:p w14:paraId="240C009B" w14:textId="77777777" w:rsidR="00E45F93" w:rsidRDefault="00E45F93" w:rsidP="007676F4">
      <w:pPr>
        <w:rPr>
          <w:rFonts w:ascii="Century Gothic" w:eastAsiaTheme="majorEastAsia" w:hAnsi="Century Gothic" w:cstheme="majorBidi"/>
          <w:color w:val="005CAB"/>
          <w:sz w:val="26"/>
          <w:szCs w:val="26"/>
        </w:rPr>
      </w:pPr>
    </w:p>
    <w:p w14:paraId="7B8008D5" w14:textId="77777777" w:rsidR="007676F4" w:rsidRDefault="007676F4" w:rsidP="007676F4">
      <w:pPr>
        <w:pStyle w:val="Heading2"/>
      </w:pPr>
      <w:bookmarkStart w:id="53" w:name="_Toc24111204"/>
      <w:r>
        <w:t>Appendix</w:t>
      </w:r>
      <w:bookmarkEnd w:id="53"/>
      <w:r>
        <w:t xml:space="preserve"> </w:t>
      </w:r>
    </w:p>
    <w:p w14:paraId="79DFBB00" w14:textId="77777777" w:rsidR="00E50C18" w:rsidRPr="00743760" w:rsidRDefault="00A804AE" w:rsidP="00E50C18">
      <w:pPr>
        <w:pStyle w:val="ListParagraph"/>
        <w:numPr>
          <w:ilvl w:val="0"/>
          <w:numId w:val="29"/>
        </w:numPr>
        <w:spacing w:line="252" w:lineRule="auto"/>
        <w:contextualSpacing/>
        <w:rPr>
          <w:rFonts w:cs="Arial"/>
          <w:bCs/>
        </w:rPr>
      </w:pPr>
      <w:hyperlink r:id="rId23" w:history="1">
        <w:r w:rsidR="00E50C18" w:rsidRPr="001F5CDD">
          <w:rPr>
            <w:rStyle w:val="Hyperlink"/>
            <w:rFonts w:cs="Arial"/>
            <w:bCs/>
          </w:rPr>
          <w:t>12-210</w:t>
        </w:r>
      </w:hyperlink>
      <w:r w:rsidR="00E50C18" w:rsidRPr="00743760">
        <w:rPr>
          <w:rFonts w:cs="Arial"/>
          <w:bCs/>
        </w:rPr>
        <w:t xml:space="preserve"> Provider Fraud Referral Form, </w:t>
      </w:r>
    </w:p>
    <w:p w14:paraId="1715F74C" w14:textId="77777777" w:rsidR="00E50C18" w:rsidRPr="00743760" w:rsidRDefault="00A804AE" w:rsidP="00E50C18">
      <w:pPr>
        <w:pStyle w:val="ListParagraph"/>
        <w:numPr>
          <w:ilvl w:val="0"/>
          <w:numId w:val="29"/>
        </w:numPr>
        <w:spacing w:line="252" w:lineRule="auto"/>
        <w:contextualSpacing/>
        <w:rPr>
          <w:rFonts w:cs="Arial"/>
          <w:bCs/>
        </w:rPr>
      </w:pPr>
      <w:hyperlink r:id="rId24" w:history="1">
        <w:r w:rsidR="00E50C18" w:rsidRPr="001F5CDD">
          <w:rPr>
            <w:rStyle w:val="Hyperlink"/>
            <w:rFonts w:cs="Arial"/>
            <w:bCs/>
          </w:rPr>
          <w:t>12-209</w:t>
        </w:r>
      </w:hyperlink>
      <w:r w:rsidR="00E50C18" w:rsidRPr="00743760">
        <w:rPr>
          <w:rFonts w:cs="Arial"/>
          <w:bCs/>
        </w:rPr>
        <w:t xml:space="preserve"> Client Fraud Referral Form, </w:t>
      </w:r>
    </w:p>
    <w:p w14:paraId="40BCE1AC" w14:textId="77777777" w:rsidR="00E50C18" w:rsidRPr="00743760" w:rsidRDefault="00A804AE" w:rsidP="00E50C18">
      <w:pPr>
        <w:pStyle w:val="ListParagraph"/>
        <w:numPr>
          <w:ilvl w:val="0"/>
          <w:numId w:val="29"/>
        </w:numPr>
        <w:spacing w:line="252" w:lineRule="auto"/>
        <w:contextualSpacing/>
        <w:rPr>
          <w:rFonts w:cs="Arial"/>
          <w:bCs/>
        </w:rPr>
      </w:pPr>
      <w:hyperlink w:anchor="FREDScreenshots" w:history="1">
        <w:r w:rsidR="00E50C18" w:rsidRPr="001F5CDD">
          <w:rPr>
            <w:rStyle w:val="Hyperlink"/>
            <w:rFonts w:cs="Arial"/>
            <w:bCs/>
          </w:rPr>
          <w:t>FRED</w:t>
        </w:r>
      </w:hyperlink>
      <w:r w:rsidR="00E50C18" w:rsidRPr="00743760">
        <w:rPr>
          <w:rFonts w:cs="Arial"/>
          <w:bCs/>
        </w:rPr>
        <w:t xml:space="preserve"> link in Barcode (screenshot), </w:t>
      </w:r>
    </w:p>
    <w:p w14:paraId="292A4CC4" w14:textId="77777777" w:rsidR="003C1FD0" w:rsidRPr="00FB4A02" w:rsidRDefault="00A804AE" w:rsidP="00DD039F">
      <w:pPr>
        <w:pStyle w:val="ListParagraph"/>
        <w:numPr>
          <w:ilvl w:val="0"/>
          <w:numId w:val="29"/>
        </w:numPr>
        <w:spacing w:line="252" w:lineRule="auto"/>
        <w:contextualSpacing/>
      </w:pPr>
      <w:hyperlink w:anchor="CaseExamples" w:history="1">
        <w:r w:rsidR="00E50C18" w:rsidRPr="00742AE0">
          <w:rPr>
            <w:rStyle w:val="Hyperlink"/>
            <w:rFonts w:cs="Arial"/>
            <w:bCs/>
          </w:rPr>
          <w:t>Provider Fraud Fact Sheet</w:t>
        </w:r>
      </w:hyperlink>
      <w:r w:rsidR="00E50C18" w:rsidRPr="00742AE0">
        <w:rPr>
          <w:rFonts w:cs="Arial"/>
          <w:bCs/>
        </w:rPr>
        <w:t xml:space="preserve"> – November 2014</w:t>
      </w:r>
    </w:p>
    <w:p w14:paraId="56CFC767" w14:textId="77777777" w:rsidR="00FB4A02" w:rsidRPr="00A068A6" w:rsidRDefault="00A804AE" w:rsidP="00DD039F">
      <w:pPr>
        <w:pStyle w:val="ListParagraph"/>
        <w:numPr>
          <w:ilvl w:val="0"/>
          <w:numId w:val="29"/>
        </w:numPr>
        <w:spacing w:line="252" w:lineRule="auto"/>
        <w:contextualSpacing/>
      </w:pPr>
      <w:hyperlink r:id="rId25" w:history="1">
        <w:r w:rsidR="00FB4A02" w:rsidRPr="00965671">
          <w:rPr>
            <w:rStyle w:val="Hyperlink"/>
            <w:rFonts w:cs="Arial"/>
            <w:bCs/>
          </w:rPr>
          <w:t>16-198</w:t>
        </w:r>
      </w:hyperlink>
      <w:r w:rsidR="00FB4A02">
        <w:rPr>
          <w:rFonts w:cs="Arial"/>
          <w:bCs/>
        </w:rPr>
        <w:t xml:space="preserve"> Individual Provider Notification </w:t>
      </w:r>
    </w:p>
    <w:p w14:paraId="7C21B034" w14:textId="77777777" w:rsidR="00A068A6" w:rsidRPr="00AA4F7B" w:rsidRDefault="00A804AE" w:rsidP="00DD039F">
      <w:pPr>
        <w:pStyle w:val="ListParagraph"/>
        <w:numPr>
          <w:ilvl w:val="0"/>
          <w:numId w:val="29"/>
        </w:numPr>
        <w:spacing w:line="252" w:lineRule="auto"/>
        <w:contextualSpacing/>
      </w:pPr>
      <w:hyperlink r:id="rId26" w:history="1">
        <w:r w:rsidR="00A068A6" w:rsidRPr="00D76208">
          <w:rPr>
            <w:rStyle w:val="Hyperlink"/>
            <w:rFonts w:cs="Arial"/>
            <w:bCs/>
          </w:rPr>
          <w:t>H17-023</w:t>
        </w:r>
      </w:hyperlink>
      <w:r w:rsidR="00A068A6">
        <w:rPr>
          <w:rFonts w:cs="Arial"/>
          <w:bCs/>
        </w:rPr>
        <w:t xml:space="preserve"> (Amended 5/22/2017)</w:t>
      </w:r>
    </w:p>
    <w:sectPr w:rsidR="00A068A6" w:rsidRPr="00AA4F7B" w:rsidSect="001003ED">
      <w:headerReference w:type="default" r:id="rId27"/>
      <w:footerReference w:type="default" r:id="rId28"/>
      <w:type w:val="continuous"/>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193C" w14:textId="77777777" w:rsidR="00DF239D" w:rsidRDefault="00DF239D" w:rsidP="00471F01">
      <w:r>
        <w:separator/>
      </w:r>
    </w:p>
    <w:p w14:paraId="3016FF4B" w14:textId="77777777" w:rsidR="00DF239D" w:rsidRDefault="00DF239D"/>
  </w:endnote>
  <w:endnote w:type="continuationSeparator" w:id="0">
    <w:p w14:paraId="03A2AEA2" w14:textId="77777777" w:rsidR="00DF239D" w:rsidRDefault="00DF239D" w:rsidP="00471F01">
      <w:r>
        <w:continuationSeparator/>
      </w:r>
    </w:p>
    <w:p w14:paraId="1312356D" w14:textId="77777777" w:rsidR="00DF239D" w:rsidRDefault="00DF2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6511" w14:textId="77777777" w:rsidR="008967B9" w:rsidRDefault="008967B9" w:rsidP="00471F01"/>
  <w:p w14:paraId="5F050E9F"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600ED49C" w14:textId="0ADAB719"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7A5A8C">
          <w:rPr>
            <w:rFonts w:ascii="Cambria" w:hAnsi="Cambria"/>
            <w:caps/>
          </w:rPr>
          <w:t>chapter 28</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4251C9">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C243FC">
          <w:rPr>
            <w:rFonts w:ascii="Cambria" w:hAnsi="Cambria"/>
            <w:i/>
            <w:sz w:val="18"/>
            <w:szCs w:val="18"/>
          </w:rPr>
          <w:t>11/</w:t>
        </w:r>
        <w:r w:rsidR="008F571C">
          <w:rPr>
            <w:rFonts w:ascii="Cambria" w:hAnsi="Cambria"/>
            <w:i/>
            <w:sz w:val="18"/>
            <w:szCs w:val="18"/>
          </w:rPr>
          <w:t>1</w:t>
        </w:r>
        <w:r w:rsidR="00C243FC">
          <w:rPr>
            <w:rFonts w:ascii="Cambria" w:hAnsi="Cambria"/>
            <w:i/>
            <w:sz w:val="18"/>
            <w:szCs w:val="18"/>
          </w:rPr>
          <w:t>/20</w:t>
        </w:r>
        <w:r w:rsidR="008F571C">
          <w:rPr>
            <w:rFonts w:ascii="Cambria" w:hAnsi="Cambria"/>
            <w:i/>
            <w:sz w:val="18"/>
            <w:szCs w:val="18"/>
          </w:rPr>
          <w:t>22</w:t>
        </w:r>
      </w:sdtContent>
    </w:sdt>
  </w:p>
  <w:p w14:paraId="33FF3F43"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248C" w14:textId="77777777" w:rsidR="00DF239D" w:rsidRDefault="00DF239D" w:rsidP="00471F01">
      <w:r>
        <w:separator/>
      </w:r>
    </w:p>
  </w:footnote>
  <w:footnote w:type="continuationSeparator" w:id="0">
    <w:p w14:paraId="14CDA534" w14:textId="77777777" w:rsidR="00DF239D" w:rsidRDefault="00DF239D" w:rsidP="00471F01">
      <w:r>
        <w:continuationSeparator/>
      </w:r>
    </w:p>
    <w:p w14:paraId="30476614" w14:textId="77777777" w:rsidR="00DF239D" w:rsidRDefault="00DF239D"/>
  </w:footnote>
  <w:footnote w:id="1">
    <w:p w14:paraId="0699A55A" w14:textId="77777777" w:rsidR="00BB20DB" w:rsidRPr="00A60CA6" w:rsidRDefault="00BB20DB" w:rsidP="00A60CA6">
      <w:pPr>
        <w:pStyle w:val="FootnoteText"/>
        <w:rPr>
          <w:rFonts w:asciiTheme="minorHAnsi" w:hAnsiTheme="minorHAnsi" w:cstheme="minorHAnsi"/>
          <w:i/>
        </w:rPr>
      </w:pPr>
      <w:r w:rsidRPr="00A60CA6">
        <w:rPr>
          <w:rStyle w:val="FootnoteReference"/>
          <w:rFonts w:asciiTheme="minorHAnsi" w:hAnsiTheme="minorHAnsi" w:cstheme="minorHAnsi"/>
          <w:i/>
        </w:rPr>
        <w:footnoteRef/>
      </w:r>
      <w:r w:rsidRPr="00A60CA6">
        <w:rPr>
          <w:rFonts w:asciiTheme="minorHAnsi" w:hAnsiTheme="minorHAnsi" w:cstheme="minorHAnsi"/>
          <w:i/>
        </w:rPr>
        <w:t xml:space="preserve"> Source: 42 CFR 455.13</w:t>
      </w:r>
    </w:p>
  </w:footnote>
  <w:footnote w:id="2">
    <w:p w14:paraId="4F691495" w14:textId="77777777" w:rsidR="00BB20DB" w:rsidRPr="00A60CA6" w:rsidRDefault="00BB20DB" w:rsidP="00BB20DB">
      <w:pPr>
        <w:rPr>
          <w:rFonts w:asciiTheme="minorHAnsi" w:hAnsiTheme="minorHAnsi"/>
          <w:i/>
          <w:sz w:val="20"/>
          <w:szCs w:val="20"/>
        </w:rPr>
      </w:pPr>
      <w:r w:rsidRPr="00A60CA6">
        <w:rPr>
          <w:rStyle w:val="FootnoteReference"/>
          <w:rFonts w:asciiTheme="minorHAnsi" w:hAnsiTheme="minorHAnsi" w:cstheme="minorHAnsi"/>
          <w:i/>
          <w:sz w:val="20"/>
          <w:szCs w:val="20"/>
        </w:rPr>
        <w:footnoteRef/>
      </w:r>
      <w:r w:rsidRPr="00A60CA6">
        <w:rPr>
          <w:rFonts w:asciiTheme="minorHAnsi" w:hAnsiTheme="minorHAnsi" w:cstheme="minorHAnsi"/>
          <w:i/>
          <w:sz w:val="20"/>
          <w:szCs w:val="20"/>
        </w:rPr>
        <w:t xml:space="preserve"> Source: 42 CFR 455.14</w:t>
      </w:r>
    </w:p>
  </w:footnote>
  <w:footnote w:id="3">
    <w:p w14:paraId="0D477C63" w14:textId="77777777" w:rsidR="00BB20DB" w:rsidRPr="00A60CA6" w:rsidRDefault="00BB20DB">
      <w:pPr>
        <w:pStyle w:val="FootnoteText"/>
        <w:rPr>
          <w:rFonts w:asciiTheme="minorHAnsi" w:hAnsiTheme="minorHAnsi"/>
          <w:i/>
        </w:rPr>
      </w:pPr>
      <w:r w:rsidRPr="00A60CA6">
        <w:rPr>
          <w:rStyle w:val="FootnoteReference"/>
          <w:rFonts w:asciiTheme="minorHAnsi" w:hAnsiTheme="minorHAnsi"/>
          <w:i/>
        </w:rPr>
        <w:footnoteRef/>
      </w:r>
      <w:r w:rsidRPr="00A60CA6">
        <w:rPr>
          <w:rFonts w:asciiTheme="minorHAnsi" w:hAnsiTheme="minorHAnsi"/>
          <w:i/>
        </w:rPr>
        <w:t xml:space="preserve"> Source: 42 CFR 455.15</w:t>
      </w:r>
    </w:p>
  </w:footnote>
  <w:footnote w:id="4">
    <w:p w14:paraId="0A7B96CB" w14:textId="77777777" w:rsidR="00BB20DB" w:rsidRPr="00A60CA6" w:rsidRDefault="00BB20DB">
      <w:pPr>
        <w:pStyle w:val="FootnoteText"/>
        <w:rPr>
          <w:rFonts w:asciiTheme="minorHAnsi" w:hAnsiTheme="minorHAnsi" w:cstheme="minorHAnsi"/>
          <w:i/>
        </w:rPr>
      </w:pPr>
      <w:r w:rsidRPr="00A60CA6">
        <w:rPr>
          <w:rStyle w:val="FootnoteReference"/>
          <w:rFonts w:asciiTheme="minorHAnsi" w:hAnsiTheme="minorHAnsi" w:cstheme="minorHAnsi"/>
          <w:i/>
        </w:rPr>
        <w:footnoteRef/>
      </w:r>
      <w:r w:rsidRPr="00A60CA6">
        <w:rPr>
          <w:rFonts w:asciiTheme="minorHAnsi" w:hAnsiTheme="minorHAnsi" w:cstheme="minorHAnsi"/>
          <w:i/>
        </w:rPr>
        <w:t xml:space="preserve"> Source: </w:t>
      </w:r>
      <w:hyperlink r:id="rId1" w:history="1">
        <w:r w:rsidRPr="00A60CA6">
          <w:rPr>
            <w:rStyle w:val="Hyperlink"/>
            <w:rFonts w:asciiTheme="minorHAnsi" w:hAnsiTheme="minorHAnsi" w:cstheme="minorHAnsi"/>
            <w:i/>
          </w:rPr>
          <w:t>http://www.atg.wa.gov/medicaid-fraud</w:t>
        </w:r>
      </w:hyperlink>
    </w:p>
  </w:footnote>
  <w:footnote w:id="5">
    <w:p w14:paraId="42549F65" w14:textId="77777777" w:rsidR="0056273A" w:rsidRPr="00A60CA6" w:rsidRDefault="0056273A" w:rsidP="00742AE0">
      <w:pPr>
        <w:rPr>
          <w:rFonts w:asciiTheme="minorHAnsi" w:hAnsiTheme="minorHAnsi"/>
          <w:i/>
          <w:sz w:val="20"/>
          <w:szCs w:val="20"/>
        </w:rPr>
      </w:pPr>
      <w:r w:rsidRPr="00A60CA6">
        <w:rPr>
          <w:rStyle w:val="FootnoteReference"/>
          <w:rFonts w:asciiTheme="minorHAnsi" w:hAnsiTheme="minorHAnsi"/>
          <w:i/>
          <w:sz w:val="20"/>
          <w:szCs w:val="20"/>
        </w:rPr>
        <w:footnoteRef/>
      </w:r>
      <w:r w:rsidRPr="00A60CA6">
        <w:rPr>
          <w:rFonts w:asciiTheme="minorHAnsi" w:hAnsiTheme="minorHAnsi"/>
          <w:i/>
          <w:sz w:val="20"/>
          <w:szCs w:val="20"/>
        </w:rPr>
        <w:t xml:space="preserve"> Source: 42 CFR 455.14</w:t>
      </w:r>
    </w:p>
  </w:footnote>
  <w:footnote w:id="6">
    <w:p w14:paraId="4373C1A1" w14:textId="77777777" w:rsidR="003D44EC" w:rsidRPr="003D44EC" w:rsidRDefault="003D44EC">
      <w:pPr>
        <w:pStyle w:val="FootnoteText"/>
        <w:rPr>
          <w:rFonts w:asciiTheme="minorHAnsi" w:hAnsiTheme="minorHAnsi"/>
          <w:i/>
        </w:rPr>
      </w:pPr>
      <w:r w:rsidRPr="003D44EC">
        <w:rPr>
          <w:rStyle w:val="FootnoteReference"/>
          <w:rFonts w:asciiTheme="minorHAnsi" w:hAnsiTheme="minorHAnsi"/>
          <w:i/>
        </w:rPr>
        <w:footnoteRef/>
      </w:r>
      <w:r w:rsidRPr="003D44EC">
        <w:rPr>
          <w:rFonts w:asciiTheme="minorHAnsi" w:hAnsiTheme="minorHAnsi"/>
          <w:i/>
        </w:rPr>
        <w:t xml:space="preserve"> Source: 42 CFR 455.23(e)</w:t>
      </w:r>
    </w:p>
  </w:footnote>
  <w:footnote w:id="7">
    <w:p w14:paraId="4AD81275" w14:textId="77777777" w:rsidR="00553141" w:rsidRPr="00A60CA6" w:rsidRDefault="00553141" w:rsidP="00553141">
      <w:pPr>
        <w:pStyle w:val="FootnoteText"/>
        <w:rPr>
          <w:rFonts w:asciiTheme="minorHAnsi" w:hAnsiTheme="minorHAnsi"/>
          <w:i/>
        </w:rPr>
      </w:pPr>
      <w:r w:rsidRPr="00A60CA6">
        <w:rPr>
          <w:rStyle w:val="FootnoteReference"/>
          <w:rFonts w:asciiTheme="minorHAnsi" w:hAnsiTheme="minorHAnsi"/>
          <w:i/>
        </w:rPr>
        <w:footnoteRef/>
      </w:r>
      <w:r w:rsidRPr="00A60CA6">
        <w:rPr>
          <w:rFonts w:asciiTheme="minorHAnsi" w:hAnsiTheme="minorHAnsi"/>
          <w:i/>
        </w:rPr>
        <w:t xml:space="preserve"> Source: 42 CFR 455.23(f)</w:t>
      </w:r>
    </w:p>
  </w:footnote>
  <w:footnote w:id="8">
    <w:p w14:paraId="5E48EB98" w14:textId="77777777" w:rsidR="00BE1E20" w:rsidRPr="00D544B1" w:rsidRDefault="00BE1E20" w:rsidP="00742AE0">
      <w:r w:rsidRPr="00A60CA6">
        <w:rPr>
          <w:rStyle w:val="FootnoteReference"/>
          <w:rFonts w:asciiTheme="minorHAnsi" w:hAnsiTheme="minorHAnsi"/>
          <w:i/>
          <w:sz w:val="20"/>
          <w:szCs w:val="20"/>
        </w:rPr>
        <w:footnoteRef/>
      </w:r>
      <w:r w:rsidRPr="00A60CA6">
        <w:rPr>
          <w:rFonts w:asciiTheme="minorHAnsi" w:hAnsiTheme="minorHAnsi"/>
          <w:i/>
          <w:sz w:val="20"/>
          <w:szCs w:val="20"/>
        </w:rPr>
        <w:t xml:space="preserve"> Source: 42 CFR 455.16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8967B9" w14:paraId="0D050AF5" w14:textId="77777777" w:rsidTr="00471F01">
      <w:tc>
        <w:tcPr>
          <w:tcW w:w="7164" w:type="dxa"/>
        </w:tcPr>
        <w:p w14:paraId="3A2AA365" w14:textId="77777777" w:rsidR="008967B9" w:rsidRPr="00651643" w:rsidRDefault="008967B9" w:rsidP="00471F01">
          <w:pPr>
            <w:pStyle w:val="Header"/>
            <w:rPr>
              <w:rFonts w:ascii="Cambria" w:hAnsi="Cambria"/>
              <w:b/>
              <w:caps/>
              <w:color w:val="0F5EA3"/>
              <w:sz w:val="24"/>
              <w:szCs w:val="24"/>
            </w:rPr>
          </w:pPr>
          <w:r w:rsidRPr="00651643">
            <w:rPr>
              <w:rFonts w:ascii="Cambria" w:hAnsi="Cambria"/>
              <w:b/>
              <w:caps/>
              <w:color w:val="0F5EA3"/>
              <w:sz w:val="24"/>
              <w:szCs w:val="24"/>
            </w:rPr>
            <w:t xml:space="preserve">Chapter </w:t>
          </w:r>
          <w:sdt>
            <w:sdtPr>
              <w:rPr>
                <w:rFonts w:ascii="Cambria" w:hAnsi="Cambria"/>
                <w:color w:val="0F5EA3"/>
                <w:sz w:val="24"/>
                <w:szCs w:val="24"/>
              </w:rPr>
              <w:id w:val="-1743705513"/>
              <w15:appearance w15:val="hidden"/>
              <w:text/>
            </w:sdtPr>
            <w:sdtEndPr/>
            <w:sdtContent>
              <w:r w:rsidR="007A5A8C">
                <w:rPr>
                  <w:rFonts w:ascii="Cambria" w:hAnsi="Cambria"/>
                  <w:color w:val="0F5EA3"/>
                  <w:sz w:val="24"/>
                  <w:szCs w:val="24"/>
                </w:rPr>
                <w:t>28</w:t>
              </w:r>
            </w:sdtContent>
          </w:sdt>
          <w:r w:rsidRPr="00651643">
            <w:rPr>
              <w:rFonts w:ascii="Cambria" w:hAnsi="Cambria"/>
              <w:b/>
              <w:caps/>
              <w:color w:val="0F5EA3"/>
              <w:sz w:val="24"/>
              <w:szCs w:val="24"/>
            </w:rPr>
            <w:t xml:space="preserve">:  </w:t>
          </w:r>
          <w:sdt>
            <w:sdtPr>
              <w:rPr>
                <w:rFonts w:ascii="Cambria" w:hAnsi="Cambria"/>
                <w:color w:val="0F5EA3"/>
                <w:sz w:val="24"/>
                <w:szCs w:val="24"/>
              </w:rPr>
              <w:id w:val="-1591624033"/>
              <w:text/>
            </w:sdtPr>
            <w:sdtEndPr/>
            <w:sdtContent>
              <w:r w:rsidR="007A5A8C">
                <w:rPr>
                  <w:rFonts w:ascii="Cambria" w:hAnsi="Cambria"/>
                  <w:color w:val="0F5EA3"/>
                  <w:sz w:val="24"/>
                  <w:szCs w:val="24"/>
                </w:rPr>
                <w:t>Medicaid Fraud</w:t>
              </w:r>
            </w:sdtContent>
          </w:sdt>
        </w:p>
        <w:p w14:paraId="10CB1B08" w14:textId="77777777" w:rsidR="008967B9" w:rsidRPr="00C41133" w:rsidRDefault="008967B9"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5AD8C45E" w14:textId="77777777" w:rsidR="008967B9" w:rsidRDefault="008967B9" w:rsidP="00471F01">
          <w:pPr>
            <w:pStyle w:val="Header"/>
            <w:rPr>
              <w:rFonts w:ascii="Cambria" w:hAnsi="Cambria"/>
              <w:b/>
              <w:caps/>
            </w:rPr>
          </w:pPr>
        </w:p>
      </w:tc>
      <w:tc>
        <w:tcPr>
          <w:tcW w:w="2196" w:type="dxa"/>
        </w:tcPr>
        <w:p w14:paraId="48F22868" w14:textId="77777777" w:rsidR="008967B9" w:rsidRDefault="008967B9" w:rsidP="00471F01">
          <w:pPr>
            <w:pStyle w:val="Header"/>
            <w:rPr>
              <w:rFonts w:ascii="Cambria" w:hAnsi="Cambria"/>
              <w:b/>
              <w:caps/>
            </w:rPr>
          </w:pPr>
          <w:r>
            <w:rPr>
              <w:rFonts w:ascii="Arial" w:hAnsi="Arial" w:cs="Arial"/>
              <w:noProof/>
              <w:color w:val="FFFFFF"/>
              <w:sz w:val="20"/>
            </w:rPr>
            <w:drawing>
              <wp:inline distT="0" distB="0" distL="0" distR="0" wp14:anchorId="0DF3EE31" wp14:editId="62057656">
                <wp:extent cx="1252728" cy="685800"/>
                <wp:effectExtent l="0" t="0" r="508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8967B9" w14:paraId="37231381" w14:textId="77777777" w:rsidTr="00471F01">
      <w:tc>
        <w:tcPr>
          <w:tcW w:w="9360" w:type="dxa"/>
          <w:gridSpan w:val="2"/>
          <w:shd w:val="clear" w:color="auto" w:fill="E89719"/>
        </w:tcPr>
        <w:p w14:paraId="1581FF12" w14:textId="77777777" w:rsidR="008967B9" w:rsidRPr="000D6D48" w:rsidRDefault="008967B9" w:rsidP="00471F01">
          <w:pPr>
            <w:pStyle w:val="Header"/>
            <w:rPr>
              <w:rFonts w:ascii="Arial" w:hAnsi="Arial" w:cs="Arial"/>
              <w:noProof/>
              <w:color w:val="FFFFFF"/>
              <w:sz w:val="4"/>
              <w:szCs w:val="20"/>
            </w:rPr>
          </w:pPr>
        </w:p>
      </w:tc>
    </w:tr>
  </w:tbl>
  <w:p w14:paraId="57B01E05" w14:textId="77777777" w:rsidR="008967B9" w:rsidRDefault="008967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7FC"/>
    <w:multiLevelType w:val="hybridMultilevel"/>
    <w:tmpl w:val="11D4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4149"/>
    <w:multiLevelType w:val="multilevel"/>
    <w:tmpl w:val="93EA1444"/>
    <w:name w:val="Numbering22222"/>
    <w:numStyleLink w:val="Style1"/>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0E3248D1"/>
    <w:multiLevelType w:val="hybridMultilevel"/>
    <w:tmpl w:val="F4B8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6" w15:restartNumberingAfterBreak="0">
    <w:nsid w:val="178749E0"/>
    <w:multiLevelType w:val="multilevel"/>
    <w:tmpl w:val="8CD42D26"/>
    <w:name w:val="Numbering2222222222"/>
    <w:numStyleLink w:val="NumericList"/>
  </w:abstractNum>
  <w:abstractNum w:abstractNumId="7"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2C2171"/>
    <w:multiLevelType w:val="hybridMultilevel"/>
    <w:tmpl w:val="326485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1" w15:restartNumberingAfterBreak="0">
    <w:nsid w:val="2AB34A1A"/>
    <w:multiLevelType w:val="multilevel"/>
    <w:tmpl w:val="8CD42D26"/>
    <w:name w:val="Numbering222222222"/>
    <w:numStyleLink w:val="NumericList"/>
  </w:abstractNum>
  <w:abstractNum w:abstractNumId="12" w15:restartNumberingAfterBreak="0">
    <w:nsid w:val="2C1D004C"/>
    <w:multiLevelType w:val="multilevel"/>
    <w:tmpl w:val="8CD42D26"/>
    <w:name w:val="Numbering2222222222222"/>
    <w:numStyleLink w:val="NumericList"/>
  </w:abstractNum>
  <w:abstractNum w:abstractNumId="13"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5" w15:restartNumberingAfterBreak="0">
    <w:nsid w:val="3ACE303E"/>
    <w:multiLevelType w:val="hybridMultilevel"/>
    <w:tmpl w:val="F946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17" w15:restartNumberingAfterBreak="0">
    <w:nsid w:val="4A4B72B4"/>
    <w:multiLevelType w:val="multilevel"/>
    <w:tmpl w:val="8CD42D26"/>
    <w:name w:val="Numbering222222222222"/>
    <w:numStyleLink w:val="NumericList"/>
  </w:abstractNum>
  <w:abstractNum w:abstractNumId="18" w15:restartNumberingAfterBreak="0">
    <w:nsid w:val="4C6325BD"/>
    <w:multiLevelType w:val="hybridMultilevel"/>
    <w:tmpl w:val="6FB0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50CA0"/>
    <w:multiLevelType w:val="hybridMultilevel"/>
    <w:tmpl w:val="1ABA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01087"/>
    <w:multiLevelType w:val="hybridMultilevel"/>
    <w:tmpl w:val="5980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B5317"/>
    <w:multiLevelType w:val="multilevel"/>
    <w:tmpl w:val="93EA1444"/>
    <w:name w:val="Numbering2"/>
    <w:numStyleLink w:val="Style1"/>
  </w:abstractNum>
  <w:abstractNum w:abstractNumId="22" w15:restartNumberingAfterBreak="0">
    <w:nsid w:val="571B627B"/>
    <w:multiLevelType w:val="hybridMultilevel"/>
    <w:tmpl w:val="B0C4C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F40D4"/>
    <w:multiLevelType w:val="multilevel"/>
    <w:tmpl w:val="8CD42D26"/>
    <w:name w:val="Numbering22222222222"/>
    <w:numStyleLink w:val="NumericList"/>
  </w:abstractNum>
  <w:abstractNum w:abstractNumId="24"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6"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7"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28" w15:restartNumberingAfterBreak="0">
    <w:nsid w:val="60DB02DF"/>
    <w:multiLevelType w:val="hybridMultilevel"/>
    <w:tmpl w:val="C926635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61013FDE"/>
    <w:multiLevelType w:val="multilevel"/>
    <w:tmpl w:val="93EA1444"/>
    <w:name w:val="Numbering22"/>
    <w:numStyleLink w:val="Style1"/>
  </w:abstractNum>
  <w:abstractNum w:abstractNumId="30" w15:restartNumberingAfterBreak="0">
    <w:nsid w:val="63796833"/>
    <w:multiLevelType w:val="multilevel"/>
    <w:tmpl w:val="93EA1444"/>
    <w:name w:val="Numbering222"/>
    <w:numStyleLink w:val="Style1"/>
  </w:abstractNum>
  <w:abstractNum w:abstractNumId="31"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2" w15:restartNumberingAfterBreak="0">
    <w:nsid w:val="653B5326"/>
    <w:multiLevelType w:val="hybridMultilevel"/>
    <w:tmpl w:val="3E3C0C1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D5B7A"/>
    <w:multiLevelType w:val="hybridMultilevel"/>
    <w:tmpl w:val="44F2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55D43"/>
    <w:multiLevelType w:val="hybridMultilevel"/>
    <w:tmpl w:val="24067338"/>
    <w:lvl w:ilvl="0" w:tplc="2AEE3300">
      <w:start w:val="1"/>
      <w:numFmt w:val="bullet"/>
      <w:lvlText w:val=""/>
      <w:lvlJc w:val="left"/>
      <w:pPr>
        <w:ind w:left="3240" w:hanging="360"/>
      </w:pPr>
      <w:rPr>
        <w:rFonts w:ascii="Wingdings" w:hAnsi="Wingdings" w:hint="default"/>
        <w:sz w:val="22"/>
      </w:rPr>
    </w:lvl>
    <w:lvl w:ilvl="1" w:tplc="0409000B">
      <w:start w:val="1"/>
      <w:numFmt w:val="bullet"/>
      <w:lvlText w:val=""/>
      <w:lvlJc w:val="left"/>
      <w:pPr>
        <w:ind w:left="3960" w:hanging="360"/>
      </w:pPr>
      <w:rPr>
        <w:rFonts w:ascii="Wingdings" w:hAnsi="Wingdings" w:hint="default"/>
        <w:sz w:val="30"/>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36" w15:restartNumberingAfterBreak="0">
    <w:nsid w:val="7338071C"/>
    <w:multiLevelType w:val="hybridMultilevel"/>
    <w:tmpl w:val="FE384D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15:restartNumberingAfterBreak="0">
    <w:nsid w:val="76B3055C"/>
    <w:multiLevelType w:val="multilevel"/>
    <w:tmpl w:val="93EA1444"/>
    <w:name w:val="Numbering2222"/>
    <w:numStyleLink w:val="Style1"/>
  </w:abstractNum>
  <w:abstractNum w:abstractNumId="38"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39"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0"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845313492">
    <w:abstractNumId w:val="25"/>
  </w:num>
  <w:num w:numId="2" w16cid:durableId="1857386573">
    <w:abstractNumId w:val="31"/>
  </w:num>
  <w:num w:numId="3" w16cid:durableId="1686248101">
    <w:abstractNumId w:val="14"/>
  </w:num>
  <w:num w:numId="4" w16cid:durableId="43601053">
    <w:abstractNumId w:val="16"/>
  </w:num>
  <w:num w:numId="5" w16cid:durableId="787894674">
    <w:abstractNumId w:val="10"/>
  </w:num>
  <w:num w:numId="6" w16cid:durableId="1186865775">
    <w:abstractNumId w:val="40"/>
  </w:num>
  <w:num w:numId="7" w16cid:durableId="278727959">
    <w:abstractNumId w:val="26"/>
  </w:num>
  <w:num w:numId="8" w16cid:durableId="740760821">
    <w:abstractNumId w:val="39"/>
  </w:num>
  <w:num w:numId="9" w16cid:durableId="1301380472">
    <w:abstractNumId w:val="7"/>
  </w:num>
  <w:num w:numId="10" w16cid:durableId="37512188">
    <w:abstractNumId w:val="13"/>
  </w:num>
  <w:num w:numId="11" w16cid:durableId="45220959">
    <w:abstractNumId w:val="24"/>
  </w:num>
  <w:num w:numId="12" w16cid:durableId="1531067136">
    <w:abstractNumId w:val="8"/>
  </w:num>
  <w:num w:numId="13" w16cid:durableId="818887956">
    <w:abstractNumId w:val="2"/>
  </w:num>
  <w:num w:numId="14" w16cid:durableId="1275870909">
    <w:abstractNumId w:val="33"/>
  </w:num>
  <w:num w:numId="15" w16cid:durableId="1691443236">
    <w:abstractNumId w:val="33"/>
    <w:lvlOverride w:ilvl="0">
      <w:startOverride w:val="1"/>
    </w:lvlOverride>
  </w:num>
  <w:num w:numId="16" w16cid:durableId="1223063148">
    <w:abstractNumId w:val="33"/>
    <w:lvlOverride w:ilvl="0">
      <w:startOverride w:val="1"/>
    </w:lvlOverride>
  </w:num>
  <w:num w:numId="17" w16cid:durableId="330134962">
    <w:abstractNumId w:val="33"/>
    <w:lvlOverride w:ilvl="0">
      <w:startOverride w:val="1"/>
    </w:lvlOverride>
  </w:num>
  <w:num w:numId="18" w16cid:durableId="1208687402">
    <w:abstractNumId w:val="33"/>
    <w:lvlOverride w:ilvl="0">
      <w:startOverride w:val="1"/>
    </w:lvlOverride>
  </w:num>
  <w:num w:numId="19" w16cid:durableId="855967548">
    <w:abstractNumId w:val="33"/>
    <w:lvlOverride w:ilvl="0">
      <w:startOverride w:val="1"/>
    </w:lvlOverride>
  </w:num>
  <w:num w:numId="20" w16cid:durableId="1648394069">
    <w:abstractNumId w:val="33"/>
    <w:lvlOverride w:ilvl="0">
      <w:startOverride w:val="1"/>
    </w:lvlOverride>
  </w:num>
  <w:num w:numId="21" w16cid:durableId="752050832">
    <w:abstractNumId w:val="28"/>
  </w:num>
  <w:num w:numId="22" w16cid:durableId="393896710">
    <w:abstractNumId w:val="34"/>
  </w:num>
  <w:num w:numId="23" w16cid:durableId="1020592930">
    <w:abstractNumId w:val="22"/>
  </w:num>
  <w:num w:numId="24" w16cid:durableId="1095512067">
    <w:abstractNumId w:val="36"/>
  </w:num>
  <w:num w:numId="25" w16cid:durableId="1633944464">
    <w:abstractNumId w:val="19"/>
  </w:num>
  <w:num w:numId="26" w16cid:durableId="1799302900">
    <w:abstractNumId w:val="9"/>
  </w:num>
  <w:num w:numId="27" w16cid:durableId="133450765">
    <w:abstractNumId w:val="4"/>
  </w:num>
  <w:num w:numId="28" w16cid:durableId="1622222866">
    <w:abstractNumId w:val="35"/>
  </w:num>
  <w:num w:numId="29" w16cid:durableId="1774275602">
    <w:abstractNumId w:val="15"/>
  </w:num>
  <w:num w:numId="30" w16cid:durableId="1718702350">
    <w:abstractNumId w:val="0"/>
  </w:num>
  <w:num w:numId="31" w16cid:durableId="779684841">
    <w:abstractNumId w:val="32"/>
  </w:num>
  <w:num w:numId="32" w16cid:durableId="1193569412">
    <w:abstractNumId w:val="20"/>
  </w:num>
  <w:num w:numId="33" w16cid:durableId="24196040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6F"/>
    <w:rsid w:val="000058B7"/>
    <w:rsid w:val="00016E1B"/>
    <w:rsid w:val="00027F0E"/>
    <w:rsid w:val="0004523C"/>
    <w:rsid w:val="0008607E"/>
    <w:rsid w:val="000876D9"/>
    <w:rsid w:val="000B3142"/>
    <w:rsid w:val="000B450A"/>
    <w:rsid w:val="001003ED"/>
    <w:rsid w:val="00116F33"/>
    <w:rsid w:val="00142CC1"/>
    <w:rsid w:val="00143E1D"/>
    <w:rsid w:val="001540BA"/>
    <w:rsid w:val="0015545A"/>
    <w:rsid w:val="001559AE"/>
    <w:rsid w:val="00177BFC"/>
    <w:rsid w:val="001C34AE"/>
    <w:rsid w:val="001C4CE9"/>
    <w:rsid w:val="001D32E9"/>
    <w:rsid w:val="001E0B3E"/>
    <w:rsid w:val="001E61DA"/>
    <w:rsid w:val="001F3BE4"/>
    <w:rsid w:val="00214F73"/>
    <w:rsid w:val="00221F9E"/>
    <w:rsid w:val="0022545D"/>
    <w:rsid w:val="00235325"/>
    <w:rsid w:val="00255F2C"/>
    <w:rsid w:val="0026292C"/>
    <w:rsid w:val="00294DAE"/>
    <w:rsid w:val="00296C58"/>
    <w:rsid w:val="002A3D16"/>
    <w:rsid w:val="002B1BE6"/>
    <w:rsid w:val="002E0814"/>
    <w:rsid w:val="003072E6"/>
    <w:rsid w:val="00313B9E"/>
    <w:rsid w:val="003203B7"/>
    <w:rsid w:val="0032342A"/>
    <w:rsid w:val="003364F7"/>
    <w:rsid w:val="00367DD3"/>
    <w:rsid w:val="00393661"/>
    <w:rsid w:val="003C1FD0"/>
    <w:rsid w:val="003D44EC"/>
    <w:rsid w:val="003F72DF"/>
    <w:rsid w:val="00405BD7"/>
    <w:rsid w:val="004251C9"/>
    <w:rsid w:val="00445303"/>
    <w:rsid w:val="00450C89"/>
    <w:rsid w:val="00471DAD"/>
    <w:rsid w:val="00471F01"/>
    <w:rsid w:val="00492585"/>
    <w:rsid w:val="004F76B5"/>
    <w:rsid w:val="00505AAE"/>
    <w:rsid w:val="005279CD"/>
    <w:rsid w:val="00532257"/>
    <w:rsid w:val="00553141"/>
    <w:rsid w:val="0056273A"/>
    <w:rsid w:val="00580D26"/>
    <w:rsid w:val="00590106"/>
    <w:rsid w:val="005D74DB"/>
    <w:rsid w:val="005F3480"/>
    <w:rsid w:val="00603C7F"/>
    <w:rsid w:val="00612A13"/>
    <w:rsid w:val="0061711B"/>
    <w:rsid w:val="00620715"/>
    <w:rsid w:val="00651643"/>
    <w:rsid w:val="00664788"/>
    <w:rsid w:val="00670C51"/>
    <w:rsid w:val="00673802"/>
    <w:rsid w:val="0068458D"/>
    <w:rsid w:val="00684906"/>
    <w:rsid w:val="006B49A1"/>
    <w:rsid w:val="006E6FB2"/>
    <w:rsid w:val="006F7A7B"/>
    <w:rsid w:val="0073344B"/>
    <w:rsid w:val="00742AE0"/>
    <w:rsid w:val="00756FA9"/>
    <w:rsid w:val="007676F4"/>
    <w:rsid w:val="00776A39"/>
    <w:rsid w:val="007A5A8C"/>
    <w:rsid w:val="007C7FB6"/>
    <w:rsid w:val="007E4CEB"/>
    <w:rsid w:val="007E62CD"/>
    <w:rsid w:val="007F7F52"/>
    <w:rsid w:val="00801A8A"/>
    <w:rsid w:val="0081632F"/>
    <w:rsid w:val="008332DF"/>
    <w:rsid w:val="00836191"/>
    <w:rsid w:val="0083678A"/>
    <w:rsid w:val="00837725"/>
    <w:rsid w:val="008441C4"/>
    <w:rsid w:val="00852093"/>
    <w:rsid w:val="00860CCC"/>
    <w:rsid w:val="0086476F"/>
    <w:rsid w:val="00874174"/>
    <w:rsid w:val="008835C0"/>
    <w:rsid w:val="008967B9"/>
    <w:rsid w:val="008A21D5"/>
    <w:rsid w:val="008B6996"/>
    <w:rsid w:val="008C6E69"/>
    <w:rsid w:val="008E0ADA"/>
    <w:rsid w:val="008E44A0"/>
    <w:rsid w:val="008F367A"/>
    <w:rsid w:val="008F571C"/>
    <w:rsid w:val="00912C00"/>
    <w:rsid w:val="0092064E"/>
    <w:rsid w:val="00936564"/>
    <w:rsid w:val="00937317"/>
    <w:rsid w:val="00965671"/>
    <w:rsid w:val="009667D9"/>
    <w:rsid w:val="00977C1D"/>
    <w:rsid w:val="009C17BC"/>
    <w:rsid w:val="009C4143"/>
    <w:rsid w:val="009F5FB6"/>
    <w:rsid w:val="00A068A6"/>
    <w:rsid w:val="00A1127B"/>
    <w:rsid w:val="00A2005A"/>
    <w:rsid w:val="00A2431F"/>
    <w:rsid w:val="00A438AE"/>
    <w:rsid w:val="00A60CA6"/>
    <w:rsid w:val="00A63DEC"/>
    <w:rsid w:val="00A804AE"/>
    <w:rsid w:val="00A85F71"/>
    <w:rsid w:val="00A87A98"/>
    <w:rsid w:val="00AA4F7B"/>
    <w:rsid w:val="00AC19F4"/>
    <w:rsid w:val="00AF56DF"/>
    <w:rsid w:val="00B02288"/>
    <w:rsid w:val="00B1131D"/>
    <w:rsid w:val="00B171AC"/>
    <w:rsid w:val="00B17F26"/>
    <w:rsid w:val="00B33D70"/>
    <w:rsid w:val="00B36278"/>
    <w:rsid w:val="00B36DD9"/>
    <w:rsid w:val="00B52A56"/>
    <w:rsid w:val="00BB20DB"/>
    <w:rsid w:val="00BD31FC"/>
    <w:rsid w:val="00BE1E20"/>
    <w:rsid w:val="00C11A0A"/>
    <w:rsid w:val="00C243FC"/>
    <w:rsid w:val="00C64D15"/>
    <w:rsid w:val="00C7672C"/>
    <w:rsid w:val="00C822ED"/>
    <w:rsid w:val="00C92F34"/>
    <w:rsid w:val="00C94537"/>
    <w:rsid w:val="00CB4872"/>
    <w:rsid w:val="00CB7BAC"/>
    <w:rsid w:val="00CE5A0D"/>
    <w:rsid w:val="00D07184"/>
    <w:rsid w:val="00D12958"/>
    <w:rsid w:val="00D56153"/>
    <w:rsid w:val="00D57D5B"/>
    <w:rsid w:val="00D726DD"/>
    <w:rsid w:val="00D76208"/>
    <w:rsid w:val="00DA597B"/>
    <w:rsid w:val="00DB4600"/>
    <w:rsid w:val="00DC6716"/>
    <w:rsid w:val="00DD4EBE"/>
    <w:rsid w:val="00DE40DD"/>
    <w:rsid w:val="00DE4F0A"/>
    <w:rsid w:val="00DE72D8"/>
    <w:rsid w:val="00DF239D"/>
    <w:rsid w:val="00E22649"/>
    <w:rsid w:val="00E23222"/>
    <w:rsid w:val="00E2655A"/>
    <w:rsid w:val="00E312FF"/>
    <w:rsid w:val="00E37E9C"/>
    <w:rsid w:val="00E45F93"/>
    <w:rsid w:val="00E46210"/>
    <w:rsid w:val="00E50C18"/>
    <w:rsid w:val="00E73400"/>
    <w:rsid w:val="00E80F4E"/>
    <w:rsid w:val="00E827DA"/>
    <w:rsid w:val="00E95CA6"/>
    <w:rsid w:val="00EA0C09"/>
    <w:rsid w:val="00EB2202"/>
    <w:rsid w:val="00EB507B"/>
    <w:rsid w:val="00EC42BD"/>
    <w:rsid w:val="00EC74BC"/>
    <w:rsid w:val="00EF77D4"/>
    <w:rsid w:val="00F021E9"/>
    <w:rsid w:val="00F03ECC"/>
    <w:rsid w:val="00F05DF3"/>
    <w:rsid w:val="00F212C0"/>
    <w:rsid w:val="00F46047"/>
    <w:rsid w:val="00F5558A"/>
    <w:rsid w:val="00F946B4"/>
    <w:rsid w:val="00FB4A02"/>
    <w:rsid w:val="00FC7289"/>
    <w:rsid w:val="00FE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21BE9"/>
  <w15:chartTrackingRefBased/>
  <w15:docId w15:val="{F17F54DA-D941-4FC2-B449-7BE2EE5B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17"/>
  </w:style>
  <w:style w:type="paragraph" w:styleId="Heading1">
    <w:name w:val="heading 1"/>
    <w:basedOn w:val="Normal"/>
    <w:next w:val="Normal"/>
    <w:link w:val="Heading1Char"/>
    <w:autoRedefine/>
    <w:uiPriority w:val="9"/>
    <w:qFormat/>
    <w:rsid w:val="00A804AE"/>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804AE"/>
    <w:rPr>
      <w:rFonts w:ascii="Arial" w:eastAsiaTheme="majorEastAsia" w:hAnsi="Arial" w:cstheme="majorBidi"/>
      <w:color w:val="005CAB"/>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E95CA6"/>
    <w:pPr>
      <w:tabs>
        <w:tab w:val="right" w:leader="dot" w:pos="9350"/>
      </w:tabs>
      <w:spacing w:after="100"/>
      <w:ind w:left="220"/>
    </w:pPr>
    <w:rPr>
      <w:b/>
      <w:noProof/>
    </w:r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paragraph" w:styleId="NormalWeb">
    <w:name w:val="Normal (Web)"/>
    <w:basedOn w:val="Normal"/>
    <w:uiPriority w:val="99"/>
    <w:unhideWhenUsed/>
    <w:rsid w:val="00DB4600"/>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B4600"/>
    <w:rPr>
      <w:rFonts w:ascii="Arial" w:eastAsia="Times New Roman" w:hAnsi="Arial"/>
      <w:sz w:val="20"/>
      <w:szCs w:val="20"/>
    </w:rPr>
  </w:style>
  <w:style w:type="character" w:customStyle="1" w:styleId="FootnoteTextChar">
    <w:name w:val="Footnote Text Char"/>
    <w:basedOn w:val="DefaultParagraphFont"/>
    <w:link w:val="FootnoteText"/>
    <w:uiPriority w:val="99"/>
    <w:semiHidden/>
    <w:rsid w:val="00DB4600"/>
    <w:rPr>
      <w:rFonts w:ascii="Arial" w:eastAsia="Times New Roman" w:hAnsi="Arial"/>
      <w:sz w:val="20"/>
      <w:szCs w:val="20"/>
    </w:rPr>
  </w:style>
  <w:style w:type="character" w:styleId="FootnoteReference">
    <w:name w:val="footnote reference"/>
    <w:uiPriority w:val="99"/>
    <w:semiHidden/>
    <w:unhideWhenUsed/>
    <w:rsid w:val="00DB4600"/>
    <w:rPr>
      <w:vertAlign w:val="superscript"/>
    </w:rPr>
  </w:style>
  <w:style w:type="character" w:styleId="Hyperlink">
    <w:name w:val="Hyperlink"/>
    <w:basedOn w:val="DefaultParagraphFont"/>
    <w:uiPriority w:val="99"/>
    <w:unhideWhenUsed/>
    <w:rsid w:val="00860CCC"/>
    <w:rPr>
      <w:color w:val="0563C1" w:themeColor="hyperlink"/>
      <w:u w:val="single"/>
    </w:rPr>
  </w:style>
  <w:style w:type="character" w:styleId="Emphasis">
    <w:name w:val="Emphasis"/>
    <w:basedOn w:val="DefaultParagraphFont"/>
    <w:uiPriority w:val="20"/>
    <w:qFormat/>
    <w:rsid w:val="00937317"/>
    <w:rPr>
      <w:i/>
      <w:iCs/>
    </w:rPr>
  </w:style>
  <w:style w:type="paragraph" w:styleId="BodyTextIndent2">
    <w:name w:val="Body Text Indent 2"/>
    <w:aliases w:val="under subheading"/>
    <w:basedOn w:val="Normal"/>
    <w:link w:val="BodyTextIndent2Char"/>
    <w:rsid w:val="009F5FB6"/>
    <w:pPr>
      <w:ind w:left="360"/>
    </w:pPr>
    <w:rPr>
      <w:rFonts w:ascii="Times New Roman" w:eastAsia="Times New Roman" w:hAnsi="Times New Roman"/>
      <w:sz w:val="24"/>
      <w:szCs w:val="24"/>
    </w:rPr>
  </w:style>
  <w:style w:type="character" w:customStyle="1" w:styleId="BodyTextIndent2Char">
    <w:name w:val="Body Text Indent 2 Char"/>
    <w:aliases w:val="under subheading Char"/>
    <w:basedOn w:val="DefaultParagraphFont"/>
    <w:link w:val="BodyTextIndent2"/>
    <w:rsid w:val="009F5FB6"/>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BB20DB"/>
    <w:rPr>
      <w:sz w:val="20"/>
      <w:szCs w:val="20"/>
    </w:rPr>
  </w:style>
  <w:style w:type="character" w:customStyle="1" w:styleId="EndnoteTextChar">
    <w:name w:val="Endnote Text Char"/>
    <w:basedOn w:val="DefaultParagraphFont"/>
    <w:link w:val="EndnoteText"/>
    <w:uiPriority w:val="99"/>
    <w:semiHidden/>
    <w:rsid w:val="00BB20DB"/>
    <w:rPr>
      <w:sz w:val="20"/>
      <w:szCs w:val="20"/>
    </w:rPr>
  </w:style>
  <w:style w:type="character" w:styleId="EndnoteReference">
    <w:name w:val="endnote reference"/>
    <w:basedOn w:val="DefaultParagraphFont"/>
    <w:uiPriority w:val="99"/>
    <w:semiHidden/>
    <w:unhideWhenUsed/>
    <w:rsid w:val="00BB20DB"/>
    <w:rPr>
      <w:vertAlign w:val="superscript"/>
    </w:rPr>
  </w:style>
  <w:style w:type="character" w:styleId="IntenseReference">
    <w:name w:val="Intense Reference"/>
    <w:basedOn w:val="DefaultParagraphFont"/>
    <w:uiPriority w:val="32"/>
    <w:qFormat/>
    <w:rsid w:val="001E61DA"/>
    <w:rPr>
      <w:b/>
      <w:bCs/>
      <w:smallCaps/>
      <w:color w:val="5B9BD5" w:themeColor="accent1"/>
      <w:spacing w:val="5"/>
    </w:rPr>
  </w:style>
  <w:style w:type="character" w:styleId="SubtleEmphasis">
    <w:name w:val="Subtle Emphasis"/>
    <w:basedOn w:val="DefaultParagraphFont"/>
    <w:uiPriority w:val="19"/>
    <w:qFormat/>
    <w:rsid w:val="001E61DA"/>
    <w:rPr>
      <w:i/>
      <w:iCs/>
      <w:color w:val="404040" w:themeColor="text1" w:themeTint="BF"/>
    </w:rPr>
  </w:style>
  <w:style w:type="paragraph" w:styleId="Revision">
    <w:name w:val="Revision"/>
    <w:hidden/>
    <w:uiPriority w:val="99"/>
    <w:semiHidden/>
    <w:rsid w:val="008F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eg.wa.gov/WAC/default.aspx?cite=388-71-0540" TargetMode="External"/><Relationship Id="rId18" Type="http://schemas.openxmlformats.org/officeDocument/2006/relationships/hyperlink" Target="http://www.ecfr.gov/cgi-bin/text-idx?SID=b2c16c6977d3ead3e32cd9ff9f79ff2c&amp;mc=true&amp;node=pt42.4.455&amp;rgn=div5" TargetMode="External"/><Relationship Id="rId26" Type="http://schemas.openxmlformats.org/officeDocument/2006/relationships/hyperlink" Target="https://fortress.wa.gov/dshs/adsaapps/Professional/MB/HCSMB2017/h17-023%20amended%20revised%20individual%20provider%20(ip)%20notice%20and%20process%20amended%205-10-17.docx" TargetMode="External"/><Relationship Id="rId3" Type="http://schemas.openxmlformats.org/officeDocument/2006/relationships/styles" Target="styles.xml"/><Relationship Id="rId21" Type="http://schemas.openxmlformats.org/officeDocument/2006/relationships/hyperlink" Target="http://www.ecfr.gov/cgi-bin/text-idx?SID=b2c16c6977d3ead3e32cd9ff9f79ff2c&amp;mc=true&amp;node=pt42.4.455&amp;rgn=div5%23se42.4.455_121" TargetMode="External"/><Relationship Id="rId7" Type="http://schemas.openxmlformats.org/officeDocument/2006/relationships/endnotes" Target="endnotes.xml"/><Relationship Id="rId12" Type="http://schemas.openxmlformats.org/officeDocument/2006/relationships/hyperlink" Target="http://forms.dshs.wa.lcl/formDetails.aspx?ID=13091" TargetMode="External"/><Relationship Id="rId17" Type="http://schemas.openxmlformats.org/officeDocument/2006/relationships/hyperlink" Target="http://app.leg.wa.gov/rcw/default.aspx?cite=9A.56.020" TargetMode="External"/><Relationship Id="rId25" Type="http://schemas.openxmlformats.org/officeDocument/2006/relationships/hyperlink" Target="https://www.dshs.wa.gov/sites/default/files/FSA/forms/pdf/16-198.pdf" TargetMode="External"/><Relationship Id="rId2" Type="http://schemas.openxmlformats.org/officeDocument/2006/relationships/numbering" Target="numbering.xml"/><Relationship Id="rId16" Type="http://schemas.openxmlformats.org/officeDocument/2006/relationships/hyperlink" Target="http://app.leg.wa.gov/rcw/default.aspx?cite=9A.56.030" TargetMode="External"/><Relationship Id="rId20" Type="http://schemas.openxmlformats.org/officeDocument/2006/relationships/hyperlink" Target="http://www.ecfr.gov/cgi-bin/text-idx?SID=b2c16c6977d3ead3e32cd9ff9f79ff2c&amp;mc=true&amp;node=pt42.4.455&amp;rgn=div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iderFraudDDA@dshs.wa.gov" TargetMode="External"/><Relationship Id="rId24" Type="http://schemas.openxmlformats.org/officeDocument/2006/relationships/hyperlink" Target="http://forms.dshs.wa.lcl/formDetails.aspx?ID=13091" TargetMode="External"/><Relationship Id="rId5" Type="http://schemas.openxmlformats.org/officeDocument/2006/relationships/webSettings" Target="webSettings.xml"/><Relationship Id="rId15" Type="http://schemas.openxmlformats.org/officeDocument/2006/relationships/hyperlink" Target="https://app.leg.wa.gov/rcw/default.aspx?cite=74.66&amp;full=true" TargetMode="External"/><Relationship Id="rId23" Type="http://schemas.openxmlformats.org/officeDocument/2006/relationships/hyperlink" Target="http://forms.dshs.wa.lcl/formDetails.aspx?ID=13093" TargetMode="External"/><Relationship Id="rId28" Type="http://schemas.openxmlformats.org/officeDocument/2006/relationships/footer" Target="footer1.xml"/><Relationship Id="rId10" Type="http://schemas.openxmlformats.org/officeDocument/2006/relationships/hyperlink" Target="mailto:ProviderFraudHCS@dshs.wa.gov" TargetMode="External"/><Relationship Id="rId19" Type="http://schemas.openxmlformats.org/officeDocument/2006/relationships/hyperlink" Target="http://www.ecfr.gov/cgi-bin/text-idx?SID=b2c16c6977d3ead3e32cd9ff9f79ff2c&amp;mc=true&amp;node=pt42.4.455&amp;rgn=div5" TargetMode="External"/><Relationship Id="rId4" Type="http://schemas.openxmlformats.org/officeDocument/2006/relationships/settings" Target="settings.xml"/><Relationship Id="rId9" Type="http://schemas.openxmlformats.org/officeDocument/2006/relationships/hyperlink" Target="http://forms.dshs.wa.lcl/formDetails.aspx?ID=13093" TargetMode="External"/><Relationship Id="rId14" Type="http://schemas.openxmlformats.org/officeDocument/2006/relationships/hyperlink" Target="https://app.leg.wa.gov/WAC/default.aspx?cite=388-71-0540" TargetMode="External"/><Relationship Id="rId22" Type="http://schemas.openxmlformats.org/officeDocument/2006/relationships/hyperlink" Target="http://www.ecfr.gov/cgi-bin/text-idx?SID=524277429eb688bbde6a5196878c8c9e&amp;mc=true&amp;node=se42.4.455_123&amp;rgn=div8"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tg.wa.gov/medicaid-fra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hsapoly2411c\DATA1\HCS\Program%20Integrity\LTC%20Manual%20Fraud%20Chapter\October%202019%20update\Chapter%2028%20Manual%20New%20Template%209-26-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90098DA-9945-43A5-9250-1080D82FA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 28 Manual New Template 9-26-19</Template>
  <TotalTime>0</TotalTime>
  <Pages>14</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Cheryl (DSHS/ALTSA/HCS)</dc:creator>
  <cp:keywords/>
  <dc:description/>
  <cp:lastModifiedBy>Sanchez, Jovi A (DSHS/ALTSA/HCS)</cp:lastModifiedBy>
  <cp:revision>2</cp:revision>
  <cp:lastPrinted>2019-11-08T22:58:00Z</cp:lastPrinted>
  <dcterms:created xsi:type="dcterms:W3CDTF">2022-12-22T19:16:00Z</dcterms:created>
  <dcterms:modified xsi:type="dcterms:W3CDTF">2022-12-22T19:16:00Z</dcterms:modified>
</cp:coreProperties>
</file>