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61C8" w14:textId="77777777" w:rsidR="009C15C5" w:rsidRDefault="009C15C5" w:rsidP="00E55B1D">
      <w:pPr>
        <w:pStyle w:val="Heading3"/>
        <w:rPr>
          <w:rFonts w:cs="Arial"/>
        </w:rPr>
      </w:pPr>
    </w:p>
    <w:p w14:paraId="2A6E06F5" w14:textId="77777777" w:rsidR="00704881" w:rsidRPr="000974C1" w:rsidRDefault="000B71E9" w:rsidP="00704881">
      <w:pPr>
        <w:pStyle w:val="Heading3"/>
        <w:jc w:val="center"/>
        <w:rPr>
          <w:rFonts w:cs="Arial"/>
          <w:color w:val="339933"/>
        </w:rPr>
      </w:pPr>
      <w:r w:rsidRPr="004041AE">
        <w:rPr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2DE4D1B0" wp14:editId="3E4D1385">
            <wp:simplePos x="0" y="0"/>
            <wp:positionH relativeFrom="margin">
              <wp:align>center</wp:align>
            </wp:positionH>
            <wp:positionV relativeFrom="page">
              <wp:posOffset>319129</wp:posOffset>
            </wp:positionV>
            <wp:extent cx="484632" cy="466344"/>
            <wp:effectExtent l="0" t="0" r="0" b="0"/>
            <wp:wrapNone/>
            <wp:docPr id="4" name="Picture 4" descr="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1D">
        <w:rPr>
          <w:rFonts w:cs="Arial"/>
          <w:color w:val="339933"/>
        </w:rPr>
        <w:t>S</w:t>
      </w:r>
      <w:r w:rsidR="00704881" w:rsidRPr="000974C1">
        <w:rPr>
          <w:rFonts w:cs="Arial"/>
          <w:color w:val="339933"/>
        </w:rPr>
        <w:t>TATE OF WASHINGTON</w:t>
      </w:r>
    </w:p>
    <w:p w14:paraId="5A0D9B8D" w14:textId="77777777" w:rsidR="00704881" w:rsidRPr="00EF5972" w:rsidRDefault="00704881" w:rsidP="00704881">
      <w:pPr>
        <w:pStyle w:val="Heading2"/>
        <w:rPr>
          <w:rFonts w:cs="Arial"/>
          <w:i w:val="0"/>
          <w:color w:val="339933"/>
        </w:rPr>
      </w:pPr>
      <w:r w:rsidRPr="00EF5972">
        <w:rPr>
          <w:rFonts w:cs="Arial"/>
          <w:i w:val="0"/>
          <w:color w:val="339933"/>
        </w:rPr>
        <w:t>DEPARTMENT OF SOCIAL AND HEALTH SERVICES</w:t>
      </w:r>
    </w:p>
    <w:p w14:paraId="5715530D" w14:textId="77777777" w:rsidR="00704881" w:rsidRPr="00EF5972" w:rsidRDefault="00704881" w:rsidP="00704881">
      <w:pPr>
        <w:pStyle w:val="Heading2"/>
        <w:rPr>
          <w:rFonts w:cs="Arial"/>
          <w:i w:val="0"/>
          <w:color w:val="339933"/>
        </w:rPr>
      </w:pPr>
      <w:r w:rsidRPr="00EF5972">
        <w:rPr>
          <w:rFonts w:cs="Arial"/>
          <w:i w:val="0"/>
          <w:color w:val="339933"/>
        </w:rPr>
        <w:t>Aging and Long-Term Support Administration</w:t>
      </w:r>
    </w:p>
    <w:p w14:paraId="682009F7" w14:textId="77777777" w:rsidR="00704881" w:rsidRPr="00EF5972" w:rsidRDefault="00704881" w:rsidP="00704881">
      <w:pPr>
        <w:pStyle w:val="Heading2"/>
        <w:rPr>
          <w:rFonts w:cs="Arial"/>
          <w:bCs w:val="0"/>
          <w:i w:val="0"/>
          <w:color w:val="339933"/>
        </w:rPr>
      </w:pPr>
      <w:r w:rsidRPr="00EF5972">
        <w:rPr>
          <w:rFonts w:cs="Arial"/>
          <w:bCs w:val="0"/>
          <w:i w:val="0"/>
          <w:color w:val="339933"/>
        </w:rPr>
        <w:t>Home and Community Services Division</w:t>
      </w:r>
    </w:p>
    <w:p w14:paraId="302B2651" w14:textId="77777777" w:rsidR="00704881" w:rsidRPr="00EF5972" w:rsidRDefault="00442E44" w:rsidP="00704881">
      <w:pPr>
        <w:jc w:val="center"/>
        <w:rPr>
          <w:rFonts w:cs="Arial"/>
          <w:bCs/>
          <w:color w:val="008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2B334" wp14:editId="52D19C38">
                <wp:simplePos x="0" y="0"/>
                <wp:positionH relativeFrom="margin">
                  <wp:posOffset>1885950</wp:posOffset>
                </wp:positionH>
                <wp:positionV relativeFrom="page">
                  <wp:posOffset>1943100</wp:posOffset>
                </wp:positionV>
                <wp:extent cx="3086100" cy="4095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9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FEB0F" w14:textId="77777777" w:rsidR="00503832" w:rsidRPr="00E52362" w:rsidRDefault="00503832" w:rsidP="007544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5236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HCS MANAGEMENT BULLETIN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B3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5pt;margin-top:153pt;width:24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" fillcolor="#404040 [2429]" stroked="f" strokeweight="2pt">
                <v:textbox>
                  <w:txbxContent>
                    <w:p w14:paraId="3CFFEB0F" w14:textId="77777777" w:rsidR="00503832" w:rsidRPr="00E52362" w:rsidRDefault="00503832" w:rsidP="007544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E52362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HCS MANAGEMENT BULLETIN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4881" w:rsidRPr="00EF5972">
        <w:rPr>
          <w:rFonts w:cs="Arial"/>
          <w:bCs/>
          <w:color w:val="008000"/>
          <w:sz w:val="20"/>
        </w:rPr>
        <w:t>PO Box 45600, Olympia, WA 98504-5600</w:t>
      </w:r>
    </w:p>
    <w:p w14:paraId="0269C640" w14:textId="77777777" w:rsidR="00704881" w:rsidRDefault="00704881" w:rsidP="00704881">
      <w:pPr>
        <w:jc w:val="center"/>
        <w:rPr>
          <w:rFonts w:cs="Arial"/>
          <w:b/>
          <w:bCs/>
        </w:rPr>
      </w:pPr>
    </w:p>
    <w:p w14:paraId="2EE72A0B" w14:textId="77777777" w:rsidR="007F23F4" w:rsidRPr="007F23F4" w:rsidRDefault="007F23F4" w:rsidP="002E37FE">
      <w:pPr>
        <w:spacing w:line="240" w:lineRule="auto"/>
        <w:jc w:val="center"/>
        <w:rPr>
          <w:rFonts w:ascii="Arial" w:hAnsi="Arial" w:cs="Arial"/>
          <w:b/>
          <w:bCs/>
          <w:sz w:val="2"/>
          <w:szCs w:val="24"/>
        </w:rPr>
      </w:pPr>
    </w:p>
    <w:p w14:paraId="7544A297" w14:textId="77777777" w:rsidR="00442E44" w:rsidRPr="00DF6397" w:rsidRDefault="00442E44" w:rsidP="001E0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6397">
        <w:rPr>
          <w:rFonts w:ascii="Arial" w:hAnsi="Arial" w:cs="Arial"/>
          <w:b/>
          <w:bCs/>
          <w:sz w:val="24"/>
          <w:szCs w:val="24"/>
        </w:rPr>
        <w:t>H</w:t>
      </w:r>
      <w:r w:rsidR="00E55B1D" w:rsidRPr="00DF6397">
        <w:rPr>
          <w:rFonts w:ascii="Arial" w:hAnsi="Arial" w:cs="Arial"/>
          <w:b/>
          <w:bCs/>
          <w:sz w:val="24"/>
          <w:szCs w:val="24"/>
        </w:rPr>
        <w:t>20</w:t>
      </w:r>
      <w:r w:rsidRPr="00DF6397">
        <w:rPr>
          <w:rFonts w:ascii="Arial" w:hAnsi="Arial" w:cs="Arial"/>
          <w:b/>
          <w:bCs/>
          <w:sz w:val="24"/>
          <w:szCs w:val="24"/>
        </w:rPr>
        <w:t>-0</w:t>
      </w:r>
      <w:r w:rsidR="0081187D" w:rsidRPr="00DF6397">
        <w:rPr>
          <w:rFonts w:ascii="Arial" w:hAnsi="Arial" w:cs="Arial"/>
          <w:b/>
          <w:bCs/>
          <w:sz w:val="24"/>
          <w:szCs w:val="24"/>
        </w:rPr>
        <w:t>41</w:t>
      </w:r>
      <w:r w:rsidRPr="00DF6397">
        <w:rPr>
          <w:rFonts w:ascii="Arial" w:hAnsi="Arial" w:cs="Arial"/>
          <w:b/>
          <w:bCs/>
          <w:sz w:val="24"/>
          <w:szCs w:val="24"/>
        </w:rPr>
        <w:t xml:space="preserve"> – </w:t>
      </w:r>
      <w:sdt>
        <w:sdtPr>
          <w:rPr>
            <w:rStyle w:val="Style1"/>
            <w:rFonts w:ascii="Arial" w:hAnsi="Arial" w:cs="Arial"/>
            <w:sz w:val="24"/>
            <w:szCs w:val="24"/>
          </w:rPr>
          <w:id w:val="-1435436991"/>
          <w:dropDownList>
            <w:listItem w:displayText="Information" w:value="Information"/>
            <w:listItem w:displayText="Procedure" w:value="Procedure"/>
            <w:listItem w:displayText="Policy &amp; Procedure" w:value="Policy &amp; Procedure"/>
          </w:dropDownList>
        </w:sdtPr>
        <w:sdtEndPr>
          <w:rPr>
            <w:rStyle w:val="DefaultParagraphFont"/>
            <w:b w:val="0"/>
          </w:rPr>
        </w:sdtEndPr>
        <w:sdtContent>
          <w:r w:rsidR="00B16531" w:rsidRPr="00DF6397">
            <w:rPr>
              <w:rStyle w:val="Style1"/>
              <w:rFonts w:ascii="Arial" w:hAnsi="Arial" w:cs="Arial"/>
              <w:sz w:val="24"/>
              <w:szCs w:val="24"/>
            </w:rPr>
            <w:t>Information</w:t>
          </w:r>
        </w:sdtContent>
      </w:sdt>
    </w:p>
    <w:p w14:paraId="651E6D58" w14:textId="77777777" w:rsidR="006E1996" w:rsidRPr="00DF6397" w:rsidRDefault="00E55B1D" w:rsidP="001E0B07">
      <w:pPr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DF6397">
        <w:rPr>
          <w:rFonts w:ascii="Arial" w:hAnsi="Arial" w:cs="Arial"/>
          <w:b/>
          <w:bCs/>
          <w:strike/>
          <w:sz w:val="24"/>
          <w:szCs w:val="24"/>
        </w:rPr>
        <w:t xml:space="preserve">May </w:t>
      </w:r>
      <w:r w:rsidR="0081187D" w:rsidRPr="00DF6397">
        <w:rPr>
          <w:rFonts w:ascii="Arial" w:hAnsi="Arial" w:cs="Arial"/>
          <w:b/>
          <w:bCs/>
          <w:strike/>
          <w:sz w:val="24"/>
          <w:szCs w:val="24"/>
        </w:rPr>
        <w:t>12</w:t>
      </w:r>
      <w:r w:rsidRPr="00DF6397">
        <w:rPr>
          <w:rFonts w:ascii="Arial" w:hAnsi="Arial" w:cs="Arial"/>
          <w:b/>
          <w:bCs/>
          <w:strike/>
          <w:sz w:val="24"/>
          <w:szCs w:val="24"/>
        </w:rPr>
        <w:t xml:space="preserve">, 2020 </w:t>
      </w:r>
    </w:p>
    <w:p w14:paraId="5B55B7C9" w14:textId="0FC3B416" w:rsidR="00B545B9" w:rsidRPr="00DF6397" w:rsidRDefault="00B545B9" w:rsidP="001E0B07">
      <w:pPr>
        <w:spacing w:after="0" w:line="240" w:lineRule="auto"/>
        <w:jc w:val="center"/>
        <w:rPr>
          <w:rFonts w:ascii="Arial" w:hAnsi="Arial" w:cs="Arial"/>
          <w:b/>
          <w:bCs/>
          <w:strike/>
          <w:color w:val="C00000"/>
          <w:sz w:val="24"/>
          <w:szCs w:val="24"/>
        </w:rPr>
      </w:pPr>
      <w:r w:rsidRPr="00DF6397">
        <w:rPr>
          <w:rFonts w:ascii="Arial" w:hAnsi="Arial" w:cs="Arial"/>
          <w:b/>
          <w:bCs/>
          <w:strike/>
          <w:color w:val="C00000"/>
          <w:sz w:val="24"/>
          <w:szCs w:val="24"/>
        </w:rPr>
        <w:t>Amended August 21, 2020</w:t>
      </w:r>
    </w:p>
    <w:p w14:paraId="4653AD69" w14:textId="7F7BB02B" w:rsidR="00DB2785" w:rsidRPr="00DF6397" w:rsidRDefault="00DB2785" w:rsidP="001E0B07">
      <w:pPr>
        <w:spacing w:after="0" w:line="240" w:lineRule="auto"/>
        <w:jc w:val="center"/>
        <w:rPr>
          <w:rFonts w:ascii="Arial" w:hAnsi="Arial" w:cs="Arial"/>
          <w:b/>
          <w:bCs/>
          <w:strike/>
          <w:color w:val="C00000"/>
          <w:sz w:val="24"/>
          <w:szCs w:val="24"/>
        </w:rPr>
      </w:pPr>
      <w:r w:rsidRPr="00DF6397">
        <w:rPr>
          <w:rFonts w:ascii="Arial" w:hAnsi="Arial" w:cs="Arial"/>
          <w:b/>
          <w:bCs/>
          <w:strike/>
          <w:color w:val="C00000"/>
          <w:sz w:val="24"/>
          <w:szCs w:val="24"/>
        </w:rPr>
        <w:t>Amended March 17, 2021</w:t>
      </w:r>
    </w:p>
    <w:p w14:paraId="47225948" w14:textId="07649C46" w:rsidR="00AB5971" w:rsidRDefault="00AB5971" w:rsidP="001E0B07">
      <w:pPr>
        <w:spacing w:after="0" w:line="240" w:lineRule="auto"/>
        <w:jc w:val="center"/>
        <w:rPr>
          <w:rFonts w:ascii="Arial" w:hAnsi="Arial" w:cs="Arial"/>
          <w:b/>
          <w:bCs/>
          <w:strike/>
          <w:color w:val="C00000"/>
          <w:sz w:val="24"/>
          <w:szCs w:val="24"/>
        </w:rPr>
      </w:pPr>
      <w:r w:rsidRPr="00BC0287">
        <w:rPr>
          <w:rFonts w:ascii="Arial" w:hAnsi="Arial" w:cs="Arial"/>
          <w:b/>
          <w:bCs/>
          <w:strike/>
          <w:color w:val="C00000"/>
          <w:sz w:val="24"/>
          <w:szCs w:val="24"/>
        </w:rPr>
        <w:t xml:space="preserve">Amended </w:t>
      </w:r>
      <w:r w:rsidR="00AD1029" w:rsidRPr="00BC0287">
        <w:rPr>
          <w:rFonts w:ascii="Arial" w:hAnsi="Arial" w:cs="Arial"/>
          <w:b/>
          <w:bCs/>
          <w:strike/>
          <w:color w:val="C00000"/>
          <w:sz w:val="24"/>
          <w:szCs w:val="24"/>
        </w:rPr>
        <w:t>August 3</w:t>
      </w:r>
      <w:r w:rsidRPr="00BC0287">
        <w:rPr>
          <w:rFonts w:ascii="Arial" w:hAnsi="Arial" w:cs="Arial"/>
          <w:b/>
          <w:bCs/>
          <w:strike/>
          <w:color w:val="C00000"/>
          <w:sz w:val="24"/>
          <w:szCs w:val="24"/>
        </w:rPr>
        <w:t>, 2021</w:t>
      </w:r>
    </w:p>
    <w:p w14:paraId="39CBCBD3" w14:textId="474BEFFE" w:rsidR="00BC0287" w:rsidRPr="00BC0287" w:rsidRDefault="00BC0287" w:rsidP="001E0B07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Amended September </w:t>
      </w:r>
      <w:r w:rsidR="00151364">
        <w:rPr>
          <w:rFonts w:ascii="Arial" w:hAnsi="Arial" w:cs="Arial"/>
          <w:b/>
          <w:bCs/>
          <w:color w:val="C00000"/>
          <w:sz w:val="24"/>
          <w:szCs w:val="24"/>
        </w:rPr>
        <w:t>27</w:t>
      </w:r>
      <w:r>
        <w:rPr>
          <w:rFonts w:ascii="Arial" w:hAnsi="Arial" w:cs="Arial"/>
          <w:b/>
          <w:bCs/>
          <w:color w:val="C00000"/>
          <w:sz w:val="24"/>
          <w:szCs w:val="24"/>
        </w:rPr>
        <w:t>, 2021</w:t>
      </w:r>
    </w:p>
    <w:p w14:paraId="02788CAA" w14:textId="77777777" w:rsidR="001E0B07" w:rsidRPr="00E55B1D" w:rsidRDefault="001E0B07" w:rsidP="00E523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7" w:rightFromText="18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640"/>
      </w:tblGrid>
      <w:tr w:rsidR="00456326" w:rsidRPr="00E55B1D" w14:paraId="63B96E48" w14:textId="77777777" w:rsidTr="00E52362">
        <w:trPr>
          <w:trHeight w:val="990"/>
        </w:trPr>
        <w:tc>
          <w:tcPr>
            <w:tcW w:w="2340" w:type="dxa"/>
          </w:tcPr>
          <w:p w14:paraId="65B905C9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  <w:p w14:paraId="061FDA6D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0F0B2905" w14:textId="77777777" w:rsidR="00B16531" w:rsidRPr="00E55B1D" w:rsidRDefault="00B16531" w:rsidP="00B16531">
            <w:pPr>
              <w:pStyle w:val="Header"/>
              <w:tabs>
                <w:tab w:val="left" w:pos="6352"/>
              </w:tabs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 xml:space="preserve">Home and Community Services (HCS) Division Regional Administrators </w:t>
            </w:r>
          </w:p>
          <w:p w14:paraId="3A3158BE" w14:textId="77777777" w:rsidR="00B16531" w:rsidRPr="00E55B1D" w:rsidRDefault="00B16531" w:rsidP="00B16531">
            <w:pPr>
              <w:pStyle w:val="Header"/>
              <w:tabs>
                <w:tab w:val="left" w:pos="6352"/>
              </w:tabs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Developmental Disabilities Administration (DDA) Regional Administrators</w:t>
            </w:r>
          </w:p>
          <w:p w14:paraId="12264625" w14:textId="77777777" w:rsidR="00E52362" w:rsidRPr="00E55B1D" w:rsidRDefault="00B16531" w:rsidP="00B16531">
            <w:pPr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Area Agency on Aging (AAA) Directors</w:t>
            </w:r>
          </w:p>
          <w:p w14:paraId="615DBA1A" w14:textId="77777777" w:rsidR="00502BD7" w:rsidRPr="00E55B1D" w:rsidRDefault="00502BD7" w:rsidP="00B16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328" w:rsidRPr="00E55B1D" w14:paraId="02D2F688" w14:textId="77777777" w:rsidTr="00DF6397">
        <w:trPr>
          <w:trHeight w:val="690"/>
        </w:trPr>
        <w:tc>
          <w:tcPr>
            <w:tcW w:w="2340" w:type="dxa"/>
          </w:tcPr>
          <w:p w14:paraId="3A4157E1" w14:textId="43CB85B9" w:rsidR="00F562EC" w:rsidRPr="00E55B1D" w:rsidRDefault="003F5328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tc>
          <w:tcPr>
            <w:tcW w:w="8640" w:type="dxa"/>
          </w:tcPr>
          <w:p w14:paraId="45199E19" w14:textId="71D5DC53" w:rsidR="005663F0" w:rsidRPr="00E55B1D" w:rsidRDefault="00B16531" w:rsidP="00DF6397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Bea Rector, Director, Home and Community Services Division</w:t>
            </w:r>
          </w:p>
        </w:tc>
      </w:tr>
      <w:tr w:rsidR="00456326" w:rsidRPr="00E55B1D" w14:paraId="63BBA056" w14:textId="77777777" w:rsidTr="00B16531">
        <w:trPr>
          <w:trHeight w:val="805"/>
        </w:trPr>
        <w:tc>
          <w:tcPr>
            <w:tcW w:w="2340" w:type="dxa"/>
          </w:tcPr>
          <w:p w14:paraId="724883E3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  <w:p w14:paraId="62F89C6B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76959680" w14:textId="77777777" w:rsidR="00456326" w:rsidRPr="00E55B1D" w:rsidRDefault="00B16531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Temp</w:t>
            </w:r>
            <w:r w:rsidR="00E905A6" w:rsidRPr="00E55B1D">
              <w:rPr>
                <w:rFonts w:ascii="Arial" w:hAnsi="Arial" w:cs="Arial"/>
                <w:b/>
                <w:sz w:val="24"/>
                <w:szCs w:val="24"/>
              </w:rPr>
              <w:t>orary Emergency Rule Changes Regarding Nurse Delegation</w:t>
            </w:r>
          </w:p>
        </w:tc>
      </w:tr>
      <w:tr w:rsidR="003F5328" w:rsidRPr="00E55B1D" w14:paraId="20768A40" w14:textId="77777777" w:rsidTr="00DF6397">
        <w:trPr>
          <w:trHeight w:val="825"/>
        </w:trPr>
        <w:tc>
          <w:tcPr>
            <w:tcW w:w="2340" w:type="dxa"/>
          </w:tcPr>
          <w:p w14:paraId="3002FC8D" w14:textId="77777777" w:rsidR="003F5328" w:rsidRPr="00E55B1D" w:rsidRDefault="00F562EC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PURPOSE:</w:t>
            </w:r>
          </w:p>
          <w:p w14:paraId="7D9F89FB" w14:textId="77777777" w:rsidR="00F562EC" w:rsidRPr="00E55B1D" w:rsidRDefault="00F562EC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6C7D5D70" w14:textId="77777777" w:rsidR="008616D1" w:rsidRPr="00E55B1D" w:rsidRDefault="00B16531" w:rsidP="006F0648">
            <w:pPr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To inform staff of temporary changes to nurse delegation rules</w:t>
            </w:r>
            <w:r w:rsidR="004348E2" w:rsidRPr="00E55B1D">
              <w:rPr>
                <w:rFonts w:ascii="Arial" w:hAnsi="Arial" w:cs="Arial"/>
                <w:sz w:val="24"/>
                <w:szCs w:val="24"/>
              </w:rPr>
              <w:t xml:space="preserve"> during the COVID-19 emergency</w:t>
            </w:r>
          </w:p>
        </w:tc>
      </w:tr>
      <w:tr w:rsidR="00456326" w:rsidRPr="00E55B1D" w14:paraId="438AA667" w14:textId="77777777" w:rsidTr="006F0648">
        <w:trPr>
          <w:trHeight w:val="1489"/>
        </w:trPr>
        <w:tc>
          <w:tcPr>
            <w:tcW w:w="2340" w:type="dxa"/>
          </w:tcPr>
          <w:p w14:paraId="39B31BEA" w14:textId="6A745A05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BACKGROUND:</w:t>
            </w:r>
          </w:p>
        </w:tc>
        <w:tc>
          <w:tcPr>
            <w:tcW w:w="8640" w:type="dxa"/>
          </w:tcPr>
          <w:p w14:paraId="2742AA43" w14:textId="77777777" w:rsidR="00456326" w:rsidRPr="00E55B1D" w:rsidRDefault="00B16531" w:rsidP="004348E2">
            <w:pPr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Nursing Care Quality Assurance Commission (NCQAC) </w:t>
            </w:r>
            <w:r w:rsidR="004348E2" w:rsidRPr="00E55B1D">
              <w:rPr>
                <w:rFonts w:ascii="Arial" w:hAnsi="Arial" w:cs="Arial"/>
                <w:color w:val="000000"/>
                <w:sz w:val="24"/>
                <w:szCs w:val="24"/>
              </w:rPr>
              <w:t>has adopted</w:t>
            </w:r>
            <w:r w:rsidRPr="00E55B1D">
              <w:rPr>
                <w:rFonts w:ascii="Arial" w:hAnsi="Arial" w:cs="Arial"/>
                <w:color w:val="000000"/>
                <w:sz w:val="24"/>
                <w:szCs w:val="24"/>
              </w:rPr>
              <w:t xml:space="preserve"> emergency rules in response to the stresses placed on the health care system related to the coronavirus disease (COVID-19). </w:t>
            </w:r>
          </w:p>
        </w:tc>
      </w:tr>
      <w:tr w:rsidR="00456326" w:rsidRPr="00E55B1D" w14:paraId="4F8D84BB" w14:textId="77777777" w:rsidTr="006F0648">
        <w:trPr>
          <w:trHeight w:val="1489"/>
        </w:trPr>
        <w:tc>
          <w:tcPr>
            <w:tcW w:w="2340" w:type="dxa"/>
          </w:tcPr>
          <w:p w14:paraId="391EA3FF" w14:textId="77777777" w:rsidR="00456326" w:rsidRPr="00E55B1D" w:rsidRDefault="00456326" w:rsidP="006F0648">
            <w:pPr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WHAT’S NEW, CHANGED, OR CLARIFIED:</w:t>
            </w:r>
          </w:p>
        </w:tc>
        <w:tc>
          <w:tcPr>
            <w:tcW w:w="8640" w:type="dxa"/>
          </w:tcPr>
          <w:p w14:paraId="67863AA9" w14:textId="77777777" w:rsidR="00B16531" w:rsidRPr="00E55B1D" w:rsidRDefault="00B16531" w:rsidP="00B16531">
            <w:pPr>
              <w:pStyle w:val="Header"/>
              <w:tabs>
                <w:tab w:val="left" w:pos="0"/>
                <w:tab w:val="left" w:pos="635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B1D">
              <w:rPr>
                <w:rFonts w:ascii="Arial" w:hAnsi="Arial" w:cs="Arial"/>
                <w:color w:val="000000"/>
                <w:sz w:val="24"/>
                <w:szCs w:val="24"/>
              </w:rPr>
              <w:t>In summary, significant temporary rule changes include:</w:t>
            </w:r>
          </w:p>
          <w:p w14:paraId="23855B1C" w14:textId="77777777" w:rsidR="00B16531" w:rsidRPr="00E55B1D" w:rsidRDefault="00B16531" w:rsidP="00B16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5025C" w14:textId="0C5E2E55" w:rsidR="00B16531" w:rsidRPr="00345108" w:rsidRDefault="00084EFF" w:rsidP="0049299B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345108">
              <w:rPr>
                <w:rFonts w:ascii="Arial" w:hAnsi="Arial" w:cs="Arial"/>
                <w:sz w:val="24"/>
                <w:szCs w:val="24"/>
              </w:rPr>
              <w:t xml:space="preserve">Core competencies training (the core basic training) of the seventy-hour long-term care worker basic </w:t>
            </w:r>
            <w:r w:rsidR="00EA2F8A" w:rsidRPr="00345108">
              <w:rPr>
                <w:rFonts w:ascii="Arial" w:hAnsi="Arial" w:cs="Arial"/>
                <w:sz w:val="24"/>
                <w:szCs w:val="24"/>
              </w:rPr>
              <w:t>training</w:t>
            </w:r>
            <w:r w:rsidR="00EA2F8A" w:rsidRPr="00345108">
              <w:rPr>
                <w:rFonts w:ascii="Arial" w:hAnsi="Arial" w:cs="Arial"/>
                <w:color w:val="000000"/>
                <w:sz w:val="24"/>
                <w:szCs w:val="24"/>
              </w:rPr>
              <w:t xml:space="preserve"> waived</w:t>
            </w:r>
            <w:r w:rsidR="00B16531" w:rsidRPr="00345108">
              <w:rPr>
                <w:rFonts w:ascii="Arial" w:hAnsi="Arial" w:cs="Arial"/>
                <w:sz w:val="24"/>
                <w:szCs w:val="24"/>
              </w:rPr>
              <w:t xml:space="preserve"> for peo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 xml:space="preserve">ple who will be nurse </w:t>
            </w:r>
            <w:r w:rsidR="0049299B" w:rsidRPr="00345108">
              <w:rPr>
                <w:rFonts w:ascii="Arial" w:hAnsi="Arial" w:cs="Arial"/>
                <w:sz w:val="24"/>
                <w:szCs w:val="24"/>
              </w:rPr>
              <w:t>delegated. Normally</w:t>
            </w:r>
            <w:r w:rsidR="00345108">
              <w:rPr>
                <w:rFonts w:ascii="Arial" w:hAnsi="Arial" w:cs="Arial"/>
                <w:sz w:val="24"/>
                <w:szCs w:val="24"/>
              </w:rPr>
              <w:t>,</w:t>
            </w:r>
            <w:r w:rsidR="0049299B" w:rsidRPr="00345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108" w:rsidRPr="00345108">
              <w:rPr>
                <w:rFonts w:ascii="Arial" w:hAnsi="Arial" w:cs="Arial"/>
                <w:sz w:val="24"/>
                <w:szCs w:val="24"/>
              </w:rPr>
              <w:t>to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 xml:space="preserve"> be delegated the caregiver must be currently registered or certified as a nursing assistant or home care aide </w:t>
            </w:r>
            <w:r w:rsidR="00502BD7" w:rsidRPr="00345108">
              <w:rPr>
                <w:rFonts w:ascii="Arial" w:hAnsi="Arial" w:cs="Arial"/>
                <w:sz w:val="24"/>
                <w:szCs w:val="24"/>
              </w:rPr>
              <w:t xml:space="preserve">(HCA) 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 xml:space="preserve">in Washington state without restriction. </w:t>
            </w:r>
          </w:p>
          <w:p w14:paraId="31385E50" w14:textId="571BD7EB" w:rsidR="00AD1BB1" w:rsidRPr="00345108" w:rsidRDefault="0049299B" w:rsidP="00B16531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345108">
              <w:rPr>
                <w:rFonts w:ascii="Arial" w:hAnsi="Arial" w:cs="Arial"/>
                <w:sz w:val="24"/>
                <w:szCs w:val="24"/>
              </w:rPr>
              <w:t xml:space="preserve">With the </w:t>
            </w:r>
            <w:r w:rsidR="002A5C59" w:rsidRPr="00345108">
              <w:rPr>
                <w:rFonts w:ascii="Arial" w:hAnsi="Arial" w:cs="Arial"/>
                <w:sz w:val="24"/>
                <w:szCs w:val="24"/>
              </w:rPr>
              <w:t>emergency r</w:t>
            </w:r>
            <w:r w:rsidRPr="00345108">
              <w:rPr>
                <w:rFonts w:ascii="Arial" w:hAnsi="Arial" w:cs="Arial"/>
                <w:sz w:val="24"/>
                <w:szCs w:val="24"/>
              </w:rPr>
              <w:t>ule change, t</w:t>
            </w:r>
            <w:r w:rsidR="00B16531" w:rsidRPr="00345108">
              <w:rPr>
                <w:rFonts w:ascii="Arial" w:hAnsi="Arial" w:cs="Arial"/>
                <w:sz w:val="24"/>
                <w:szCs w:val="24"/>
              </w:rPr>
              <w:t>he person must be nur</w:t>
            </w:r>
            <w:r w:rsidRPr="00345108">
              <w:rPr>
                <w:rFonts w:ascii="Arial" w:hAnsi="Arial" w:cs="Arial"/>
                <w:sz w:val="24"/>
                <w:szCs w:val="24"/>
              </w:rPr>
              <w:t>sing assistant registered (NAR) AND</w:t>
            </w:r>
            <w:r w:rsidR="00B16531" w:rsidRPr="00345108">
              <w:rPr>
                <w:rFonts w:ascii="Arial" w:hAnsi="Arial" w:cs="Arial"/>
                <w:sz w:val="24"/>
                <w:szCs w:val="24"/>
              </w:rPr>
              <w:t xml:space="preserve"> complete</w:t>
            </w:r>
            <w:r w:rsidRPr="00345108">
              <w:rPr>
                <w:rFonts w:ascii="Arial" w:hAnsi="Arial" w:cs="Arial"/>
                <w:sz w:val="24"/>
                <w:szCs w:val="24"/>
              </w:rPr>
              <w:t>d the 9</w:t>
            </w:r>
            <w:r w:rsidR="00345108" w:rsidRPr="00345108">
              <w:rPr>
                <w:rFonts w:ascii="Arial" w:hAnsi="Arial" w:cs="Arial"/>
                <w:sz w:val="24"/>
                <w:szCs w:val="24"/>
              </w:rPr>
              <w:t>-</w:t>
            </w:r>
            <w:r w:rsidRPr="00345108">
              <w:rPr>
                <w:rFonts w:ascii="Arial" w:hAnsi="Arial" w:cs="Arial"/>
                <w:sz w:val="24"/>
                <w:szCs w:val="24"/>
              </w:rPr>
              <w:t>hour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108">
              <w:rPr>
                <w:rFonts w:ascii="Arial" w:hAnsi="Arial" w:cs="Arial"/>
                <w:sz w:val="24"/>
                <w:szCs w:val="24"/>
              </w:rPr>
              <w:t>N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 xml:space="preserve">urse </w:t>
            </w:r>
            <w:r w:rsidRPr="00345108">
              <w:rPr>
                <w:rFonts w:ascii="Arial" w:hAnsi="Arial" w:cs="Arial"/>
                <w:sz w:val="24"/>
                <w:szCs w:val="24"/>
              </w:rPr>
              <w:t>D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 xml:space="preserve">elegation </w:t>
            </w:r>
            <w:r w:rsidR="00FB1677" w:rsidRPr="00345108">
              <w:rPr>
                <w:rFonts w:ascii="Arial" w:hAnsi="Arial" w:cs="Arial"/>
                <w:sz w:val="24"/>
                <w:szCs w:val="24"/>
              </w:rPr>
              <w:t xml:space="preserve">Core </w:t>
            </w:r>
            <w:r w:rsidRPr="00345108">
              <w:rPr>
                <w:rFonts w:ascii="Arial" w:hAnsi="Arial" w:cs="Arial"/>
                <w:sz w:val="24"/>
                <w:szCs w:val="24"/>
              </w:rPr>
              <w:t>T</w:t>
            </w:r>
            <w:r w:rsidR="00174249" w:rsidRPr="00345108">
              <w:rPr>
                <w:rFonts w:ascii="Arial" w:hAnsi="Arial" w:cs="Arial"/>
                <w:sz w:val="24"/>
                <w:szCs w:val="24"/>
              </w:rPr>
              <w:t>raining</w:t>
            </w:r>
            <w:r w:rsidRPr="00345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785" w:rsidRPr="00345108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345108" w:rsidRPr="00345108">
              <w:rPr>
                <w:rFonts w:ascii="Arial" w:hAnsi="Arial" w:cs="Arial"/>
                <w:sz w:val="24"/>
                <w:szCs w:val="24"/>
              </w:rPr>
              <w:t>3-hour</w:t>
            </w:r>
            <w:r w:rsidR="00DB2785" w:rsidRPr="00345108">
              <w:rPr>
                <w:rFonts w:ascii="Arial" w:hAnsi="Arial" w:cs="Arial"/>
                <w:sz w:val="24"/>
                <w:szCs w:val="24"/>
              </w:rPr>
              <w:t xml:space="preserve"> Special Focus on Diabetes</w:t>
            </w:r>
            <w:r w:rsidR="00F36DB5" w:rsidRPr="00345108">
              <w:rPr>
                <w:rFonts w:ascii="Arial" w:hAnsi="Arial" w:cs="Arial"/>
                <w:sz w:val="24"/>
                <w:szCs w:val="24"/>
              </w:rPr>
              <w:t xml:space="preserve"> to be delegated.</w:t>
            </w:r>
          </w:p>
          <w:p w14:paraId="5A86E333" w14:textId="192B5495" w:rsidR="00B16531" w:rsidRPr="00E55B1D" w:rsidRDefault="00AD1BB1" w:rsidP="00B16531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345108">
              <w:rPr>
                <w:rFonts w:ascii="Arial" w:hAnsi="Arial" w:cs="Arial"/>
                <w:sz w:val="24"/>
                <w:szCs w:val="24"/>
              </w:rPr>
              <w:t>Clarification of the credentia</w:t>
            </w:r>
            <w:r w:rsidR="006E5C2C" w:rsidRPr="00345108">
              <w:rPr>
                <w:rFonts w:ascii="Arial" w:hAnsi="Arial" w:cs="Arial"/>
                <w:sz w:val="24"/>
                <w:szCs w:val="24"/>
              </w:rPr>
              <w:t xml:space="preserve">l HCA means the </w:t>
            </w:r>
            <w:r w:rsidRPr="00345108">
              <w:rPr>
                <w:rFonts w:ascii="Arial" w:hAnsi="Arial" w:cs="Arial"/>
                <w:sz w:val="24"/>
                <w:szCs w:val="24"/>
              </w:rPr>
              <w:t>nursing assistant has taken the Prometric test and is certified.  During COVID 19 pandemic this level of certification is not required for delegation. Only a NAR is required during</w:t>
            </w:r>
            <w:r w:rsidRPr="00E55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5B1D">
              <w:rPr>
                <w:rFonts w:ascii="Arial" w:hAnsi="Arial" w:cs="Arial"/>
                <w:sz w:val="24"/>
                <w:szCs w:val="24"/>
              </w:rPr>
              <w:lastRenderedPageBreak/>
              <w:t>this time of COVID 19.</w:t>
            </w:r>
            <w:r w:rsidR="006E5C2C" w:rsidRPr="00E55B1D">
              <w:rPr>
                <w:rFonts w:ascii="Arial" w:hAnsi="Arial" w:cs="Arial"/>
                <w:sz w:val="24"/>
                <w:szCs w:val="24"/>
              </w:rPr>
              <w:t xml:space="preserve"> Please see </w:t>
            </w:r>
            <w:r w:rsidR="0049299B" w:rsidRPr="00E55B1D">
              <w:rPr>
                <w:rFonts w:ascii="Arial" w:hAnsi="Arial" w:cs="Arial"/>
                <w:sz w:val="24"/>
                <w:szCs w:val="24"/>
              </w:rPr>
              <w:t xml:space="preserve">The Nurse Delegation </w:t>
            </w:r>
            <w:r w:rsidR="006E5C2C" w:rsidRPr="00E55B1D">
              <w:rPr>
                <w:rFonts w:ascii="Arial" w:hAnsi="Arial" w:cs="Arial"/>
                <w:sz w:val="24"/>
                <w:szCs w:val="24"/>
              </w:rPr>
              <w:t>Chapter 13</w:t>
            </w:r>
            <w:r w:rsidR="0049299B" w:rsidRPr="00E55B1D">
              <w:rPr>
                <w:rFonts w:ascii="Arial" w:hAnsi="Arial" w:cs="Arial"/>
                <w:sz w:val="24"/>
                <w:szCs w:val="24"/>
              </w:rPr>
              <w:t xml:space="preserve">, of the </w:t>
            </w:r>
            <w:r w:rsidR="00DF6397" w:rsidRPr="00E55B1D">
              <w:rPr>
                <w:rFonts w:ascii="Arial" w:hAnsi="Arial" w:cs="Arial"/>
                <w:sz w:val="24"/>
                <w:szCs w:val="24"/>
              </w:rPr>
              <w:t>Long-Term</w:t>
            </w:r>
            <w:r w:rsidR="0049299B" w:rsidRPr="00E55B1D">
              <w:rPr>
                <w:rFonts w:ascii="Arial" w:hAnsi="Arial" w:cs="Arial"/>
                <w:sz w:val="24"/>
                <w:szCs w:val="24"/>
              </w:rPr>
              <w:t xml:space="preserve"> Care Manual </w:t>
            </w:r>
            <w:r w:rsidR="006E5C2C" w:rsidRPr="00E55B1D">
              <w:rPr>
                <w:rFonts w:ascii="Arial" w:hAnsi="Arial" w:cs="Arial"/>
                <w:sz w:val="24"/>
                <w:szCs w:val="24"/>
              </w:rPr>
              <w:t xml:space="preserve">for assisting a caregiver in obtaining the NAR if needed. </w:t>
            </w:r>
          </w:p>
          <w:p w14:paraId="03C707F4" w14:textId="7E361BDF" w:rsidR="00D757C7" w:rsidRPr="00D757C7" w:rsidRDefault="00174249" w:rsidP="00D757C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Written, verbal or e</w:t>
            </w:r>
            <w:r w:rsidR="00B16531" w:rsidRPr="00E55B1D">
              <w:rPr>
                <w:rFonts w:ascii="Arial" w:hAnsi="Arial" w:cs="Arial"/>
                <w:sz w:val="24"/>
                <w:szCs w:val="24"/>
              </w:rPr>
              <w:t>lectronic consent is an accepta</w:t>
            </w:r>
            <w:r w:rsidRPr="00E55B1D">
              <w:rPr>
                <w:rFonts w:ascii="Arial" w:hAnsi="Arial" w:cs="Arial"/>
                <w:sz w:val="24"/>
                <w:szCs w:val="24"/>
              </w:rPr>
              <w:t xml:space="preserve">ble format for nurse delegation. The </w:t>
            </w:r>
            <w:r w:rsidR="00DF6397" w:rsidRPr="00E55B1D">
              <w:rPr>
                <w:rFonts w:ascii="Arial" w:hAnsi="Arial" w:cs="Arial"/>
                <w:sz w:val="24"/>
                <w:szCs w:val="24"/>
              </w:rPr>
              <w:t>30-day</w:t>
            </w:r>
            <w:r w:rsidRPr="00E55B1D">
              <w:rPr>
                <w:rFonts w:ascii="Arial" w:hAnsi="Arial" w:cs="Arial"/>
                <w:sz w:val="24"/>
                <w:szCs w:val="24"/>
              </w:rPr>
              <w:t xml:space="preserve"> rule is removed until emergency rules expire on</w:t>
            </w:r>
            <w:r w:rsidR="00503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57C7" w:rsidRPr="00D757C7">
              <w:rPr>
                <w:rFonts w:ascii="Arial" w:hAnsi="Arial" w:cs="Arial"/>
                <w:strike/>
                <w:sz w:val="24"/>
                <w:szCs w:val="24"/>
              </w:rPr>
              <w:t>8/22/2020</w:t>
            </w:r>
            <w:r w:rsidR="00D75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832" w:rsidRPr="00624370">
              <w:rPr>
                <w:rFonts w:ascii="Arial" w:hAnsi="Arial" w:cs="Arial"/>
                <w:strike/>
                <w:sz w:val="24"/>
                <w:szCs w:val="24"/>
              </w:rPr>
              <w:t>10/24/2020</w:t>
            </w:r>
            <w:r w:rsidR="00DB2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785" w:rsidRPr="00AB5971">
              <w:rPr>
                <w:rFonts w:ascii="Arial" w:hAnsi="Arial" w:cs="Arial"/>
                <w:strike/>
                <w:sz w:val="24"/>
                <w:szCs w:val="24"/>
              </w:rPr>
              <w:t>5/20/2021</w:t>
            </w:r>
            <w:r w:rsidR="00AB5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971" w:rsidRPr="00345108">
              <w:rPr>
                <w:rFonts w:ascii="Arial" w:hAnsi="Arial" w:cs="Arial"/>
                <w:strike/>
                <w:sz w:val="24"/>
                <w:szCs w:val="24"/>
              </w:rPr>
              <w:t>09/17/2021</w:t>
            </w:r>
            <w:r w:rsidR="00345108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345108" w:rsidRPr="00345108">
              <w:rPr>
                <w:rFonts w:ascii="Arial" w:hAnsi="Arial" w:cs="Arial"/>
                <w:sz w:val="24"/>
                <w:szCs w:val="24"/>
                <w:highlight w:val="yellow"/>
              </w:rPr>
              <w:t>01/15/2022</w:t>
            </w:r>
            <w:r w:rsidR="003451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8C8C0" w14:textId="77777777" w:rsidR="00D757C7" w:rsidRPr="00D757C7" w:rsidRDefault="00B16531" w:rsidP="006E5C2C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Supervision</w:t>
            </w:r>
            <w:r w:rsidR="00174249" w:rsidRPr="00E55B1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174249" w:rsidRPr="00E55B1D">
              <w:rPr>
                <w:rFonts w:ascii="Arial" w:hAnsi="Arial" w:cs="Arial"/>
                <w:sz w:val="24"/>
                <w:szCs w:val="24"/>
              </w:rPr>
              <w:t>documentation</w:t>
            </w:r>
            <w:proofErr w:type="gramEnd"/>
            <w:r w:rsidR="00174249" w:rsidRPr="00E55B1D">
              <w:rPr>
                <w:rFonts w:ascii="Arial" w:hAnsi="Arial" w:cs="Arial"/>
                <w:sz w:val="24"/>
                <w:szCs w:val="24"/>
              </w:rPr>
              <w:t xml:space="preserve"> and reevaluation</w:t>
            </w:r>
            <w:r w:rsidRPr="00E55B1D">
              <w:rPr>
                <w:rFonts w:ascii="Arial" w:hAnsi="Arial" w:cs="Arial"/>
                <w:sz w:val="24"/>
                <w:szCs w:val="24"/>
              </w:rPr>
              <w:t xml:space="preserve"> mus</w:t>
            </w:r>
            <w:r w:rsidR="00174249" w:rsidRPr="00E55B1D">
              <w:rPr>
                <w:rFonts w:ascii="Arial" w:hAnsi="Arial" w:cs="Arial"/>
                <w:sz w:val="24"/>
                <w:szCs w:val="24"/>
              </w:rPr>
              <w:t>t occur at least every 120 days increased from 90 days until emergency rules expire on</w:t>
            </w:r>
            <w:r w:rsidR="005038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8A2E90" w14:textId="1FB3A078" w:rsidR="006E5C2C" w:rsidRPr="00D757C7" w:rsidRDefault="00D757C7" w:rsidP="006E5C2C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57C7">
              <w:rPr>
                <w:rFonts w:ascii="Arial" w:hAnsi="Arial" w:cs="Arial"/>
                <w:strike/>
                <w:sz w:val="24"/>
                <w:szCs w:val="24"/>
              </w:rPr>
              <w:t xml:space="preserve">8/22/202 </w:t>
            </w:r>
            <w:r w:rsidR="00503832" w:rsidRPr="00624370">
              <w:rPr>
                <w:rFonts w:ascii="Arial" w:hAnsi="Arial" w:cs="Arial"/>
                <w:strike/>
                <w:sz w:val="24"/>
                <w:szCs w:val="24"/>
              </w:rPr>
              <w:t>10/24/2020</w:t>
            </w:r>
            <w:r w:rsidR="00174249" w:rsidRPr="00E55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785" w:rsidRPr="00AB5971">
              <w:rPr>
                <w:rFonts w:ascii="Arial" w:hAnsi="Arial" w:cs="Arial"/>
                <w:strike/>
                <w:sz w:val="24"/>
                <w:szCs w:val="24"/>
              </w:rPr>
              <w:t>5/20/2021</w:t>
            </w:r>
            <w:r w:rsidR="00AB5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971" w:rsidRPr="00345108">
              <w:rPr>
                <w:rFonts w:ascii="Arial" w:hAnsi="Arial" w:cs="Arial"/>
                <w:strike/>
                <w:sz w:val="24"/>
                <w:szCs w:val="24"/>
              </w:rPr>
              <w:t>09/17/2021</w:t>
            </w:r>
            <w:r w:rsidR="00345108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345108" w:rsidRPr="00345108">
              <w:rPr>
                <w:rFonts w:ascii="Arial" w:hAnsi="Arial" w:cs="Arial"/>
                <w:sz w:val="24"/>
                <w:szCs w:val="24"/>
                <w:highlight w:val="yellow"/>
              </w:rPr>
              <w:t>01/15/2022</w:t>
            </w:r>
            <w:r w:rsidR="003451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928B9" w14:textId="4D5D6D5B" w:rsidR="00174249" w:rsidRPr="00E55B1D" w:rsidRDefault="00174249" w:rsidP="00174249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 xml:space="preserve">With delegation of insulin injections, </w:t>
            </w:r>
            <w:r w:rsidRPr="00E55B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initial training on the task that the registered nurse considers appropriate, the registered nurse will assess the </w:t>
            </w:r>
            <w:r w:rsidR="0049299B" w:rsidRPr="00E55B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competence of the NAR </w:t>
            </w:r>
            <w:r w:rsidRPr="00E55B1D">
              <w:rPr>
                <w:rFonts w:ascii="Arial" w:hAnsi="Arial" w:cs="Arial"/>
                <w:color w:val="000000" w:themeColor="text1"/>
                <w:sz w:val="24"/>
                <w:szCs w:val="24"/>
              </w:rPr>
              <w:t>and determine further supervision needs as appropriate until emergency rule expires on</w:t>
            </w:r>
            <w:r w:rsidR="00285B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57C7" w:rsidRPr="00D757C7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>8/22/2020</w:t>
            </w:r>
            <w:r w:rsidR="00D75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85B1B" w:rsidRPr="00624370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>10/24/2020</w:t>
            </w:r>
            <w:r w:rsidRPr="00E55B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2785" w:rsidRPr="00AB5971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>5/20/2021</w:t>
            </w:r>
            <w:r w:rsidR="00AB5971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="00AB5971" w:rsidRPr="00345108">
              <w:rPr>
                <w:rFonts w:ascii="Arial" w:hAnsi="Arial" w:cs="Arial"/>
                <w:strike/>
                <w:sz w:val="24"/>
                <w:szCs w:val="24"/>
              </w:rPr>
              <w:t>09/17/2021</w:t>
            </w:r>
            <w:r w:rsidR="00345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45108" w:rsidRPr="00345108">
              <w:rPr>
                <w:rFonts w:ascii="Arial" w:hAnsi="Arial" w:cs="Arial"/>
                <w:sz w:val="24"/>
                <w:szCs w:val="24"/>
                <w:highlight w:val="yellow"/>
              </w:rPr>
              <w:t>01/15/2022</w:t>
            </w:r>
            <w:r w:rsidR="003451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0C15F3" w14:textId="77777777" w:rsidR="00456326" w:rsidRPr="00E55B1D" w:rsidRDefault="00B16531" w:rsidP="00174249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Removal of the in-home care s</w:t>
            </w:r>
            <w:r w:rsidR="00174249" w:rsidRPr="00E55B1D">
              <w:rPr>
                <w:rFonts w:ascii="Arial" w:hAnsi="Arial" w:cs="Arial"/>
                <w:sz w:val="24"/>
                <w:szCs w:val="24"/>
              </w:rPr>
              <w:t xml:space="preserve">etting delegation decision tree per emergency rules was included in the Governor’s proclamation 20-32. There are no changes to the prohibited </w:t>
            </w:r>
            <w:r w:rsidR="006E5C2C" w:rsidRPr="00E55B1D">
              <w:rPr>
                <w:rFonts w:ascii="Arial" w:hAnsi="Arial" w:cs="Arial"/>
                <w:sz w:val="24"/>
                <w:szCs w:val="24"/>
              </w:rPr>
              <w:t>tasks.</w:t>
            </w:r>
          </w:p>
          <w:p w14:paraId="3FB2F5D3" w14:textId="77777777" w:rsidR="00B16531" w:rsidRPr="00E55B1D" w:rsidRDefault="00B16531" w:rsidP="00B165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326" w:rsidRPr="00E55B1D" w14:paraId="1FB478FF" w14:textId="77777777" w:rsidTr="00EA2F8A">
        <w:trPr>
          <w:trHeight w:val="873"/>
        </w:trPr>
        <w:tc>
          <w:tcPr>
            <w:tcW w:w="2340" w:type="dxa"/>
          </w:tcPr>
          <w:p w14:paraId="0329D50D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ACTION:</w:t>
            </w:r>
          </w:p>
          <w:p w14:paraId="76DF0266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646C097A" w14:textId="77777777" w:rsidR="005663F0" w:rsidRPr="00E55B1D" w:rsidRDefault="00B16531" w:rsidP="006F0648">
            <w:pPr>
              <w:rPr>
                <w:rFonts w:ascii="Arial" w:hAnsi="Arial" w:cs="Arial"/>
                <w:sz w:val="24"/>
                <w:szCs w:val="24"/>
              </w:rPr>
            </w:pPr>
            <w:r w:rsidRPr="00E55B1D">
              <w:rPr>
                <w:rFonts w:ascii="Arial" w:hAnsi="Arial" w:cs="Arial"/>
                <w:sz w:val="24"/>
                <w:szCs w:val="24"/>
              </w:rPr>
              <w:t>For information only.</w:t>
            </w:r>
          </w:p>
        </w:tc>
      </w:tr>
      <w:tr w:rsidR="00456326" w:rsidRPr="00E55B1D" w14:paraId="09DA1004" w14:textId="77777777" w:rsidTr="00EA2F8A">
        <w:trPr>
          <w:trHeight w:val="1260"/>
        </w:trPr>
        <w:tc>
          <w:tcPr>
            <w:tcW w:w="2340" w:type="dxa"/>
          </w:tcPr>
          <w:p w14:paraId="699282C9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RELATED REFERENCES:</w:t>
            </w:r>
          </w:p>
          <w:p w14:paraId="34B0430B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6908D7A8" w14:textId="77777777" w:rsidR="00456326" w:rsidRPr="00E55B1D" w:rsidRDefault="007160D6" w:rsidP="006F0648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16531" w:rsidRPr="00E55B1D">
                <w:rPr>
                  <w:rStyle w:val="Hyperlink"/>
                  <w:rFonts w:ascii="Arial" w:hAnsi="Arial" w:cs="Arial"/>
                  <w:sz w:val="24"/>
                  <w:szCs w:val="24"/>
                </w:rPr>
                <w:t>COVID19 Nursing WAC Temporary Changes</w:t>
              </w:r>
            </w:hyperlink>
          </w:p>
          <w:p w14:paraId="13463FFF" w14:textId="77777777" w:rsidR="00B16531" w:rsidRPr="00E55B1D" w:rsidRDefault="007160D6" w:rsidP="006F0648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" w:history="1">
              <w:r w:rsidR="00B16531" w:rsidRPr="00E55B1D">
                <w:rPr>
                  <w:rStyle w:val="Hyperlink"/>
                  <w:rFonts w:ascii="Arial" w:hAnsi="Arial" w:cs="Arial"/>
                  <w:sz w:val="24"/>
                  <w:szCs w:val="24"/>
                </w:rPr>
                <w:t>Waivers and Modifications</w:t>
              </w:r>
            </w:hyperlink>
          </w:p>
          <w:p w14:paraId="0911C5B3" w14:textId="77777777" w:rsidR="0049299B" w:rsidRPr="00E55B1D" w:rsidRDefault="0049299B" w:rsidP="006F06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326" w:rsidRPr="00E55B1D" w14:paraId="1CA2451E" w14:textId="77777777" w:rsidTr="006F0648">
        <w:trPr>
          <w:trHeight w:val="1489"/>
        </w:trPr>
        <w:tc>
          <w:tcPr>
            <w:tcW w:w="2340" w:type="dxa"/>
          </w:tcPr>
          <w:p w14:paraId="0DA50E79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ATTACHMENT(S):</w:t>
            </w:r>
          </w:p>
          <w:p w14:paraId="1028E119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0B5024D9" w14:textId="0BE09345" w:rsidR="00456326" w:rsidRPr="00E55B1D" w:rsidRDefault="006B073F" w:rsidP="006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9" w:dyaOrig="997" w14:anchorId="4E62F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49.5pt" o:ole="">
                  <v:imagedata r:id="rId11" o:title=""/>
                </v:shape>
                <o:OLEObject Type="Embed" ProgID="Acrobat.Document.2020" ShapeID="_x0000_i1025" DrawAspect="Icon" ObjectID="_1699769279" r:id="rId12"/>
              </w:object>
            </w:r>
            <w:r w:rsidR="00B545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331DC">
              <w:rPr>
                <w:rFonts w:ascii="Arial" w:hAnsi="Arial" w:cs="Arial"/>
                <w:sz w:val="24"/>
                <w:szCs w:val="24"/>
              </w:rPr>
              <w:object w:dxaOrig="1539" w:dyaOrig="997" w14:anchorId="44D2D255">
                <v:shape id="_x0000_i1026" type="#_x0000_t75" style="width:77.5pt;height:49.5pt" o:ole="">
                  <v:imagedata r:id="rId13" o:title=""/>
                </v:shape>
                <o:OLEObject Type="Embed" ProgID="Acrobat.Document.2020" ShapeID="_x0000_i1026" DrawAspect="Icon" ObjectID="_1699769280" r:id="rId14"/>
              </w:object>
            </w:r>
            <w:bookmarkStart w:id="0" w:name="_MON_1684756751"/>
            <w:bookmarkEnd w:id="0"/>
            <w:r w:rsidR="0049302F">
              <w:object w:dxaOrig="1508" w:dyaOrig="984" w14:anchorId="256CCB3C">
                <v:shape id="_x0000_i1027" type="#_x0000_t75" style="width:76pt;height:49pt" o:ole="">
                  <v:imagedata r:id="rId15" o:title=""/>
                </v:shape>
                <o:OLEObject Type="Embed" ProgID="Word.Document.12" ShapeID="_x0000_i1027" DrawAspect="Icon" ObjectID="_1699769281" r:id="rId16">
                  <o:FieldCodes>\s</o:FieldCodes>
                </o:OLEObject>
              </w:object>
            </w:r>
            <w:bookmarkStart w:id="1" w:name="_MON_1680673906"/>
            <w:bookmarkEnd w:id="1"/>
            <w:r w:rsidR="005969A1">
              <w:object w:dxaOrig="1508" w:dyaOrig="984" w14:anchorId="553ADF07">
                <v:shape id="_x0000_i1028" type="#_x0000_t75" style="width:76pt;height:49pt" o:ole="">
                  <v:imagedata r:id="rId17" o:title=""/>
                </v:shape>
                <o:OLEObject Type="Embed" ProgID="Word.Document.12" ShapeID="_x0000_i1028" DrawAspect="Icon" ObjectID="_1699769282" r:id="rId18">
                  <o:FieldCodes>\s</o:FieldCodes>
                </o:OLEObject>
              </w:object>
            </w:r>
          </w:p>
        </w:tc>
      </w:tr>
      <w:tr w:rsidR="00456326" w:rsidRPr="00E55B1D" w14:paraId="716BF844" w14:textId="77777777" w:rsidTr="006F0648">
        <w:trPr>
          <w:trHeight w:val="1489"/>
        </w:trPr>
        <w:tc>
          <w:tcPr>
            <w:tcW w:w="2340" w:type="dxa"/>
          </w:tcPr>
          <w:p w14:paraId="184250CA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B1D">
              <w:rPr>
                <w:rFonts w:ascii="Arial" w:hAnsi="Arial" w:cs="Arial"/>
                <w:b/>
                <w:sz w:val="24"/>
                <w:szCs w:val="24"/>
              </w:rPr>
              <w:t>CONTACT(S):</w:t>
            </w:r>
            <w:r w:rsidR="00B16531" w:rsidRPr="00E55B1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3221466" w14:textId="77777777" w:rsidR="00456326" w:rsidRPr="00E55B1D" w:rsidRDefault="00456326" w:rsidP="006F06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0D755DAE" w14:textId="720D41A8" w:rsidR="00456326" w:rsidRPr="00EA2F8A" w:rsidRDefault="00AB5971" w:rsidP="006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Janet Wakefield</w:t>
            </w:r>
            <w:r w:rsidR="00B16531" w:rsidRPr="00EA2F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88BDD2" w14:textId="237EDFA2" w:rsidR="00EA2F8A" w:rsidRPr="00EA2F8A" w:rsidRDefault="00EA2F8A" w:rsidP="006F0648">
            <w:pPr>
              <w:rPr>
                <w:rFonts w:ascii="Arial" w:hAnsi="Arial" w:cs="Arial"/>
                <w:sz w:val="24"/>
                <w:szCs w:val="24"/>
              </w:rPr>
            </w:pPr>
            <w:r w:rsidRPr="00EA2F8A">
              <w:rPr>
                <w:rFonts w:ascii="Arial" w:hAnsi="Arial" w:cs="Arial"/>
                <w:sz w:val="24"/>
                <w:szCs w:val="24"/>
              </w:rPr>
              <w:t>RND Program Manager</w:t>
            </w:r>
          </w:p>
          <w:p w14:paraId="55560CE9" w14:textId="5D4A065F" w:rsidR="00EA2F8A" w:rsidRPr="00EA2F8A" w:rsidRDefault="00EA2F8A" w:rsidP="00EA2F8A">
            <w:pPr>
              <w:pStyle w:val="Header"/>
              <w:tabs>
                <w:tab w:val="left" w:pos="6352"/>
              </w:tabs>
              <w:rPr>
                <w:rFonts w:ascii="Arial" w:hAnsi="Arial" w:cs="Arial"/>
                <w:sz w:val="24"/>
                <w:szCs w:val="24"/>
              </w:rPr>
            </w:pPr>
            <w:r w:rsidRPr="00EA2F8A">
              <w:rPr>
                <w:rFonts w:ascii="Arial" w:hAnsi="Arial" w:cs="Arial"/>
                <w:sz w:val="24"/>
                <w:szCs w:val="24"/>
              </w:rPr>
              <w:t>(360) 725-2450</w:t>
            </w:r>
          </w:p>
          <w:p w14:paraId="55FF871F" w14:textId="47A830DC" w:rsidR="00B16531" w:rsidRPr="00EA2F8A" w:rsidRDefault="007160D6" w:rsidP="006F0648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9" w:history="1">
              <w:r w:rsidR="00EF6737" w:rsidRPr="00EB520B">
                <w:rPr>
                  <w:rStyle w:val="Hyperlink"/>
                  <w:rFonts w:ascii="Arial" w:hAnsi="Arial" w:cs="Arial"/>
                  <w:sz w:val="24"/>
                  <w:szCs w:val="24"/>
                </w:rPr>
                <w:t>janet.wakefield@dshs.wa.gov</w:t>
              </w:r>
            </w:hyperlink>
          </w:p>
          <w:p w14:paraId="2BE46D2D" w14:textId="77777777" w:rsidR="00EA2F8A" w:rsidRPr="00E55B1D" w:rsidRDefault="00EA2F8A" w:rsidP="006F06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F9D22" w14:textId="77777777" w:rsidR="00B16531" w:rsidRPr="00E55B1D" w:rsidRDefault="00B16531" w:rsidP="006F06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03D84" w14:textId="77777777" w:rsidR="00111400" w:rsidRPr="00E55B1D" w:rsidRDefault="00111400" w:rsidP="000B71E9">
      <w:pPr>
        <w:rPr>
          <w:rFonts w:ascii="Arial" w:hAnsi="Arial" w:cs="Arial"/>
          <w:sz w:val="24"/>
          <w:szCs w:val="24"/>
        </w:rPr>
      </w:pPr>
    </w:p>
    <w:sectPr w:rsidR="00111400" w:rsidRPr="00E55B1D" w:rsidSect="00E52362"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DB14" w14:textId="77777777" w:rsidR="0036161A" w:rsidRDefault="0036161A" w:rsidP="00704881">
      <w:pPr>
        <w:spacing w:after="0" w:line="240" w:lineRule="auto"/>
      </w:pPr>
      <w:r>
        <w:separator/>
      </w:r>
    </w:p>
  </w:endnote>
  <w:endnote w:type="continuationSeparator" w:id="0">
    <w:p w14:paraId="267E3AA3" w14:textId="77777777" w:rsidR="0036161A" w:rsidRDefault="0036161A" w:rsidP="0070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DBAF" w14:textId="77777777" w:rsidR="00503832" w:rsidRDefault="00503832">
    <w:pPr>
      <w:pStyle w:val="Footer"/>
      <w:jc w:val="center"/>
    </w:pPr>
  </w:p>
  <w:p w14:paraId="34B8A09E" w14:textId="77777777" w:rsidR="00503832" w:rsidRDefault="00503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0E4" w14:textId="53A0FEFA" w:rsidR="00503832" w:rsidRDefault="00503832" w:rsidP="00EA2F8A">
    <w:pPr>
      <w:pStyle w:val="Footer"/>
      <w:ind w:hanging="990"/>
      <w:rPr>
        <w:color w:val="365F91" w:themeColor="accent1" w:themeShade="BF"/>
        <w:sz w:val="18"/>
        <w:szCs w:val="18"/>
      </w:rPr>
    </w:pPr>
    <w:r w:rsidRPr="00724E4B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276707" wp14:editId="46A82E2A">
          <wp:simplePos x="0" y="0"/>
          <wp:positionH relativeFrom="column">
            <wp:posOffset>6046503</wp:posOffset>
          </wp:positionH>
          <wp:positionV relativeFrom="paragraph">
            <wp:posOffset>34290</wp:posOffset>
          </wp:positionV>
          <wp:extent cx="718820" cy="393065"/>
          <wp:effectExtent l="0" t="0" r="5080" b="6985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65F91" w:themeColor="accent1" w:themeShade="BF"/>
        <w:sz w:val="18"/>
        <w:szCs w:val="18"/>
      </w:rPr>
      <w:tab/>
    </w:r>
  </w:p>
  <w:p w14:paraId="6262AE8F" w14:textId="7ECF99CF" w:rsidR="00EA2F8A" w:rsidRDefault="00EA2F8A" w:rsidP="00EA2F8A">
    <w:pPr>
      <w:pStyle w:val="Footer"/>
      <w:ind w:hanging="990"/>
      <w:rPr>
        <w:color w:val="365F91" w:themeColor="accent1" w:themeShade="BF"/>
        <w:sz w:val="18"/>
        <w:szCs w:val="18"/>
      </w:rPr>
    </w:pPr>
  </w:p>
  <w:p w14:paraId="7D4C8FAF" w14:textId="77777777" w:rsidR="00EA2F8A" w:rsidRPr="000B71E9" w:rsidRDefault="00EA2F8A" w:rsidP="00EA2F8A">
    <w:pPr>
      <w:pStyle w:val="Footer"/>
      <w:ind w:hanging="990"/>
      <w:rPr>
        <w:color w:val="95B3D7" w:themeColor="accent1" w:themeTint="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18BB" w14:textId="77777777" w:rsidR="0036161A" w:rsidRDefault="0036161A" w:rsidP="00704881">
      <w:pPr>
        <w:spacing w:after="0" w:line="240" w:lineRule="auto"/>
      </w:pPr>
      <w:r>
        <w:separator/>
      </w:r>
    </w:p>
  </w:footnote>
  <w:footnote w:type="continuationSeparator" w:id="0">
    <w:p w14:paraId="24FB7058" w14:textId="77777777" w:rsidR="0036161A" w:rsidRDefault="0036161A" w:rsidP="0070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66B9" w14:textId="77777777" w:rsidR="00503832" w:rsidRDefault="00503832">
    <w:pPr>
      <w:pStyle w:val="Header"/>
    </w:pPr>
  </w:p>
  <w:p w14:paraId="22E1B2CE" w14:textId="77777777" w:rsidR="00503832" w:rsidRDefault="00503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478"/>
    <w:multiLevelType w:val="hybridMultilevel"/>
    <w:tmpl w:val="80EE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E6E"/>
    <w:multiLevelType w:val="hybridMultilevel"/>
    <w:tmpl w:val="080E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3D65"/>
    <w:multiLevelType w:val="hybridMultilevel"/>
    <w:tmpl w:val="356E18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33F9C"/>
    <w:multiLevelType w:val="hybridMultilevel"/>
    <w:tmpl w:val="B7C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521A"/>
    <w:multiLevelType w:val="hybridMultilevel"/>
    <w:tmpl w:val="2684F34C"/>
    <w:lvl w:ilvl="0" w:tplc="0409000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4516F07"/>
    <w:multiLevelType w:val="hybridMultilevel"/>
    <w:tmpl w:val="820EE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B11"/>
    <w:multiLevelType w:val="hybridMultilevel"/>
    <w:tmpl w:val="3D5A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8039A"/>
    <w:multiLevelType w:val="hybridMultilevel"/>
    <w:tmpl w:val="AC48C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43700"/>
    <w:multiLevelType w:val="hybridMultilevel"/>
    <w:tmpl w:val="977E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00B8"/>
    <w:multiLevelType w:val="hybridMultilevel"/>
    <w:tmpl w:val="30C8D19A"/>
    <w:lvl w:ilvl="0" w:tplc="2ADA35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2B"/>
    <w:rsid w:val="00023DB8"/>
    <w:rsid w:val="00024427"/>
    <w:rsid w:val="000470B7"/>
    <w:rsid w:val="00052658"/>
    <w:rsid w:val="000623C4"/>
    <w:rsid w:val="000756CE"/>
    <w:rsid w:val="00084EFF"/>
    <w:rsid w:val="000974C1"/>
    <w:rsid w:val="000A11AD"/>
    <w:rsid w:val="000B71E9"/>
    <w:rsid w:val="000E453B"/>
    <w:rsid w:val="00111400"/>
    <w:rsid w:val="00151364"/>
    <w:rsid w:val="00154652"/>
    <w:rsid w:val="00172D0C"/>
    <w:rsid w:val="00174249"/>
    <w:rsid w:val="00180CFC"/>
    <w:rsid w:val="001960C1"/>
    <w:rsid w:val="001A2E3C"/>
    <w:rsid w:val="001C4781"/>
    <w:rsid w:val="001D0C38"/>
    <w:rsid w:val="001D4110"/>
    <w:rsid w:val="001E0B07"/>
    <w:rsid w:val="001E6E90"/>
    <w:rsid w:val="0023376E"/>
    <w:rsid w:val="00257A80"/>
    <w:rsid w:val="00285B1B"/>
    <w:rsid w:val="00293601"/>
    <w:rsid w:val="00293A6F"/>
    <w:rsid w:val="002A5C59"/>
    <w:rsid w:val="002C3A35"/>
    <w:rsid w:val="002C69A1"/>
    <w:rsid w:val="002E37FE"/>
    <w:rsid w:val="00303FAF"/>
    <w:rsid w:val="003066B3"/>
    <w:rsid w:val="003135A8"/>
    <w:rsid w:val="00316F9F"/>
    <w:rsid w:val="003422D0"/>
    <w:rsid w:val="00345108"/>
    <w:rsid w:val="00353A81"/>
    <w:rsid w:val="0036161A"/>
    <w:rsid w:val="00384CCD"/>
    <w:rsid w:val="003C5AFF"/>
    <w:rsid w:val="003D041B"/>
    <w:rsid w:val="003D0661"/>
    <w:rsid w:val="003D1EFF"/>
    <w:rsid w:val="003F5328"/>
    <w:rsid w:val="004041AE"/>
    <w:rsid w:val="00405DC6"/>
    <w:rsid w:val="00417982"/>
    <w:rsid w:val="004211F1"/>
    <w:rsid w:val="004348E2"/>
    <w:rsid w:val="00434B51"/>
    <w:rsid w:val="00442E44"/>
    <w:rsid w:val="00454C25"/>
    <w:rsid w:val="00456326"/>
    <w:rsid w:val="004717AF"/>
    <w:rsid w:val="0049299B"/>
    <w:rsid w:val="0049302F"/>
    <w:rsid w:val="004A0D9B"/>
    <w:rsid w:val="004A4D64"/>
    <w:rsid w:val="004E0860"/>
    <w:rsid w:val="00500462"/>
    <w:rsid w:val="00502BD7"/>
    <w:rsid w:val="00503832"/>
    <w:rsid w:val="00521EA6"/>
    <w:rsid w:val="005300B6"/>
    <w:rsid w:val="00531A87"/>
    <w:rsid w:val="00543D94"/>
    <w:rsid w:val="00544070"/>
    <w:rsid w:val="005462A9"/>
    <w:rsid w:val="00560F29"/>
    <w:rsid w:val="005663F0"/>
    <w:rsid w:val="005969A1"/>
    <w:rsid w:val="005A3B63"/>
    <w:rsid w:val="005C3554"/>
    <w:rsid w:val="005C525D"/>
    <w:rsid w:val="005C5571"/>
    <w:rsid w:val="005D3391"/>
    <w:rsid w:val="005D5126"/>
    <w:rsid w:val="00604E0A"/>
    <w:rsid w:val="00606FEA"/>
    <w:rsid w:val="00624370"/>
    <w:rsid w:val="0064188B"/>
    <w:rsid w:val="006420D5"/>
    <w:rsid w:val="00646314"/>
    <w:rsid w:val="006507B8"/>
    <w:rsid w:val="006A53BE"/>
    <w:rsid w:val="006B073F"/>
    <w:rsid w:val="006D1C16"/>
    <w:rsid w:val="006D6ACB"/>
    <w:rsid w:val="006E1996"/>
    <w:rsid w:val="006E4B14"/>
    <w:rsid w:val="006E5C2C"/>
    <w:rsid w:val="006F0648"/>
    <w:rsid w:val="00704881"/>
    <w:rsid w:val="007160D6"/>
    <w:rsid w:val="0073008A"/>
    <w:rsid w:val="007364DF"/>
    <w:rsid w:val="00745AA5"/>
    <w:rsid w:val="007544C7"/>
    <w:rsid w:val="00773230"/>
    <w:rsid w:val="007A0F19"/>
    <w:rsid w:val="007A254B"/>
    <w:rsid w:val="007C0BAA"/>
    <w:rsid w:val="007D19E9"/>
    <w:rsid w:val="007D25D4"/>
    <w:rsid w:val="007D661C"/>
    <w:rsid w:val="007F23F4"/>
    <w:rsid w:val="0081187D"/>
    <w:rsid w:val="00827FD3"/>
    <w:rsid w:val="00836852"/>
    <w:rsid w:val="00841316"/>
    <w:rsid w:val="00844464"/>
    <w:rsid w:val="008612F1"/>
    <w:rsid w:val="008616D1"/>
    <w:rsid w:val="008718D6"/>
    <w:rsid w:val="00893414"/>
    <w:rsid w:val="00895E57"/>
    <w:rsid w:val="008C3C58"/>
    <w:rsid w:val="008D434A"/>
    <w:rsid w:val="00906970"/>
    <w:rsid w:val="0092514F"/>
    <w:rsid w:val="00930999"/>
    <w:rsid w:val="00930E0E"/>
    <w:rsid w:val="00960AE8"/>
    <w:rsid w:val="00972714"/>
    <w:rsid w:val="00974627"/>
    <w:rsid w:val="00983768"/>
    <w:rsid w:val="00984717"/>
    <w:rsid w:val="009C15C5"/>
    <w:rsid w:val="009C1B8A"/>
    <w:rsid w:val="009E408E"/>
    <w:rsid w:val="00A01D82"/>
    <w:rsid w:val="00A054F8"/>
    <w:rsid w:val="00A056AC"/>
    <w:rsid w:val="00A42499"/>
    <w:rsid w:val="00A5182D"/>
    <w:rsid w:val="00A527DA"/>
    <w:rsid w:val="00A541CD"/>
    <w:rsid w:val="00A70965"/>
    <w:rsid w:val="00A71039"/>
    <w:rsid w:val="00A82845"/>
    <w:rsid w:val="00AA2904"/>
    <w:rsid w:val="00AB1F9D"/>
    <w:rsid w:val="00AB5971"/>
    <w:rsid w:val="00AD1029"/>
    <w:rsid w:val="00AD1BB1"/>
    <w:rsid w:val="00AD32CD"/>
    <w:rsid w:val="00B060F1"/>
    <w:rsid w:val="00B073C8"/>
    <w:rsid w:val="00B16531"/>
    <w:rsid w:val="00B35FB2"/>
    <w:rsid w:val="00B545B9"/>
    <w:rsid w:val="00B56BF1"/>
    <w:rsid w:val="00B77E55"/>
    <w:rsid w:val="00BA2237"/>
    <w:rsid w:val="00BA7A5A"/>
    <w:rsid w:val="00BB4BCC"/>
    <w:rsid w:val="00BC0287"/>
    <w:rsid w:val="00BC3DCC"/>
    <w:rsid w:val="00BC7E22"/>
    <w:rsid w:val="00BF4922"/>
    <w:rsid w:val="00C06FDF"/>
    <w:rsid w:val="00C13305"/>
    <w:rsid w:val="00C559DE"/>
    <w:rsid w:val="00C724C5"/>
    <w:rsid w:val="00C76B59"/>
    <w:rsid w:val="00C82521"/>
    <w:rsid w:val="00C930C6"/>
    <w:rsid w:val="00C95173"/>
    <w:rsid w:val="00C95EA9"/>
    <w:rsid w:val="00CA40C7"/>
    <w:rsid w:val="00CC7CAC"/>
    <w:rsid w:val="00CE0D3C"/>
    <w:rsid w:val="00CE7486"/>
    <w:rsid w:val="00CF552D"/>
    <w:rsid w:val="00D03A04"/>
    <w:rsid w:val="00D16ED9"/>
    <w:rsid w:val="00D574D3"/>
    <w:rsid w:val="00D5758A"/>
    <w:rsid w:val="00D623A9"/>
    <w:rsid w:val="00D757C7"/>
    <w:rsid w:val="00DB2785"/>
    <w:rsid w:val="00DD100A"/>
    <w:rsid w:val="00DE3633"/>
    <w:rsid w:val="00DF072B"/>
    <w:rsid w:val="00DF6397"/>
    <w:rsid w:val="00E0598A"/>
    <w:rsid w:val="00E06862"/>
    <w:rsid w:val="00E32569"/>
    <w:rsid w:val="00E331DC"/>
    <w:rsid w:val="00E4110A"/>
    <w:rsid w:val="00E52362"/>
    <w:rsid w:val="00E5265E"/>
    <w:rsid w:val="00E55B1D"/>
    <w:rsid w:val="00E57EBC"/>
    <w:rsid w:val="00E64C51"/>
    <w:rsid w:val="00E77AF2"/>
    <w:rsid w:val="00E905A6"/>
    <w:rsid w:val="00E916FF"/>
    <w:rsid w:val="00EA2F8A"/>
    <w:rsid w:val="00EC03CD"/>
    <w:rsid w:val="00EC301D"/>
    <w:rsid w:val="00ED45E9"/>
    <w:rsid w:val="00EE0075"/>
    <w:rsid w:val="00EE214F"/>
    <w:rsid w:val="00EE22A9"/>
    <w:rsid w:val="00EF6737"/>
    <w:rsid w:val="00F36DB5"/>
    <w:rsid w:val="00F46CC9"/>
    <w:rsid w:val="00F562EC"/>
    <w:rsid w:val="00F62665"/>
    <w:rsid w:val="00F6310F"/>
    <w:rsid w:val="00F65A60"/>
    <w:rsid w:val="00F76146"/>
    <w:rsid w:val="00F8281A"/>
    <w:rsid w:val="00F92B5F"/>
    <w:rsid w:val="00F9759D"/>
    <w:rsid w:val="00FA2425"/>
    <w:rsid w:val="00FB1677"/>
    <w:rsid w:val="00FC6D8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06EB5"/>
  <w15:docId w15:val="{F72F9AA6-4E4F-4421-952E-882C4663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ection Subhead"/>
    <w:basedOn w:val="Normal"/>
    <w:next w:val="Normal"/>
    <w:link w:val="Heading2Char"/>
    <w:qFormat/>
    <w:rsid w:val="0070488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0488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color w:val="339966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04881"/>
    <w:pPr>
      <w:keepNext/>
      <w:tabs>
        <w:tab w:val="left" w:pos="6352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2845"/>
    <w:rPr>
      <w:color w:val="808080"/>
    </w:rPr>
  </w:style>
  <w:style w:type="character" w:customStyle="1" w:styleId="Style1">
    <w:name w:val="Style1"/>
    <w:basedOn w:val="DefaultParagraphFont"/>
    <w:uiPriority w:val="1"/>
    <w:rsid w:val="00A82845"/>
    <w:rPr>
      <w:rFonts w:ascii="Arial Black" w:hAnsi="Arial Black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45"/>
    <w:rPr>
      <w:rFonts w:ascii="Tahoma" w:hAnsi="Tahoma" w:cs="Tahoma"/>
      <w:sz w:val="16"/>
      <w:szCs w:val="16"/>
    </w:rPr>
  </w:style>
  <w:style w:type="character" w:customStyle="1" w:styleId="Style3">
    <w:name w:val="Style3"/>
    <w:basedOn w:val="DefaultParagraphFont"/>
    <w:uiPriority w:val="1"/>
    <w:rsid w:val="00AA2904"/>
    <w:rPr>
      <w:rFonts w:ascii="Arial Black" w:hAnsi="Arial Black"/>
      <w:b/>
    </w:rPr>
  </w:style>
  <w:style w:type="paragraph" w:styleId="Header">
    <w:name w:val="header"/>
    <w:basedOn w:val="Normal"/>
    <w:link w:val="HeaderChar"/>
    <w:unhideWhenUsed/>
    <w:rsid w:val="0070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81"/>
  </w:style>
  <w:style w:type="paragraph" w:styleId="Footer">
    <w:name w:val="footer"/>
    <w:basedOn w:val="Normal"/>
    <w:link w:val="FooterChar"/>
    <w:uiPriority w:val="99"/>
    <w:unhideWhenUsed/>
    <w:rsid w:val="0070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81"/>
  </w:style>
  <w:style w:type="character" w:customStyle="1" w:styleId="Heading2Char">
    <w:name w:val="Heading 2 Char"/>
    <w:aliases w:val="Section Subhead Char"/>
    <w:basedOn w:val="DefaultParagraphFont"/>
    <w:link w:val="Heading2"/>
    <w:rsid w:val="00704881"/>
    <w:rPr>
      <w:rFonts w:ascii="Arial" w:eastAsia="Times New Roman" w:hAnsi="Arial" w:cs="Times New Roman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4881"/>
    <w:rPr>
      <w:rFonts w:ascii="Arial" w:eastAsia="Times New Roman" w:hAnsi="Arial" w:cs="Times New Roman"/>
      <w:b/>
      <w:bCs/>
      <w:color w:val="3399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0488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E1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5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2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4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E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9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F6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https://content.govdelivery.com/attachments/WADOH/2020/04/24/file_attachments/1436018/NCQAC%20Current%20Waivers%20and%20Modifications.pdf" TargetMode="External"/><Relationship Id="rId19" Type="http://schemas.openxmlformats.org/officeDocument/2006/relationships/hyperlink" Target="mailto:janet.wakefield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govdelivery.com/attachments/WADOH/2020/04/24/file_attachments/1436016/Chapter%20246-840%20WAC%20COVID-19.pdf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69B8-5089-424D-805A-1E76396A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Karlson, Jennifer (DSHS/ALTSA/HCS)</dc:creator>
  <cp:lastModifiedBy>Wakefield, Janet M (DSHS/ALTSA/HCS)</cp:lastModifiedBy>
  <cp:revision>2</cp:revision>
  <dcterms:created xsi:type="dcterms:W3CDTF">2021-11-30T17:22:00Z</dcterms:created>
  <dcterms:modified xsi:type="dcterms:W3CDTF">2021-11-30T17:22:00Z</dcterms:modified>
</cp:coreProperties>
</file>