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93" w:rsidRDefault="009E7F93" w:rsidP="005C518E">
      <w:pPr>
        <w:shd w:val="clear" w:color="auto" w:fill="FFFFFF"/>
        <w:spacing w:after="0" w:line="240" w:lineRule="auto"/>
        <w:outlineLvl w:val="1"/>
        <w:rPr>
          <w:rFonts w:ascii="Calibri" w:eastAsia="Times New Roman" w:hAnsi="Calibri" w:cs="Times New Roman"/>
          <w:b/>
          <w:color w:val="0F5DA3"/>
          <w:sz w:val="24"/>
          <w:szCs w:val="28"/>
        </w:rPr>
      </w:pPr>
      <w:bookmarkStart w:id="0" w:name="_GoBack"/>
      <w:bookmarkEnd w:id="0"/>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r w:rsidRPr="005B2871">
        <w:rPr>
          <w:rFonts w:ascii="Calibri" w:eastAsia="Times New Roman" w:hAnsi="Calibri" w:cs="Times New Roman"/>
          <w:b/>
          <w:color w:val="0F5DA3"/>
          <w:sz w:val="24"/>
          <w:szCs w:val="28"/>
        </w:rPr>
        <w:t>Instructions</w:t>
      </w:r>
    </w:p>
    <w:p w:rsidR="00CA6414" w:rsidRDefault="005C518E" w:rsidP="005C518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Pr="005B2871">
        <w:rPr>
          <w:rFonts w:ascii="Calibri" w:hAnsi="Calibri"/>
          <w:sz w:val="24"/>
        </w:rPr>
        <w:t xml:space="preserve">rint out this document, initial each page and sign the </w:t>
      </w:r>
      <w:r>
        <w:rPr>
          <w:rFonts w:ascii="Calibri" w:hAnsi="Calibri"/>
          <w:kern w:val="32"/>
          <w:sz w:val="24"/>
        </w:rPr>
        <w:t>provider qualification a</w:t>
      </w:r>
      <w:r w:rsidRPr="005B2871">
        <w:rPr>
          <w:rFonts w:ascii="Calibri" w:hAnsi="Calibri"/>
          <w:kern w:val="32"/>
          <w:sz w:val="24"/>
        </w:rPr>
        <w:t xml:space="preserve">ttestation. </w:t>
      </w:r>
      <w:r>
        <w:rPr>
          <w:rFonts w:ascii="Calibri" w:hAnsi="Calibri"/>
          <w:kern w:val="32"/>
          <w:sz w:val="24"/>
        </w:rPr>
        <w:t xml:space="preserve"> </w:t>
      </w:r>
      <w:r w:rsidRPr="005B2871">
        <w:rPr>
          <w:rFonts w:ascii="Calibri" w:hAnsi="Calibri"/>
          <w:sz w:val="24"/>
        </w:rPr>
        <w:t xml:space="preserve">Send </w:t>
      </w:r>
      <w:r>
        <w:rPr>
          <w:rFonts w:ascii="Calibri" w:hAnsi="Calibri"/>
          <w:sz w:val="24"/>
        </w:rPr>
        <w:t>this signed form</w:t>
      </w:r>
      <w:r w:rsidRPr="005B2871">
        <w:rPr>
          <w:rFonts w:ascii="Calibri" w:hAnsi="Calibri"/>
          <w:sz w:val="24"/>
        </w:rPr>
        <w:t xml:space="preserve"> with the </w:t>
      </w:r>
      <w:r w:rsidR="00CA6414">
        <w:rPr>
          <w:rFonts w:ascii="Calibri" w:hAnsi="Calibri"/>
          <w:sz w:val="24"/>
        </w:rPr>
        <w:t>required</w:t>
      </w:r>
      <w:r w:rsidRPr="005B2871">
        <w:rPr>
          <w:rFonts w:ascii="Calibri" w:hAnsi="Calibri"/>
          <w:sz w:val="24"/>
        </w:rPr>
        <w:t xml:space="preserve"> documentation to the </w:t>
      </w:r>
      <w:hyperlink r:id="rId7" w:history="1">
        <w:r w:rsidRPr="00B60ACE">
          <w:rPr>
            <w:rStyle w:val="Hyperlink"/>
            <w:rFonts w:ascii="Calibri" w:hAnsi="Calibri"/>
            <w:sz w:val="24"/>
          </w:rPr>
          <w:t xml:space="preserve">appropriate </w:t>
        </w:r>
        <w:r w:rsidRPr="005B2871">
          <w:rPr>
            <w:rStyle w:val="Hyperlink"/>
            <w:rFonts w:ascii="Calibri" w:hAnsi="Calibri"/>
            <w:sz w:val="24"/>
          </w:rPr>
          <w:t>AAA</w:t>
        </w:r>
      </w:hyperlink>
      <w:r>
        <w:rPr>
          <w:rFonts w:ascii="Calibri" w:hAnsi="Calibri"/>
          <w:sz w:val="24"/>
        </w:rPr>
        <w:t xml:space="preserve"> based on the counties in which you wish to provide services</w:t>
      </w:r>
      <w:r w:rsidR="00CA6414">
        <w:rPr>
          <w:rFonts w:ascii="Calibri" w:hAnsi="Calibri"/>
          <w:sz w:val="24"/>
        </w:rPr>
        <w:t>.</w:t>
      </w:r>
    </w:p>
    <w:p w:rsidR="005C518E" w:rsidRDefault="005C518E" w:rsidP="005C518E">
      <w:pPr>
        <w:shd w:val="clear" w:color="auto" w:fill="FFFFFF"/>
        <w:spacing w:after="0" w:line="240" w:lineRule="auto"/>
        <w:outlineLvl w:val="1"/>
        <w:rPr>
          <w:rFonts w:ascii="Calibri" w:eastAsia="Times New Roman" w:hAnsi="Calibri" w:cs="Times New Roman"/>
          <w:color w:val="0F5DA3"/>
          <w:sz w:val="24"/>
          <w:szCs w:val="39"/>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39"/>
        </w:rPr>
      </w:pPr>
      <w:r w:rsidRPr="005B2871">
        <w:rPr>
          <w:rFonts w:ascii="Calibri" w:eastAsia="Times New Roman" w:hAnsi="Calibri" w:cs="Times New Roman"/>
          <w:b/>
          <w:color w:val="0F5DA3"/>
          <w:sz w:val="24"/>
          <w:szCs w:val="39"/>
        </w:rPr>
        <w:t>General Description</w:t>
      </w:r>
    </w:p>
    <w:p w:rsidR="005C518E" w:rsidRDefault="005C518E" w:rsidP="005C518E">
      <w:p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color w:val="000000" w:themeColor="text1"/>
          <w:sz w:val="24"/>
          <w:szCs w:val="24"/>
        </w:rPr>
        <w:t xml:space="preserve">Personal Emergency Response Systems (PERS) is a service to secure help in an emergency through an electronic device that is either connected to the Client’s phone or operates using GSM cellular signals and is programmed to signal a response center and staffed by trained professionals who will immediately summon help for the client.  </w:t>
      </w:r>
    </w:p>
    <w:p w:rsidR="007429E8" w:rsidRPr="00CC21BB" w:rsidRDefault="007429E8" w:rsidP="005C518E">
      <w:pPr>
        <w:shd w:val="clear" w:color="auto" w:fill="FFFFFF"/>
        <w:spacing w:after="0" w:line="240" w:lineRule="auto"/>
        <w:outlineLvl w:val="1"/>
        <w:rPr>
          <w:rFonts w:eastAsia="Times New Roman" w:cs="Times New Roman"/>
          <w:color w:val="000000" w:themeColor="text1"/>
          <w:sz w:val="24"/>
          <w:szCs w:val="24"/>
        </w:rPr>
      </w:pPr>
    </w:p>
    <w:p w:rsidR="005C518E" w:rsidRDefault="005C518E" w:rsidP="005C518E">
      <w:p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color w:val="000000" w:themeColor="text1"/>
          <w:sz w:val="24"/>
          <w:szCs w:val="24"/>
        </w:rPr>
        <w:t xml:space="preserve">PERS may include medication reminders if the person is eligible for a PERS unit and there is no caregiver available to provide the service and the person is able to use the reminder to take their medications.   PERS may also include a bracelet, anklet or pendant with locator capabilities for clients who meet eligibility criteria for PERS.  </w:t>
      </w:r>
    </w:p>
    <w:p w:rsidR="007429E8" w:rsidRPr="00CC21BB" w:rsidRDefault="007429E8" w:rsidP="005C518E">
      <w:pPr>
        <w:shd w:val="clear" w:color="auto" w:fill="FFFFFF"/>
        <w:spacing w:after="0" w:line="240" w:lineRule="auto"/>
        <w:outlineLvl w:val="1"/>
        <w:rPr>
          <w:rFonts w:eastAsia="Times New Roman" w:cs="Times New Roman"/>
          <w:color w:val="000000" w:themeColor="text1"/>
          <w:sz w:val="24"/>
          <w:szCs w:val="24"/>
        </w:rPr>
      </w:pPr>
    </w:p>
    <w:p w:rsidR="005C518E" w:rsidRPr="00CC21BB" w:rsidRDefault="005C518E" w:rsidP="005C518E">
      <w:p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color w:val="000000" w:themeColor="text1"/>
          <w:sz w:val="24"/>
          <w:szCs w:val="24"/>
        </w:rPr>
        <w:t xml:space="preserve">PERS does not include well checks, smoke alarms, nursing triage services, health monitoring systems or other enhancements made available by the Contractor.   PERS services and equipment are not allowed for clients living in residential settings (i.e., Adult Family Home, Assisted Living, Adult Residential Care and Enhanced Adult Residential Care). </w:t>
      </w: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r w:rsidRPr="005B2871">
        <w:rPr>
          <w:rFonts w:ascii="Calibri" w:eastAsia="Times New Roman" w:hAnsi="Calibri" w:cs="Times New Roman"/>
          <w:b/>
          <w:color w:val="0F5DA3"/>
          <w:sz w:val="24"/>
          <w:szCs w:val="28"/>
        </w:rPr>
        <w:t>Long-Term Services and Supports: Laws, Rules, and Policies</w:t>
      </w:r>
    </w:p>
    <w:p w:rsidR="005C518E" w:rsidRDefault="005C518E" w:rsidP="005C518E">
      <w:pPr>
        <w:shd w:val="clear" w:color="auto" w:fill="FFFFFF"/>
        <w:spacing w:after="0" w:line="240" w:lineRule="auto"/>
        <w:outlineLvl w:val="1"/>
        <w:rPr>
          <w:rFonts w:ascii="Calibri" w:eastAsia="Times New Roman" w:hAnsi="Calibri" w:cs="Times New Roman"/>
          <w:iCs/>
          <w:color w:val="000000" w:themeColor="text1"/>
          <w:kern w:val="32"/>
          <w:sz w:val="24"/>
        </w:rPr>
      </w:pPr>
      <w:r w:rsidRPr="005B2871">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p>
    <w:p w:rsidR="005C518E" w:rsidRDefault="00C87190" w:rsidP="005C518E">
      <w:pPr>
        <w:pStyle w:val="ListParagraph"/>
        <w:numPr>
          <w:ilvl w:val="0"/>
          <w:numId w:val="4"/>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8" w:history="1">
        <w:r w:rsidR="005C518E" w:rsidRPr="005B2871">
          <w:rPr>
            <w:rFonts w:ascii="Calibri" w:eastAsia="Times New Roman" w:hAnsi="Calibri" w:cs="Times New Roman"/>
            <w:iCs/>
            <w:color w:val="0000FF"/>
            <w:kern w:val="32"/>
            <w:sz w:val="24"/>
            <w:u w:val="single"/>
          </w:rPr>
          <w:t>Chapter 74.39A RCW: Long-Term Care Services Options</w:t>
        </w:r>
      </w:hyperlink>
      <w:r w:rsidR="005C518E" w:rsidRPr="005B2871">
        <w:rPr>
          <w:rFonts w:ascii="Calibri" w:eastAsia="Times New Roman" w:hAnsi="Calibri" w:cs="Times New Roman"/>
          <w:iCs/>
          <w:color w:val="000000" w:themeColor="text1"/>
          <w:kern w:val="32"/>
          <w:sz w:val="24"/>
        </w:rPr>
        <w:t xml:space="preserve"> </w:t>
      </w:r>
    </w:p>
    <w:p w:rsidR="005C518E" w:rsidRPr="005C518E" w:rsidRDefault="00C87190" w:rsidP="005C518E">
      <w:pPr>
        <w:pStyle w:val="ListParagraph"/>
        <w:numPr>
          <w:ilvl w:val="0"/>
          <w:numId w:val="4"/>
        </w:numPr>
        <w:shd w:val="clear" w:color="auto" w:fill="FFFFFF"/>
        <w:spacing w:after="0" w:line="240" w:lineRule="auto"/>
        <w:outlineLvl w:val="1"/>
        <w:rPr>
          <w:rFonts w:eastAsia="Times New Roman" w:cs="Times New Roman"/>
          <w:iCs/>
          <w:color w:val="000000" w:themeColor="text1"/>
          <w:kern w:val="32"/>
          <w:sz w:val="24"/>
          <w:szCs w:val="24"/>
        </w:rPr>
      </w:pPr>
      <w:hyperlink r:id="rId9" w:history="1">
        <w:r w:rsidR="005C518E" w:rsidRPr="005C518E">
          <w:rPr>
            <w:rStyle w:val="Hyperlink"/>
            <w:rFonts w:eastAsia="Times New Roman" w:cs="Times New Roman"/>
            <w:iCs/>
            <w:kern w:val="32"/>
            <w:sz w:val="24"/>
            <w:szCs w:val="24"/>
          </w:rPr>
          <w:t>Chapter 43.43.830 RCW through 43.43.845 RCW: Washington State Patrol Background Checks</w:t>
        </w:r>
      </w:hyperlink>
    </w:p>
    <w:p w:rsidR="005C518E" w:rsidRPr="005C518E" w:rsidRDefault="00C87190" w:rsidP="005C518E">
      <w:pPr>
        <w:pStyle w:val="ListParagraph"/>
        <w:numPr>
          <w:ilvl w:val="0"/>
          <w:numId w:val="4"/>
        </w:numPr>
        <w:shd w:val="clear" w:color="auto" w:fill="FFFFFF"/>
        <w:spacing w:after="0" w:line="240" w:lineRule="auto"/>
        <w:outlineLvl w:val="1"/>
        <w:rPr>
          <w:rFonts w:eastAsia="Times New Roman" w:cs="Times New Roman"/>
          <w:iCs/>
          <w:color w:val="000000" w:themeColor="text1"/>
          <w:kern w:val="32"/>
          <w:sz w:val="24"/>
          <w:szCs w:val="24"/>
        </w:rPr>
      </w:pPr>
      <w:hyperlink r:id="rId10" w:history="1">
        <w:r w:rsidR="005C518E" w:rsidRPr="005C518E">
          <w:rPr>
            <w:rStyle w:val="Hyperlink"/>
            <w:rFonts w:eastAsia="Times New Roman" w:cs="Times New Roman"/>
            <w:iCs/>
            <w:kern w:val="32"/>
            <w:sz w:val="24"/>
            <w:szCs w:val="24"/>
          </w:rPr>
          <w:t>Chapter 388-106 WAC: Long-Term Care Services</w:t>
        </w:r>
      </w:hyperlink>
    </w:p>
    <w:p w:rsidR="005C518E" w:rsidRPr="005C518E" w:rsidRDefault="00C87190" w:rsidP="005C518E">
      <w:pPr>
        <w:pStyle w:val="ListParagraph"/>
        <w:numPr>
          <w:ilvl w:val="0"/>
          <w:numId w:val="4"/>
        </w:numPr>
        <w:shd w:val="clear" w:color="auto" w:fill="FFFFFF"/>
        <w:spacing w:after="0" w:line="240" w:lineRule="auto"/>
        <w:outlineLvl w:val="1"/>
        <w:rPr>
          <w:rFonts w:eastAsia="Times New Roman" w:cs="Times New Roman"/>
          <w:iCs/>
          <w:color w:val="000000" w:themeColor="text1"/>
          <w:kern w:val="32"/>
          <w:sz w:val="24"/>
          <w:szCs w:val="24"/>
        </w:rPr>
      </w:pPr>
      <w:hyperlink r:id="rId11" w:history="1">
        <w:r w:rsidR="005C518E" w:rsidRPr="005C518E">
          <w:rPr>
            <w:rStyle w:val="Hyperlink"/>
            <w:rFonts w:eastAsia="Times New Roman" w:cs="Times New Roman"/>
            <w:iCs/>
            <w:kern w:val="32"/>
            <w:sz w:val="24"/>
            <w:szCs w:val="24"/>
          </w:rPr>
          <w:t>Chapter 388-71 WAC: Home and Community Services and Programs</w:t>
        </w:r>
      </w:hyperlink>
    </w:p>
    <w:p w:rsidR="005C518E" w:rsidRPr="005C518E" w:rsidRDefault="00C87190" w:rsidP="005C518E">
      <w:pPr>
        <w:pStyle w:val="ListParagraph"/>
        <w:numPr>
          <w:ilvl w:val="0"/>
          <w:numId w:val="4"/>
        </w:numPr>
        <w:shd w:val="clear" w:color="auto" w:fill="FFFFFF"/>
        <w:spacing w:after="0" w:line="240" w:lineRule="auto"/>
        <w:outlineLvl w:val="1"/>
        <w:rPr>
          <w:rFonts w:eastAsia="Times New Roman" w:cs="Times New Roman"/>
          <w:iCs/>
          <w:color w:val="000000" w:themeColor="text1"/>
          <w:kern w:val="32"/>
          <w:sz w:val="24"/>
          <w:szCs w:val="24"/>
        </w:rPr>
      </w:pPr>
      <w:hyperlink r:id="rId12" w:history="1">
        <w:r w:rsidR="005C518E" w:rsidRPr="005C518E">
          <w:rPr>
            <w:rStyle w:val="Hyperlink"/>
            <w:rFonts w:eastAsia="Times New Roman" w:cs="Times New Roman"/>
            <w:iCs/>
            <w:kern w:val="32"/>
            <w:sz w:val="24"/>
            <w:szCs w:val="24"/>
          </w:rPr>
          <w:t>Aging and Disability Services Long-Term Care Manual Chapter 7: CORE LTC Programs</w:t>
        </w:r>
      </w:hyperlink>
      <w:r w:rsidR="005C518E" w:rsidRPr="005C518E">
        <w:rPr>
          <w:rFonts w:eastAsia="Times New Roman" w:cs="Times New Roman"/>
          <w:iCs/>
          <w:color w:val="000000" w:themeColor="text1"/>
          <w:kern w:val="32"/>
          <w:sz w:val="24"/>
          <w:szCs w:val="24"/>
        </w:rPr>
        <w:t xml:space="preserve"> </w:t>
      </w:r>
    </w:p>
    <w:p w:rsidR="005C518E" w:rsidRDefault="005C518E" w:rsidP="005C518E">
      <w:pPr>
        <w:shd w:val="clear" w:color="auto" w:fill="FFFFFF"/>
        <w:spacing w:after="0" w:line="240" w:lineRule="auto"/>
        <w:outlineLvl w:val="1"/>
        <w:rPr>
          <w:rFonts w:ascii="Calibri" w:eastAsia="Times New Roman" w:hAnsi="Calibri" w:cs="Times New Roman"/>
          <w:color w:val="0F5DA3"/>
          <w:sz w:val="24"/>
          <w:szCs w:val="28"/>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r w:rsidRPr="005B2871">
        <w:rPr>
          <w:rFonts w:ascii="Calibri" w:eastAsia="Times New Roman" w:hAnsi="Calibri" w:cs="Times New Roman"/>
          <w:b/>
          <w:color w:val="0F5DA3"/>
          <w:sz w:val="24"/>
          <w:szCs w:val="28"/>
        </w:rPr>
        <w:t>Provider Contract</w:t>
      </w:r>
    </w:p>
    <w:p w:rsidR="005C518E" w:rsidRDefault="005C518E" w:rsidP="005C518E">
      <w:pPr>
        <w:shd w:val="clear" w:color="auto" w:fill="FFFFFF"/>
        <w:spacing w:after="0" w:line="240" w:lineRule="auto"/>
        <w:outlineLvl w:val="1"/>
        <w:rPr>
          <w:rFonts w:eastAsia="Times New Roman" w:cs="Times New Roman"/>
          <w:iCs/>
          <w:color w:val="000000" w:themeColor="text1"/>
          <w:kern w:val="32"/>
          <w:sz w:val="24"/>
          <w:szCs w:val="24"/>
        </w:rPr>
      </w:pPr>
      <w:r w:rsidRPr="00CC21BB">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p w:rsidR="00264969" w:rsidRDefault="00264969" w:rsidP="005C518E">
      <w:pPr>
        <w:shd w:val="clear" w:color="auto" w:fill="FFFFFF"/>
        <w:spacing w:after="0" w:line="240" w:lineRule="auto"/>
        <w:outlineLvl w:val="1"/>
        <w:rPr>
          <w:rFonts w:eastAsia="Times New Roman" w:cs="Times New Roman"/>
          <w:iCs/>
          <w:color w:val="000000" w:themeColor="text1"/>
          <w:kern w:val="32"/>
          <w:sz w:val="24"/>
          <w:szCs w:val="24"/>
        </w:rPr>
      </w:pPr>
    </w:p>
    <w:bookmarkStart w:id="1" w:name="_MON_1564910673"/>
    <w:bookmarkEnd w:id="1"/>
    <w:p w:rsidR="00264969" w:rsidRDefault="0003070C" w:rsidP="005C518E">
      <w:pPr>
        <w:shd w:val="clear" w:color="auto" w:fill="FFFFFF"/>
        <w:spacing w:after="0" w:line="240" w:lineRule="auto"/>
        <w:outlineLvl w:val="1"/>
        <w:rPr>
          <w:rFonts w:eastAsia="Times New Roman" w:cs="Times New Roman"/>
          <w:iCs/>
          <w:color w:val="000000" w:themeColor="text1"/>
          <w:kern w:val="32"/>
          <w:sz w:val="24"/>
          <w:szCs w:val="24"/>
        </w:rPr>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574508076" r:id="rId14">
            <o:FieldCodes>\s</o:FieldCodes>
          </o:OLEObject>
        </w:object>
      </w:r>
      <w:bookmarkStart w:id="2" w:name="_MON_1564910693"/>
      <w:bookmarkEnd w:id="2"/>
      <w:r>
        <w:object w:dxaOrig="1539" w:dyaOrig="996">
          <v:shape id="_x0000_i1026" type="#_x0000_t75" style="width:77.25pt;height:49.5pt" o:ole="">
            <v:imagedata r:id="rId15" o:title=""/>
          </v:shape>
          <o:OLEObject Type="Embed" ProgID="Word.Document.12" ShapeID="_x0000_i1026" DrawAspect="Icon" ObjectID="_1574508077" r:id="rId16">
            <o:FieldCodes>\s</o:FieldCodes>
          </o:OLEObject>
        </w:object>
      </w: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r w:rsidRPr="005B2871">
        <w:rPr>
          <w:rFonts w:ascii="Calibri" w:eastAsia="Times New Roman" w:hAnsi="Calibri" w:cs="Times New Roman"/>
          <w:b/>
          <w:color w:val="0F5DA3"/>
          <w:sz w:val="24"/>
          <w:szCs w:val="28"/>
        </w:rPr>
        <w:t>Minimum Qualifications</w:t>
      </w: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5B2871">
        <w:rPr>
          <w:rFonts w:ascii="Calibri" w:eastAsia="Times New Roman" w:hAnsi="Calibri" w:cs="Times New Roman"/>
          <w:color w:val="000000" w:themeColor="text1"/>
          <w:sz w:val="24"/>
        </w:rPr>
        <w:t>emonstrated experience and ability to provide services per the specifications in the contract.</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5B2871">
        <w:rPr>
          <w:rFonts w:ascii="Calibri" w:eastAsia="Times New Roman" w:hAnsi="Calibri" w:cs="Times New Roman"/>
          <w:color w:val="000000" w:themeColor="text1"/>
          <w:sz w:val="24"/>
        </w:rPr>
        <w:t xml:space="preserve">Insurance requirements listed in the DSHS contract. </w:t>
      </w:r>
      <w:r w:rsidRPr="005B2871">
        <w:rPr>
          <w:rFonts w:ascii="Calibri" w:eastAsia="Times New Roman" w:hAnsi="Calibri" w:cs="Times New Roman"/>
          <w:iCs/>
          <w:color w:val="000000" w:themeColor="text1"/>
          <w:kern w:val="32"/>
          <w:sz w:val="24"/>
        </w:rPr>
        <w:t>Local areas may require higher minimum coverage.</w:t>
      </w:r>
      <w:r w:rsidRPr="005B2871">
        <w:rPr>
          <w:rFonts w:ascii="Calibri" w:eastAsia="Times New Roman" w:hAnsi="Calibri" w:cs="Times New Roman"/>
          <w:iCs/>
          <w:color w:val="FF0000"/>
          <w:kern w:val="32"/>
          <w:sz w:val="24"/>
        </w:rPr>
        <w:t xml:space="preserve"> </w:t>
      </w:r>
      <w:r w:rsidRPr="005B2871">
        <w:rPr>
          <w:rFonts w:ascii="Calibri" w:eastAsia="Times New Roman" w:hAnsi="Calibri" w:cs="Times New Roman"/>
          <w:iCs/>
          <w:color w:val="000000" w:themeColor="text1"/>
          <w:kern w:val="32"/>
          <w:sz w:val="24"/>
        </w:rPr>
        <w:t xml:space="preserve">Subcontractors, or any agency that is paid to carry out any of the </w:t>
      </w:r>
      <w:r w:rsidRPr="005B2871">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5C518E" w:rsidRPr="005B2871" w:rsidRDefault="005C518E" w:rsidP="005C518E">
      <w:pPr>
        <w:pStyle w:val="ListParagraph"/>
        <w:numPr>
          <w:ilvl w:val="0"/>
          <w:numId w:val="2"/>
        </w:numPr>
        <w:shd w:val="clear" w:color="auto" w:fill="FFFFFF"/>
        <w:spacing w:after="0" w:line="240" w:lineRule="auto"/>
        <w:outlineLvl w:val="1"/>
        <w:rPr>
          <w:rFonts w:eastAsia="Times New Roman" w:cs="Times New Roman"/>
          <w:color w:val="000000" w:themeColor="text1"/>
          <w:sz w:val="24"/>
          <w:szCs w:val="24"/>
        </w:rPr>
      </w:pPr>
      <w:r w:rsidRPr="005B2871">
        <w:rPr>
          <w:rFonts w:eastAsia="Times New Roman" w:cs="Times New Roman"/>
          <w:iCs/>
          <w:color w:val="000000" w:themeColor="text1"/>
          <w:kern w:val="32"/>
          <w:sz w:val="24"/>
          <w:szCs w:val="24"/>
        </w:rPr>
        <w:t xml:space="preserve">The agency owner/contract signatory must </w:t>
      </w:r>
      <w:hyperlink r:id="rId17" w:history="1">
        <w:r w:rsidRPr="005B2871">
          <w:rPr>
            <w:rStyle w:val="Hyperlink"/>
            <w:rFonts w:eastAsia="Times New Roman" w:cs="Times New Roman"/>
            <w:iCs/>
            <w:kern w:val="32"/>
            <w:sz w:val="24"/>
            <w:szCs w:val="24"/>
          </w:rPr>
          <w:t>pass a DSHS criminal history background check</w:t>
        </w:r>
      </w:hyperlink>
      <w:r w:rsidRPr="005B2871">
        <w:rPr>
          <w:rFonts w:eastAsia="Times New Roman" w:cs="Times New Roman"/>
          <w:iCs/>
          <w:color w:val="000000" w:themeColor="text1"/>
          <w:kern w:val="32"/>
          <w:sz w:val="24"/>
          <w:szCs w:val="24"/>
        </w:rPr>
        <w:t xml:space="preserve">.  </w:t>
      </w:r>
    </w:p>
    <w:p w:rsidR="005C518E" w:rsidRPr="005B2871" w:rsidRDefault="005C518E" w:rsidP="005C518E">
      <w:pPr>
        <w:pStyle w:val="ListParagraph"/>
        <w:numPr>
          <w:ilvl w:val="0"/>
          <w:numId w:val="2"/>
        </w:numPr>
        <w:shd w:val="clear" w:color="auto" w:fill="FFFFFF"/>
        <w:spacing w:after="0" w:line="240" w:lineRule="auto"/>
        <w:outlineLvl w:val="1"/>
        <w:rPr>
          <w:rFonts w:eastAsia="Times New Roman" w:cs="Times New Roman"/>
          <w:color w:val="000000" w:themeColor="text1"/>
          <w:sz w:val="24"/>
          <w:szCs w:val="24"/>
        </w:rPr>
      </w:pPr>
      <w:r w:rsidRPr="005B2871">
        <w:rPr>
          <w:rFonts w:eastAsia="Times New Roman" w:cs="Times New Roman"/>
          <w:iCs/>
          <w:color w:val="000000" w:themeColor="text1"/>
          <w:kern w:val="32"/>
          <w:sz w:val="24"/>
          <w:szCs w:val="24"/>
        </w:rPr>
        <w:t xml:space="preserve">All employees, volunteers, and subcontractors who may have unsupervised contact with vulnerable adults have </w:t>
      </w:r>
      <w:r w:rsidRPr="006A3ADB">
        <w:rPr>
          <w:rFonts w:eastAsia="Times New Roman" w:cs="Times New Roman"/>
          <w:iCs/>
          <w:kern w:val="32"/>
          <w:sz w:val="24"/>
          <w:szCs w:val="24"/>
        </w:rPr>
        <w:t>passed a criminal history background check</w:t>
      </w:r>
      <w:r w:rsidRPr="005B2871">
        <w:rPr>
          <w:rFonts w:eastAsia="Times New Roman" w:cs="Times New Roman"/>
          <w:iCs/>
          <w:color w:val="000000" w:themeColor="text1"/>
          <w:kern w:val="32"/>
          <w:sz w:val="24"/>
          <w:szCs w:val="24"/>
        </w:rPr>
        <w:t xml:space="preserve">, which must be conducted every two years and kept in personnel or subcontractor files.  </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5C518E" w:rsidRPr="005B2871" w:rsidRDefault="005C518E" w:rsidP="005C518E">
      <w:pPr>
        <w:pStyle w:val="ListParagraph"/>
        <w:numPr>
          <w:ilvl w:val="0"/>
          <w:numId w:val="2"/>
        </w:numPr>
        <w:spacing w:after="0" w:line="240" w:lineRule="auto"/>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5C518E" w:rsidRPr="005B2871" w:rsidRDefault="005C518E" w:rsidP="005C518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lastRenderedPageBreak/>
        <w:t>Provide services throughout the defined service area. The service area is defined by the contracting Area Agency on Aging.</w:t>
      </w:r>
    </w:p>
    <w:p w:rsidR="005C518E" w:rsidRPr="005B2871" w:rsidRDefault="005C518E" w:rsidP="005C518E">
      <w:pPr>
        <w:shd w:val="clear" w:color="auto" w:fill="FFFFFF"/>
        <w:spacing w:after="0" w:line="240" w:lineRule="auto"/>
        <w:outlineLvl w:val="1"/>
        <w:rPr>
          <w:rFonts w:ascii="Calibri" w:eastAsia="Times New Roman" w:hAnsi="Calibri" w:cs="Times New Roman"/>
          <w:color w:val="0F5DA3"/>
          <w:sz w:val="24"/>
          <w:szCs w:val="28"/>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b/>
          <w:color w:val="0F5DA3"/>
          <w:sz w:val="24"/>
          <w:szCs w:val="28"/>
        </w:rPr>
        <w:t>Specific Provider Qualifications</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color w:val="000000" w:themeColor="text1"/>
          <w:sz w:val="24"/>
          <w:szCs w:val="24"/>
        </w:rPr>
        <w:t>The equipment is approved by the Federal Communications Commission and meets the Underwriters Laboratories, Inc. (UL) or ETL (Intertek) standard for home health care signaling equipment.  The UL or ETL listing mark on the equipment will be accepted as evidence of the equipment’s compliance with UL or ETL standards.</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The emergency response activator can be activated by breath, by touch, or other means; the emergency response activator must be usable by persons who are visually or hearing impaired or physically disabled.</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The emergency response communicator does not interfere with normal telephone use when attached to the PERS Client’s telephone line.  The communicator must be capable of operating without external power during a power failure at the recipient’s home in accordance with UL or ETL requirements for home health care signaling equipment with stand-by capability.</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color w:val="000000" w:themeColor="text1"/>
          <w:sz w:val="24"/>
          <w:szCs w:val="24"/>
        </w:rPr>
        <w:t>The monitoring agencies’ equipment includes, at minimum:</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Primary receiver;</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 xml:space="preserve">Stand-by information retrieval system </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Separate telephone service when attached to the PERS Client’s telephone line;</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Stand-by receiver that is independent and interchangeable with the primary receiver;</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Back-up power supply; and</w:t>
      </w:r>
    </w:p>
    <w:p w:rsidR="005C518E" w:rsidRPr="00CC21BB" w:rsidRDefault="005C518E" w:rsidP="005C518E">
      <w:pPr>
        <w:pStyle w:val="ListParagraph"/>
        <w:numPr>
          <w:ilvl w:val="1"/>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bCs/>
          <w:iCs/>
          <w:color w:val="000000" w:themeColor="text1"/>
          <w:kern w:val="32"/>
          <w:sz w:val="24"/>
          <w:szCs w:val="24"/>
        </w:rPr>
        <w:t>Telephone line monitor when attached to the PERS Client’s telephone line.</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 xml:space="preserve">The monitoring equipment’s clock printer prints out the time and date of the emergency signal, the PERS client’s </w:t>
      </w:r>
      <w:proofErr w:type="spellStart"/>
      <w:r w:rsidRPr="00CC21BB">
        <w:rPr>
          <w:rFonts w:eastAsia="Times New Roman" w:cs="Times New Roman"/>
          <w:iCs/>
          <w:color w:val="000000" w:themeColor="text1"/>
          <w:kern w:val="32"/>
          <w:sz w:val="24"/>
          <w:szCs w:val="24"/>
        </w:rPr>
        <w:t>ProviderOne</w:t>
      </w:r>
      <w:proofErr w:type="spellEnd"/>
      <w:r w:rsidRPr="00CC21BB">
        <w:rPr>
          <w:rFonts w:eastAsia="Times New Roman" w:cs="Times New Roman"/>
          <w:iCs/>
          <w:color w:val="000000" w:themeColor="text1"/>
          <w:kern w:val="32"/>
          <w:sz w:val="24"/>
          <w:szCs w:val="24"/>
        </w:rPr>
        <w:t xml:space="preserve"> Client ID located on the client’s medical Services Card and the emergency code that indicates whether the signal is active, passive, or a responder test. </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The telephone line monitor gives visual and audible signals when an incoming telephone line is disconnected for more than 10 seconds. </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 xml:space="preserve">The ability to install the system within 5 business days of the request for service and remove it after receiving notice to discontinue the service.  </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The monitoring agency is capable of simultaneously responding to multiple signals for help; maintains detailed technical and operations manuals that describe PERS elements, including PERS equipment installation, functioning, and testing; emergency response protocols; and record keeping and reporting procedures.</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 xml:space="preserve">Systems are tested annually for 10% of current clients. </w:t>
      </w:r>
    </w:p>
    <w:p w:rsidR="005C518E" w:rsidRPr="00CC21BB"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Monitoring agency staff will be trained on operational and technical aspects of the PERS system.  Training shall include testing procedures, emergency reporting and response procedures and servicing.</w:t>
      </w:r>
    </w:p>
    <w:p w:rsidR="005C518E" w:rsidRPr="005C518E" w:rsidRDefault="005C518E" w:rsidP="005C518E">
      <w:pPr>
        <w:pStyle w:val="ListParagraph"/>
        <w:numPr>
          <w:ilvl w:val="0"/>
          <w:numId w:val="1"/>
        </w:numPr>
        <w:shd w:val="clear" w:color="auto" w:fill="FFFFFF"/>
        <w:spacing w:after="0" w:line="240" w:lineRule="auto"/>
        <w:outlineLvl w:val="1"/>
        <w:rPr>
          <w:rFonts w:eastAsia="Times New Roman" w:cs="Times New Roman"/>
          <w:color w:val="000000" w:themeColor="text1"/>
          <w:sz w:val="24"/>
          <w:szCs w:val="24"/>
        </w:rPr>
      </w:pPr>
      <w:r w:rsidRPr="00CC21BB">
        <w:rPr>
          <w:rFonts w:eastAsia="Times New Roman" w:cs="Times New Roman"/>
          <w:iCs/>
          <w:color w:val="000000" w:themeColor="text1"/>
          <w:kern w:val="32"/>
          <w:sz w:val="24"/>
          <w:szCs w:val="24"/>
        </w:rPr>
        <w:t>Monitoring agency staff are subject to and comply with DSHS requirements for safeguarding of Client information.</w:t>
      </w:r>
    </w:p>
    <w:p w:rsidR="005C518E" w:rsidRPr="005B2871" w:rsidRDefault="005C518E" w:rsidP="005C518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A6414" w:rsidRPr="00CA6414" w:rsidRDefault="00CA6414" w:rsidP="00CA6414">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r w:rsidRPr="005B2871">
        <w:rPr>
          <w:rFonts w:ascii="Calibri" w:hAnsi="Calibri"/>
          <w:sz w:val="24"/>
        </w:rPr>
        <w:t xml:space="preserve"> </w:t>
      </w:r>
    </w:p>
    <w:p w:rsidR="00CA6414" w:rsidRPr="005B2871" w:rsidRDefault="00CA6414" w:rsidP="00CA6414">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5B2871">
        <w:rPr>
          <w:rFonts w:ascii="Calibri" w:hAnsi="Calibri"/>
          <w:sz w:val="24"/>
        </w:rPr>
        <w:t xml:space="preserve">Completed </w:t>
      </w:r>
      <w:hyperlink r:id="rId18" w:history="1">
        <w:r w:rsidRPr="005B2871">
          <w:rPr>
            <w:rStyle w:val="Hyperlink"/>
            <w:rFonts w:ascii="Calibri" w:eastAsia="Times New Roman" w:hAnsi="Calibri" w:cs="Times New Roman"/>
            <w:iCs/>
            <w:kern w:val="32"/>
            <w:sz w:val="24"/>
          </w:rPr>
          <w:t>Contractor Intake Form and Required Attachments</w:t>
        </w:r>
      </w:hyperlink>
    </w:p>
    <w:p w:rsidR="00CA6414" w:rsidRPr="00CC21BB" w:rsidRDefault="00CA6414" w:rsidP="00CA6414">
      <w:pPr>
        <w:pStyle w:val="ListParagraph"/>
        <w:numPr>
          <w:ilvl w:val="0"/>
          <w:numId w:val="3"/>
        </w:numPr>
        <w:spacing w:after="0" w:line="240" w:lineRule="auto"/>
        <w:rPr>
          <w:rFonts w:eastAsia="Times New Roman" w:cs="Times New Roman"/>
          <w:iCs/>
          <w:color w:val="000000" w:themeColor="text1"/>
          <w:kern w:val="32"/>
          <w:sz w:val="24"/>
          <w:szCs w:val="24"/>
        </w:rPr>
      </w:pPr>
      <w:r w:rsidRPr="00CC21BB">
        <w:rPr>
          <w:sz w:val="24"/>
          <w:szCs w:val="24"/>
        </w:rPr>
        <w:t>Copies of all specialty licenses (in addition to general business license), if applicable</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hAnsi="Calibri"/>
          <w:sz w:val="24"/>
        </w:rPr>
        <w:t>Mission statement, articles of incorporate, and bylaws, as applicable</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hAnsi="Calibri"/>
          <w:sz w:val="24"/>
        </w:rPr>
        <w:t>Current rates</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eastAsia="Times New Roman" w:hAnsi="Calibri" w:cs="Times New Roman"/>
          <w:iCs/>
          <w:color w:val="000000" w:themeColor="text1"/>
          <w:kern w:val="32"/>
          <w:sz w:val="24"/>
        </w:rPr>
        <w:t>Most Recent Audit Report or Financial Review</w:t>
      </w:r>
    </w:p>
    <w:p w:rsidR="00CA6414" w:rsidRPr="00CA6414" w:rsidRDefault="00C87190"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9" w:history="1">
        <w:r w:rsidR="00CA6414" w:rsidRPr="00914F4E">
          <w:rPr>
            <w:rStyle w:val="Hyperlink"/>
            <w:rFonts w:ascii="Calibri" w:eastAsia="Times New Roman" w:hAnsi="Calibri" w:cs="Times New Roman"/>
            <w:iCs/>
            <w:kern w:val="32"/>
            <w:sz w:val="24"/>
          </w:rPr>
          <w:t>Medicaid Provider Disclosure Statement</w:t>
        </w:r>
      </w:hyperlink>
      <w:r w:rsidR="00CA6414">
        <w:rPr>
          <w:rStyle w:val="Hyperlink"/>
          <w:rFonts w:ascii="Calibri" w:eastAsia="Times New Roman" w:hAnsi="Calibri" w:cs="Times New Roman"/>
          <w:iCs/>
          <w:kern w:val="32"/>
          <w:sz w:val="24"/>
        </w:rPr>
        <w:t xml:space="preserve"> </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hAnsi="Calibri"/>
          <w:sz w:val="24"/>
        </w:rPr>
        <w:t xml:space="preserve">Completed </w:t>
      </w:r>
      <w:hyperlink r:id="rId20" w:history="1">
        <w:r w:rsidRPr="005B2871">
          <w:rPr>
            <w:rStyle w:val="Hyperlink"/>
            <w:rFonts w:ascii="Calibri" w:eastAsia="Times New Roman" w:hAnsi="Calibri" w:cs="Times New Roman"/>
            <w:iCs/>
            <w:kern w:val="32"/>
            <w:sz w:val="24"/>
          </w:rPr>
          <w:t>Background Check Authorization Form</w:t>
        </w:r>
      </w:hyperlink>
      <w:r w:rsidRPr="005B2871">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CA6414"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B2871">
        <w:rPr>
          <w:rFonts w:ascii="Calibri" w:eastAsia="Times New Roman" w:hAnsi="Calibri" w:cs="Times New Roman"/>
          <w:iCs/>
          <w:color w:val="000000" w:themeColor="text1"/>
          <w:kern w:val="32"/>
          <w:sz w:val="24"/>
        </w:rPr>
        <w:t>Organizational Chart or Staffing Plan, including the names and applicable credentials of employees and a list of any subcontractors and what services they provide</w:t>
      </w:r>
    </w:p>
    <w:p w:rsidR="00CA6414" w:rsidRPr="005B2871"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rPr>
        <w:t>Copies of contracts for any part of the service that will be subcontracted</w:t>
      </w:r>
    </w:p>
    <w:p w:rsidR="00CA6414" w:rsidRDefault="00CA6414" w:rsidP="00CA6414">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5B2871">
        <w:rPr>
          <w:rFonts w:ascii="Calibri" w:eastAsia="Times New Roman" w:hAnsi="Calibri" w:cs="Times New Roman"/>
          <w:iCs/>
          <w:color w:val="000000" w:themeColor="text1"/>
          <w:kern w:val="32"/>
          <w:sz w:val="24"/>
        </w:rPr>
        <w:t xml:space="preserve">Policies and Procedures meeting the requirements of mandatory reporting procedures </w:t>
      </w:r>
      <w:r w:rsidRPr="005B2871">
        <w:rPr>
          <w:rFonts w:ascii="Calibri" w:eastAsia="Times New Roman" w:hAnsi="Calibri" w:cs="Times New Roman"/>
          <w:iCs/>
          <w:color w:val="000000" w:themeColor="text1"/>
          <w:kern w:val="32"/>
          <w:sz w:val="24"/>
          <w:szCs w:val="24"/>
        </w:rPr>
        <w:t>as describe in Chapter 74.34 RCW, relating to the protection of vulnerable adults</w:t>
      </w:r>
    </w:p>
    <w:p w:rsidR="00CA6414" w:rsidRPr="00CC21BB" w:rsidRDefault="00CA6414" w:rsidP="00CA6414">
      <w:pPr>
        <w:pStyle w:val="ListParagraph"/>
        <w:numPr>
          <w:ilvl w:val="0"/>
          <w:numId w:val="3"/>
        </w:numPr>
        <w:spacing w:after="0" w:line="240" w:lineRule="auto"/>
        <w:rPr>
          <w:rFonts w:eastAsia="Times New Roman" w:cs="Times New Roman"/>
          <w:iCs/>
          <w:color w:val="000000" w:themeColor="text1"/>
          <w:kern w:val="32"/>
          <w:sz w:val="24"/>
          <w:szCs w:val="24"/>
        </w:rPr>
      </w:pPr>
      <w:r w:rsidRPr="00CC21BB">
        <w:rPr>
          <w:rFonts w:eastAsia="Times New Roman" w:cs="Times New Roman"/>
          <w:iCs/>
          <w:color w:val="000000" w:themeColor="text1"/>
          <w:kern w:val="32"/>
          <w:sz w:val="24"/>
          <w:szCs w:val="24"/>
        </w:rPr>
        <w:t xml:space="preserve">Description of the response systems and equipment that will be provided in compliance with the specifications of the contract.  This must include the response activator, the response communicator, and monitoring equipment. </w:t>
      </w:r>
    </w:p>
    <w:p w:rsidR="00CA6414" w:rsidRPr="00CC21BB" w:rsidRDefault="00CA6414" w:rsidP="00CA6414">
      <w:pPr>
        <w:pStyle w:val="ListParagraph"/>
        <w:numPr>
          <w:ilvl w:val="0"/>
          <w:numId w:val="3"/>
        </w:numPr>
        <w:spacing w:after="0" w:line="240" w:lineRule="auto"/>
        <w:rPr>
          <w:rFonts w:eastAsia="Times New Roman" w:cs="Times New Roman"/>
          <w:iCs/>
          <w:color w:val="000000" w:themeColor="text1"/>
          <w:kern w:val="32"/>
          <w:sz w:val="24"/>
          <w:szCs w:val="24"/>
        </w:rPr>
      </w:pPr>
      <w:r w:rsidRPr="00CC21BB">
        <w:rPr>
          <w:rFonts w:eastAsia="Times New Roman" w:cs="Times New Roman"/>
          <w:iCs/>
          <w:color w:val="000000" w:themeColor="text1"/>
          <w:kern w:val="32"/>
          <w:sz w:val="24"/>
          <w:szCs w:val="24"/>
        </w:rPr>
        <w:t>Copies of policies relating to installation response times, testing, emergency response protocols, record keeping and reporting procedures</w:t>
      </w:r>
    </w:p>
    <w:p w:rsidR="00CA6414" w:rsidRPr="00CC21BB" w:rsidRDefault="00CA6414" w:rsidP="00CA6414">
      <w:pPr>
        <w:pStyle w:val="ListParagraph"/>
        <w:numPr>
          <w:ilvl w:val="0"/>
          <w:numId w:val="3"/>
        </w:numPr>
        <w:spacing w:after="0" w:line="240" w:lineRule="auto"/>
        <w:rPr>
          <w:rFonts w:eastAsia="Times New Roman" w:cs="Times New Roman"/>
          <w:iCs/>
          <w:color w:val="000000" w:themeColor="text1"/>
          <w:kern w:val="32"/>
          <w:sz w:val="24"/>
          <w:szCs w:val="24"/>
        </w:rPr>
      </w:pPr>
      <w:r w:rsidRPr="00CC21BB">
        <w:rPr>
          <w:rFonts w:eastAsia="Times New Roman" w:cs="Times New Roman"/>
          <w:iCs/>
          <w:color w:val="000000" w:themeColor="text1"/>
          <w:kern w:val="32"/>
          <w:sz w:val="24"/>
          <w:szCs w:val="24"/>
        </w:rPr>
        <w:t xml:space="preserve">Copy of the training program provided to staff on the operational and technical aspects of the PERS system.  Training must include testing procedures, emergency reporting, response procedures, and servicing. </w:t>
      </w:r>
    </w:p>
    <w:p w:rsidR="00CA6414" w:rsidRDefault="00CA6414" w:rsidP="005C518E">
      <w:pPr>
        <w:shd w:val="clear" w:color="auto" w:fill="FFFFFF"/>
        <w:spacing w:after="0" w:line="240" w:lineRule="auto"/>
        <w:outlineLvl w:val="1"/>
        <w:rPr>
          <w:rFonts w:ascii="Calibri" w:eastAsia="Times New Roman" w:hAnsi="Calibri" w:cs="Times New Roman"/>
          <w:color w:val="000000" w:themeColor="text1"/>
          <w:sz w:val="24"/>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 xml:space="preserve">Business Name and Address: </w:t>
      </w:r>
    </w:p>
    <w:p w:rsidR="005C518E" w:rsidRPr="005B2871"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ab/>
      </w:r>
    </w:p>
    <w:p w:rsidR="005C518E" w:rsidRPr="005B2871"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ab/>
      </w:r>
    </w:p>
    <w:p w:rsidR="005C518E" w:rsidRPr="005B2871"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ab/>
      </w: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 xml:space="preserve">Application Contact Name/Phone/Email: </w:t>
      </w:r>
    </w:p>
    <w:p w:rsidR="005C518E" w:rsidRPr="005B2871"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ab/>
      </w:r>
    </w:p>
    <w:p w:rsidR="005C518E"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ab/>
      </w:r>
    </w:p>
    <w:p w:rsidR="005C518E" w:rsidRPr="005B2871" w:rsidRDefault="005C518E" w:rsidP="005C518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A6414" w:rsidRDefault="00CA6414" w:rsidP="00CA6414">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5C518E"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p>
    <w:p w:rsidR="00CA6414" w:rsidRPr="005B2871" w:rsidRDefault="00CA6414" w:rsidP="005C518E">
      <w:pPr>
        <w:shd w:val="clear" w:color="auto" w:fill="FFFFFF"/>
        <w:spacing w:after="0" w:line="240" w:lineRule="auto"/>
        <w:outlineLvl w:val="1"/>
        <w:rPr>
          <w:rFonts w:ascii="Calibri" w:eastAsia="Times New Roman" w:hAnsi="Calibri" w:cs="Times New Roman"/>
          <w:color w:val="000000" w:themeColor="text1"/>
          <w:sz w:val="24"/>
        </w:rPr>
      </w:pPr>
    </w:p>
    <w:p w:rsidR="005C518E" w:rsidRPr="005B2871" w:rsidRDefault="005C518E" w:rsidP="005C518E">
      <w:pPr>
        <w:shd w:val="clear" w:color="auto" w:fill="FFFFFF"/>
        <w:spacing w:after="0" w:line="240" w:lineRule="auto"/>
        <w:outlineLvl w:val="1"/>
        <w:rPr>
          <w:rFonts w:ascii="Calibri" w:eastAsia="Times New Roman" w:hAnsi="Calibri" w:cs="Times New Roman"/>
          <w:color w:val="000000" w:themeColor="text1"/>
          <w:sz w:val="24"/>
        </w:rPr>
      </w:pPr>
      <w:r w:rsidRPr="005B2871">
        <w:rPr>
          <w:rFonts w:ascii="Calibri" w:eastAsia="Times New Roman" w:hAnsi="Calibri" w:cs="Times New Roman"/>
          <w:color w:val="000000" w:themeColor="text1"/>
          <w:sz w:val="24"/>
        </w:rPr>
        <w:t>____________________________________________________________________</w:t>
      </w:r>
    </w:p>
    <w:p w:rsidR="005C518E" w:rsidRPr="005B2871" w:rsidRDefault="005C518E" w:rsidP="005C518E">
      <w:pPr>
        <w:spacing w:after="0" w:line="240" w:lineRule="auto"/>
        <w:ind w:left="360"/>
        <w:rPr>
          <w:rFonts w:ascii="Calibri" w:eastAsia="Times New Roman" w:hAnsi="Calibri" w:cs="Times New Roman"/>
          <w:iCs/>
          <w:color w:val="000000" w:themeColor="text1"/>
          <w:kern w:val="32"/>
          <w:sz w:val="24"/>
        </w:rPr>
      </w:pPr>
      <w:r w:rsidRPr="005B2871">
        <w:rPr>
          <w:rFonts w:ascii="Calibri" w:eastAsia="Times New Roman" w:hAnsi="Calibri" w:cs="Times New Roman"/>
          <w:color w:val="000000" w:themeColor="text1"/>
          <w:sz w:val="24"/>
        </w:rPr>
        <w:t>Signature                                                Title                                              Date</w:t>
      </w:r>
    </w:p>
    <w:p w:rsidR="005C518E" w:rsidRPr="005B2871" w:rsidRDefault="005C518E" w:rsidP="005C518E">
      <w:pPr>
        <w:spacing w:after="0" w:line="240" w:lineRule="auto"/>
        <w:rPr>
          <w:rFonts w:ascii="Calibri" w:hAnsi="Calibri"/>
          <w:sz w:val="24"/>
        </w:rPr>
      </w:pPr>
    </w:p>
    <w:sectPr w:rsidR="005C518E" w:rsidRPr="005B2871" w:rsidSect="009E7F93">
      <w:headerReference w:type="default" r:id="rId21"/>
      <w:footerReference w:type="default" r:id="rId2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8E" w:rsidRDefault="005C518E" w:rsidP="005C518E">
      <w:pPr>
        <w:spacing w:after="0" w:line="240" w:lineRule="auto"/>
      </w:pPr>
      <w:r>
        <w:separator/>
      </w:r>
    </w:p>
  </w:endnote>
  <w:endnote w:type="continuationSeparator" w:id="0">
    <w:p w:rsidR="005C518E" w:rsidRDefault="005C518E" w:rsidP="005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2C" w:rsidRDefault="005C518E">
    <w:pPr>
      <w:pStyle w:val="Footer"/>
    </w:pPr>
    <w:proofErr w:type="spellStart"/>
    <w:r>
      <w:t>Initial_________Date</w:t>
    </w:r>
    <w:proofErr w:type="spellEnd"/>
    <w:r>
      <w:t>_________</w:t>
    </w:r>
    <w:r w:rsidR="00047E5D">
      <w:tab/>
    </w:r>
    <w:r w:rsidR="00047E5D">
      <w:tab/>
    </w:r>
    <w:r w:rsidR="00EA4B01">
      <w:t>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8E" w:rsidRDefault="005C518E" w:rsidP="005C518E">
      <w:pPr>
        <w:spacing w:after="0" w:line="240" w:lineRule="auto"/>
      </w:pPr>
      <w:r>
        <w:separator/>
      </w:r>
    </w:p>
  </w:footnote>
  <w:footnote w:type="continuationSeparator" w:id="0">
    <w:p w:rsidR="005C518E" w:rsidRDefault="005C518E" w:rsidP="005C5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41" w:rsidRDefault="005C518E">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9264" behindDoc="1" locked="0" layoutInCell="1" allowOverlap="1" wp14:anchorId="410CAB67" wp14:editId="1E1860EB">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5B2871" w:rsidRDefault="005C518E" w:rsidP="005B2871">
    <w:pPr>
      <w:pStyle w:val="Header"/>
      <w:jc w:val="right"/>
      <w:rPr>
        <w:color w:val="4F81BD" w:themeColor="accent1"/>
        <w:sz w:val="28"/>
        <w:szCs w:val="28"/>
      </w:rPr>
    </w:pPr>
    <w:r w:rsidRPr="005B2871">
      <w:rPr>
        <w:color w:val="4F81BD" w:themeColor="accent1"/>
        <w:sz w:val="28"/>
        <w:szCs w:val="28"/>
      </w:rPr>
      <w:t xml:space="preserve">                                                      </w:t>
    </w:r>
    <w:r>
      <w:rPr>
        <w:color w:val="4F81BD" w:themeColor="accent1"/>
        <w:sz w:val="28"/>
        <w:szCs w:val="28"/>
      </w:rPr>
      <w:t>Medicaid</w:t>
    </w:r>
    <w:r w:rsidRPr="005B2871">
      <w:rPr>
        <w:color w:val="4F81BD" w:themeColor="accent1"/>
        <w:sz w:val="28"/>
        <w:szCs w:val="28"/>
      </w:rPr>
      <w:t xml:space="preserve"> Provider Application Form</w:t>
    </w:r>
  </w:p>
  <w:p w:rsidR="00957210" w:rsidRDefault="005C518E" w:rsidP="005B2871">
    <w:pPr>
      <w:pStyle w:val="Header"/>
      <w:jc w:val="right"/>
      <w:rPr>
        <w:color w:val="4F81BD" w:themeColor="accent1"/>
        <w:sz w:val="28"/>
        <w:szCs w:val="28"/>
      </w:rPr>
    </w:pPr>
    <w:r w:rsidRPr="005B2871">
      <w:rPr>
        <w:color w:val="4F81BD" w:themeColor="accent1"/>
        <w:sz w:val="28"/>
        <w:szCs w:val="28"/>
      </w:rPr>
      <w:tab/>
    </w:r>
    <w:r>
      <w:rPr>
        <w:color w:val="4F81BD" w:themeColor="accent1"/>
        <w:sz w:val="28"/>
        <w:szCs w:val="28"/>
      </w:rPr>
      <w:t>Personal Emergency Response Systems</w:t>
    </w:r>
  </w:p>
  <w:p w:rsidR="00EA4B01" w:rsidRDefault="00EA4B01" w:rsidP="005B2871">
    <w:pPr>
      <w:pStyle w:val="Header"/>
      <w:jc w:val="right"/>
      <w:rPr>
        <w:color w:val="4F81BD" w:themeColor="accent1"/>
        <w:sz w:val="28"/>
        <w:szCs w:val="28"/>
      </w:rPr>
    </w:pPr>
  </w:p>
  <w:p w:rsidR="00765141" w:rsidRDefault="00C87190" w:rsidP="005B28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8E"/>
    <w:rsid w:val="0003070C"/>
    <w:rsid w:val="00047E5D"/>
    <w:rsid w:val="00264969"/>
    <w:rsid w:val="002743B0"/>
    <w:rsid w:val="005C518E"/>
    <w:rsid w:val="006005D9"/>
    <w:rsid w:val="006A3ADB"/>
    <w:rsid w:val="007429E8"/>
    <w:rsid w:val="008974C2"/>
    <w:rsid w:val="00982F80"/>
    <w:rsid w:val="009E7F93"/>
    <w:rsid w:val="00B40E73"/>
    <w:rsid w:val="00C87190"/>
    <w:rsid w:val="00CA6414"/>
    <w:rsid w:val="00EA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B50BD0-2C20-48F7-AA8B-0E82268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18E"/>
    <w:rPr>
      <w:color w:val="0000FF"/>
      <w:u w:val="single"/>
    </w:rPr>
  </w:style>
  <w:style w:type="paragraph" w:styleId="ListParagraph">
    <w:name w:val="List Paragraph"/>
    <w:basedOn w:val="Normal"/>
    <w:uiPriority w:val="34"/>
    <w:qFormat/>
    <w:rsid w:val="005C518E"/>
    <w:pPr>
      <w:ind w:left="720"/>
      <w:contextualSpacing/>
    </w:pPr>
  </w:style>
  <w:style w:type="paragraph" w:styleId="Header">
    <w:name w:val="header"/>
    <w:basedOn w:val="Normal"/>
    <w:link w:val="HeaderChar"/>
    <w:uiPriority w:val="99"/>
    <w:unhideWhenUsed/>
    <w:rsid w:val="005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8E"/>
  </w:style>
  <w:style w:type="paragraph" w:styleId="Footer">
    <w:name w:val="footer"/>
    <w:basedOn w:val="Normal"/>
    <w:link w:val="FooterChar"/>
    <w:uiPriority w:val="99"/>
    <w:unhideWhenUsed/>
    <w:rsid w:val="005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8E"/>
  </w:style>
  <w:style w:type="character" w:styleId="CommentReference">
    <w:name w:val="annotation reference"/>
    <w:basedOn w:val="DefaultParagraphFont"/>
    <w:uiPriority w:val="99"/>
    <w:semiHidden/>
    <w:unhideWhenUsed/>
    <w:rsid w:val="005C518E"/>
    <w:rPr>
      <w:sz w:val="16"/>
      <w:szCs w:val="16"/>
    </w:rPr>
  </w:style>
  <w:style w:type="paragraph" w:styleId="CommentText">
    <w:name w:val="annotation text"/>
    <w:basedOn w:val="Normal"/>
    <w:link w:val="CommentTextChar"/>
    <w:uiPriority w:val="99"/>
    <w:semiHidden/>
    <w:unhideWhenUsed/>
    <w:rsid w:val="005C518E"/>
    <w:pPr>
      <w:spacing w:line="240" w:lineRule="auto"/>
    </w:pPr>
    <w:rPr>
      <w:sz w:val="20"/>
      <w:szCs w:val="20"/>
    </w:rPr>
  </w:style>
  <w:style w:type="character" w:customStyle="1" w:styleId="CommentTextChar">
    <w:name w:val="Comment Text Char"/>
    <w:basedOn w:val="DefaultParagraphFont"/>
    <w:link w:val="CommentText"/>
    <w:uiPriority w:val="99"/>
    <w:semiHidden/>
    <w:rsid w:val="005C518E"/>
    <w:rPr>
      <w:sz w:val="20"/>
      <w:szCs w:val="20"/>
    </w:rPr>
  </w:style>
  <w:style w:type="paragraph" w:styleId="BalloonText">
    <w:name w:val="Balloon Text"/>
    <w:basedOn w:val="Normal"/>
    <w:link w:val="BalloonTextChar"/>
    <w:uiPriority w:val="99"/>
    <w:semiHidden/>
    <w:unhideWhenUsed/>
    <w:rsid w:val="005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8E"/>
    <w:rPr>
      <w:rFonts w:ascii="Tahoma" w:hAnsi="Tahoma" w:cs="Tahoma"/>
      <w:sz w:val="16"/>
      <w:szCs w:val="16"/>
    </w:rPr>
  </w:style>
  <w:style w:type="character" w:styleId="FollowedHyperlink">
    <w:name w:val="FollowedHyperlink"/>
    <w:basedOn w:val="DefaultParagraphFont"/>
    <w:uiPriority w:val="99"/>
    <w:semiHidden/>
    <w:unhideWhenUsed/>
    <w:rsid w:val="00CA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4.39A" TargetMode="External"/><Relationship Id="rId13" Type="http://schemas.openxmlformats.org/officeDocument/2006/relationships/image" Target="media/image1.emf"/><Relationship Id="rId18" Type="http://schemas.openxmlformats.org/officeDocument/2006/relationships/hyperlink" Target="http://www.dshs.wa.gov/sites/default/files/FSA/forms/word/27-043.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shs.wa.gov/sites/default/files/ALTSA/hcs/documents/AAA/AAA%20Medicaid%20Intake%20Contacts.docx" TargetMode="External"/><Relationship Id="rId12" Type="http://schemas.openxmlformats.org/officeDocument/2006/relationships/hyperlink" Target="https://www.dshs.wa.gov/altsa/aging-and-disability-services-long-term-care-manual" TargetMode="External"/><Relationship Id="rId17" Type="http://schemas.openxmlformats.org/officeDocument/2006/relationships/hyperlink" Target="http://apps.leg.wa.gov/WAC/default.aspx?cite=388-113-0020" TargetMode="Externa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hyperlink" Target="https://www.dshs.wa.gov/sites/default/files/FSA/forms/pdf/09-65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WAC/default.aspx?cite=388-7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app.leg.wa.gov/WAC/default.aspx?cite=388-106" TargetMode="External"/><Relationship Id="rId19" Type="http://schemas.openxmlformats.org/officeDocument/2006/relationships/hyperlink" Target="https://www.dshs.wa.gov/sites/default/files/FSA/forms/word/27-094.docx" TargetMode="External"/><Relationship Id="rId4" Type="http://schemas.openxmlformats.org/officeDocument/2006/relationships/webSettings" Target="webSettings.xml"/><Relationship Id="rId9" Type="http://schemas.openxmlformats.org/officeDocument/2006/relationships/hyperlink" Target="http://apps.leg.wa.gov/RCW/default.aspx?cite=43.43" TargetMode="External"/><Relationship Id="rId14" Type="http://schemas.openxmlformats.org/officeDocument/2006/relationships/package" Target="embeddings/Microsoft_Word_Document1.doc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dcterms:created xsi:type="dcterms:W3CDTF">2017-12-11T22:31:00Z</dcterms:created>
  <dcterms:modified xsi:type="dcterms:W3CDTF">2017-12-11T22:31:00Z</dcterms:modified>
</cp:coreProperties>
</file>