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40729" w14:textId="77777777" w:rsidR="00F0578E" w:rsidRDefault="00F0578E" w:rsidP="00F47C9C">
      <w:pPr>
        <w:pStyle w:val="Header"/>
        <w:jc w:val="center"/>
        <w:rPr>
          <w:rFonts w:ascii="Palatino Linotype" w:hAnsi="Palatino Linotype"/>
          <w:b/>
          <w:sz w:val="48"/>
          <w:szCs w:val="48"/>
        </w:rPr>
      </w:pPr>
    </w:p>
    <w:p w14:paraId="2B238876" w14:textId="77777777" w:rsidR="00F0578E" w:rsidRDefault="00F0578E" w:rsidP="00F47C9C">
      <w:pPr>
        <w:pStyle w:val="Header"/>
        <w:jc w:val="center"/>
        <w:rPr>
          <w:rFonts w:ascii="Palatino Linotype" w:hAnsi="Palatino Linotype"/>
          <w:b/>
          <w:sz w:val="48"/>
          <w:szCs w:val="48"/>
        </w:rPr>
      </w:pPr>
    </w:p>
    <w:p w14:paraId="36756F63" w14:textId="77777777" w:rsidR="00F47C9C" w:rsidRPr="00FB4BC7" w:rsidRDefault="00F47C9C" w:rsidP="00F47C9C">
      <w:pPr>
        <w:pStyle w:val="Header"/>
        <w:jc w:val="center"/>
        <w:rPr>
          <w:rFonts w:ascii="Palatino Linotype" w:hAnsi="Palatino Linotype"/>
          <w:b/>
          <w:sz w:val="48"/>
          <w:szCs w:val="48"/>
        </w:rPr>
      </w:pPr>
      <w:bookmarkStart w:id="0" w:name="_GoBack"/>
      <w:bookmarkEnd w:id="0"/>
      <w:r w:rsidRPr="00FB4BC7">
        <w:rPr>
          <w:rFonts w:ascii="Palatino Linotype" w:hAnsi="Palatino Linotype"/>
          <w:b/>
          <w:sz w:val="48"/>
          <w:szCs w:val="48"/>
        </w:rPr>
        <w:t>Washington Department of Social and Health Services</w:t>
      </w:r>
      <w:r>
        <w:rPr>
          <w:rFonts w:ascii="Palatino Linotype" w:hAnsi="Palatino Linotype"/>
          <w:b/>
          <w:sz w:val="48"/>
          <w:szCs w:val="48"/>
        </w:rPr>
        <w:t xml:space="preserve"> (DSHS)</w:t>
      </w:r>
    </w:p>
    <w:p w14:paraId="523F0653" w14:textId="77777777" w:rsidR="00F47C9C" w:rsidRDefault="00F47C9C" w:rsidP="00F47C9C">
      <w:pPr>
        <w:pStyle w:val="Header"/>
        <w:rPr>
          <w:rFonts w:ascii="Palatino Linotype" w:hAnsi="Palatino Linotype"/>
          <w:b/>
          <w:sz w:val="48"/>
          <w:szCs w:val="48"/>
        </w:rPr>
      </w:pPr>
    </w:p>
    <w:p w14:paraId="56E2846E" w14:textId="77777777" w:rsidR="00F47C9C" w:rsidRPr="00FB4BC7" w:rsidRDefault="00F47C9C" w:rsidP="00F47C9C">
      <w:pPr>
        <w:pStyle w:val="Header"/>
        <w:rPr>
          <w:rFonts w:ascii="Palatino Linotype" w:hAnsi="Palatino Linotype"/>
          <w:b/>
          <w:sz w:val="48"/>
          <w:szCs w:val="48"/>
        </w:rPr>
      </w:pPr>
    </w:p>
    <w:p w14:paraId="4AFF477A" w14:textId="77777777" w:rsidR="00F47C9C" w:rsidRPr="00FB4BC7" w:rsidRDefault="00F47C9C" w:rsidP="00F47C9C">
      <w:pPr>
        <w:pStyle w:val="Header"/>
        <w:jc w:val="center"/>
        <w:rPr>
          <w:rFonts w:ascii="Palatino Linotype" w:hAnsi="Palatino Linotype"/>
          <w:b/>
          <w:sz w:val="48"/>
          <w:szCs w:val="48"/>
        </w:rPr>
      </w:pPr>
    </w:p>
    <w:p w14:paraId="3E65F327" w14:textId="77777777" w:rsidR="00F47C9C" w:rsidRDefault="00F47C9C" w:rsidP="00F47C9C">
      <w:pPr>
        <w:pStyle w:val="Header"/>
        <w:jc w:val="center"/>
        <w:rPr>
          <w:rFonts w:ascii="Palatino Linotype" w:hAnsi="Palatino Linotype"/>
          <w:b/>
          <w:sz w:val="48"/>
          <w:szCs w:val="48"/>
        </w:rPr>
      </w:pPr>
      <w:r w:rsidRPr="00FB4BC7">
        <w:rPr>
          <w:rFonts w:ascii="Palatino Linotype" w:hAnsi="Palatino Linotype"/>
          <w:b/>
          <w:sz w:val="48"/>
          <w:szCs w:val="48"/>
        </w:rPr>
        <w:t xml:space="preserve">Analysis of </w:t>
      </w:r>
      <w:r>
        <w:rPr>
          <w:rFonts w:ascii="Palatino Linotype" w:hAnsi="Palatino Linotype"/>
          <w:b/>
          <w:sz w:val="48"/>
          <w:szCs w:val="48"/>
        </w:rPr>
        <w:t>t</w:t>
      </w:r>
      <w:r w:rsidRPr="00FB4BC7">
        <w:rPr>
          <w:rFonts w:ascii="Palatino Linotype" w:hAnsi="Palatino Linotype"/>
          <w:b/>
          <w:sz w:val="48"/>
          <w:szCs w:val="48"/>
        </w:rPr>
        <w:t>he Washington</w:t>
      </w:r>
    </w:p>
    <w:p w14:paraId="682E0538" w14:textId="7746CCEA" w:rsidR="00F47C9C" w:rsidRPr="00FB4BC7" w:rsidRDefault="00F47C9C" w:rsidP="00F47C9C">
      <w:pPr>
        <w:pStyle w:val="Header"/>
        <w:jc w:val="center"/>
        <w:rPr>
          <w:rFonts w:ascii="Palatino Linotype" w:hAnsi="Palatino Linotype"/>
          <w:b/>
          <w:sz w:val="48"/>
          <w:szCs w:val="48"/>
        </w:rPr>
      </w:pPr>
      <w:r w:rsidRPr="00FB4BC7">
        <w:rPr>
          <w:rFonts w:ascii="Palatino Linotype" w:hAnsi="Palatino Linotype"/>
          <w:b/>
          <w:sz w:val="48"/>
          <w:szCs w:val="48"/>
        </w:rPr>
        <w:t>Nursing Facility</w:t>
      </w:r>
    </w:p>
    <w:p w14:paraId="488B1E51" w14:textId="2240BA15" w:rsidR="00F47C9C" w:rsidRPr="00FB4BC7" w:rsidRDefault="00F47C9C" w:rsidP="00A237F2">
      <w:pPr>
        <w:pStyle w:val="Header"/>
        <w:jc w:val="center"/>
        <w:rPr>
          <w:rFonts w:ascii="Palatino Linotype" w:hAnsi="Palatino Linotype"/>
          <w:b/>
          <w:sz w:val="48"/>
          <w:szCs w:val="48"/>
        </w:rPr>
      </w:pPr>
      <w:r w:rsidRPr="00FB4BC7">
        <w:rPr>
          <w:rFonts w:ascii="Palatino Linotype" w:hAnsi="Palatino Linotype"/>
          <w:b/>
          <w:sz w:val="48"/>
          <w:szCs w:val="48"/>
        </w:rPr>
        <w:t>Medicaid Payment Methodology</w:t>
      </w:r>
      <w:r w:rsidR="00173E81">
        <w:rPr>
          <w:rFonts w:ascii="Palatino Linotype" w:hAnsi="Palatino Linotype"/>
          <w:b/>
          <w:sz w:val="48"/>
          <w:szCs w:val="48"/>
        </w:rPr>
        <w:t xml:space="preserve"> – </w:t>
      </w:r>
      <w:r w:rsidR="00A237F2">
        <w:rPr>
          <w:rFonts w:ascii="Palatino Linotype" w:hAnsi="Palatino Linotype"/>
          <w:b/>
          <w:sz w:val="48"/>
          <w:szCs w:val="48"/>
        </w:rPr>
        <w:t xml:space="preserve">FY 2015 Payment Methodology Maintained </w:t>
      </w:r>
      <w:r w:rsidR="00173E81">
        <w:rPr>
          <w:rFonts w:ascii="Palatino Linotype" w:hAnsi="Palatino Linotype"/>
          <w:b/>
          <w:sz w:val="48"/>
          <w:szCs w:val="48"/>
        </w:rPr>
        <w:t>Addendum Report</w:t>
      </w:r>
    </w:p>
    <w:p w14:paraId="1C16F5A0" w14:textId="77777777" w:rsidR="00F47C9C" w:rsidRDefault="00F47C9C" w:rsidP="00F47C9C">
      <w:pPr>
        <w:pStyle w:val="Header"/>
        <w:jc w:val="center"/>
        <w:rPr>
          <w:rFonts w:ascii="Palatino Linotype" w:hAnsi="Palatino Linotype"/>
          <w:b/>
          <w:sz w:val="48"/>
          <w:szCs w:val="48"/>
        </w:rPr>
      </w:pPr>
    </w:p>
    <w:p w14:paraId="37D9B9B1" w14:textId="77777777" w:rsidR="00F47C9C" w:rsidRPr="00E9133B" w:rsidRDefault="00F47C9C" w:rsidP="00F47C9C">
      <w:pPr>
        <w:jc w:val="center"/>
        <w:rPr>
          <w:rFonts w:ascii="Palatino Linotype" w:hAnsi="Palatino Linotype"/>
          <w:b/>
          <w:sz w:val="44"/>
          <w:szCs w:val="48"/>
        </w:rPr>
      </w:pPr>
      <w:r w:rsidRPr="00E9133B">
        <w:rPr>
          <w:rFonts w:ascii="Palatino Linotype" w:hAnsi="Palatino Linotype"/>
          <w:b/>
          <w:sz w:val="44"/>
          <w:szCs w:val="48"/>
        </w:rPr>
        <w:t>Navigant Consulting, Inc.</w:t>
      </w:r>
    </w:p>
    <w:p w14:paraId="36B5887A" w14:textId="77777777" w:rsidR="00F47C9C" w:rsidRDefault="00F47C9C" w:rsidP="00F47C9C">
      <w:pPr>
        <w:jc w:val="center"/>
        <w:rPr>
          <w:rFonts w:ascii="Palatino Linotype" w:hAnsi="Palatino Linotype"/>
          <w:b/>
          <w:sz w:val="36"/>
          <w:szCs w:val="48"/>
        </w:rPr>
      </w:pPr>
    </w:p>
    <w:p w14:paraId="6D418D9B" w14:textId="61E2BF5C" w:rsidR="00F47C9C" w:rsidRPr="00E9133B" w:rsidRDefault="00F47C9C" w:rsidP="00F47C9C">
      <w:pPr>
        <w:jc w:val="center"/>
        <w:rPr>
          <w:rFonts w:ascii="Palatino Linotype" w:hAnsi="Palatino Linotype"/>
          <w:b/>
          <w:sz w:val="36"/>
          <w:szCs w:val="48"/>
        </w:rPr>
      </w:pPr>
      <w:r>
        <w:rPr>
          <w:rFonts w:ascii="Palatino Linotype" w:hAnsi="Palatino Linotype"/>
          <w:b/>
          <w:sz w:val="36"/>
          <w:szCs w:val="48"/>
        </w:rPr>
        <w:t>March 2015</w:t>
      </w:r>
      <w:r w:rsidR="00F0578E">
        <w:rPr>
          <w:rFonts w:ascii="Palatino Linotype" w:hAnsi="Palatino Linotype"/>
          <w:b/>
          <w:sz w:val="36"/>
          <w:szCs w:val="48"/>
        </w:rPr>
        <w:t xml:space="preserve"> Addendum to February 2015 Report – Analysis of Alternative Rates</w:t>
      </w:r>
    </w:p>
    <w:p w14:paraId="06E2529F" w14:textId="77777777" w:rsidR="00F47C9C" w:rsidRPr="003E25D1" w:rsidRDefault="00F47C9C" w:rsidP="00F47C9C">
      <w:pPr>
        <w:jc w:val="center"/>
        <w:rPr>
          <w:rFonts w:ascii="Palatino Linotype" w:hAnsi="Palatino Linotype"/>
          <w:b/>
          <w:sz w:val="22"/>
          <w:szCs w:val="22"/>
        </w:rPr>
      </w:pPr>
    </w:p>
    <w:p w14:paraId="33885309" w14:textId="77777777" w:rsidR="00F47C9C" w:rsidRDefault="00F47C9C" w:rsidP="00F47C9C">
      <w:pPr>
        <w:jc w:val="center"/>
        <w:rPr>
          <w:rFonts w:ascii="Palatino Linotype" w:hAnsi="Palatino Linotype"/>
          <w:b/>
          <w:sz w:val="22"/>
          <w:szCs w:val="22"/>
        </w:rPr>
      </w:pPr>
    </w:p>
    <w:p w14:paraId="0FE65FBB" w14:textId="77777777" w:rsidR="00F47C9C" w:rsidRDefault="00F47C9C" w:rsidP="00F47C9C">
      <w:pPr>
        <w:jc w:val="center"/>
        <w:rPr>
          <w:rFonts w:ascii="Palatino Linotype" w:hAnsi="Palatino Linotype"/>
          <w:b/>
          <w:sz w:val="22"/>
          <w:szCs w:val="22"/>
        </w:rPr>
      </w:pPr>
    </w:p>
    <w:p w14:paraId="13F34C26" w14:textId="77777777" w:rsidR="00F47C9C" w:rsidRDefault="00F47C9C" w:rsidP="00F47C9C">
      <w:pPr>
        <w:jc w:val="center"/>
        <w:rPr>
          <w:rFonts w:ascii="Palatino Linotype" w:hAnsi="Palatino Linotype"/>
          <w:b/>
          <w:sz w:val="22"/>
          <w:szCs w:val="22"/>
        </w:rPr>
      </w:pPr>
    </w:p>
    <w:p w14:paraId="77BCFEA8" w14:textId="77777777" w:rsidR="00F47C9C" w:rsidRDefault="00F47C9C" w:rsidP="00F47C9C">
      <w:pPr>
        <w:jc w:val="center"/>
        <w:rPr>
          <w:rFonts w:ascii="Palatino Linotype" w:hAnsi="Palatino Linotype"/>
          <w:b/>
          <w:sz w:val="22"/>
          <w:szCs w:val="22"/>
        </w:rPr>
      </w:pPr>
    </w:p>
    <w:p w14:paraId="50CA6AC8" w14:textId="5EA69B96" w:rsidR="00F47C9C" w:rsidRPr="00742685" w:rsidRDefault="00F47C9C" w:rsidP="00742685">
      <w:pPr>
        <w:jc w:val="center"/>
        <w:rPr>
          <w:rFonts w:ascii="Palatino Linotype" w:hAnsi="Palatino Linotype"/>
          <w:b/>
          <w:sz w:val="22"/>
          <w:szCs w:val="22"/>
        </w:rPr>
      </w:pPr>
      <w:r>
        <w:rPr>
          <w:rFonts w:ascii="Palatino Linotype" w:hAnsi="Palatino Linotype"/>
          <w:b/>
          <w:noProof/>
          <w:sz w:val="22"/>
          <w:szCs w:val="22"/>
        </w:rPr>
        <w:drawing>
          <wp:inline distT="0" distB="0" distL="0" distR="0" wp14:anchorId="4789378F" wp14:editId="76254854">
            <wp:extent cx="1850136" cy="487680"/>
            <wp:effectExtent l="19050" t="0" r="0" b="0"/>
            <wp:docPr id="3" name="Picture 2" descr="N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 Logo.jpg"/>
                    <pic:cNvPicPr/>
                  </pic:nvPicPr>
                  <pic:blipFill>
                    <a:blip r:embed="rId8" cstate="print"/>
                    <a:stretch>
                      <a:fillRect/>
                    </a:stretch>
                  </pic:blipFill>
                  <pic:spPr>
                    <a:xfrm>
                      <a:off x="0" y="0"/>
                      <a:ext cx="1850136" cy="487680"/>
                    </a:xfrm>
                    <a:prstGeom prst="rect">
                      <a:avLst/>
                    </a:prstGeom>
                  </pic:spPr>
                </pic:pic>
              </a:graphicData>
            </a:graphic>
          </wp:inline>
        </w:drawing>
      </w:r>
    </w:p>
    <w:p w14:paraId="2D209979" w14:textId="77777777" w:rsidR="007C3133" w:rsidRDefault="007C3133" w:rsidP="00F47C9C">
      <w:pPr>
        <w:pStyle w:val="TOC1"/>
        <w:rPr>
          <w:rStyle w:val="Hyperlink"/>
          <w:rFonts w:ascii="Palatino Linotype" w:hAnsi="Palatino Linotype"/>
          <w:color w:val="000000"/>
          <w:sz w:val="22"/>
          <w:szCs w:val="22"/>
          <w:u w:val="none"/>
        </w:rPr>
      </w:pPr>
    </w:p>
    <w:p w14:paraId="56AC954A" w14:textId="77777777" w:rsidR="00F47C9C" w:rsidRPr="00F47C9C" w:rsidRDefault="00F47C9C" w:rsidP="00F47C9C">
      <w:pPr>
        <w:pStyle w:val="TOC1"/>
        <w:rPr>
          <w:rStyle w:val="Hyperlink"/>
          <w:rFonts w:ascii="Palatino Linotype" w:hAnsi="Palatino Linotype"/>
          <w:color w:val="000000"/>
          <w:sz w:val="22"/>
          <w:szCs w:val="22"/>
          <w:u w:val="none"/>
        </w:rPr>
      </w:pPr>
      <w:r w:rsidRPr="00F47C9C">
        <w:rPr>
          <w:rStyle w:val="Hyperlink"/>
          <w:rFonts w:ascii="Palatino Linotype" w:hAnsi="Palatino Linotype"/>
          <w:color w:val="000000"/>
          <w:sz w:val="22"/>
          <w:szCs w:val="22"/>
          <w:u w:val="none"/>
        </w:rPr>
        <w:t>TABLE OF CONTENTS</w:t>
      </w:r>
    </w:p>
    <w:sdt>
      <w:sdtPr>
        <w:rPr>
          <w:rFonts w:ascii="Times New Roman" w:eastAsia="Times New Roman" w:hAnsi="Times New Roman" w:cs="Times New Roman"/>
          <w:color w:val="auto"/>
          <w:sz w:val="24"/>
          <w:szCs w:val="24"/>
        </w:rPr>
        <w:id w:val="378211912"/>
        <w:docPartObj>
          <w:docPartGallery w:val="Table of Contents"/>
          <w:docPartUnique/>
        </w:docPartObj>
      </w:sdtPr>
      <w:sdtEndPr>
        <w:rPr>
          <w:b/>
          <w:bCs/>
          <w:noProof/>
        </w:rPr>
      </w:sdtEndPr>
      <w:sdtContent>
        <w:p w14:paraId="3983B3B6" w14:textId="5FD796CF" w:rsidR="00E93931" w:rsidRDefault="00E93931">
          <w:pPr>
            <w:pStyle w:val="TOCHeading"/>
          </w:pPr>
        </w:p>
        <w:p w14:paraId="44F608AA" w14:textId="77777777" w:rsidR="00E93931" w:rsidRDefault="00E93931">
          <w:pPr>
            <w:pStyle w:val="TOC1"/>
            <w:tabs>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413851846" w:history="1">
            <w:r w:rsidRPr="0084576E">
              <w:rPr>
                <w:rStyle w:val="Hyperlink"/>
                <w:rFonts w:ascii="Palatino Linotype" w:hAnsi="Palatino Linotype"/>
                <w:noProof/>
              </w:rPr>
              <w:t>INTRODUCTION</w:t>
            </w:r>
            <w:r>
              <w:rPr>
                <w:noProof/>
                <w:webHidden/>
              </w:rPr>
              <w:tab/>
            </w:r>
            <w:r>
              <w:rPr>
                <w:noProof/>
                <w:webHidden/>
              </w:rPr>
              <w:fldChar w:fldCharType="begin"/>
            </w:r>
            <w:r>
              <w:rPr>
                <w:noProof/>
                <w:webHidden/>
              </w:rPr>
              <w:instrText xml:space="preserve"> PAGEREF _Toc413851846 \h </w:instrText>
            </w:r>
            <w:r>
              <w:rPr>
                <w:noProof/>
                <w:webHidden/>
              </w:rPr>
            </w:r>
            <w:r>
              <w:rPr>
                <w:noProof/>
                <w:webHidden/>
              </w:rPr>
              <w:fldChar w:fldCharType="separate"/>
            </w:r>
            <w:r w:rsidR="00FF221D">
              <w:rPr>
                <w:noProof/>
                <w:webHidden/>
              </w:rPr>
              <w:t>3</w:t>
            </w:r>
            <w:r>
              <w:rPr>
                <w:noProof/>
                <w:webHidden/>
              </w:rPr>
              <w:fldChar w:fldCharType="end"/>
            </w:r>
          </w:hyperlink>
        </w:p>
        <w:p w14:paraId="2DB74963" w14:textId="77777777" w:rsidR="00E93931" w:rsidRDefault="00742685">
          <w:pPr>
            <w:pStyle w:val="TOC1"/>
            <w:tabs>
              <w:tab w:val="right" w:leader="dot" w:pos="9350"/>
            </w:tabs>
            <w:rPr>
              <w:rFonts w:asciiTheme="minorHAnsi" w:eastAsiaTheme="minorEastAsia" w:hAnsiTheme="minorHAnsi" w:cstheme="minorBidi"/>
              <w:b w:val="0"/>
              <w:bCs w:val="0"/>
              <w:caps w:val="0"/>
              <w:noProof/>
              <w:sz w:val="22"/>
              <w:szCs w:val="22"/>
            </w:rPr>
          </w:pPr>
          <w:hyperlink w:anchor="_Toc413851847" w:history="1">
            <w:r w:rsidR="00E93931" w:rsidRPr="0084576E">
              <w:rPr>
                <w:rStyle w:val="Hyperlink"/>
                <w:rFonts w:ascii="Palatino Linotype" w:hAnsi="Palatino Linotype"/>
                <w:noProof/>
              </w:rPr>
              <w:t>SECTION II: PAYMENT-TO-COST-ANALYSIS</w:t>
            </w:r>
            <w:r w:rsidR="00E93931">
              <w:rPr>
                <w:noProof/>
                <w:webHidden/>
              </w:rPr>
              <w:tab/>
            </w:r>
            <w:r w:rsidR="00E93931">
              <w:rPr>
                <w:noProof/>
                <w:webHidden/>
              </w:rPr>
              <w:fldChar w:fldCharType="begin"/>
            </w:r>
            <w:r w:rsidR="00E93931">
              <w:rPr>
                <w:noProof/>
                <w:webHidden/>
              </w:rPr>
              <w:instrText xml:space="preserve"> PAGEREF _Toc413851847 \h </w:instrText>
            </w:r>
            <w:r w:rsidR="00E93931">
              <w:rPr>
                <w:noProof/>
                <w:webHidden/>
              </w:rPr>
            </w:r>
            <w:r w:rsidR="00E93931">
              <w:rPr>
                <w:noProof/>
                <w:webHidden/>
              </w:rPr>
              <w:fldChar w:fldCharType="separate"/>
            </w:r>
            <w:r w:rsidR="00FF221D">
              <w:rPr>
                <w:noProof/>
                <w:webHidden/>
              </w:rPr>
              <w:t>3</w:t>
            </w:r>
            <w:r w:rsidR="00E93931">
              <w:rPr>
                <w:noProof/>
                <w:webHidden/>
              </w:rPr>
              <w:fldChar w:fldCharType="end"/>
            </w:r>
          </w:hyperlink>
        </w:p>
        <w:p w14:paraId="7EAB1362" w14:textId="1286FE54" w:rsidR="00F47C9C" w:rsidRDefault="00E93931">
          <w:r>
            <w:rPr>
              <w:b/>
              <w:bCs/>
              <w:noProof/>
            </w:rPr>
            <w:fldChar w:fldCharType="end"/>
          </w:r>
        </w:p>
      </w:sdtContent>
    </w:sdt>
    <w:p w14:paraId="04138041" w14:textId="77777777" w:rsidR="00F47C9C" w:rsidRDefault="00F47C9C"/>
    <w:p w14:paraId="7B2BF595" w14:textId="77777777" w:rsidR="00F47C9C" w:rsidRDefault="00F47C9C"/>
    <w:p w14:paraId="7B767698" w14:textId="77777777" w:rsidR="00E93931" w:rsidRPr="00A06E3E" w:rsidRDefault="00E93931" w:rsidP="00E93931">
      <w:pPr>
        <w:pStyle w:val="TOC1"/>
        <w:rPr>
          <w:rFonts w:ascii="Palatino Linotype" w:hAnsi="Palatino Linotype"/>
        </w:rPr>
      </w:pPr>
      <w:r w:rsidRPr="004E60AF">
        <w:rPr>
          <w:rStyle w:val="Hyperlink"/>
          <w:rFonts w:ascii="Palatino Linotype" w:hAnsi="Palatino Linotype"/>
          <w:color w:val="000000"/>
        </w:rPr>
        <w:t>aPPENDICES:</w:t>
      </w:r>
      <w:r w:rsidRPr="004E60AF">
        <w:rPr>
          <w:rFonts w:ascii="Palatino Linotype" w:hAnsi="Palatino Linotype"/>
        </w:rPr>
        <w:t xml:space="preserve"> </w:t>
      </w:r>
    </w:p>
    <w:p w14:paraId="60794944" w14:textId="77777777" w:rsidR="00F47C9C" w:rsidRDefault="00F47C9C"/>
    <w:p w14:paraId="21D2D002" w14:textId="62A0F6F6" w:rsidR="00E93931" w:rsidRPr="00A06E3E" w:rsidRDefault="00710CF7" w:rsidP="00E93931">
      <w:pPr>
        <w:pStyle w:val="TOC1"/>
        <w:ind w:left="1440" w:hanging="1440"/>
        <w:rPr>
          <w:rFonts w:ascii="Palatino Linotype" w:hAnsi="Palatino Linotype"/>
        </w:rPr>
      </w:pPr>
      <w:r>
        <w:rPr>
          <w:rFonts w:ascii="Palatino Linotype" w:hAnsi="Palatino Linotype"/>
        </w:rPr>
        <w:t>aPPENDIX A</w:t>
      </w:r>
      <w:r w:rsidR="00E93931" w:rsidRPr="00A06E3E">
        <w:rPr>
          <w:rFonts w:ascii="Palatino Linotype" w:hAnsi="Palatino Linotype"/>
        </w:rPr>
        <w:t xml:space="preserve">: </w:t>
      </w:r>
      <w:r w:rsidR="00E93931" w:rsidRPr="00A06E3E">
        <w:rPr>
          <w:rFonts w:ascii="Palatino Linotype" w:hAnsi="Palatino Linotype"/>
        </w:rPr>
        <w:tab/>
      </w:r>
      <w:r w:rsidR="00E93931" w:rsidRPr="00A06E3E">
        <w:rPr>
          <w:rFonts w:ascii="Palatino Linotype" w:hAnsi="Palatino Linotype"/>
          <w:caps w:val="0"/>
          <w:sz w:val="22"/>
          <w:szCs w:val="22"/>
        </w:rPr>
        <w:t>Summary And Detail Of Payment-To-Cost By Quartile – State Fiscal Year 201</w:t>
      </w:r>
      <w:r w:rsidR="00E93931">
        <w:rPr>
          <w:rFonts w:ascii="Palatino Linotype" w:hAnsi="Palatino Linotype"/>
          <w:caps w:val="0"/>
          <w:sz w:val="22"/>
          <w:szCs w:val="22"/>
        </w:rPr>
        <w:t>6</w:t>
      </w:r>
    </w:p>
    <w:p w14:paraId="0AB09FCE" w14:textId="77777777" w:rsidR="00E93931" w:rsidRDefault="00E93931"/>
    <w:p w14:paraId="27FCA486" w14:textId="77777777" w:rsidR="00F47C9C" w:rsidRDefault="00F47C9C"/>
    <w:p w14:paraId="224074F5" w14:textId="77777777" w:rsidR="00F47C9C" w:rsidRDefault="00F47C9C"/>
    <w:p w14:paraId="1DD3B166" w14:textId="77777777" w:rsidR="00F47C9C" w:rsidRDefault="00F47C9C"/>
    <w:p w14:paraId="5D495A17" w14:textId="77777777" w:rsidR="00F47C9C" w:rsidRDefault="00F47C9C"/>
    <w:p w14:paraId="6211FB7F" w14:textId="77777777" w:rsidR="00F47C9C" w:rsidRDefault="00F47C9C"/>
    <w:p w14:paraId="66EA1A7D" w14:textId="77777777" w:rsidR="00F47C9C" w:rsidRDefault="00F47C9C"/>
    <w:p w14:paraId="3E072811" w14:textId="77777777" w:rsidR="00F47C9C" w:rsidRDefault="00F47C9C"/>
    <w:p w14:paraId="3398FB47" w14:textId="77777777" w:rsidR="00F47C9C" w:rsidRDefault="00F47C9C"/>
    <w:p w14:paraId="0EECAA3D" w14:textId="77777777" w:rsidR="00F47C9C" w:rsidRDefault="00F47C9C"/>
    <w:p w14:paraId="284B98AA" w14:textId="77777777" w:rsidR="00F47C9C" w:rsidRDefault="00F47C9C"/>
    <w:p w14:paraId="772C7591" w14:textId="77777777" w:rsidR="00F47C9C" w:rsidRDefault="00F47C9C"/>
    <w:p w14:paraId="7FA72446" w14:textId="77777777" w:rsidR="00F47C9C" w:rsidRDefault="00F47C9C"/>
    <w:p w14:paraId="4A278126" w14:textId="77777777" w:rsidR="00F47C9C" w:rsidRDefault="00F47C9C"/>
    <w:p w14:paraId="6892620C" w14:textId="77777777" w:rsidR="00F47C9C" w:rsidRDefault="00F47C9C"/>
    <w:p w14:paraId="52C85EFE" w14:textId="77777777" w:rsidR="00F47C9C" w:rsidRDefault="00F47C9C"/>
    <w:p w14:paraId="6BF1210B" w14:textId="77777777" w:rsidR="00F47C9C" w:rsidRDefault="00F47C9C"/>
    <w:p w14:paraId="1C8D9CFB" w14:textId="77777777" w:rsidR="00F47C9C" w:rsidRDefault="00F47C9C"/>
    <w:p w14:paraId="7FCC17EE" w14:textId="77777777" w:rsidR="00F47C9C" w:rsidRDefault="00F47C9C"/>
    <w:p w14:paraId="53BF01FE" w14:textId="77777777" w:rsidR="00F47C9C" w:rsidRDefault="00F47C9C"/>
    <w:p w14:paraId="36FB1C51" w14:textId="77777777" w:rsidR="00FD6B54" w:rsidRDefault="00FD6B54"/>
    <w:p w14:paraId="5A7A1C13" w14:textId="77777777" w:rsidR="00FD6B54" w:rsidRDefault="00FD6B54"/>
    <w:p w14:paraId="2F97D502" w14:textId="77777777" w:rsidR="00710CF7" w:rsidRDefault="00710CF7"/>
    <w:p w14:paraId="6ED38265" w14:textId="77777777" w:rsidR="00710CF7" w:rsidRDefault="00710CF7"/>
    <w:p w14:paraId="433E4045" w14:textId="77777777" w:rsidR="00710CF7" w:rsidRDefault="00710CF7"/>
    <w:p w14:paraId="5803EDCD" w14:textId="77777777" w:rsidR="00B9586A" w:rsidRDefault="00B9586A" w:rsidP="00F47C9C">
      <w:pPr>
        <w:pStyle w:val="TOC1"/>
        <w:spacing w:before="0" w:after="0"/>
        <w:rPr>
          <w:b w:val="0"/>
          <w:bCs w:val="0"/>
          <w:caps w:val="0"/>
          <w:sz w:val="24"/>
          <w:szCs w:val="24"/>
        </w:rPr>
      </w:pPr>
    </w:p>
    <w:p w14:paraId="7EF7888D" w14:textId="77777777" w:rsidR="00F47C9C" w:rsidRDefault="00F47C9C" w:rsidP="00B9586A">
      <w:pPr>
        <w:pStyle w:val="TOC1"/>
        <w:spacing w:before="0" w:after="0"/>
        <w:outlineLvl w:val="0"/>
        <w:rPr>
          <w:rFonts w:ascii="Palatino Linotype" w:hAnsi="Palatino Linotype"/>
          <w:caps w:val="0"/>
          <w:sz w:val="22"/>
        </w:rPr>
      </w:pPr>
      <w:bookmarkStart w:id="1" w:name="_Toc413851846"/>
      <w:r>
        <w:rPr>
          <w:rFonts w:ascii="Palatino Linotype" w:hAnsi="Palatino Linotype"/>
          <w:caps w:val="0"/>
          <w:sz w:val="22"/>
        </w:rPr>
        <w:t>INTRODUCTION</w:t>
      </w:r>
      <w:bookmarkEnd w:id="1"/>
    </w:p>
    <w:p w14:paraId="793E8D8B" w14:textId="77777777" w:rsidR="00F47C9C" w:rsidRPr="0086422D" w:rsidRDefault="00F47C9C" w:rsidP="00F47C9C"/>
    <w:p w14:paraId="02046DAB" w14:textId="0AF0DE13" w:rsidR="00F47C9C" w:rsidRPr="00B9586A" w:rsidRDefault="00F47C9C" w:rsidP="00B9586A">
      <w:pPr>
        <w:pStyle w:val="TOC1"/>
        <w:spacing w:before="0" w:after="0"/>
        <w:rPr>
          <w:rFonts w:ascii="Palatino Linotype" w:hAnsi="Palatino Linotype"/>
          <w:b w:val="0"/>
          <w:bCs w:val="0"/>
          <w:caps w:val="0"/>
          <w:sz w:val="22"/>
          <w:szCs w:val="24"/>
        </w:rPr>
      </w:pPr>
      <w:r w:rsidRPr="001C13CA">
        <w:rPr>
          <w:rFonts w:ascii="Palatino Linotype" w:hAnsi="Palatino Linotype"/>
          <w:b w:val="0"/>
          <w:bCs w:val="0"/>
          <w:caps w:val="0"/>
          <w:sz w:val="22"/>
          <w:szCs w:val="24"/>
        </w:rPr>
        <w:lastRenderedPageBreak/>
        <w:t xml:space="preserve">Navigant Consulting, Inc. was engaged by the Washington State Department of Social and Health Services (DSHS), </w:t>
      </w:r>
      <w:r>
        <w:rPr>
          <w:rFonts w:ascii="Palatino Linotype" w:hAnsi="Palatino Linotype"/>
          <w:b w:val="0"/>
          <w:bCs w:val="0"/>
          <w:caps w:val="0"/>
          <w:sz w:val="22"/>
          <w:szCs w:val="24"/>
        </w:rPr>
        <w:t>also referred to as “the Department”,</w:t>
      </w:r>
      <w:r w:rsidRPr="001C13CA">
        <w:rPr>
          <w:rFonts w:ascii="Palatino Linotype" w:hAnsi="Palatino Linotype"/>
          <w:b w:val="0"/>
          <w:bCs w:val="0"/>
          <w:caps w:val="0"/>
          <w:sz w:val="22"/>
          <w:szCs w:val="24"/>
        </w:rPr>
        <w:t xml:space="preserve"> to conduct an analysis of the Medicaid </w:t>
      </w:r>
      <w:r w:rsidR="00B9586A">
        <w:rPr>
          <w:rFonts w:ascii="Palatino Linotype" w:hAnsi="Palatino Linotype"/>
          <w:b w:val="0"/>
          <w:bCs w:val="0"/>
          <w:caps w:val="0"/>
          <w:sz w:val="22"/>
          <w:szCs w:val="24"/>
        </w:rPr>
        <w:t>reimbursement rates for nursing facilities</w:t>
      </w:r>
      <w:r w:rsidR="006B090A">
        <w:rPr>
          <w:rFonts w:ascii="Palatino Linotype" w:hAnsi="Palatino Linotype"/>
          <w:b w:val="0"/>
          <w:bCs w:val="0"/>
          <w:caps w:val="0"/>
          <w:sz w:val="22"/>
          <w:szCs w:val="24"/>
        </w:rPr>
        <w:t xml:space="preserve"> based on the assumption that the rate determination methodology currently in place would remain through the end of SFY 2016</w:t>
      </w:r>
      <w:r w:rsidRPr="001C13CA">
        <w:rPr>
          <w:rFonts w:ascii="Palatino Linotype" w:hAnsi="Palatino Linotype"/>
          <w:b w:val="0"/>
          <w:bCs w:val="0"/>
          <w:caps w:val="0"/>
          <w:sz w:val="22"/>
          <w:szCs w:val="24"/>
        </w:rPr>
        <w:t xml:space="preserve">.  </w:t>
      </w:r>
      <w:r w:rsidR="00B9586A">
        <w:rPr>
          <w:rFonts w:ascii="Palatino Linotype" w:hAnsi="Palatino Linotype"/>
          <w:b w:val="0"/>
          <w:bCs w:val="0"/>
          <w:caps w:val="0"/>
          <w:sz w:val="22"/>
          <w:szCs w:val="24"/>
        </w:rPr>
        <w:t xml:space="preserve">We </w:t>
      </w:r>
      <w:r w:rsidR="00F0578E">
        <w:rPr>
          <w:rFonts w:ascii="Palatino Linotype" w:hAnsi="Palatino Linotype"/>
          <w:b w:val="0"/>
          <w:bCs w:val="0"/>
          <w:caps w:val="0"/>
          <w:sz w:val="22"/>
          <w:szCs w:val="24"/>
        </w:rPr>
        <w:t>conducted an analysis comparing</w:t>
      </w:r>
      <w:r w:rsidR="00B9586A">
        <w:rPr>
          <w:rFonts w:ascii="Palatino Linotype" w:hAnsi="Palatino Linotype"/>
          <w:b w:val="0"/>
          <w:bCs w:val="0"/>
          <w:caps w:val="0"/>
          <w:sz w:val="22"/>
          <w:szCs w:val="24"/>
        </w:rPr>
        <w:t xml:space="preserve"> the level of reimbursement for each provider to the estimated costs of providing services </w:t>
      </w:r>
      <w:r w:rsidR="00710CF7">
        <w:rPr>
          <w:rFonts w:ascii="Palatino Linotype" w:hAnsi="Palatino Linotype"/>
          <w:b w:val="0"/>
          <w:bCs w:val="0"/>
          <w:caps w:val="0"/>
          <w:sz w:val="22"/>
          <w:szCs w:val="24"/>
        </w:rPr>
        <w:t>for State Fiscal Year (SFY) 2016</w:t>
      </w:r>
      <w:r w:rsidR="00B9586A">
        <w:rPr>
          <w:rFonts w:ascii="Palatino Linotype" w:hAnsi="Palatino Linotype"/>
          <w:b w:val="0"/>
          <w:bCs w:val="0"/>
          <w:caps w:val="0"/>
          <w:sz w:val="22"/>
          <w:szCs w:val="24"/>
        </w:rPr>
        <w:t xml:space="preserve">.  The results of the analysis are summarized in this report, which </w:t>
      </w:r>
      <w:r w:rsidR="00173E81">
        <w:rPr>
          <w:rFonts w:ascii="Palatino Linotype" w:hAnsi="Palatino Linotype"/>
          <w:b w:val="0"/>
          <w:bCs w:val="0"/>
          <w:caps w:val="0"/>
          <w:sz w:val="22"/>
          <w:szCs w:val="24"/>
        </w:rPr>
        <w:t>serves as an addendum to the report provid</w:t>
      </w:r>
      <w:r w:rsidR="00FE0673">
        <w:rPr>
          <w:rFonts w:ascii="Palatino Linotype" w:hAnsi="Palatino Linotype"/>
          <w:b w:val="0"/>
          <w:bCs w:val="0"/>
          <w:caps w:val="0"/>
          <w:sz w:val="22"/>
          <w:szCs w:val="24"/>
        </w:rPr>
        <w:t>ed to the Department in February</w:t>
      </w:r>
      <w:r w:rsidR="00710CF7">
        <w:rPr>
          <w:rFonts w:ascii="Palatino Linotype" w:hAnsi="Palatino Linotype"/>
          <w:b w:val="0"/>
          <w:bCs w:val="0"/>
          <w:caps w:val="0"/>
          <w:sz w:val="22"/>
          <w:szCs w:val="24"/>
        </w:rPr>
        <w:t xml:space="preserve"> of 2</w:t>
      </w:r>
      <w:r w:rsidR="00FE0673">
        <w:rPr>
          <w:rFonts w:ascii="Palatino Linotype" w:hAnsi="Palatino Linotype"/>
          <w:b w:val="0"/>
          <w:bCs w:val="0"/>
          <w:caps w:val="0"/>
          <w:sz w:val="22"/>
          <w:szCs w:val="24"/>
        </w:rPr>
        <w:t>015</w:t>
      </w:r>
      <w:r w:rsidR="00173E81">
        <w:rPr>
          <w:rFonts w:ascii="Palatino Linotype" w:hAnsi="Palatino Linotype"/>
          <w:b w:val="0"/>
          <w:bCs w:val="0"/>
          <w:caps w:val="0"/>
          <w:sz w:val="22"/>
          <w:szCs w:val="24"/>
        </w:rPr>
        <w:t xml:space="preserve">.  </w:t>
      </w:r>
    </w:p>
    <w:p w14:paraId="7EEFDE6F" w14:textId="77777777" w:rsidR="00F47C9C" w:rsidRDefault="00F47C9C" w:rsidP="00F47C9C">
      <w:pPr>
        <w:rPr>
          <w:rFonts w:ascii="Palatino Linotype" w:hAnsi="Palatino Linotype"/>
          <w:b/>
          <w:sz w:val="22"/>
        </w:rPr>
      </w:pPr>
    </w:p>
    <w:p w14:paraId="533533B3" w14:textId="7EF6E352" w:rsidR="00F47C9C" w:rsidRPr="0098587B" w:rsidRDefault="00B9586A" w:rsidP="00F47C9C">
      <w:pPr>
        <w:pStyle w:val="Heading1"/>
        <w:numPr>
          <w:ilvl w:val="0"/>
          <w:numId w:val="0"/>
        </w:numPr>
        <w:rPr>
          <w:szCs w:val="22"/>
        </w:rPr>
      </w:pPr>
      <w:bookmarkStart w:id="2" w:name="_Toc381353117"/>
      <w:bookmarkStart w:id="3" w:name="_Toc413851847"/>
      <w:r>
        <w:rPr>
          <w:rFonts w:ascii="Palatino Linotype" w:hAnsi="Palatino Linotype"/>
          <w:sz w:val="22"/>
        </w:rPr>
        <w:t>SECTION II</w:t>
      </w:r>
      <w:r w:rsidR="00F47C9C" w:rsidRPr="00C75E52">
        <w:rPr>
          <w:rFonts w:ascii="Palatino Linotype" w:hAnsi="Palatino Linotype"/>
          <w:sz w:val="22"/>
        </w:rPr>
        <w:t>: PAYMENT-TO-COST-ANALYSIS</w:t>
      </w:r>
      <w:bookmarkEnd w:id="2"/>
      <w:bookmarkEnd w:id="3"/>
    </w:p>
    <w:p w14:paraId="3B0D2FAC" w14:textId="77777777" w:rsidR="00F47C9C" w:rsidRPr="004D40F4" w:rsidRDefault="00F47C9C" w:rsidP="00F47C9C">
      <w:pPr>
        <w:rPr>
          <w:rFonts w:ascii="Palatino Linotype" w:hAnsi="Palatino Linotype"/>
          <w:sz w:val="22"/>
          <w:szCs w:val="22"/>
        </w:rPr>
      </w:pPr>
    </w:p>
    <w:p w14:paraId="03EAA491" w14:textId="4E5664D6"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In this section, we describe our analysis of </w:t>
      </w:r>
      <w:r w:rsidR="007C3133">
        <w:rPr>
          <w:rFonts w:ascii="Palatino Linotype" w:hAnsi="Palatino Linotype"/>
          <w:sz w:val="22"/>
          <w:szCs w:val="22"/>
        </w:rPr>
        <w:t>paymen</w:t>
      </w:r>
      <w:r w:rsidR="006B090A">
        <w:rPr>
          <w:rFonts w:ascii="Palatino Linotype" w:hAnsi="Palatino Linotype"/>
          <w:sz w:val="22"/>
          <w:szCs w:val="22"/>
        </w:rPr>
        <w:t>ts under the current</w:t>
      </w:r>
      <w:r w:rsidRPr="004D40F4">
        <w:rPr>
          <w:rFonts w:ascii="Palatino Linotype" w:hAnsi="Palatino Linotype"/>
          <w:sz w:val="22"/>
          <w:szCs w:val="22"/>
        </w:rPr>
        <w:t xml:space="preserve"> Medicaid</w:t>
      </w:r>
      <w:r w:rsidR="00F0578E">
        <w:rPr>
          <w:rFonts w:ascii="Palatino Linotype" w:hAnsi="Palatino Linotype"/>
          <w:sz w:val="22"/>
          <w:szCs w:val="22"/>
        </w:rPr>
        <w:t xml:space="preserve"> payment methodology relative</w:t>
      </w:r>
      <w:r w:rsidRPr="004D40F4">
        <w:rPr>
          <w:rFonts w:ascii="Palatino Linotype" w:hAnsi="Palatino Linotype"/>
          <w:sz w:val="22"/>
          <w:szCs w:val="22"/>
        </w:rPr>
        <w:t xml:space="preserve"> to the allowable costs incurred by nursing facilities for serving Medicaid-eligible residents.  First, we estimated what Medicaid allowable costs will be </w:t>
      </w:r>
      <w:r w:rsidR="00B9586A">
        <w:rPr>
          <w:rFonts w:ascii="Palatino Linotype" w:hAnsi="Palatino Linotype"/>
          <w:sz w:val="22"/>
          <w:szCs w:val="22"/>
        </w:rPr>
        <w:t>for SFY</w:t>
      </w:r>
      <w:r>
        <w:rPr>
          <w:rFonts w:ascii="Palatino Linotype" w:hAnsi="Palatino Linotype"/>
          <w:sz w:val="22"/>
          <w:szCs w:val="22"/>
        </w:rPr>
        <w:t xml:space="preserve"> 2016</w:t>
      </w:r>
      <w:r w:rsidRPr="004D40F4">
        <w:rPr>
          <w:rFonts w:ascii="Palatino Linotype" w:hAnsi="Palatino Linotype"/>
          <w:sz w:val="22"/>
          <w:szCs w:val="22"/>
        </w:rPr>
        <w:t xml:space="preserve"> using historical cost data reported by the State’s nursing facilities, adjusted to reflect</w:t>
      </w:r>
      <w:r>
        <w:rPr>
          <w:rFonts w:ascii="Palatino Linotype" w:hAnsi="Palatino Linotype"/>
          <w:sz w:val="22"/>
          <w:szCs w:val="22"/>
        </w:rPr>
        <w:t xml:space="preserve"> trends in inflation to SFY 2016</w:t>
      </w:r>
      <w:r w:rsidRPr="004D40F4">
        <w:rPr>
          <w:rFonts w:ascii="Palatino Linotype" w:hAnsi="Palatino Linotype"/>
          <w:sz w:val="22"/>
          <w:szCs w:val="22"/>
        </w:rPr>
        <w:t>.  We then compared the estimated SFY 201</w:t>
      </w:r>
      <w:r>
        <w:rPr>
          <w:rFonts w:ascii="Palatino Linotype" w:hAnsi="Palatino Linotype"/>
          <w:sz w:val="22"/>
          <w:szCs w:val="22"/>
        </w:rPr>
        <w:t>6</w:t>
      </w:r>
      <w:r w:rsidRPr="004D40F4">
        <w:rPr>
          <w:rFonts w:ascii="Palatino Linotype" w:hAnsi="Palatino Linotype"/>
          <w:sz w:val="22"/>
          <w:szCs w:val="22"/>
        </w:rPr>
        <w:t xml:space="preserve"> costs to an estimate of Medicaid payments for the same period, based on weighted average of </w:t>
      </w:r>
      <w:r w:rsidR="00F0578E">
        <w:rPr>
          <w:rFonts w:ascii="Palatino Linotype" w:hAnsi="Palatino Linotype"/>
          <w:sz w:val="22"/>
          <w:szCs w:val="22"/>
        </w:rPr>
        <w:t xml:space="preserve">estimated </w:t>
      </w:r>
      <w:r w:rsidRPr="004D40F4">
        <w:rPr>
          <w:rFonts w:ascii="Palatino Linotype" w:hAnsi="Palatino Linotype"/>
          <w:sz w:val="22"/>
          <w:szCs w:val="22"/>
        </w:rPr>
        <w:t>payment rates</w:t>
      </w:r>
      <w:r>
        <w:rPr>
          <w:rFonts w:ascii="Palatino Linotype" w:hAnsi="Palatino Linotype"/>
          <w:sz w:val="22"/>
          <w:szCs w:val="22"/>
        </w:rPr>
        <w:t xml:space="preserve"> for all of SFY 2016</w:t>
      </w:r>
      <w:r w:rsidR="00F0578E">
        <w:rPr>
          <w:rFonts w:ascii="Palatino Linotype" w:hAnsi="Palatino Linotype"/>
          <w:sz w:val="22"/>
          <w:szCs w:val="22"/>
        </w:rPr>
        <w:t>.</w:t>
      </w:r>
      <w:r w:rsidR="00FE0673">
        <w:rPr>
          <w:rFonts w:ascii="Palatino Linotype" w:hAnsi="Palatino Linotype"/>
          <w:sz w:val="22"/>
          <w:szCs w:val="22"/>
        </w:rPr>
        <w:t xml:space="preserve">  </w:t>
      </w:r>
    </w:p>
    <w:p w14:paraId="5BB8024D" w14:textId="77777777" w:rsidR="00F47C9C" w:rsidRPr="004D40F4" w:rsidRDefault="00F47C9C" w:rsidP="00F47C9C">
      <w:pPr>
        <w:rPr>
          <w:rFonts w:ascii="Palatino Linotype" w:hAnsi="Palatino Linotype"/>
          <w:sz w:val="22"/>
          <w:szCs w:val="22"/>
        </w:rPr>
      </w:pPr>
    </w:p>
    <w:p w14:paraId="6D8ADC46" w14:textId="77777777" w:rsidR="00F47C9C" w:rsidRPr="004D40F4" w:rsidRDefault="00F47C9C" w:rsidP="00F47C9C">
      <w:pPr>
        <w:rPr>
          <w:rFonts w:ascii="Palatino Linotype" w:hAnsi="Palatino Linotype"/>
          <w:sz w:val="22"/>
          <w:szCs w:val="22"/>
        </w:rPr>
      </w:pPr>
    </w:p>
    <w:p w14:paraId="03315EC5" w14:textId="2F804D68" w:rsidR="00F47C9C" w:rsidRPr="004D40F4" w:rsidRDefault="00F47C9C" w:rsidP="00F47C9C">
      <w:pPr>
        <w:rPr>
          <w:rFonts w:ascii="Palatino Linotype" w:hAnsi="Palatino Linotype"/>
          <w:b/>
          <w:sz w:val="22"/>
          <w:szCs w:val="22"/>
        </w:rPr>
      </w:pPr>
      <w:r w:rsidRPr="004D40F4">
        <w:rPr>
          <w:rFonts w:ascii="Palatino Linotype" w:hAnsi="Palatino Linotype"/>
          <w:b/>
          <w:sz w:val="22"/>
          <w:szCs w:val="22"/>
        </w:rPr>
        <w:t>Estimation of Costs for State Fiscal Years Ended 201</w:t>
      </w:r>
      <w:r>
        <w:rPr>
          <w:rFonts w:ascii="Palatino Linotype" w:hAnsi="Palatino Linotype"/>
          <w:b/>
          <w:sz w:val="22"/>
          <w:szCs w:val="22"/>
        </w:rPr>
        <w:t>6</w:t>
      </w:r>
    </w:p>
    <w:p w14:paraId="180D706E" w14:textId="77777777" w:rsidR="00F47C9C" w:rsidRPr="004D40F4" w:rsidRDefault="00F47C9C" w:rsidP="00F47C9C">
      <w:pPr>
        <w:rPr>
          <w:rFonts w:ascii="Palatino Linotype" w:hAnsi="Palatino Linotype"/>
          <w:i/>
          <w:sz w:val="22"/>
          <w:szCs w:val="22"/>
        </w:rPr>
      </w:pPr>
    </w:p>
    <w:p w14:paraId="569EDCAA"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Base Costs</w:t>
      </w:r>
    </w:p>
    <w:p w14:paraId="27845926" w14:textId="77777777" w:rsidR="00F47C9C" w:rsidRPr="004D40F4" w:rsidRDefault="00F47C9C" w:rsidP="00F47C9C">
      <w:pPr>
        <w:keepNext/>
        <w:rPr>
          <w:rFonts w:ascii="Palatino Linotype" w:hAnsi="Palatino Linotype"/>
          <w:sz w:val="22"/>
          <w:szCs w:val="22"/>
          <w:u w:val="single"/>
        </w:rPr>
      </w:pPr>
    </w:p>
    <w:p w14:paraId="04C1AA70" w14:textId="23467BEC"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We es</w:t>
      </w:r>
      <w:r>
        <w:rPr>
          <w:rFonts w:ascii="Palatino Linotype" w:hAnsi="Palatino Linotype"/>
          <w:sz w:val="22"/>
          <w:szCs w:val="22"/>
        </w:rPr>
        <w:t>timated Medicaid costs using calendar year 2013</w:t>
      </w:r>
      <w:r w:rsidRPr="004D40F4">
        <w:rPr>
          <w:rFonts w:ascii="Palatino Linotype" w:hAnsi="Palatino Linotype"/>
          <w:sz w:val="22"/>
          <w:szCs w:val="22"/>
        </w:rPr>
        <w:t xml:space="preserve"> adjusted costs and resident </w:t>
      </w:r>
      <w:proofErr w:type="gramStart"/>
      <w:r w:rsidRPr="004D40F4">
        <w:rPr>
          <w:rFonts w:ascii="Palatino Linotype" w:hAnsi="Palatino Linotype"/>
          <w:sz w:val="22"/>
          <w:szCs w:val="22"/>
        </w:rPr>
        <w:t>days</w:t>
      </w:r>
      <w:proofErr w:type="gramEnd"/>
      <w:r w:rsidRPr="004D40F4">
        <w:rPr>
          <w:rFonts w:ascii="Palatino Linotype" w:hAnsi="Palatino Linotype"/>
          <w:sz w:val="22"/>
          <w:szCs w:val="22"/>
        </w:rPr>
        <w:t xml:space="preserve"> data provided by </w:t>
      </w:r>
      <w:r>
        <w:rPr>
          <w:rFonts w:ascii="Palatino Linotype" w:hAnsi="Palatino Linotype"/>
          <w:sz w:val="22"/>
          <w:szCs w:val="22"/>
        </w:rPr>
        <w:t>the Department</w:t>
      </w:r>
      <w:r w:rsidRPr="004D40F4">
        <w:rPr>
          <w:rFonts w:ascii="Palatino Linotype" w:hAnsi="Palatino Linotype"/>
          <w:sz w:val="22"/>
          <w:szCs w:val="22"/>
        </w:rPr>
        <w:t xml:space="preserve">.  The data provided by </w:t>
      </w:r>
      <w:r>
        <w:rPr>
          <w:rFonts w:ascii="Palatino Linotype" w:hAnsi="Palatino Linotype"/>
          <w:sz w:val="22"/>
          <w:szCs w:val="22"/>
        </w:rPr>
        <w:t>the Department</w:t>
      </w:r>
      <w:r w:rsidRPr="004D40F4">
        <w:rPr>
          <w:rFonts w:ascii="Palatino Linotype" w:hAnsi="Palatino Linotype"/>
          <w:sz w:val="22"/>
          <w:szCs w:val="22"/>
        </w:rPr>
        <w:t xml:space="preserve"> included the </w:t>
      </w:r>
      <w:r>
        <w:rPr>
          <w:rFonts w:ascii="Palatino Linotype" w:hAnsi="Palatino Linotype"/>
          <w:sz w:val="22"/>
          <w:szCs w:val="22"/>
        </w:rPr>
        <w:t>20</w:t>
      </w:r>
      <w:r w:rsidR="00B9586A">
        <w:rPr>
          <w:rFonts w:ascii="Palatino Linotype" w:hAnsi="Palatino Linotype"/>
          <w:sz w:val="22"/>
          <w:szCs w:val="22"/>
        </w:rPr>
        <w:t>8</w:t>
      </w:r>
      <w:r w:rsidR="000E1F58">
        <w:rPr>
          <w:rStyle w:val="FootnoteReference"/>
          <w:rFonts w:ascii="Palatino Linotype" w:hAnsi="Palatino Linotype"/>
          <w:sz w:val="22"/>
          <w:szCs w:val="22"/>
        </w:rPr>
        <w:footnoteReference w:id="1"/>
      </w:r>
      <w:r w:rsidR="000E1F58">
        <w:rPr>
          <w:rFonts w:ascii="Palatino Linotype" w:hAnsi="Palatino Linotype"/>
          <w:sz w:val="22"/>
          <w:szCs w:val="22"/>
        </w:rPr>
        <w:t xml:space="preserve"> </w:t>
      </w:r>
      <w:r w:rsidR="00B9586A">
        <w:rPr>
          <w:rFonts w:ascii="Palatino Linotype" w:hAnsi="Palatino Linotype"/>
          <w:sz w:val="22"/>
          <w:szCs w:val="22"/>
        </w:rPr>
        <w:t xml:space="preserve"> </w:t>
      </w:r>
      <w:r w:rsidRPr="004D40F4">
        <w:rPr>
          <w:rFonts w:ascii="Palatino Linotype" w:hAnsi="Palatino Linotype"/>
          <w:sz w:val="22"/>
          <w:szCs w:val="22"/>
        </w:rPr>
        <w:t xml:space="preserve">nursing facilities that currently participate in the Medicaid program, and included five cost categories:  Direct Care (DC) costs, Therapy Care (TC) costs, Support Services (SS) costs, Operations (OP) costs, and Property (PR) costs.  These amounts were “adjusted” amounts that according to </w:t>
      </w:r>
      <w:r>
        <w:rPr>
          <w:rFonts w:ascii="Palatino Linotype" w:hAnsi="Palatino Linotype"/>
          <w:sz w:val="22"/>
          <w:szCs w:val="22"/>
        </w:rPr>
        <w:t>the Department</w:t>
      </w:r>
      <w:r w:rsidRPr="004D40F4">
        <w:rPr>
          <w:rFonts w:ascii="Palatino Linotype" w:hAnsi="Palatino Linotype"/>
          <w:sz w:val="22"/>
          <w:szCs w:val="22"/>
        </w:rPr>
        <w:t xml:space="preserve"> included only “Medicaid allowable” costs</w:t>
      </w:r>
      <w:r>
        <w:rPr>
          <w:rFonts w:ascii="Palatino Linotype" w:hAnsi="Palatino Linotype"/>
          <w:sz w:val="22"/>
          <w:szCs w:val="22"/>
        </w:rPr>
        <w:t>. These amounts were also adjusted to reflect the change in provider assessment costs</w:t>
      </w:r>
      <w:r w:rsidR="00710CF7">
        <w:rPr>
          <w:rFonts w:ascii="Palatino Linotype" w:hAnsi="Palatino Linotype"/>
          <w:sz w:val="22"/>
          <w:szCs w:val="22"/>
        </w:rPr>
        <w:t xml:space="preserve"> between 2013 and 2016</w:t>
      </w:r>
      <w:r>
        <w:rPr>
          <w:rFonts w:ascii="Palatino Linotype" w:hAnsi="Palatino Linotype"/>
          <w:sz w:val="22"/>
          <w:szCs w:val="22"/>
        </w:rPr>
        <w:t xml:space="preserve">. </w:t>
      </w:r>
      <w:r w:rsidRPr="004D40F4">
        <w:rPr>
          <w:rFonts w:ascii="Palatino Linotype" w:hAnsi="Palatino Linotype"/>
          <w:sz w:val="22"/>
          <w:szCs w:val="22"/>
        </w:rPr>
        <w:t xml:space="preserve">We divided each cost category by adjusted total days to calculate an average cost per day for each of the five cost categories. </w:t>
      </w:r>
    </w:p>
    <w:p w14:paraId="14B450C0"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lastRenderedPageBreak/>
        <w:t>Adjustment for Case Mix Index (CMI)</w:t>
      </w:r>
    </w:p>
    <w:p w14:paraId="648A82DB" w14:textId="77777777" w:rsidR="00F47C9C" w:rsidRPr="004D40F4" w:rsidRDefault="00F47C9C" w:rsidP="00F47C9C">
      <w:pPr>
        <w:keepNext/>
        <w:rPr>
          <w:rFonts w:ascii="Palatino Linotype" w:hAnsi="Palatino Linotype"/>
          <w:sz w:val="22"/>
          <w:szCs w:val="22"/>
          <w:u w:val="single"/>
        </w:rPr>
      </w:pPr>
    </w:p>
    <w:p w14:paraId="30CAF2BC" w14:textId="2B889955"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We adjusted the Direct Care cost component to take into account each nursing facility’s average case mix index</w:t>
      </w:r>
      <w:r w:rsidRPr="004D40F4">
        <w:rPr>
          <w:rStyle w:val="FootnoteReference"/>
          <w:rFonts w:ascii="Palatino Linotype" w:hAnsi="Palatino Linotype"/>
          <w:sz w:val="22"/>
          <w:szCs w:val="22"/>
        </w:rPr>
        <w:footnoteReference w:id="2"/>
      </w:r>
      <w:r w:rsidRPr="004D40F4">
        <w:rPr>
          <w:rFonts w:ascii="Palatino Linotype" w:hAnsi="Palatino Linotype"/>
          <w:sz w:val="22"/>
          <w:szCs w:val="22"/>
        </w:rPr>
        <w:t>.  We divided each nursing facility’s average Direct Care cost per day by the average annual facility wide case mix index (CMI) from 20</w:t>
      </w:r>
      <w:r>
        <w:rPr>
          <w:rFonts w:ascii="Palatino Linotype" w:hAnsi="Palatino Linotype"/>
          <w:sz w:val="22"/>
          <w:szCs w:val="22"/>
        </w:rPr>
        <w:t>13</w:t>
      </w:r>
      <w:r w:rsidRPr="004D40F4">
        <w:rPr>
          <w:rStyle w:val="FootnoteReference"/>
          <w:rFonts w:ascii="Palatino Linotype" w:hAnsi="Palatino Linotype"/>
          <w:sz w:val="22"/>
          <w:szCs w:val="22"/>
        </w:rPr>
        <w:footnoteReference w:id="3"/>
      </w:r>
      <w:r w:rsidRPr="004D40F4">
        <w:rPr>
          <w:rFonts w:ascii="Palatino Linotype" w:hAnsi="Palatino Linotype"/>
          <w:sz w:val="22"/>
          <w:szCs w:val="22"/>
        </w:rPr>
        <w:t>.  The resulting amount</w:t>
      </w:r>
      <w:r w:rsidR="00F0578E">
        <w:rPr>
          <w:rFonts w:ascii="Palatino Linotype" w:hAnsi="Palatino Linotype"/>
          <w:sz w:val="22"/>
          <w:szCs w:val="22"/>
        </w:rPr>
        <w:t xml:space="preserve">s to each facility is </w:t>
      </w:r>
      <w:r w:rsidRPr="004D40F4">
        <w:rPr>
          <w:rFonts w:ascii="Palatino Linotype" w:hAnsi="Palatino Linotype"/>
          <w:sz w:val="22"/>
          <w:szCs w:val="22"/>
        </w:rPr>
        <w:t xml:space="preserve">the average Direct Care cost per day adjusted to a facility CMI of 1.0. </w:t>
      </w:r>
    </w:p>
    <w:p w14:paraId="74CEF4B4" w14:textId="77777777" w:rsidR="00F47C9C" w:rsidRPr="004D40F4" w:rsidRDefault="00F47C9C" w:rsidP="00F47C9C">
      <w:pPr>
        <w:rPr>
          <w:rFonts w:ascii="Palatino Linotype" w:hAnsi="Palatino Linotype"/>
          <w:sz w:val="22"/>
          <w:szCs w:val="22"/>
        </w:rPr>
      </w:pPr>
    </w:p>
    <w:p w14:paraId="428E987F" w14:textId="77777777"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We then adjusted the Direct Care cost category to reflect the resource needs of Medicaid residents.  To do this, we multiplied each nursing facility’s average Direct Care cost per day (which had been previously adjusted to reflect a facility CMI of 1.0) times the average facility-specific </w:t>
      </w:r>
      <w:r>
        <w:rPr>
          <w:rFonts w:ascii="Palatino Linotype" w:hAnsi="Palatino Linotype"/>
          <w:sz w:val="22"/>
          <w:szCs w:val="22"/>
        </w:rPr>
        <w:t>semi-annual 2014 Medicaid CMI</w:t>
      </w:r>
      <w:r w:rsidRPr="004D40F4">
        <w:rPr>
          <w:rStyle w:val="FootnoteReference"/>
          <w:rFonts w:ascii="Palatino Linotype" w:hAnsi="Palatino Linotype"/>
          <w:sz w:val="22"/>
          <w:szCs w:val="22"/>
        </w:rPr>
        <w:footnoteReference w:id="4"/>
      </w:r>
      <w:r w:rsidRPr="004D40F4">
        <w:rPr>
          <w:rFonts w:ascii="Palatino Linotype" w:hAnsi="Palatino Linotype"/>
          <w:sz w:val="22"/>
          <w:szCs w:val="22"/>
        </w:rPr>
        <w:t xml:space="preserve">.  The </w:t>
      </w:r>
      <w:r>
        <w:rPr>
          <w:rFonts w:ascii="Palatino Linotype" w:hAnsi="Palatino Linotype"/>
          <w:sz w:val="22"/>
          <w:szCs w:val="22"/>
        </w:rPr>
        <w:t>semi-annual 2014 indexes</w:t>
      </w:r>
      <w:r w:rsidRPr="004D40F4">
        <w:rPr>
          <w:rFonts w:ascii="Palatino Linotype" w:hAnsi="Palatino Linotype"/>
          <w:sz w:val="22"/>
          <w:szCs w:val="22"/>
        </w:rPr>
        <w:t xml:space="preserve"> were the most recent CMI data available.  The resulting amount was the average Direct Care cost per day adjusted for the facility’s Medicaid CMI.</w:t>
      </w:r>
    </w:p>
    <w:p w14:paraId="737D2AC2" w14:textId="77777777" w:rsidR="00F47C9C" w:rsidRPr="004D40F4" w:rsidRDefault="00F47C9C" w:rsidP="00F47C9C">
      <w:pPr>
        <w:rPr>
          <w:rFonts w:ascii="Palatino Linotype" w:hAnsi="Palatino Linotype"/>
          <w:i/>
          <w:sz w:val="22"/>
          <w:szCs w:val="22"/>
        </w:rPr>
      </w:pPr>
    </w:p>
    <w:p w14:paraId="23DE4086"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Adjustment for Cost Growth</w:t>
      </w:r>
    </w:p>
    <w:p w14:paraId="205E2BD3" w14:textId="77777777" w:rsidR="00F47C9C" w:rsidRPr="004D40F4" w:rsidRDefault="00F47C9C" w:rsidP="00F47C9C">
      <w:pPr>
        <w:keepNext/>
        <w:rPr>
          <w:rFonts w:ascii="Palatino Linotype" w:hAnsi="Palatino Linotype"/>
          <w:sz w:val="22"/>
          <w:szCs w:val="22"/>
          <w:u w:val="single"/>
        </w:rPr>
      </w:pPr>
    </w:p>
    <w:p w14:paraId="57C3FAA5" w14:textId="793B9780"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To bring the </w:t>
      </w:r>
      <w:r>
        <w:rPr>
          <w:rFonts w:ascii="Palatino Linotype" w:hAnsi="Palatino Linotype"/>
          <w:sz w:val="22"/>
          <w:szCs w:val="22"/>
        </w:rPr>
        <w:t>2013</w:t>
      </w:r>
      <w:r w:rsidR="00710CF7">
        <w:rPr>
          <w:rFonts w:ascii="Palatino Linotype" w:hAnsi="Palatino Linotype"/>
          <w:sz w:val="22"/>
          <w:szCs w:val="22"/>
        </w:rPr>
        <w:t xml:space="preserve"> costs forward to SFY 2016 under analysis</w:t>
      </w:r>
      <w:r w:rsidRPr="004D40F4">
        <w:rPr>
          <w:rFonts w:ascii="Palatino Linotype" w:hAnsi="Palatino Linotype"/>
          <w:sz w:val="22"/>
          <w:szCs w:val="22"/>
        </w:rPr>
        <w:t xml:space="preserve">, we applied a cost growth factor.  The cost growth factor was calculated using the change in the CMS Prospective Payment System Skilled Nursing Facility Input Price Index.  We identified the index at the midpoint of </w:t>
      </w:r>
      <w:r w:rsidR="00710CF7">
        <w:rPr>
          <w:rFonts w:ascii="Palatino Linotype" w:hAnsi="Palatino Linotype"/>
          <w:sz w:val="22"/>
          <w:szCs w:val="22"/>
        </w:rPr>
        <w:t>SFY 2016</w:t>
      </w:r>
      <w:r w:rsidRPr="004D40F4">
        <w:rPr>
          <w:rFonts w:ascii="Palatino Linotype" w:hAnsi="Palatino Linotype"/>
          <w:sz w:val="22"/>
          <w:szCs w:val="22"/>
        </w:rPr>
        <w:t xml:space="preserve"> and divided by the index at the midpoint of the 20</w:t>
      </w:r>
      <w:r>
        <w:rPr>
          <w:rFonts w:ascii="Palatino Linotype" w:hAnsi="Palatino Linotype"/>
          <w:sz w:val="22"/>
          <w:szCs w:val="22"/>
        </w:rPr>
        <w:t>13</w:t>
      </w:r>
      <w:r w:rsidRPr="004D40F4">
        <w:rPr>
          <w:rFonts w:ascii="Palatino Linotype" w:hAnsi="Palatino Linotype"/>
          <w:sz w:val="22"/>
          <w:szCs w:val="22"/>
        </w:rPr>
        <w:t xml:space="preserve"> cost year.  The resulting cost growth factor was 1.0</w:t>
      </w:r>
      <w:r>
        <w:rPr>
          <w:rFonts w:ascii="Palatino Linotype" w:hAnsi="Palatino Linotype"/>
          <w:sz w:val="22"/>
          <w:szCs w:val="22"/>
        </w:rPr>
        <w:t>56</w:t>
      </w:r>
      <w:r w:rsidRPr="004D40F4">
        <w:rPr>
          <w:rFonts w:ascii="Palatino Linotype" w:hAnsi="Palatino Linotype"/>
          <w:sz w:val="22"/>
          <w:szCs w:val="22"/>
        </w:rPr>
        <w:t xml:space="preserve">, or a </w:t>
      </w:r>
      <w:r>
        <w:rPr>
          <w:rFonts w:ascii="Palatino Linotype" w:hAnsi="Palatino Linotype"/>
          <w:sz w:val="22"/>
          <w:szCs w:val="22"/>
        </w:rPr>
        <w:t>5.6</w:t>
      </w:r>
      <w:r w:rsidRPr="004D40F4">
        <w:rPr>
          <w:rFonts w:ascii="Palatino Linotype" w:hAnsi="Palatino Linotype"/>
          <w:sz w:val="22"/>
          <w:szCs w:val="22"/>
        </w:rPr>
        <w:t xml:space="preserve"> percent increase </w:t>
      </w:r>
      <w:r>
        <w:rPr>
          <w:rFonts w:ascii="Palatino Linotype" w:hAnsi="Palatino Linotype"/>
          <w:sz w:val="22"/>
          <w:szCs w:val="22"/>
        </w:rPr>
        <w:t>between SFY 2013</w:t>
      </w:r>
      <w:r w:rsidRPr="004D40F4">
        <w:rPr>
          <w:rFonts w:ascii="Palatino Linotype" w:hAnsi="Palatino Linotype"/>
          <w:sz w:val="22"/>
          <w:szCs w:val="22"/>
        </w:rPr>
        <w:t xml:space="preserve"> and SFY 20</w:t>
      </w:r>
      <w:r>
        <w:rPr>
          <w:rFonts w:ascii="Palatino Linotype" w:hAnsi="Palatino Linotype"/>
          <w:sz w:val="22"/>
          <w:szCs w:val="22"/>
        </w:rPr>
        <w:t>16</w:t>
      </w:r>
      <w:r w:rsidRPr="004D40F4">
        <w:rPr>
          <w:rFonts w:ascii="Palatino Linotype" w:hAnsi="Palatino Linotype"/>
          <w:sz w:val="22"/>
          <w:szCs w:val="22"/>
        </w:rPr>
        <w:t>.  Using the cost growth factors, we updated each of the average cost per day amounts for the cost components described previously to estimate the SFY 201</w:t>
      </w:r>
      <w:r>
        <w:rPr>
          <w:rFonts w:ascii="Palatino Linotype" w:hAnsi="Palatino Linotype"/>
          <w:sz w:val="22"/>
          <w:szCs w:val="22"/>
        </w:rPr>
        <w:t>6</w:t>
      </w:r>
      <w:r w:rsidR="00710CF7">
        <w:rPr>
          <w:rFonts w:ascii="Palatino Linotype" w:hAnsi="Palatino Linotype"/>
          <w:sz w:val="22"/>
          <w:szCs w:val="22"/>
        </w:rPr>
        <w:t xml:space="preserve"> </w:t>
      </w:r>
      <w:r w:rsidRPr="004D40F4">
        <w:rPr>
          <w:rFonts w:ascii="Palatino Linotype" w:hAnsi="Palatino Linotype"/>
          <w:sz w:val="22"/>
          <w:szCs w:val="22"/>
        </w:rPr>
        <w:t xml:space="preserve">amounts.  </w:t>
      </w:r>
    </w:p>
    <w:p w14:paraId="1473603D" w14:textId="77777777" w:rsidR="00F47C9C" w:rsidRPr="004D40F4" w:rsidRDefault="00F47C9C" w:rsidP="00F47C9C">
      <w:pPr>
        <w:rPr>
          <w:rFonts w:ascii="Palatino Linotype" w:hAnsi="Palatino Linotype"/>
          <w:sz w:val="22"/>
          <w:szCs w:val="22"/>
        </w:rPr>
      </w:pPr>
    </w:p>
    <w:p w14:paraId="0E718300" w14:textId="0CFEB1C9" w:rsidR="00F47C9C" w:rsidRDefault="00F47C9C" w:rsidP="00F47C9C">
      <w:pPr>
        <w:rPr>
          <w:rFonts w:ascii="Palatino Linotype" w:hAnsi="Palatino Linotype"/>
          <w:sz w:val="22"/>
          <w:szCs w:val="22"/>
        </w:rPr>
      </w:pPr>
      <w:r w:rsidRPr="004D40F4">
        <w:rPr>
          <w:rFonts w:ascii="Palatino Linotype" w:hAnsi="Palatino Linotype"/>
          <w:sz w:val="22"/>
          <w:szCs w:val="22"/>
        </w:rPr>
        <w:t>After applying the cost growth factor to each component, we added together all the cost components, including the Direct Care cost component adjusted for the most current Medicaid CMI described above, to calculate the total estimat</w:t>
      </w:r>
      <w:r w:rsidR="006B090A">
        <w:rPr>
          <w:rFonts w:ascii="Palatino Linotype" w:hAnsi="Palatino Linotype"/>
          <w:sz w:val="22"/>
          <w:szCs w:val="22"/>
        </w:rPr>
        <w:t>ed average cost per day for SFY</w:t>
      </w:r>
      <w:r w:rsidRPr="004D40F4">
        <w:rPr>
          <w:rFonts w:ascii="Palatino Linotype" w:hAnsi="Palatino Linotype"/>
          <w:sz w:val="22"/>
          <w:szCs w:val="22"/>
        </w:rPr>
        <w:t xml:space="preserve"> 201</w:t>
      </w:r>
      <w:r w:rsidR="00C47B60">
        <w:rPr>
          <w:rFonts w:ascii="Palatino Linotype" w:hAnsi="Palatino Linotype"/>
          <w:sz w:val="22"/>
          <w:szCs w:val="22"/>
        </w:rPr>
        <w:t>6</w:t>
      </w:r>
      <w:r w:rsidRPr="004D40F4">
        <w:rPr>
          <w:rFonts w:ascii="Palatino Linotype" w:hAnsi="Palatino Linotype"/>
          <w:sz w:val="22"/>
          <w:szCs w:val="22"/>
        </w:rPr>
        <w:t>.</w:t>
      </w:r>
    </w:p>
    <w:p w14:paraId="40964A45" w14:textId="77777777" w:rsidR="00FD6B54" w:rsidRDefault="00FD6B54" w:rsidP="00F47C9C">
      <w:pPr>
        <w:rPr>
          <w:rFonts w:ascii="Palatino Linotype" w:hAnsi="Palatino Linotype"/>
          <w:sz w:val="22"/>
          <w:szCs w:val="22"/>
        </w:rPr>
      </w:pPr>
    </w:p>
    <w:p w14:paraId="08AD8D5A" w14:textId="77777777" w:rsidR="00C47B60" w:rsidRDefault="00C47B60" w:rsidP="00F47C9C">
      <w:pPr>
        <w:rPr>
          <w:rFonts w:ascii="Palatino Linotype" w:hAnsi="Palatino Linotype"/>
          <w:sz w:val="22"/>
          <w:szCs w:val="22"/>
        </w:rPr>
      </w:pPr>
    </w:p>
    <w:p w14:paraId="0514674D" w14:textId="77777777" w:rsidR="00C47B60" w:rsidRDefault="00C47B60" w:rsidP="00F47C9C">
      <w:pPr>
        <w:rPr>
          <w:rFonts w:ascii="Palatino Linotype" w:hAnsi="Palatino Linotype"/>
          <w:sz w:val="22"/>
          <w:szCs w:val="22"/>
        </w:rPr>
      </w:pPr>
    </w:p>
    <w:p w14:paraId="7ACBB1E3" w14:textId="77777777" w:rsidR="00C47B60" w:rsidRDefault="00C47B60" w:rsidP="00F47C9C">
      <w:pPr>
        <w:rPr>
          <w:rFonts w:ascii="Palatino Linotype" w:hAnsi="Palatino Linotype"/>
          <w:sz w:val="22"/>
          <w:szCs w:val="22"/>
        </w:rPr>
      </w:pPr>
    </w:p>
    <w:p w14:paraId="73744527" w14:textId="77777777" w:rsidR="00C47B60" w:rsidRDefault="00C47B60" w:rsidP="00F47C9C">
      <w:pPr>
        <w:rPr>
          <w:rFonts w:ascii="Palatino Linotype" w:hAnsi="Palatino Linotype"/>
          <w:sz w:val="22"/>
          <w:szCs w:val="22"/>
        </w:rPr>
      </w:pPr>
    </w:p>
    <w:p w14:paraId="4E8DD464" w14:textId="77777777" w:rsidR="00C47B60" w:rsidRDefault="00C47B60" w:rsidP="00F47C9C">
      <w:pPr>
        <w:rPr>
          <w:rFonts w:ascii="Palatino Linotype" w:hAnsi="Palatino Linotype"/>
          <w:b/>
          <w:sz w:val="22"/>
          <w:szCs w:val="22"/>
        </w:rPr>
      </w:pPr>
    </w:p>
    <w:p w14:paraId="682A8D25" w14:textId="77777777" w:rsidR="00C47B60" w:rsidRDefault="00F47C9C" w:rsidP="00C47B60">
      <w:pPr>
        <w:rPr>
          <w:rFonts w:ascii="Palatino Linotype" w:hAnsi="Palatino Linotype"/>
          <w:b/>
          <w:sz w:val="22"/>
          <w:szCs w:val="22"/>
        </w:rPr>
      </w:pPr>
      <w:r w:rsidRPr="004D40F4">
        <w:rPr>
          <w:rFonts w:ascii="Palatino Linotype" w:hAnsi="Palatino Linotype"/>
          <w:b/>
          <w:sz w:val="22"/>
          <w:szCs w:val="22"/>
        </w:rPr>
        <w:lastRenderedPageBreak/>
        <w:t>Estimation of Rates for State Fiscal Years Ended 201</w:t>
      </w:r>
      <w:r>
        <w:rPr>
          <w:rFonts w:ascii="Palatino Linotype" w:hAnsi="Palatino Linotype"/>
          <w:b/>
          <w:sz w:val="22"/>
          <w:szCs w:val="22"/>
        </w:rPr>
        <w:t>6</w:t>
      </w:r>
    </w:p>
    <w:p w14:paraId="1AC813D5" w14:textId="77777777" w:rsidR="00C47B60" w:rsidRDefault="00C47B60" w:rsidP="00C47B60">
      <w:pPr>
        <w:rPr>
          <w:rFonts w:ascii="Palatino Linotype" w:hAnsi="Palatino Linotype"/>
          <w:b/>
          <w:sz w:val="22"/>
          <w:szCs w:val="22"/>
        </w:rPr>
      </w:pPr>
    </w:p>
    <w:p w14:paraId="1350B816" w14:textId="4375A21A" w:rsidR="00F47C9C" w:rsidRPr="00C47B60" w:rsidRDefault="00F47C9C" w:rsidP="00C47B60">
      <w:pPr>
        <w:rPr>
          <w:rFonts w:ascii="Palatino Linotype" w:hAnsi="Palatino Linotype"/>
          <w:b/>
          <w:sz w:val="22"/>
          <w:szCs w:val="22"/>
        </w:rPr>
      </w:pPr>
      <w:r>
        <w:rPr>
          <w:rFonts w:ascii="Palatino Linotype" w:hAnsi="Palatino Linotype"/>
          <w:sz w:val="22"/>
          <w:szCs w:val="22"/>
        </w:rPr>
        <w:t xml:space="preserve">The rates utilized in this analysis were calculated and provided to us by the Department. It is our understanding that </w:t>
      </w:r>
      <w:r w:rsidR="00710CF7">
        <w:rPr>
          <w:rFonts w:ascii="Palatino Linotype" w:hAnsi="Palatino Linotype"/>
          <w:sz w:val="22"/>
          <w:szCs w:val="22"/>
        </w:rPr>
        <w:t xml:space="preserve">the rate estimates are based on </w:t>
      </w:r>
      <w:r>
        <w:rPr>
          <w:rFonts w:ascii="Palatino Linotype" w:hAnsi="Palatino Linotype"/>
          <w:sz w:val="22"/>
          <w:szCs w:val="22"/>
        </w:rPr>
        <w:t xml:space="preserve">the </w:t>
      </w:r>
      <w:r w:rsidR="00710CF7">
        <w:rPr>
          <w:rFonts w:ascii="Palatino Linotype" w:hAnsi="Palatino Linotype"/>
          <w:sz w:val="22"/>
          <w:szCs w:val="22"/>
        </w:rPr>
        <w:t>SFY 2015 rate methodology for nursing facilities.</w:t>
      </w:r>
      <w:r w:rsidR="00F0578E">
        <w:rPr>
          <w:rFonts w:ascii="Palatino Linotype" w:hAnsi="Palatino Linotype"/>
          <w:sz w:val="22"/>
          <w:szCs w:val="22"/>
        </w:rPr>
        <w:t xml:space="preserve"> </w:t>
      </w:r>
    </w:p>
    <w:p w14:paraId="1AB2ED59" w14:textId="77777777" w:rsidR="00F47C9C" w:rsidRPr="004D40F4" w:rsidRDefault="00F47C9C" w:rsidP="00F47C9C">
      <w:pPr>
        <w:rPr>
          <w:rFonts w:ascii="Palatino Linotype" w:hAnsi="Palatino Linotype"/>
          <w:sz w:val="22"/>
          <w:szCs w:val="22"/>
        </w:rPr>
      </w:pPr>
    </w:p>
    <w:p w14:paraId="5D484280"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Other Considerations</w:t>
      </w:r>
    </w:p>
    <w:p w14:paraId="382C1A2B" w14:textId="77777777" w:rsidR="00F47C9C" w:rsidRPr="004D40F4" w:rsidRDefault="00F47C9C" w:rsidP="00F47C9C">
      <w:pPr>
        <w:keepNext/>
        <w:rPr>
          <w:rFonts w:ascii="Palatino Linotype" w:hAnsi="Palatino Linotype"/>
          <w:sz w:val="22"/>
          <w:szCs w:val="22"/>
          <w:u w:val="single"/>
        </w:rPr>
      </w:pPr>
    </w:p>
    <w:p w14:paraId="0EF4AC28" w14:textId="1FBCA59B"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It should be noted that </w:t>
      </w:r>
      <w:r w:rsidR="006B090A">
        <w:rPr>
          <w:rFonts w:ascii="Palatino Linotype" w:hAnsi="Palatino Linotype"/>
          <w:sz w:val="22"/>
          <w:szCs w:val="22"/>
        </w:rPr>
        <w:t>in estimating the costs for SFY</w:t>
      </w:r>
      <w:r w:rsidRPr="004D40F4">
        <w:rPr>
          <w:rFonts w:ascii="Palatino Linotype" w:hAnsi="Palatino Linotype"/>
          <w:sz w:val="22"/>
          <w:szCs w:val="22"/>
        </w:rPr>
        <w:t xml:space="preserve"> 201</w:t>
      </w:r>
      <w:r>
        <w:rPr>
          <w:rFonts w:ascii="Palatino Linotype" w:hAnsi="Palatino Linotype"/>
          <w:sz w:val="22"/>
          <w:szCs w:val="22"/>
        </w:rPr>
        <w:t>6</w:t>
      </w:r>
      <w:r w:rsidRPr="004D40F4">
        <w:rPr>
          <w:rFonts w:ascii="Palatino Linotype" w:hAnsi="Palatino Linotype"/>
          <w:sz w:val="22"/>
          <w:szCs w:val="22"/>
        </w:rPr>
        <w:t>, we did not make any adjustment for potential “case mix creep”, or inherent increase in CMI over time.  We also did not adjust for potential “settlements” that are part of the rate setting process.</w:t>
      </w:r>
    </w:p>
    <w:p w14:paraId="5B7D2769" w14:textId="77777777" w:rsidR="00F47C9C" w:rsidRPr="004D40F4" w:rsidRDefault="00F47C9C" w:rsidP="00F47C9C">
      <w:pPr>
        <w:rPr>
          <w:rFonts w:ascii="Palatino Linotype" w:hAnsi="Palatino Linotype"/>
          <w:i/>
          <w:sz w:val="22"/>
          <w:szCs w:val="22"/>
        </w:rPr>
      </w:pPr>
    </w:p>
    <w:p w14:paraId="6B5DDFC7" w14:textId="77777777" w:rsidR="00F47C9C" w:rsidRPr="004D40F4" w:rsidRDefault="00F47C9C" w:rsidP="00F47C9C">
      <w:pPr>
        <w:rPr>
          <w:rFonts w:ascii="Palatino Linotype" w:hAnsi="Palatino Linotype"/>
          <w:b/>
          <w:sz w:val="22"/>
          <w:szCs w:val="22"/>
        </w:rPr>
      </w:pPr>
      <w:r w:rsidRPr="004D40F4">
        <w:rPr>
          <w:rFonts w:ascii="Palatino Linotype" w:hAnsi="Palatino Linotype"/>
          <w:b/>
          <w:sz w:val="22"/>
          <w:szCs w:val="22"/>
        </w:rPr>
        <w:t>Analysis of Payment-to-Cost Coverage</w:t>
      </w:r>
    </w:p>
    <w:p w14:paraId="0B5EC012" w14:textId="77777777" w:rsidR="00F47C9C" w:rsidRPr="004D40F4" w:rsidRDefault="00F47C9C" w:rsidP="00F47C9C">
      <w:pPr>
        <w:rPr>
          <w:rFonts w:ascii="Palatino Linotype" w:hAnsi="Palatino Linotype"/>
          <w:sz w:val="22"/>
          <w:szCs w:val="22"/>
        </w:rPr>
      </w:pPr>
    </w:p>
    <w:p w14:paraId="4CFB1FDF" w14:textId="1A03C34C" w:rsidR="00F47C9C" w:rsidRPr="004D40F4" w:rsidRDefault="006B090A" w:rsidP="00F47C9C">
      <w:pPr>
        <w:rPr>
          <w:rFonts w:ascii="Palatino Linotype" w:hAnsi="Palatino Linotype"/>
          <w:sz w:val="22"/>
          <w:szCs w:val="22"/>
        </w:rPr>
      </w:pPr>
      <w:r>
        <w:rPr>
          <w:rFonts w:ascii="Palatino Linotype" w:hAnsi="Palatino Linotype"/>
          <w:sz w:val="22"/>
          <w:szCs w:val="22"/>
        </w:rPr>
        <w:t>We compared the rates for SFY</w:t>
      </w:r>
      <w:r w:rsidR="00F47C9C" w:rsidRPr="004D40F4">
        <w:rPr>
          <w:rFonts w:ascii="Palatino Linotype" w:hAnsi="Palatino Linotype"/>
          <w:sz w:val="22"/>
          <w:szCs w:val="22"/>
        </w:rPr>
        <w:t xml:space="preserve"> 201</w:t>
      </w:r>
      <w:r w:rsidR="00D5165B">
        <w:rPr>
          <w:rFonts w:ascii="Palatino Linotype" w:hAnsi="Palatino Linotype"/>
          <w:sz w:val="22"/>
          <w:szCs w:val="22"/>
        </w:rPr>
        <w:t>6</w:t>
      </w:r>
      <w:r w:rsidR="00F47C9C" w:rsidRPr="004D40F4">
        <w:rPr>
          <w:rFonts w:ascii="Palatino Linotype" w:hAnsi="Palatino Linotype"/>
          <w:sz w:val="22"/>
          <w:szCs w:val="22"/>
        </w:rPr>
        <w:t xml:space="preserve">, </w:t>
      </w:r>
      <w:r w:rsidR="00F47C9C">
        <w:rPr>
          <w:rFonts w:ascii="Palatino Linotype" w:hAnsi="Palatino Linotype"/>
          <w:sz w:val="22"/>
          <w:szCs w:val="22"/>
        </w:rPr>
        <w:t>calculated by and provided to us by the Department</w:t>
      </w:r>
      <w:r w:rsidR="00F47C9C" w:rsidRPr="004D40F4">
        <w:rPr>
          <w:rFonts w:ascii="Palatino Linotype" w:hAnsi="Palatino Linotype"/>
          <w:sz w:val="22"/>
          <w:szCs w:val="22"/>
        </w:rPr>
        <w:t>, to the average cost per day adjusted for the facility’s Medicaid CMI</w:t>
      </w:r>
      <w:r w:rsidR="00F47C9C">
        <w:rPr>
          <w:rFonts w:ascii="Palatino Linotype" w:hAnsi="Palatino Linotype"/>
          <w:sz w:val="22"/>
          <w:szCs w:val="22"/>
        </w:rPr>
        <w:t xml:space="preserve"> and</w:t>
      </w:r>
      <w:r w:rsidR="00F47C9C" w:rsidRPr="004D40F4">
        <w:rPr>
          <w:rFonts w:ascii="Palatino Linotype" w:hAnsi="Palatino Linotype"/>
          <w:sz w:val="22"/>
          <w:szCs w:val="22"/>
        </w:rPr>
        <w:t xml:space="preserve"> for </w:t>
      </w:r>
      <w:r w:rsidR="00F47C9C">
        <w:rPr>
          <w:rFonts w:ascii="Palatino Linotype" w:hAnsi="Palatino Linotype"/>
          <w:sz w:val="22"/>
          <w:szCs w:val="22"/>
        </w:rPr>
        <w:t xml:space="preserve">the </w:t>
      </w:r>
      <w:r w:rsidR="00F47C9C" w:rsidRPr="004D40F4">
        <w:rPr>
          <w:rFonts w:ascii="Palatino Linotype" w:hAnsi="Palatino Linotype"/>
          <w:sz w:val="22"/>
          <w:szCs w:val="22"/>
        </w:rPr>
        <w:t xml:space="preserve">cost growth </w:t>
      </w:r>
      <w:r w:rsidR="00F47C9C">
        <w:rPr>
          <w:rFonts w:ascii="Palatino Linotype" w:hAnsi="Palatino Linotype"/>
          <w:sz w:val="22"/>
          <w:szCs w:val="22"/>
        </w:rPr>
        <w:t xml:space="preserve">percentages </w:t>
      </w:r>
      <w:r w:rsidR="00F47C9C" w:rsidRPr="004D40F4">
        <w:rPr>
          <w:rFonts w:ascii="Palatino Linotype" w:hAnsi="Palatino Linotype"/>
          <w:sz w:val="22"/>
          <w:szCs w:val="22"/>
        </w:rPr>
        <w:t>described in the cost section above.  For each nursing facility, we analyzed the rates for SFY</w:t>
      </w:r>
      <w:r w:rsidR="00F47C9C">
        <w:rPr>
          <w:rFonts w:ascii="Palatino Linotype" w:hAnsi="Palatino Linotype"/>
          <w:sz w:val="22"/>
          <w:szCs w:val="22"/>
        </w:rPr>
        <w:t xml:space="preserve"> 2016</w:t>
      </w:r>
      <w:r w:rsidR="00F47C9C" w:rsidRPr="004D40F4">
        <w:rPr>
          <w:rFonts w:ascii="Palatino Linotype" w:hAnsi="Palatino Linotype"/>
          <w:sz w:val="22"/>
          <w:szCs w:val="22"/>
        </w:rPr>
        <w:t xml:space="preserve"> to calculate payment-to-cost ratios.  </w:t>
      </w:r>
    </w:p>
    <w:p w14:paraId="590283BA" w14:textId="77777777" w:rsidR="00F47C9C" w:rsidRPr="004D40F4" w:rsidRDefault="00F47C9C" w:rsidP="00F47C9C">
      <w:pPr>
        <w:rPr>
          <w:rFonts w:ascii="Palatino Linotype" w:hAnsi="Palatino Linotype"/>
          <w:sz w:val="22"/>
          <w:szCs w:val="22"/>
        </w:rPr>
      </w:pPr>
    </w:p>
    <w:p w14:paraId="50846EFB" w14:textId="23044422"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 xml:space="preserve">For each nursing facility, we multiplied </w:t>
      </w:r>
      <w:r w:rsidR="006B090A">
        <w:rPr>
          <w:rFonts w:ascii="Palatino Linotype" w:hAnsi="Palatino Linotype"/>
          <w:sz w:val="22"/>
          <w:szCs w:val="22"/>
        </w:rPr>
        <w:t xml:space="preserve">the </w:t>
      </w:r>
      <w:r w:rsidRPr="004D40F4">
        <w:rPr>
          <w:rFonts w:ascii="Palatino Linotype" w:hAnsi="Palatino Linotype"/>
          <w:sz w:val="22"/>
          <w:szCs w:val="22"/>
        </w:rPr>
        <w:t xml:space="preserve">rates for </w:t>
      </w:r>
      <w:r w:rsidR="006B090A">
        <w:rPr>
          <w:rFonts w:ascii="Palatino Linotype" w:hAnsi="Palatino Linotype"/>
          <w:sz w:val="22"/>
          <w:szCs w:val="22"/>
        </w:rPr>
        <w:t>SFY 2016</w:t>
      </w:r>
      <w:r w:rsidRPr="004D40F4">
        <w:rPr>
          <w:rFonts w:ascii="Palatino Linotype" w:hAnsi="Palatino Linotype"/>
          <w:sz w:val="22"/>
          <w:szCs w:val="22"/>
        </w:rPr>
        <w:t xml:space="preserve"> by the nursing facility’s 20</w:t>
      </w:r>
      <w:r>
        <w:rPr>
          <w:rFonts w:ascii="Palatino Linotype" w:hAnsi="Palatino Linotype"/>
          <w:sz w:val="22"/>
          <w:szCs w:val="22"/>
        </w:rPr>
        <w:t>13</w:t>
      </w:r>
      <w:r w:rsidRPr="004D40F4">
        <w:rPr>
          <w:rFonts w:ascii="Palatino Linotype" w:hAnsi="Palatino Linotype"/>
          <w:sz w:val="22"/>
          <w:szCs w:val="22"/>
        </w:rPr>
        <w:t xml:space="preserve"> adjusted Medicaid days to estimate total payments.  Similarly, we multiplied each nursing facility’s average cost per day adjusted for the facility’s Medicaid CMI, and adjusted for cost growth,</w:t>
      </w:r>
      <w:r>
        <w:rPr>
          <w:rFonts w:ascii="Palatino Linotype" w:hAnsi="Palatino Linotype"/>
          <w:sz w:val="22"/>
          <w:szCs w:val="22"/>
        </w:rPr>
        <w:t xml:space="preserve"> by the nursing facility’s 2013</w:t>
      </w:r>
      <w:r w:rsidRPr="004D40F4">
        <w:rPr>
          <w:rFonts w:ascii="Palatino Linotype" w:hAnsi="Palatino Linotype"/>
          <w:sz w:val="22"/>
          <w:szCs w:val="22"/>
        </w:rPr>
        <w:t xml:space="preserve"> adjusted Medicaid days to estimate total costs.  We used the total payments and total costs to calculate weighted average payment-to-cost ratios for various groups of facilities.</w:t>
      </w:r>
    </w:p>
    <w:p w14:paraId="03A2690E" w14:textId="77777777" w:rsidR="00F47C9C" w:rsidRPr="004D40F4" w:rsidRDefault="00F47C9C" w:rsidP="00F47C9C">
      <w:pPr>
        <w:rPr>
          <w:rFonts w:ascii="Palatino Linotype" w:hAnsi="Palatino Linotype"/>
          <w:sz w:val="22"/>
          <w:szCs w:val="22"/>
        </w:rPr>
      </w:pPr>
    </w:p>
    <w:p w14:paraId="08A4F7B6" w14:textId="5D7C939E" w:rsidR="00F47C9C" w:rsidRPr="004D40F4" w:rsidRDefault="006B090A" w:rsidP="00F47C9C">
      <w:pPr>
        <w:rPr>
          <w:rFonts w:ascii="Palatino Linotype" w:hAnsi="Palatino Linotype"/>
          <w:sz w:val="22"/>
          <w:szCs w:val="22"/>
        </w:rPr>
      </w:pPr>
      <w:r>
        <w:rPr>
          <w:rFonts w:ascii="Palatino Linotype" w:hAnsi="Palatino Linotype"/>
          <w:sz w:val="22"/>
          <w:szCs w:val="22"/>
        </w:rPr>
        <w:t>W</w:t>
      </w:r>
      <w:r w:rsidR="00F47C9C" w:rsidRPr="004D40F4">
        <w:rPr>
          <w:rFonts w:ascii="Palatino Linotype" w:hAnsi="Palatino Linotype"/>
          <w:sz w:val="22"/>
          <w:szCs w:val="22"/>
        </w:rPr>
        <w:t xml:space="preserve">e categorized the </w:t>
      </w:r>
      <w:r w:rsidR="000E1F58">
        <w:rPr>
          <w:rFonts w:ascii="Palatino Linotype" w:hAnsi="Palatino Linotype"/>
          <w:sz w:val="22"/>
          <w:szCs w:val="22"/>
        </w:rPr>
        <w:t>208</w:t>
      </w:r>
      <w:r w:rsidR="00F47C9C" w:rsidRPr="004D40F4">
        <w:rPr>
          <w:rFonts w:ascii="Palatino Linotype" w:hAnsi="Palatino Linotype"/>
          <w:sz w:val="22"/>
          <w:szCs w:val="22"/>
        </w:rPr>
        <w:t xml:space="preserve"> nursing facilities into three groups by type of facility:  </w:t>
      </w:r>
    </w:p>
    <w:p w14:paraId="3BBFA861" w14:textId="77777777" w:rsidR="00F47C9C" w:rsidRPr="004D40F4" w:rsidRDefault="00F47C9C" w:rsidP="00F47C9C">
      <w:pPr>
        <w:rPr>
          <w:rFonts w:ascii="Palatino Linotype" w:hAnsi="Palatino Linotype"/>
          <w:sz w:val="22"/>
          <w:szCs w:val="22"/>
        </w:rPr>
      </w:pPr>
    </w:p>
    <w:p w14:paraId="42AB71F9" w14:textId="25139D06"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Standard nursing facilities (</w:t>
      </w:r>
      <w:r w:rsidR="000E1F58">
        <w:rPr>
          <w:rFonts w:ascii="Palatino Linotype" w:hAnsi="Palatino Linotype"/>
          <w:sz w:val="22"/>
          <w:szCs w:val="22"/>
        </w:rPr>
        <w:t>195</w:t>
      </w:r>
      <w:r w:rsidRPr="004D40F4">
        <w:rPr>
          <w:rFonts w:ascii="Palatino Linotype" w:hAnsi="Palatino Linotype"/>
          <w:sz w:val="22"/>
          <w:szCs w:val="22"/>
        </w:rPr>
        <w:t xml:space="preserve"> facilities)</w:t>
      </w:r>
    </w:p>
    <w:p w14:paraId="4640240A" w14:textId="77777777"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Hospital-based nursing fa</w:t>
      </w:r>
      <w:r>
        <w:rPr>
          <w:rFonts w:ascii="Palatino Linotype" w:hAnsi="Palatino Linotype"/>
          <w:sz w:val="22"/>
          <w:szCs w:val="22"/>
        </w:rPr>
        <w:t>cilities (9</w:t>
      </w:r>
      <w:r w:rsidRPr="004D40F4">
        <w:rPr>
          <w:rFonts w:ascii="Palatino Linotype" w:hAnsi="Palatino Linotype"/>
          <w:sz w:val="22"/>
          <w:szCs w:val="22"/>
        </w:rPr>
        <w:t xml:space="preserve"> facilities)</w:t>
      </w:r>
    </w:p>
    <w:p w14:paraId="25B37185" w14:textId="77777777" w:rsidR="00F47C9C" w:rsidRPr="004D40F4" w:rsidRDefault="00F47C9C" w:rsidP="00F47C9C">
      <w:pPr>
        <w:pStyle w:val="ListParagraph"/>
        <w:numPr>
          <w:ilvl w:val="0"/>
          <w:numId w:val="3"/>
        </w:numPr>
        <w:contextualSpacing/>
        <w:rPr>
          <w:rFonts w:ascii="Palatino Linotype" w:hAnsi="Palatino Linotype"/>
          <w:sz w:val="22"/>
          <w:szCs w:val="22"/>
        </w:rPr>
      </w:pPr>
      <w:r w:rsidRPr="004D40F4">
        <w:rPr>
          <w:rFonts w:ascii="Palatino Linotype" w:hAnsi="Palatino Linotype"/>
          <w:sz w:val="22"/>
          <w:szCs w:val="22"/>
        </w:rPr>
        <w:t>Veterans and tribal nursing facilities (4 facilities)</w:t>
      </w:r>
    </w:p>
    <w:p w14:paraId="7016C5A5" w14:textId="77777777" w:rsidR="00F47C9C" w:rsidRPr="004D40F4" w:rsidRDefault="00F47C9C" w:rsidP="00F47C9C">
      <w:pPr>
        <w:rPr>
          <w:rFonts w:ascii="Palatino Linotype" w:hAnsi="Palatino Linotype"/>
          <w:sz w:val="22"/>
          <w:szCs w:val="22"/>
        </w:rPr>
      </w:pPr>
    </w:p>
    <w:p w14:paraId="34A92BF9" w14:textId="0583ED30" w:rsidR="00F47C9C" w:rsidRPr="008A6C58" w:rsidRDefault="00F47C9C" w:rsidP="00F47C9C">
      <w:pPr>
        <w:rPr>
          <w:rFonts w:ascii="Palatino Linotype" w:hAnsi="Palatino Linotype"/>
          <w:sz w:val="22"/>
          <w:szCs w:val="22"/>
        </w:rPr>
      </w:pPr>
      <w:r w:rsidRPr="004D40F4">
        <w:rPr>
          <w:rFonts w:ascii="Palatino Linotype" w:hAnsi="Palatino Linotype"/>
          <w:sz w:val="22"/>
          <w:szCs w:val="22"/>
        </w:rPr>
        <w:t xml:space="preserve">We analyzed these groups separately because of the differences in cost structures between the groups.  We then examined the characteristics of nursing facilities in each group.  The overall results for </w:t>
      </w:r>
      <w:r w:rsidR="00E06D97">
        <w:rPr>
          <w:rFonts w:ascii="Palatino Linotype" w:hAnsi="Palatino Linotype"/>
          <w:sz w:val="22"/>
          <w:szCs w:val="22"/>
        </w:rPr>
        <w:t>SFY 2016 are</w:t>
      </w:r>
      <w:r w:rsidR="007C3133">
        <w:rPr>
          <w:rFonts w:ascii="Palatino Linotype" w:hAnsi="Palatino Linotype"/>
          <w:sz w:val="22"/>
          <w:szCs w:val="22"/>
        </w:rPr>
        <w:t xml:space="preserve"> shown in Table 4.1</w:t>
      </w:r>
      <w:r w:rsidRPr="004D40F4">
        <w:rPr>
          <w:rFonts w:ascii="Palatino Linotype" w:hAnsi="Palatino Linotype"/>
          <w:sz w:val="22"/>
          <w:szCs w:val="22"/>
        </w:rPr>
        <w:t xml:space="preserve"> below.  </w:t>
      </w:r>
    </w:p>
    <w:p w14:paraId="5908D1FD" w14:textId="77777777" w:rsidR="00F47C9C" w:rsidRDefault="00F47C9C" w:rsidP="00F47C9C">
      <w:pPr>
        <w:rPr>
          <w:rFonts w:ascii="Palatino Linotype" w:hAnsi="Palatino Linotype"/>
          <w:b/>
          <w:sz w:val="22"/>
        </w:rPr>
      </w:pPr>
    </w:p>
    <w:p w14:paraId="7C3EA6C7" w14:textId="77777777" w:rsidR="00FF221D" w:rsidRDefault="00FF221D" w:rsidP="00F47C9C">
      <w:pPr>
        <w:rPr>
          <w:rFonts w:ascii="Palatino Linotype" w:hAnsi="Palatino Linotype"/>
          <w:b/>
          <w:sz w:val="22"/>
        </w:rPr>
      </w:pPr>
    </w:p>
    <w:p w14:paraId="0A911928" w14:textId="77777777" w:rsidR="00FF221D" w:rsidRDefault="00FF221D" w:rsidP="00F47C9C">
      <w:pPr>
        <w:rPr>
          <w:rFonts w:ascii="Palatino Linotype" w:hAnsi="Palatino Linotype"/>
          <w:b/>
          <w:sz w:val="22"/>
        </w:rPr>
      </w:pPr>
    </w:p>
    <w:p w14:paraId="7B7EC68E" w14:textId="77777777" w:rsidR="00FF221D" w:rsidRDefault="00FF221D" w:rsidP="00F47C9C">
      <w:pPr>
        <w:rPr>
          <w:rFonts w:ascii="Palatino Linotype" w:hAnsi="Palatino Linotype"/>
          <w:b/>
          <w:sz w:val="22"/>
        </w:rPr>
      </w:pPr>
    </w:p>
    <w:p w14:paraId="35EB5B00" w14:textId="77777777" w:rsidR="00D11728" w:rsidRDefault="00D11728" w:rsidP="00F47C9C">
      <w:pPr>
        <w:rPr>
          <w:rFonts w:ascii="Palatino Linotype" w:hAnsi="Palatino Linotype"/>
          <w:b/>
          <w:sz w:val="22"/>
        </w:rPr>
      </w:pPr>
    </w:p>
    <w:p w14:paraId="49942A2D" w14:textId="77777777" w:rsidR="00FF221D" w:rsidRDefault="00FF221D" w:rsidP="00F47C9C">
      <w:pPr>
        <w:rPr>
          <w:rFonts w:ascii="Palatino Linotype" w:hAnsi="Palatino Linotype"/>
          <w:b/>
          <w:sz w:val="22"/>
        </w:rPr>
      </w:pPr>
    </w:p>
    <w:p w14:paraId="5422CC19" w14:textId="77777777" w:rsidR="00FF221D" w:rsidRDefault="00FF221D" w:rsidP="00F47C9C">
      <w:pPr>
        <w:rPr>
          <w:rFonts w:ascii="Palatino Linotype" w:hAnsi="Palatino Linotype"/>
          <w:b/>
          <w:sz w:val="22"/>
        </w:rPr>
      </w:pPr>
    </w:p>
    <w:p w14:paraId="53F9FF83" w14:textId="5B840F04" w:rsidR="006B090A" w:rsidRPr="004D40F4" w:rsidRDefault="00F47C9C" w:rsidP="00F47C9C">
      <w:pPr>
        <w:rPr>
          <w:rFonts w:ascii="Palatino Linotype" w:hAnsi="Palatino Linotype"/>
          <w:b/>
          <w:sz w:val="22"/>
        </w:rPr>
      </w:pPr>
      <w:r w:rsidRPr="004D40F4">
        <w:rPr>
          <w:rFonts w:ascii="Palatino Linotype" w:hAnsi="Palatino Linotype"/>
          <w:b/>
          <w:sz w:val="22"/>
        </w:rPr>
        <w:lastRenderedPageBreak/>
        <w:t>Table 4.1:  Medicaid Payment-to-Cost Ratio,</w:t>
      </w:r>
      <w:r w:rsidR="006B090A">
        <w:rPr>
          <w:rFonts w:ascii="Palatino Linotype" w:hAnsi="Palatino Linotype"/>
          <w:b/>
          <w:sz w:val="22"/>
        </w:rPr>
        <w:t xml:space="preserve"> By Facility Type Group </w:t>
      </w:r>
      <w:r w:rsidR="006E7369">
        <w:rPr>
          <w:rFonts w:ascii="Palatino Linotype" w:hAnsi="Palatino Linotype"/>
          <w:b/>
          <w:sz w:val="22"/>
        </w:rPr>
        <w:t xml:space="preserve">– </w:t>
      </w:r>
      <w:r w:rsidR="00D11728">
        <w:rPr>
          <w:rFonts w:ascii="Palatino Linotype" w:hAnsi="Palatino Linotype"/>
          <w:b/>
          <w:sz w:val="22"/>
        </w:rPr>
        <w:t>S</w:t>
      </w:r>
      <w:r w:rsidR="00FE0673">
        <w:rPr>
          <w:rFonts w:ascii="Palatino Linotype" w:hAnsi="Palatino Linotype"/>
          <w:b/>
          <w:sz w:val="22"/>
        </w:rPr>
        <w:t>FY 2016</w:t>
      </w:r>
      <w:r w:rsidR="006B090A">
        <w:rPr>
          <w:rFonts w:ascii="Palatino Linotype" w:hAnsi="Palatino Linotype"/>
          <w:b/>
          <w:sz w:val="22"/>
        </w:rPr>
        <w:t xml:space="preserve"> – Current Rate Methodology</w:t>
      </w:r>
    </w:p>
    <w:p w14:paraId="5DF3B0DC" w14:textId="77777777" w:rsidR="00F47C9C" w:rsidRPr="004D40F4" w:rsidRDefault="00F47C9C" w:rsidP="00F47C9C">
      <w:pPr>
        <w:rPr>
          <w:rFonts w:ascii="Palatino Linotype" w:hAnsi="Palatino Linotype"/>
          <w:sz w:val="22"/>
          <w:szCs w:val="22"/>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350"/>
        <w:gridCol w:w="3150"/>
      </w:tblGrid>
      <w:tr w:rsidR="00D11728" w:rsidRPr="004D40F4" w14:paraId="6B1F8295" w14:textId="2C4ECF4C" w:rsidTr="00D11728">
        <w:trPr>
          <w:trHeight w:val="1343"/>
          <w:jc w:val="center"/>
        </w:trPr>
        <w:tc>
          <w:tcPr>
            <w:tcW w:w="3505" w:type="dxa"/>
            <w:vAlign w:val="bottom"/>
          </w:tcPr>
          <w:p w14:paraId="68D4E19A" w14:textId="77777777" w:rsidR="00D11728" w:rsidRPr="004D40F4" w:rsidRDefault="00D11728" w:rsidP="007D45C5">
            <w:pPr>
              <w:keepNext/>
              <w:spacing w:before="120" w:after="120"/>
              <w:jc w:val="center"/>
              <w:rPr>
                <w:rFonts w:ascii="Palatino Linotype" w:hAnsi="Palatino Linotype"/>
                <w:sz w:val="20"/>
                <w:szCs w:val="20"/>
              </w:rPr>
            </w:pPr>
            <w:r w:rsidRPr="004D40F4">
              <w:rPr>
                <w:rFonts w:ascii="Palatino Linotype" w:hAnsi="Palatino Linotype"/>
                <w:b/>
                <w:sz w:val="20"/>
                <w:szCs w:val="20"/>
              </w:rPr>
              <w:t>Type of Facility</w:t>
            </w:r>
          </w:p>
        </w:tc>
        <w:tc>
          <w:tcPr>
            <w:tcW w:w="1350" w:type="dxa"/>
            <w:vAlign w:val="bottom"/>
          </w:tcPr>
          <w:p w14:paraId="36598003" w14:textId="708A2370" w:rsidR="00D11728" w:rsidRPr="004D40F4" w:rsidRDefault="00D11728" w:rsidP="00F0578E">
            <w:pPr>
              <w:keepNext/>
              <w:spacing w:before="120" w:after="120"/>
              <w:jc w:val="center"/>
              <w:rPr>
                <w:rFonts w:ascii="Palatino Linotype" w:hAnsi="Palatino Linotype"/>
                <w:b/>
                <w:sz w:val="20"/>
                <w:szCs w:val="20"/>
              </w:rPr>
            </w:pPr>
            <w:r>
              <w:rPr>
                <w:rFonts w:ascii="Palatino Linotype" w:hAnsi="Palatino Linotype"/>
                <w:b/>
                <w:sz w:val="20"/>
                <w:szCs w:val="20"/>
              </w:rPr>
              <w:t>Number of Facilities</w:t>
            </w:r>
          </w:p>
        </w:tc>
        <w:tc>
          <w:tcPr>
            <w:tcW w:w="3150" w:type="dxa"/>
          </w:tcPr>
          <w:p w14:paraId="41F25F23" w14:textId="37025BC9" w:rsidR="00D11728" w:rsidRDefault="00D11728" w:rsidP="00D11728">
            <w:pPr>
              <w:keepNext/>
              <w:spacing w:before="120" w:after="120"/>
              <w:jc w:val="center"/>
              <w:rPr>
                <w:rFonts w:ascii="Palatino Linotype" w:hAnsi="Palatino Linotype"/>
                <w:b/>
                <w:sz w:val="20"/>
                <w:szCs w:val="20"/>
              </w:rPr>
            </w:pPr>
            <w:r>
              <w:rPr>
                <w:rFonts w:ascii="Palatino Linotype" w:hAnsi="Palatino Linotype"/>
                <w:b/>
                <w:sz w:val="20"/>
                <w:szCs w:val="20"/>
              </w:rPr>
              <w:t xml:space="preserve">SFY 2016 </w:t>
            </w:r>
            <w:r w:rsidRPr="004D40F4">
              <w:rPr>
                <w:rFonts w:ascii="Palatino Linotype" w:hAnsi="Palatino Linotype"/>
                <w:b/>
                <w:sz w:val="20"/>
                <w:szCs w:val="20"/>
              </w:rPr>
              <w:t>Payment-to-Cost Ratio (Weighted Average)</w:t>
            </w:r>
            <w:r>
              <w:rPr>
                <w:rFonts w:ascii="Palatino Linotype" w:hAnsi="Palatino Linotype"/>
                <w:b/>
                <w:sz w:val="20"/>
                <w:szCs w:val="20"/>
              </w:rPr>
              <w:t xml:space="preserve"> </w:t>
            </w:r>
          </w:p>
          <w:p w14:paraId="66736BCD" w14:textId="0A38903E" w:rsidR="00D11728" w:rsidRDefault="00D11728" w:rsidP="00D11728">
            <w:pPr>
              <w:keepNext/>
              <w:spacing w:before="120" w:after="120"/>
              <w:jc w:val="center"/>
              <w:rPr>
                <w:rFonts w:ascii="Palatino Linotype" w:hAnsi="Palatino Linotype"/>
                <w:b/>
                <w:sz w:val="20"/>
                <w:szCs w:val="20"/>
              </w:rPr>
            </w:pPr>
            <w:r>
              <w:rPr>
                <w:rFonts w:ascii="Palatino Linotype" w:hAnsi="Palatino Linotype"/>
                <w:b/>
                <w:sz w:val="20"/>
                <w:szCs w:val="20"/>
              </w:rPr>
              <w:t>Based on Rates Provided by the Department</w:t>
            </w:r>
          </w:p>
        </w:tc>
      </w:tr>
      <w:tr w:rsidR="00D11728" w:rsidRPr="004D40F4" w14:paraId="3BEC5D60" w14:textId="4C95D959" w:rsidTr="00D11728">
        <w:trPr>
          <w:trHeight w:val="466"/>
          <w:jc w:val="center"/>
        </w:trPr>
        <w:tc>
          <w:tcPr>
            <w:tcW w:w="3505" w:type="dxa"/>
          </w:tcPr>
          <w:p w14:paraId="4B59A823" w14:textId="77777777" w:rsidR="00D11728" w:rsidRPr="004D40F4" w:rsidRDefault="00D11728" w:rsidP="007D45C5">
            <w:pPr>
              <w:spacing w:before="120" w:after="120"/>
              <w:rPr>
                <w:rFonts w:ascii="Palatino Linotype" w:hAnsi="Palatino Linotype"/>
                <w:sz w:val="20"/>
                <w:szCs w:val="20"/>
              </w:rPr>
            </w:pPr>
            <w:r w:rsidRPr="004D40F4">
              <w:rPr>
                <w:rFonts w:ascii="Palatino Linotype" w:hAnsi="Palatino Linotype"/>
                <w:sz w:val="20"/>
                <w:szCs w:val="20"/>
              </w:rPr>
              <w:t>Standard Nursing Facilities</w:t>
            </w:r>
          </w:p>
        </w:tc>
        <w:tc>
          <w:tcPr>
            <w:tcW w:w="1350" w:type="dxa"/>
            <w:vAlign w:val="center"/>
          </w:tcPr>
          <w:p w14:paraId="01F7B1E0" w14:textId="7E7E8488" w:rsidR="00D11728" w:rsidRDefault="00D11728" w:rsidP="00F0578E">
            <w:pPr>
              <w:spacing w:before="120" w:after="120"/>
              <w:jc w:val="center"/>
              <w:rPr>
                <w:rFonts w:ascii="Palatino Linotype" w:hAnsi="Palatino Linotype"/>
                <w:sz w:val="20"/>
                <w:szCs w:val="20"/>
              </w:rPr>
            </w:pPr>
            <w:r>
              <w:rPr>
                <w:rFonts w:ascii="Palatino Linotype" w:hAnsi="Palatino Linotype"/>
                <w:sz w:val="20"/>
                <w:szCs w:val="20"/>
              </w:rPr>
              <w:t>195</w:t>
            </w:r>
          </w:p>
        </w:tc>
        <w:tc>
          <w:tcPr>
            <w:tcW w:w="3150" w:type="dxa"/>
          </w:tcPr>
          <w:p w14:paraId="2BC018A7" w14:textId="43FDB23E" w:rsidR="00D11728" w:rsidRDefault="00283C28" w:rsidP="00F0578E">
            <w:pPr>
              <w:spacing w:before="120" w:after="120"/>
              <w:jc w:val="center"/>
              <w:rPr>
                <w:rFonts w:ascii="Palatino Linotype" w:hAnsi="Palatino Linotype"/>
                <w:sz w:val="20"/>
                <w:szCs w:val="20"/>
              </w:rPr>
            </w:pPr>
            <w:r>
              <w:rPr>
                <w:rFonts w:ascii="Palatino Linotype" w:hAnsi="Palatino Linotype"/>
                <w:sz w:val="20"/>
                <w:szCs w:val="20"/>
              </w:rPr>
              <w:t>89.7%</w:t>
            </w:r>
          </w:p>
        </w:tc>
      </w:tr>
      <w:tr w:rsidR="00D11728" w:rsidRPr="004D40F4" w14:paraId="171693B8" w14:textId="037E9909" w:rsidTr="00D11728">
        <w:trPr>
          <w:trHeight w:val="466"/>
          <w:jc w:val="center"/>
        </w:trPr>
        <w:tc>
          <w:tcPr>
            <w:tcW w:w="3505" w:type="dxa"/>
          </w:tcPr>
          <w:p w14:paraId="75C6F54D" w14:textId="77777777" w:rsidR="00D11728" w:rsidRPr="004D40F4" w:rsidRDefault="00D11728" w:rsidP="007D45C5">
            <w:pPr>
              <w:spacing w:before="120" w:after="120"/>
              <w:rPr>
                <w:rFonts w:ascii="Palatino Linotype" w:hAnsi="Palatino Linotype"/>
                <w:sz w:val="20"/>
                <w:szCs w:val="20"/>
              </w:rPr>
            </w:pPr>
            <w:r w:rsidRPr="004D40F4">
              <w:rPr>
                <w:rFonts w:ascii="Palatino Linotype" w:hAnsi="Palatino Linotype"/>
                <w:sz w:val="20"/>
                <w:szCs w:val="20"/>
              </w:rPr>
              <w:t>Hospital-Based Nursing Facilities</w:t>
            </w:r>
          </w:p>
        </w:tc>
        <w:tc>
          <w:tcPr>
            <w:tcW w:w="1350" w:type="dxa"/>
            <w:vAlign w:val="center"/>
          </w:tcPr>
          <w:p w14:paraId="502FD5E5" w14:textId="56AF578E" w:rsidR="00D11728" w:rsidRDefault="00D11728" w:rsidP="00F0578E">
            <w:pPr>
              <w:spacing w:before="120" w:after="120"/>
              <w:jc w:val="center"/>
              <w:rPr>
                <w:rFonts w:ascii="Palatino Linotype" w:hAnsi="Palatino Linotype"/>
                <w:sz w:val="20"/>
                <w:szCs w:val="20"/>
              </w:rPr>
            </w:pPr>
            <w:r>
              <w:rPr>
                <w:rFonts w:ascii="Palatino Linotype" w:hAnsi="Palatino Linotype"/>
                <w:sz w:val="20"/>
                <w:szCs w:val="20"/>
              </w:rPr>
              <w:t>9</w:t>
            </w:r>
          </w:p>
        </w:tc>
        <w:tc>
          <w:tcPr>
            <w:tcW w:w="3150" w:type="dxa"/>
          </w:tcPr>
          <w:p w14:paraId="2AC1A3FF" w14:textId="76ABD328" w:rsidR="00D11728" w:rsidRDefault="00283C28" w:rsidP="00F0578E">
            <w:pPr>
              <w:spacing w:before="120" w:after="120"/>
              <w:jc w:val="center"/>
              <w:rPr>
                <w:rFonts w:ascii="Palatino Linotype" w:hAnsi="Palatino Linotype"/>
                <w:sz w:val="20"/>
                <w:szCs w:val="20"/>
              </w:rPr>
            </w:pPr>
            <w:r>
              <w:rPr>
                <w:rFonts w:ascii="Palatino Linotype" w:hAnsi="Palatino Linotype"/>
                <w:sz w:val="20"/>
                <w:szCs w:val="20"/>
              </w:rPr>
              <w:t>75.6%</w:t>
            </w:r>
          </w:p>
        </w:tc>
      </w:tr>
      <w:tr w:rsidR="00D11728" w:rsidRPr="004D40F4" w14:paraId="31254A89" w14:textId="61BD2A2D" w:rsidTr="00D11728">
        <w:trPr>
          <w:trHeight w:val="481"/>
          <w:jc w:val="center"/>
        </w:trPr>
        <w:tc>
          <w:tcPr>
            <w:tcW w:w="3505" w:type="dxa"/>
          </w:tcPr>
          <w:p w14:paraId="582DA60D" w14:textId="77777777" w:rsidR="00D11728" w:rsidRPr="004D40F4" w:rsidRDefault="00D11728" w:rsidP="007D45C5">
            <w:pPr>
              <w:spacing w:before="120" w:after="120"/>
              <w:rPr>
                <w:rFonts w:ascii="Palatino Linotype" w:hAnsi="Palatino Linotype"/>
                <w:sz w:val="20"/>
                <w:szCs w:val="20"/>
              </w:rPr>
            </w:pPr>
            <w:r w:rsidRPr="004D40F4">
              <w:rPr>
                <w:rFonts w:ascii="Palatino Linotype" w:hAnsi="Palatino Linotype"/>
                <w:sz w:val="20"/>
                <w:szCs w:val="20"/>
              </w:rPr>
              <w:t>Veterans &amp; Tribal Nursing Facilities</w:t>
            </w:r>
          </w:p>
        </w:tc>
        <w:tc>
          <w:tcPr>
            <w:tcW w:w="1350" w:type="dxa"/>
            <w:vAlign w:val="center"/>
          </w:tcPr>
          <w:p w14:paraId="2FB4BA4D" w14:textId="1FBED00F" w:rsidR="00D11728" w:rsidRDefault="00D11728" w:rsidP="00F0578E">
            <w:pPr>
              <w:spacing w:before="120" w:after="120"/>
              <w:jc w:val="center"/>
              <w:rPr>
                <w:rFonts w:ascii="Palatino Linotype" w:hAnsi="Palatino Linotype"/>
                <w:sz w:val="20"/>
                <w:szCs w:val="20"/>
              </w:rPr>
            </w:pPr>
            <w:r>
              <w:rPr>
                <w:rFonts w:ascii="Palatino Linotype" w:hAnsi="Palatino Linotype"/>
                <w:sz w:val="20"/>
                <w:szCs w:val="20"/>
              </w:rPr>
              <w:t>4</w:t>
            </w:r>
          </w:p>
        </w:tc>
        <w:tc>
          <w:tcPr>
            <w:tcW w:w="3150" w:type="dxa"/>
          </w:tcPr>
          <w:p w14:paraId="3107F78F" w14:textId="38D08F2E" w:rsidR="00D11728" w:rsidRDefault="00283C28" w:rsidP="00F0578E">
            <w:pPr>
              <w:spacing w:before="120" w:after="120"/>
              <w:jc w:val="center"/>
              <w:rPr>
                <w:rFonts w:ascii="Palatino Linotype" w:hAnsi="Palatino Linotype"/>
                <w:sz w:val="20"/>
                <w:szCs w:val="20"/>
              </w:rPr>
            </w:pPr>
            <w:r>
              <w:rPr>
                <w:rFonts w:ascii="Palatino Linotype" w:hAnsi="Palatino Linotype"/>
                <w:sz w:val="20"/>
                <w:szCs w:val="20"/>
              </w:rPr>
              <w:t>61.9%</w:t>
            </w:r>
          </w:p>
        </w:tc>
      </w:tr>
      <w:tr w:rsidR="00D11728" w:rsidRPr="004D40F4" w14:paraId="0B8D3D8A" w14:textId="19B1026B" w:rsidTr="00D11728">
        <w:trPr>
          <w:trHeight w:val="451"/>
          <w:jc w:val="center"/>
        </w:trPr>
        <w:tc>
          <w:tcPr>
            <w:tcW w:w="3505" w:type="dxa"/>
          </w:tcPr>
          <w:p w14:paraId="7EA931EC" w14:textId="77777777" w:rsidR="00D11728" w:rsidRPr="004D40F4" w:rsidRDefault="00D11728" w:rsidP="007D45C5">
            <w:pPr>
              <w:spacing w:before="120" w:after="120"/>
              <w:rPr>
                <w:rFonts w:ascii="Palatino Linotype" w:hAnsi="Palatino Linotype"/>
                <w:sz w:val="20"/>
                <w:szCs w:val="20"/>
              </w:rPr>
            </w:pPr>
            <w:r w:rsidRPr="004D40F4">
              <w:rPr>
                <w:rFonts w:ascii="Palatino Linotype" w:hAnsi="Palatino Linotype"/>
                <w:sz w:val="20"/>
                <w:szCs w:val="20"/>
              </w:rPr>
              <w:t>All Nursing Facilities</w:t>
            </w:r>
          </w:p>
        </w:tc>
        <w:tc>
          <w:tcPr>
            <w:tcW w:w="1350" w:type="dxa"/>
            <w:vAlign w:val="center"/>
          </w:tcPr>
          <w:p w14:paraId="354BF3C7" w14:textId="76409162" w:rsidR="00D11728" w:rsidRDefault="00D11728" w:rsidP="00F0578E">
            <w:pPr>
              <w:spacing w:before="120" w:after="120"/>
              <w:jc w:val="center"/>
              <w:rPr>
                <w:rFonts w:ascii="Palatino Linotype" w:hAnsi="Palatino Linotype"/>
                <w:sz w:val="20"/>
                <w:szCs w:val="20"/>
              </w:rPr>
            </w:pPr>
            <w:r>
              <w:rPr>
                <w:rFonts w:ascii="Palatino Linotype" w:hAnsi="Palatino Linotype"/>
                <w:sz w:val="20"/>
                <w:szCs w:val="20"/>
              </w:rPr>
              <w:t>208</w:t>
            </w:r>
          </w:p>
        </w:tc>
        <w:tc>
          <w:tcPr>
            <w:tcW w:w="3150" w:type="dxa"/>
          </w:tcPr>
          <w:p w14:paraId="36B671B4" w14:textId="3411B60C" w:rsidR="00D11728" w:rsidRDefault="00283C28" w:rsidP="00F0578E">
            <w:pPr>
              <w:spacing w:before="120" w:after="120"/>
              <w:jc w:val="center"/>
              <w:rPr>
                <w:rFonts w:ascii="Palatino Linotype" w:hAnsi="Palatino Linotype"/>
                <w:sz w:val="20"/>
                <w:szCs w:val="20"/>
              </w:rPr>
            </w:pPr>
            <w:r>
              <w:rPr>
                <w:rFonts w:ascii="Palatino Linotype" w:hAnsi="Palatino Linotype"/>
                <w:sz w:val="20"/>
                <w:szCs w:val="20"/>
              </w:rPr>
              <w:t>88.2%</w:t>
            </w:r>
          </w:p>
        </w:tc>
      </w:tr>
    </w:tbl>
    <w:p w14:paraId="447E8DC1" w14:textId="77777777" w:rsidR="00F47C9C" w:rsidRDefault="00F47C9C" w:rsidP="00F47C9C">
      <w:pPr>
        <w:rPr>
          <w:rFonts w:ascii="Palatino Linotype" w:hAnsi="Palatino Linotype"/>
          <w:sz w:val="22"/>
          <w:szCs w:val="22"/>
        </w:rPr>
      </w:pPr>
    </w:p>
    <w:p w14:paraId="6E62F76A" w14:textId="2D9D3496" w:rsidR="00F83E16" w:rsidRPr="008A6C58" w:rsidRDefault="00F83E16" w:rsidP="00F83E16">
      <w:pPr>
        <w:rPr>
          <w:rFonts w:ascii="Palatino Linotype" w:hAnsi="Palatino Linotype"/>
          <w:sz w:val="22"/>
          <w:szCs w:val="22"/>
        </w:rPr>
      </w:pPr>
      <w:r w:rsidRPr="00F83E16">
        <w:rPr>
          <w:rFonts w:ascii="Palatino Linotype" w:hAnsi="Palatino Linotype"/>
          <w:sz w:val="22"/>
          <w:szCs w:val="22"/>
        </w:rPr>
        <w:t>We also compared the resulting pay-to-cost ratios for SFY 2016 to the pay-to-cost ratios determined based on the reimbursement rates proposed in the Governor’s budget that will be considered in the upcoming legislative session for SFY 2016 and SFY 2017.  The overall results for each year based on the rates under the current payment methodology are shown in Table 4.2 below.</w:t>
      </w:r>
      <w:r w:rsidRPr="004D40F4">
        <w:rPr>
          <w:rFonts w:ascii="Palatino Linotype" w:hAnsi="Palatino Linotype"/>
          <w:sz w:val="22"/>
          <w:szCs w:val="22"/>
        </w:rPr>
        <w:t xml:space="preserve">  </w:t>
      </w:r>
    </w:p>
    <w:p w14:paraId="1775ECC5" w14:textId="77777777" w:rsidR="007C3133" w:rsidRPr="004D40F4" w:rsidRDefault="007C3133" w:rsidP="00F47C9C">
      <w:pPr>
        <w:rPr>
          <w:rFonts w:ascii="Palatino Linotype" w:hAnsi="Palatino Linotype"/>
          <w:sz w:val="22"/>
          <w:szCs w:val="22"/>
        </w:rPr>
      </w:pPr>
    </w:p>
    <w:p w14:paraId="2208F92A" w14:textId="5EE4D51A" w:rsidR="007C3133" w:rsidRPr="004D40F4" w:rsidRDefault="007C3133" w:rsidP="007C3133">
      <w:pPr>
        <w:rPr>
          <w:rFonts w:ascii="Palatino Linotype" w:hAnsi="Palatino Linotype"/>
          <w:b/>
          <w:sz w:val="22"/>
        </w:rPr>
      </w:pPr>
      <w:r w:rsidRPr="004D40F4">
        <w:rPr>
          <w:rFonts w:ascii="Palatino Linotype" w:hAnsi="Palatino Linotype"/>
          <w:b/>
          <w:sz w:val="22"/>
        </w:rPr>
        <w:t xml:space="preserve">Table </w:t>
      </w:r>
      <w:r>
        <w:rPr>
          <w:rFonts w:ascii="Palatino Linotype" w:hAnsi="Palatino Linotype"/>
          <w:b/>
          <w:sz w:val="22"/>
        </w:rPr>
        <w:t>4.2</w:t>
      </w:r>
      <w:r w:rsidRPr="004D40F4">
        <w:rPr>
          <w:rFonts w:ascii="Palatino Linotype" w:hAnsi="Palatino Linotype"/>
          <w:b/>
          <w:sz w:val="22"/>
        </w:rPr>
        <w:t>:  Medicaid Payment-to-Cost Ratio, By Facility Type Group, By Year</w:t>
      </w:r>
      <w:r w:rsidR="00D11728">
        <w:rPr>
          <w:rFonts w:ascii="Palatino Linotype" w:hAnsi="Palatino Linotype"/>
          <w:b/>
          <w:sz w:val="22"/>
        </w:rPr>
        <w:t xml:space="preserve"> – </w:t>
      </w:r>
      <w:r w:rsidR="006B090A">
        <w:rPr>
          <w:rFonts w:ascii="Palatino Linotype" w:hAnsi="Palatino Linotype"/>
          <w:b/>
          <w:sz w:val="22"/>
        </w:rPr>
        <w:t>Rate Methodology Included in Governor’s Budget</w:t>
      </w:r>
    </w:p>
    <w:p w14:paraId="4D4B918E" w14:textId="77777777" w:rsidR="007C3133" w:rsidRPr="004D40F4" w:rsidRDefault="007C3133" w:rsidP="007C3133">
      <w:pPr>
        <w:rPr>
          <w:rFonts w:ascii="Palatino Linotype" w:hAnsi="Palatino Linotype"/>
          <w:sz w:val="22"/>
          <w:szCs w:val="22"/>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350"/>
        <w:gridCol w:w="2160"/>
        <w:gridCol w:w="2071"/>
      </w:tblGrid>
      <w:tr w:rsidR="00FE0673" w:rsidRPr="004D40F4" w14:paraId="3B9298FB" w14:textId="77777777" w:rsidTr="004C432D">
        <w:trPr>
          <w:trHeight w:val="874"/>
        </w:trPr>
        <w:tc>
          <w:tcPr>
            <w:tcW w:w="3505" w:type="dxa"/>
            <w:vMerge w:val="restart"/>
            <w:vAlign w:val="bottom"/>
          </w:tcPr>
          <w:p w14:paraId="20679430" w14:textId="77777777" w:rsidR="00FE0673" w:rsidRPr="004D40F4" w:rsidRDefault="00FE0673" w:rsidP="004C432D">
            <w:pPr>
              <w:keepNext/>
              <w:spacing w:before="120" w:after="120"/>
              <w:jc w:val="center"/>
              <w:rPr>
                <w:rFonts w:ascii="Palatino Linotype" w:hAnsi="Palatino Linotype"/>
                <w:sz w:val="20"/>
                <w:szCs w:val="20"/>
              </w:rPr>
            </w:pPr>
            <w:r w:rsidRPr="004D40F4">
              <w:rPr>
                <w:rFonts w:ascii="Palatino Linotype" w:hAnsi="Palatino Linotype"/>
                <w:b/>
                <w:sz w:val="20"/>
                <w:szCs w:val="20"/>
              </w:rPr>
              <w:t>Type of Facility</w:t>
            </w:r>
          </w:p>
        </w:tc>
        <w:tc>
          <w:tcPr>
            <w:tcW w:w="1350" w:type="dxa"/>
            <w:vMerge w:val="restart"/>
            <w:vAlign w:val="bottom"/>
          </w:tcPr>
          <w:p w14:paraId="40ACA937" w14:textId="77777777" w:rsidR="00FE0673" w:rsidRPr="004D40F4" w:rsidRDefault="00FE0673" w:rsidP="004C432D">
            <w:pPr>
              <w:keepNext/>
              <w:spacing w:before="120" w:after="120"/>
              <w:jc w:val="center"/>
              <w:rPr>
                <w:rFonts w:ascii="Palatino Linotype" w:hAnsi="Palatino Linotype"/>
                <w:b/>
                <w:sz w:val="20"/>
                <w:szCs w:val="20"/>
              </w:rPr>
            </w:pPr>
            <w:r>
              <w:rPr>
                <w:rFonts w:ascii="Palatino Linotype" w:hAnsi="Palatino Linotype"/>
                <w:b/>
                <w:sz w:val="20"/>
                <w:szCs w:val="20"/>
              </w:rPr>
              <w:t>Number of Facilities</w:t>
            </w:r>
          </w:p>
        </w:tc>
        <w:tc>
          <w:tcPr>
            <w:tcW w:w="4231" w:type="dxa"/>
            <w:gridSpan w:val="2"/>
            <w:vAlign w:val="bottom"/>
          </w:tcPr>
          <w:p w14:paraId="3AE46A2A" w14:textId="77777777" w:rsidR="00FE0673" w:rsidRDefault="00FE0673" w:rsidP="004C432D">
            <w:pPr>
              <w:keepNext/>
              <w:spacing w:before="120" w:after="120"/>
              <w:jc w:val="center"/>
              <w:rPr>
                <w:rFonts w:ascii="Palatino Linotype" w:hAnsi="Palatino Linotype"/>
                <w:b/>
                <w:sz w:val="20"/>
                <w:szCs w:val="20"/>
              </w:rPr>
            </w:pPr>
            <w:r w:rsidRPr="004D40F4">
              <w:rPr>
                <w:rFonts w:ascii="Palatino Linotype" w:hAnsi="Palatino Linotype"/>
                <w:b/>
                <w:sz w:val="20"/>
                <w:szCs w:val="20"/>
              </w:rPr>
              <w:t>Payment-to-Cost Ratio (Weighted Average)</w:t>
            </w:r>
            <w:r>
              <w:rPr>
                <w:rFonts w:ascii="Palatino Linotype" w:hAnsi="Palatino Linotype"/>
                <w:b/>
                <w:sz w:val="20"/>
                <w:szCs w:val="20"/>
              </w:rPr>
              <w:t xml:space="preserve"> </w:t>
            </w:r>
          </w:p>
          <w:p w14:paraId="67C99629" w14:textId="77777777" w:rsidR="00FE0673" w:rsidRPr="004D40F4" w:rsidRDefault="00FE0673" w:rsidP="004C432D">
            <w:pPr>
              <w:keepNext/>
              <w:spacing w:before="120" w:after="120"/>
              <w:jc w:val="center"/>
              <w:rPr>
                <w:rFonts w:ascii="Palatino Linotype" w:hAnsi="Palatino Linotype"/>
                <w:sz w:val="20"/>
                <w:szCs w:val="20"/>
              </w:rPr>
            </w:pPr>
            <w:r>
              <w:rPr>
                <w:rFonts w:ascii="Palatino Linotype" w:hAnsi="Palatino Linotype"/>
                <w:b/>
                <w:sz w:val="20"/>
                <w:szCs w:val="20"/>
              </w:rPr>
              <w:t>Based on Rates Provided by the Department</w:t>
            </w:r>
          </w:p>
        </w:tc>
      </w:tr>
      <w:tr w:rsidR="00FE0673" w:rsidRPr="004D40F4" w14:paraId="3D667F27" w14:textId="77777777" w:rsidTr="004C432D">
        <w:trPr>
          <w:trHeight w:val="511"/>
        </w:trPr>
        <w:tc>
          <w:tcPr>
            <w:tcW w:w="3505" w:type="dxa"/>
            <w:vMerge/>
            <w:vAlign w:val="bottom"/>
          </w:tcPr>
          <w:p w14:paraId="0203B938" w14:textId="77777777" w:rsidR="00FE0673" w:rsidRPr="004D40F4" w:rsidRDefault="00FE0673" w:rsidP="004C432D">
            <w:pPr>
              <w:keepNext/>
              <w:spacing w:before="120" w:after="120"/>
              <w:jc w:val="center"/>
              <w:rPr>
                <w:rFonts w:ascii="Palatino Linotype" w:hAnsi="Palatino Linotype"/>
                <w:sz w:val="20"/>
                <w:szCs w:val="20"/>
              </w:rPr>
            </w:pPr>
          </w:p>
        </w:tc>
        <w:tc>
          <w:tcPr>
            <w:tcW w:w="1350" w:type="dxa"/>
            <w:vMerge/>
          </w:tcPr>
          <w:p w14:paraId="63E53943" w14:textId="77777777" w:rsidR="00FE0673" w:rsidRPr="004D40F4" w:rsidRDefault="00FE0673" w:rsidP="004C432D">
            <w:pPr>
              <w:keepNext/>
              <w:spacing w:before="120" w:after="120"/>
              <w:jc w:val="center"/>
              <w:rPr>
                <w:rFonts w:ascii="Palatino Linotype" w:hAnsi="Palatino Linotype"/>
                <w:sz w:val="20"/>
                <w:szCs w:val="20"/>
              </w:rPr>
            </w:pPr>
          </w:p>
        </w:tc>
        <w:tc>
          <w:tcPr>
            <w:tcW w:w="2160" w:type="dxa"/>
            <w:vAlign w:val="bottom"/>
          </w:tcPr>
          <w:p w14:paraId="6BD2A7B7" w14:textId="77777777" w:rsidR="00FE0673" w:rsidRPr="004D40F4" w:rsidRDefault="00FE0673" w:rsidP="004C432D">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6</w:t>
            </w:r>
          </w:p>
        </w:tc>
        <w:tc>
          <w:tcPr>
            <w:tcW w:w="2071" w:type="dxa"/>
            <w:vAlign w:val="bottom"/>
          </w:tcPr>
          <w:p w14:paraId="0B79094D" w14:textId="77777777" w:rsidR="00FE0673" w:rsidRPr="004D40F4" w:rsidRDefault="00FE0673" w:rsidP="004C432D">
            <w:pPr>
              <w:keepNext/>
              <w:spacing w:before="120" w:after="120"/>
              <w:jc w:val="center"/>
              <w:rPr>
                <w:rFonts w:ascii="Palatino Linotype" w:hAnsi="Palatino Linotype"/>
                <w:sz w:val="20"/>
                <w:szCs w:val="20"/>
              </w:rPr>
            </w:pPr>
            <w:r w:rsidRPr="004D40F4">
              <w:rPr>
                <w:rFonts w:ascii="Palatino Linotype" w:hAnsi="Palatino Linotype"/>
                <w:sz w:val="20"/>
                <w:szCs w:val="20"/>
              </w:rPr>
              <w:t>SFY 201</w:t>
            </w:r>
            <w:r>
              <w:rPr>
                <w:rFonts w:ascii="Palatino Linotype" w:hAnsi="Palatino Linotype"/>
                <w:sz w:val="20"/>
                <w:szCs w:val="20"/>
              </w:rPr>
              <w:t>7</w:t>
            </w:r>
          </w:p>
        </w:tc>
      </w:tr>
      <w:tr w:rsidR="00FE0673" w:rsidRPr="004D40F4" w14:paraId="68A5ADA9" w14:textId="77777777" w:rsidTr="004C432D">
        <w:trPr>
          <w:trHeight w:val="494"/>
        </w:trPr>
        <w:tc>
          <w:tcPr>
            <w:tcW w:w="3505" w:type="dxa"/>
          </w:tcPr>
          <w:p w14:paraId="2028CD24" w14:textId="77777777" w:rsidR="00FE0673" w:rsidRPr="004D40F4" w:rsidRDefault="00FE0673" w:rsidP="004C432D">
            <w:pPr>
              <w:spacing w:before="120" w:after="120"/>
              <w:rPr>
                <w:rFonts w:ascii="Palatino Linotype" w:hAnsi="Palatino Linotype"/>
                <w:sz w:val="20"/>
                <w:szCs w:val="20"/>
              </w:rPr>
            </w:pPr>
            <w:r w:rsidRPr="004D40F4">
              <w:rPr>
                <w:rFonts w:ascii="Palatino Linotype" w:hAnsi="Palatino Linotype"/>
                <w:sz w:val="20"/>
                <w:szCs w:val="20"/>
              </w:rPr>
              <w:t>Standard Nursing Facilities</w:t>
            </w:r>
          </w:p>
        </w:tc>
        <w:tc>
          <w:tcPr>
            <w:tcW w:w="1350" w:type="dxa"/>
          </w:tcPr>
          <w:p w14:paraId="5852ACFA" w14:textId="77777777" w:rsidR="00FE0673" w:rsidRDefault="00FE0673" w:rsidP="004C432D">
            <w:pPr>
              <w:spacing w:before="120" w:after="120"/>
              <w:jc w:val="center"/>
              <w:rPr>
                <w:rFonts w:ascii="Palatino Linotype" w:hAnsi="Palatino Linotype"/>
                <w:sz w:val="20"/>
                <w:szCs w:val="20"/>
              </w:rPr>
            </w:pPr>
            <w:r>
              <w:rPr>
                <w:rFonts w:ascii="Palatino Linotype" w:hAnsi="Palatino Linotype"/>
                <w:sz w:val="20"/>
                <w:szCs w:val="20"/>
              </w:rPr>
              <w:t>196</w:t>
            </w:r>
          </w:p>
        </w:tc>
        <w:tc>
          <w:tcPr>
            <w:tcW w:w="2160" w:type="dxa"/>
          </w:tcPr>
          <w:p w14:paraId="76C2D6EC"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91.2</w:t>
            </w:r>
            <w:r w:rsidRPr="004D40F4">
              <w:rPr>
                <w:rFonts w:ascii="Palatino Linotype" w:hAnsi="Palatino Linotype"/>
                <w:sz w:val="20"/>
                <w:szCs w:val="20"/>
              </w:rPr>
              <w:t>%</w:t>
            </w:r>
          </w:p>
        </w:tc>
        <w:tc>
          <w:tcPr>
            <w:tcW w:w="2071" w:type="dxa"/>
            <w:vAlign w:val="center"/>
          </w:tcPr>
          <w:p w14:paraId="2BBC0F5A" w14:textId="77777777" w:rsidR="00FE0673" w:rsidRPr="004D40F4" w:rsidRDefault="00FE0673" w:rsidP="004C432D">
            <w:pPr>
              <w:jc w:val="center"/>
              <w:rPr>
                <w:rFonts w:ascii="Palatino Linotype" w:hAnsi="Palatino Linotype"/>
                <w:sz w:val="20"/>
                <w:szCs w:val="20"/>
              </w:rPr>
            </w:pPr>
            <w:r>
              <w:rPr>
                <w:rFonts w:ascii="Palatino Linotype" w:hAnsi="Palatino Linotype"/>
                <w:bCs/>
                <w:sz w:val="20"/>
                <w:szCs w:val="20"/>
              </w:rPr>
              <w:t>89.7</w:t>
            </w:r>
            <w:r w:rsidRPr="004D40F4">
              <w:rPr>
                <w:rFonts w:ascii="Palatino Linotype" w:hAnsi="Palatino Linotype"/>
                <w:sz w:val="20"/>
                <w:szCs w:val="20"/>
              </w:rPr>
              <w:t>%</w:t>
            </w:r>
          </w:p>
        </w:tc>
      </w:tr>
      <w:tr w:rsidR="00FE0673" w:rsidRPr="004D40F4" w14:paraId="0E5CEBA5" w14:textId="77777777" w:rsidTr="004C432D">
        <w:trPr>
          <w:trHeight w:val="494"/>
        </w:trPr>
        <w:tc>
          <w:tcPr>
            <w:tcW w:w="3505" w:type="dxa"/>
          </w:tcPr>
          <w:p w14:paraId="37040E8D" w14:textId="77777777" w:rsidR="00FE0673" w:rsidRPr="004D40F4" w:rsidRDefault="00FE0673" w:rsidP="004C432D">
            <w:pPr>
              <w:spacing w:before="120" w:after="120"/>
              <w:rPr>
                <w:rFonts w:ascii="Palatino Linotype" w:hAnsi="Palatino Linotype"/>
                <w:sz w:val="20"/>
                <w:szCs w:val="20"/>
              </w:rPr>
            </w:pPr>
            <w:r w:rsidRPr="004D40F4">
              <w:rPr>
                <w:rFonts w:ascii="Palatino Linotype" w:hAnsi="Palatino Linotype"/>
                <w:sz w:val="20"/>
                <w:szCs w:val="20"/>
              </w:rPr>
              <w:t>Hospital-Based Nursing Facilities</w:t>
            </w:r>
          </w:p>
        </w:tc>
        <w:tc>
          <w:tcPr>
            <w:tcW w:w="1350" w:type="dxa"/>
          </w:tcPr>
          <w:p w14:paraId="31AF0F1D" w14:textId="77777777" w:rsidR="00FE0673" w:rsidRDefault="00FE0673" w:rsidP="004C432D">
            <w:pPr>
              <w:spacing w:before="120" w:after="120"/>
              <w:jc w:val="center"/>
              <w:rPr>
                <w:rFonts w:ascii="Palatino Linotype" w:hAnsi="Palatino Linotype"/>
                <w:sz w:val="20"/>
                <w:szCs w:val="20"/>
              </w:rPr>
            </w:pPr>
            <w:r>
              <w:rPr>
                <w:rFonts w:ascii="Palatino Linotype" w:hAnsi="Palatino Linotype"/>
                <w:sz w:val="20"/>
                <w:szCs w:val="20"/>
              </w:rPr>
              <w:t>9</w:t>
            </w:r>
          </w:p>
        </w:tc>
        <w:tc>
          <w:tcPr>
            <w:tcW w:w="2160" w:type="dxa"/>
          </w:tcPr>
          <w:p w14:paraId="23E3A7D9"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75.4</w:t>
            </w:r>
            <w:r w:rsidRPr="004D40F4">
              <w:rPr>
                <w:rFonts w:ascii="Palatino Linotype" w:hAnsi="Palatino Linotype"/>
                <w:sz w:val="20"/>
                <w:szCs w:val="20"/>
              </w:rPr>
              <w:t>%</w:t>
            </w:r>
          </w:p>
        </w:tc>
        <w:tc>
          <w:tcPr>
            <w:tcW w:w="2071" w:type="dxa"/>
          </w:tcPr>
          <w:p w14:paraId="6FAB0147"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73.9</w:t>
            </w:r>
            <w:r w:rsidRPr="004D40F4">
              <w:rPr>
                <w:rFonts w:ascii="Palatino Linotype" w:hAnsi="Palatino Linotype"/>
                <w:sz w:val="20"/>
                <w:szCs w:val="20"/>
              </w:rPr>
              <w:t>%</w:t>
            </w:r>
          </w:p>
        </w:tc>
      </w:tr>
      <w:tr w:rsidR="00FE0673" w:rsidRPr="004D40F4" w14:paraId="55EC577B" w14:textId="77777777" w:rsidTr="004C432D">
        <w:trPr>
          <w:trHeight w:val="511"/>
        </w:trPr>
        <w:tc>
          <w:tcPr>
            <w:tcW w:w="3505" w:type="dxa"/>
          </w:tcPr>
          <w:p w14:paraId="1DC8CD52" w14:textId="77777777" w:rsidR="00FE0673" w:rsidRPr="004D40F4" w:rsidRDefault="00FE0673" w:rsidP="004C432D">
            <w:pPr>
              <w:spacing w:before="120" w:after="120"/>
              <w:rPr>
                <w:rFonts w:ascii="Palatino Linotype" w:hAnsi="Palatino Linotype"/>
                <w:sz w:val="20"/>
                <w:szCs w:val="20"/>
              </w:rPr>
            </w:pPr>
            <w:r w:rsidRPr="004D40F4">
              <w:rPr>
                <w:rFonts w:ascii="Palatino Linotype" w:hAnsi="Palatino Linotype"/>
                <w:sz w:val="20"/>
                <w:szCs w:val="20"/>
              </w:rPr>
              <w:t>Veterans &amp; Tribal Nursing Facilities</w:t>
            </w:r>
          </w:p>
        </w:tc>
        <w:tc>
          <w:tcPr>
            <w:tcW w:w="1350" w:type="dxa"/>
          </w:tcPr>
          <w:p w14:paraId="3B7974FE" w14:textId="77777777" w:rsidR="00FE0673" w:rsidRDefault="00FE0673" w:rsidP="004C432D">
            <w:pPr>
              <w:spacing w:before="120" w:after="120"/>
              <w:jc w:val="center"/>
              <w:rPr>
                <w:rFonts w:ascii="Palatino Linotype" w:hAnsi="Palatino Linotype"/>
                <w:sz w:val="20"/>
                <w:szCs w:val="20"/>
              </w:rPr>
            </w:pPr>
            <w:r>
              <w:rPr>
                <w:rFonts w:ascii="Palatino Linotype" w:hAnsi="Palatino Linotype"/>
                <w:sz w:val="20"/>
                <w:szCs w:val="20"/>
              </w:rPr>
              <w:t>4</w:t>
            </w:r>
          </w:p>
        </w:tc>
        <w:tc>
          <w:tcPr>
            <w:tcW w:w="2160" w:type="dxa"/>
          </w:tcPr>
          <w:p w14:paraId="3D8A0293"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59.5</w:t>
            </w:r>
            <w:r w:rsidRPr="004D40F4">
              <w:rPr>
                <w:rFonts w:ascii="Palatino Linotype" w:hAnsi="Palatino Linotype"/>
                <w:sz w:val="20"/>
                <w:szCs w:val="20"/>
              </w:rPr>
              <w:t>%</w:t>
            </w:r>
          </w:p>
        </w:tc>
        <w:tc>
          <w:tcPr>
            <w:tcW w:w="2071" w:type="dxa"/>
          </w:tcPr>
          <w:p w14:paraId="7291941F"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58.6</w:t>
            </w:r>
            <w:r w:rsidRPr="004D40F4">
              <w:rPr>
                <w:rFonts w:ascii="Palatino Linotype" w:hAnsi="Palatino Linotype"/>
                <w:sz w:val="20"/>
                <w:szCs w:val="20"/>
              </w:rPr>
              <w:t>%</w:t>
            </w:r>
          </w:p>
        </w:tc>
      </w:tr>
      <w:tr w:rsidR="00FE0673" w:rsidRPr="004D40F4" w14:paraId="1353F9DF" w14:textId="77777777" w:rsidTr="004C432D">
        <w:trPr>
          <w:trHeight w:val="479"/>
        </w:trPr>
        <w:tc>
          <w:tcPr>
            <w:tcW w:w="3505" w:type="dxa"/>
          </w:tcPr>
          <w:p w14:paraId="66E4EB03" w14:textId="77777777" w:rsidR="00FE0673" w:rsidRPr="004D40F4" w:rsidRDefault="00FE0673" w:rsidP="004C432D">
            <w:pPr>
              <w:spacing w:before="120" w:after="120"/>
              <w:rPr>
                <w:rFonts w:ascii="Palatino Linotype" w:hAnsi="Palatino Linotype"/>
                <w:sz w:val="20"/>
                <w:szCs w:val="20"/>
              </w:rPr>
            </w:pPr>
            <w:r w:rsidRPr="004D40F4">
              <w:rPr>
                <w:rFonts w:ascii="Palatino Linotype" w:hAnsi="Palatino Linotype"/>
                <w:sz w:val="20"/>
                <w:szCs w:val="20"/>
              </w:rPr>
              <w:t>All Nursing Facilities</w:t>
            </w:r>
          </w:p>
        </w:tc>
        <w:tc>
          <w:tcPr>
            <w:tcW w:w="1350" w:type="dxa"/>
          </w:tcPr>
          <w:p w14:paraId="7718D06A" w14:textId="77777777" w:rsidR="00FE0673" w:rsidRDefault="00FE0673" w:rsidP="004C432D">
            <w:pPr>
              <w:spacing w:before="120" w:after="120"/>
              <w:jc w:val="center"/>
              <w:rPr>
                <w:rFonts w:ascii="Palatino Linotype" w:hAnsi="Palatino Linotype"/>
                <w:sz w:val="20"/>
                <w:szCs w:val="20"/>
              </w:rPr>
            </w:pPr>
            <w:r>
              <w:rPr>
                <w:rFonts w:ascii="Palatino Linotype" w:hAnsi="Palatino Linotype"/>
                <w:sz w:val="20"/>
                <w:szCs w:val="20"/>
              </w:rPr>
              <w:t>209</w:t>
            </w:r>
          </w:p>
        </w:tc>
        <w:tc>
          <w:tcPr>
            <w:tcW w:w="2160" w:type="dxa"/>
          </w:tcPr>
          <w:p w14:paraId="0E007C28"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89.4</w:t>
            </w:r>
            <w:r w:rsidRPr="004D40F4">
              <w:rPr>
                <w:rFonts w:ascii="Palatino Linotype" w:hAnsi="Palatino Linotype"/>
                <w:sz w:val="20"/>
                <w:szCs w:val="20"/>
              </w:rPr>
              <w:t>%</w:t>
            </w:r>
          </w:p>
        </w:tc>
        <w:tc>
          <w:tcPr>
            <w:tcW w:w="2071" w:type="dxa"/>
          </w:tcPr>
          <w:p w14:paraId="43A7B192" w14:textId="77777777" w:rsidR="00FE0673" w:rsidRPr="004D40F4" w:rsidRDefault="00FE0673" w:rsidP="004C432D">
            <w:pPr>
              <w:spacing w:before="120" w:after="120"/>
              <w:jc w:val="center"/>
              <w:rPr>
                <w:rFonts w:ascii="Palatino Linotype" w:hAnsi="Palatino Linotype"/>
                <w:sz w:val="20"/>
                <w:szCs w:val="20"/>
              </w:rPr>
            </w:pPr>
            <w:r>
              <w:rPr>
                <w:rFonts w:ascii="Palatino Linotype" w:hAnsi="Palatino Linotype"/>
                <w:sz w:val="20"/>
                <w:szCs w:val="20"/>
              </w:rPr>
              <w:t>88.0</w:t>
            </w:r>
            <w:r w:rsidRPr="004D40F4">
              <w:rPr>
                <w:rFonts w:ascii="Palatino Linotype" w:hAnsi="Palatino Linotype"/>
                <w:sz w:val="20"/>
                <w:szCs w:val="20"/>
              </w:rPr>
              <w:t>%</w:t>
            </w:r>
          </w:p>
        </w:tc>
      </w:tr>
    </w:tbl>
    <w:p w14:paraId="32270C43" w14:textId="77777777" w:rsidR="007C3133" w:rsidRDefault="007C3133" w:rsidP="00F47C9C">
      <w:pPr>
        <w:rPr>
          <w:rFonts w:ascii="Palatino Linotype" w:hAnsi="Palatino Linotype"/>
          <w:sz w:val="22"/>
          <w:szCs w:val="22"/>
        </w:rPr>
      </w:pPr>
    </w:p>
    <w:p w14:paraId="6BDD3441" w14:textId="7E02E00B" w:rsidR="00B3650D" w:rsidRDefault="00F83E16" w:rsidP="00F47C9C">
      <w:pPr>
        <w:rPr>
          <w:rFonts w:ascii="Palatino Linotype" w:hAnsi="Palatino Linotype"/>
          <w:sz w:val="22"/>
          <w:szCs w:val="22"/>
        </w:rPr>
      </w:pPr>
      <w:r>
        <w:rPr>
          <w:rFonts w:ascii="Palatino Linotype" w:hAnsi="Palatino Linotype"/>
          <w:sz w:val="22"/>
          <w:szCs w:val="22"/>
        </w:rPr>
        <w:t>Based upon these analyses, it appears that the pr</w:t>
      </w:r>
      <w:r w:rsidR="006B090A">
        <w:rPr>
          <w:rFonts w:ascii="Palatino Linotype" w:hAnsi="Palatino Linotype"/>
          <w:sz w:val="22"/>
          <w:szCs w:val="22"/>
        </w:rPr>
        <w:t>oposed SFY 2016 rates under the current</w:t>
      </w:r>
      <w:r>
        <w:rPr>
          <w:rFonts w:ascii="Palatino Linotype" w:hAnsi="Palatino Linotype"/>
          <w:sz w:val="22"/>
          <w:szCs w:val="22"/>
        </w:rPr>
        <w:t xml:space="preserve"> methodology will reduce the pay-to-cost ratios for the standard nursing facilities and the weighted ratios for all nursing facilities.  In SFY 2016, the pay-to-cost ratio for standard nursing </w:t>
      </w:r>
      <w:r>
        <w:rPr>
          <w:rFonts w:ascii="Palatino Linotype" w:hAnsi="Palatino Linotype"/>
          <w:sz w:val="22"/>
          <w:szCs w:val="22"/>
        </w:rPr>
        <w:lastRenderedPageBreak/>
        <w:t xml:space="preserve">facilities decreases by approximately 1.5 percent.  In addition, the overall pay-to-cost ratio for all nursing facilities decreases in SFY 2016 by 1.2 percent.  However, it should be noted that while the pay-to-cost ratio for all </w:t>
      </w:r>
      <w:r w:rsidR="00F32CBC">
        <w:rPr>
          <w:rFonts w:ascii="Palatino Linotype" w:hAnsi="Palatino Linotype"/>
          <w:sz w:val="22"/>
          <w:szCs w:val="22"/>
        </w:rPr>
        <w:t>nursing facilities and in aggregate is decreasing</w:t>
      </w:r>
      <w:r>
        <w:rPr>
          <w:rFonts w:ascii="Palatino Linotype" w:hAnsi="Palatino Linotype"/>
          <w:sz w:val="22"/>
          <w:szCs w:val="22"/>
        </w:rPr>
        <w:t>, the pay-</w:t>
      </w:r>
      <w:r w:rsidR="00F32CBC">
        <w:rPr>
          <w:rFonts w:ascii="Palatino Linotype" w:hAnsi="Palatino Linotype"/>
          <w:sz w:val="22"/>
          <w:szCs w:val="22"/>
        </w:rPr>
        <w:t>to-cost ratios actually increase slightly by approximately 0.2</w:t>
      </w:r>
      <w:r>
        <w:rPr>
          <w:rFonts w:ascii="Palatino Linotype" w:hAnsi="Palatino Linotype"/>
          <w:sz w:val="22"/>
          <w:szCs w:val="22"/>
        </w:rPr>
        <w:t xml:space="preserve"> percent for hospital-based nursing fa</w:t>
      </w:r>
      <w:r w:rsidR="00F32CBC">
        <w:rPr>
          <w:rFonts w:ascii="Palatino Linotype" w:hAnsi="Palatino Linotype"/>
          <w:sz w:val="22"/>
          <w:szCs w:val="22"/>
        </w:rPr>
        <w:t>cilities, and by approximately 2.4</w:t>
      </w:r>
      <w:r>
        <w:rPr>
          <w:rFonts w:ascii="Palatino Linotype" w:hAnsi="Palatino Linotype"/>
          <w:sz w:val="22"/>
          <w:szCs w:val="22"/>
        </w:rPr>
        <w:t xml:space="preserve"> percent for veteran and tribal nursing facilities.  </w:t>
      </w:r>
    </w:p>
    <w:p w14:paraId="202A9634" w14:textId="77777777" w:rsidR="00B3650D" w:rsidRDefault="00B3650D" w:rsidP="00F47C9C">
      <w:pPr>
        <w:rPr>
          <w:rFonts w:ascii="Palatino Linotype" w:hAnsi="Palatino Linotype"/>
          <w:sz w:val="22"/>
          <w:szCs w:val="22"/>
        </w:rPr>
      </w:pPr>
    </w:p>
    <w:p w14:paraId="1F0E39AA" w14:textId="5E64C4D5" w:rsidR="00F47C9C" w:rsidRPr="004D40F4" w:rsidRDefault="006B090A" w:rsidP="00F47C9C">
      <w:pPr>
        <w:rPr>
          <w:rFonts w:ascii="Palatino Linotype" w:hAnsi="Palatino Linotype"/>
          <w:sz w:val="22"/>
          <w:szCs w:val="22"/>
        </w:rPr>
      </w:pPr>
      <w:r>
        <w:rPr>
          <w:rFonts w:ascii="Palatino Linotype" w:hAnsi="Palatino Linotype"/>
          <w:sz w:val="22"/>
          <w:szCs w:val="22"/>
        </w:rPr>
        <w:t>W</w:t>
      </w:r>
      <w:r w:rsidR="00F47C9C" w:rsidRPr="004D40F4">
        <w:rPr>
          <w:rFonts w:ascii="Palatino Linotype" w:hAnsi="Palatino Linotype"/>
          <w:sz w:val="22"/>
          <w:szCs w:val="22"/>
        </w:rPr>
        <w:t xml:space="preserve">e further categorized the standard nursing facilities into one of four quartiles based on the nursing facility’s payment-to-cost ratio.  </w:t>
      </w:r>
      <w:r w:rsidR="00F47C9C">
        <w:rPr>
          <w:rFonts w:ascii="Palatino Linotype" w:hAnsi="Palatino Linotype"/>
          <w:sz w:val="22"/>
          <w:szCs w:val="22"/>
        </w:rPr>
        <w:t>Nursing facilities with the high</w:t>
      </w:r>
      <w:r w:rsidR="00F47C9C" w:rsidRPr="004D40F4">
        <w:rPr>
          <w:rFonts w:ascii="Palatino Linotype" w:hAnsi="Palatino Linotype"/>
          <w:sz w:val="22"/>
          <w:szCs w:val="22"/>
        </w:rPr>
        <w:t>est payment-to-cost ratios were categorized into Quar</w:t>
      </w:r>
      <w:r w:rsidR="00F47C9C">
        <w:rPr>
          <w:rFonts w:ascii="Palatino Linotype" w:hAnsi="Palatino Linotype"/>
          <w:sz w:val="22"/>
          <w:szCs w:val="22"/>
        </w:rPr>
        <w:t>tile 1, while those with the low</w:t>
      </w:r>
      <w:r w:rsidR="00F47C9C" w:rsidRPr="004D40F4">
        <w:rPr>
          <w:rFonts w:ascii="Palatino Linotype" w:hAnsi="Palatino Linotype"/>
          <w:sz w:val="22"/>
          <w:szCs w:val="22"/>
        </w:rPr>
        <w:t>est payment-to-cost ratios were categorized into Quartile 4.  We then examined the characteristics of nursing facilities in each category.</w:t>
      </w:r>
    </w:p>
    <w:p w14:paraId="7FC6E1A1" w14:textId="77777777" w:rsidR="00F47C9C" w:rsidRPr="004D40F4" w:rsidRDefault="00F47C9C" w:rsidP="00F47C9C">
      <w:pPr>
        <w:keepNext/>
        <w:rPr>
          <w:rFonts w:ascii="Palatino Linotype" w:hAnsi="Palatino Linotype"/>
          <w:sz w:val="22"/>
          <w:szCs w:val="22"/>
          <w:u w:val="single"/>
        </w:rPr>
      </w:pPr>
    </w:p>
    <w:p w14:paraId="0BCAEA82" w14:textId="77777777" w:rsidR="00F47C9C" w:rsidRPr="004D40F4" w:rsidRDefault="00F47C9C" w:rsidP="00F47C9C">
      <w:pPr>
        <w:keepNext/>
        <w:rPr>
          <w:rFonts w:ascii="Palatino Linotype" w:hAnsi="Palatino Linotype"/>
          <w:sz w:val="22"/>
          <w:szCs w:val="22"/>
          <w:u w:val="single"/>
        </w:rPr>
      </w:pPr>
      <w:r w:rsidRPr="004D40F4">
        <w:rPr>
          <w:rFonts w:ascii="Palatino Linotype" w:hAnsi="Palatino Linotype"/>
          <w:sz w:val="22"/>
          <w:szCs w:val="22"/>
          <w:u w:val="single"/>
        </w:rPr>
        <w:t>State Fiscal Year 201</w:t>
      </w:r>
      <w:r>
        <w:rPr>
          <w:rFonts w:ascii="Palatino Linotype" w:hAnsi="Palatino Linotype"/>
          <w:sz w:val="22"/>
          <w:szCs w:val="22"/>
          <w:u w:val="single"/>
        </w:rPr>
        <w:t>6</w:t>
      </w:r>
      <w:r w:rsidRPr="004D40F4">
        <w:rPr>
          <w:rFonts w:ascii="Palatino Linotype" w:hAnsi="Palatino Linotype"/>
          <w:sz w:val="22"/>
          <w:szCs w:val="22"/>
          <w:u w:val="single"/>
        </w:rPr>
        <w:t xml:space="preserve"> Rates</w:t>
      </w:r>
    </w:p>
    <w:p w14:paraId="02932B03" w14:textId="77777777" w:rsidR="00F47C9C" w:rsidRPr="004D40F4" w:rsidRDefault="00F47C9C" w:rsidP="00F47C9C">
      <w:pPr>
        <w:keepNext/>
        <w:rPr>
          <w:rFonts w:ascii="Palatino Linotype" w:hAnsi="Palatino Linotype"/>
          <w:sz w:val="22"/>
          <w:szCs w:val="22"/>
          <w:u w:val="single"/>
        </w:rPr>
      </w:pPr>
    </w:p>
    <w:p w14:paraId="62E5C4E4"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Overall Results – All Nursing Facilities</w:t>
      </w:r>
    </w:p>
    <w:p w14:paraId="23BF3E84" w14:textId="77777777" w:rsidR="00F47C9C" w:rsidRPr="004D40F4" w:rsidRDefault="00F47C9C" w:rsidP="00F47C9C">
      <w:pPr>
        <w:keepNext/>
        <w:rPr>
          <w:rFonts w:ascii="Palatino Linotype" w:hAnsi="Palatino Linotype"/>
          <w:i/>
          <w:sz w:val="22"/>
          <w:szCs w:val="22"/>
        </w:rPr>
      </w:pPr>
    </w:p>
    <w:p w14:paraId="7ACE16B5" w14:textId="4CAEEB95" w:rsidR="00F47C9C" w:rsidRPr="004D40F4" w:rsidRDefault="00F47C9C" w:rsidP="00F47C9C">
      <w:pPr>
        <w:rPr>
          <w:rFonts w:ascii="Palatino Linotype" w:hAnsi="Palatino Linotype"/>
          <w:sz w:val="22"/>
          <w:szCs w:val="22"/>
        </w:rPr>
      </w:pPr>
      <w:r w:rsidRPr="004D40F4">
        <w:rPr>
          <w:rFonts w:ascii="Palatino Linotype" w:hAnsi="Palatino Linotype"/>
          <w:sz w:val="22"/>
          <w:szCs w:val="22"/>
        </w:rPr>
        <w:t>As shown in the table above, the rates expected to be in effect for SFY 201</w:t>
      </w:r>
      <w:r>
        <w:rPr>
          <w:rFonts w:ascii="Palatino Linotype" w:hAnsi="Palatino Linotype"/>
          <w:sz w:val="22"/>
          <w:szCs w:val="22"/>
        </w:rPr>
        <w:t>6</w:t>
      </w:r>
      <w:r w:rsidRPr="004D40F4">
        <w:rPr>
          <w:rFonts w:ascii="Palatino Linotype" w:hAnsi="Palatino Linotype"/>
          <w:sz w:val="22"/>
          <w:szCs w:val="22"/>
        </w:rPr>
        <w:t xml:space="preserve"> following the current methodology will result in a statewide average payment-to-cost ratio of </w:t>
      </w:r>
      <w:r w:rsidR="00F644EA">
        <w:rPr>
          <w:rFonts w:ascii="Palatino Linotype" w:hAnsi="Palatino Linotype"/>
          <w:sz w:val="22"/>
          <w:szCs w:val="22"/>
        </w:rPr>
        <w:t>88.2</w:t>
      </w:r>
      <w:r w:rsidRPr="004D40F4">
        <w:rPr>
          <w:rFonts w:ascii="Palatino Linotype" w:hAnsi="Palatino Linotype"/>
          <w:sz w:val="22"/>
          <w:szCs w:val="22"/>
        </w:rPr>
        <w:t xml:space="preserve"> percent.  The standard nursing facilities are expected to have a slightly higher ratio of </w:t>
      </w:r>
      <w:r w:rsidR="00F644EA">
        <w:rPr>
          <w:rFonts w:ascii="Palatino Linotype" w:hAnsi="Palatino Linotype"/>
          <w:sz w:val="22"/>
          <w:szCs w:val="22"/>
        </w:rPr>
        <w:t>89.7</w:t>
      </w:r>
      <w:r w:rsidRPr="004D40F4">
        <w:rPr>
          <w:rFonts w:ascii="Palatino Linotype" w:hAnsi="Palatino Linotype"/>
          <w:sz w:val="22"/>
          <w:szCs w:val="22"/>
        </w:rPr>
        <w:t xml:space="preserve"> percent.</w:t>
      </w:r>
    </w:p>
    <w:p w14:paraId="4F4A05E7" w14:textId="77777777" w:rsidR="00F47C9C" w:rsidRPr="004D40F4" w:rsidRDefault="00F47C9C" w:rsidP="00F47C9C">
      <w:pPr>
        <w:rPr>
          <w:rFonts w:ascii="Palatino Linotype" w:hAnsi="Palatino Linotype"/>
          <w:i/>
          <w:sz w:val="22"/>
          <w:szCs w:val="22"/>
        </w:rPr>
      </w:pPr>
    </w:p>
    <w:p w14:paraId="65D15B56"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Occupancy – Standard Nursing Facilities</w:t>
      </w:r>
    </w:p>
    <w:p w14:paraId="2BA9EC14" w14:textId="77777777" w:rsidR="00F47C9C" w:rsidRPr="004D40F4" w:rsidRDefault="00F47C9C" w:rsidP="00F47C9C">
      <w:pPr>
        <w:keepNext/>
        <w:rPr>
          <w:rFonts w:ascii="Palatino Linotype" w:hAnsi="Palatino Linotype"/>
          <w:i/>
          <w:sz w:val="22"/>
          <w:szCs w:val="22"/>
        </w:rPr>
      </w:pPr>
    </w:p>
    <w:p w14:paraId="15EEE9AE" w14:textId="2329370C" w:rsidR="00F47C9C" w:rsidRDefault="00E22475"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average and median occupancy </w:t>
      </w:r>
      <w:r>
        <w:rPr>
          <w:rFonts w:ascii="Palatino Linotype" w:hAnsi="Palatino Linotype"/>
          <w:sz w:val="22"/>
          <w:szCs w:val="22"/>
        </w:rPr>
        <w:t>for facilities in Quartile 1</w:t>
      </w:r>
      <w:r w:rsidRPr="004D40F4">
        <w:rPr>
          <w:rFonts w:ascii="Palatino Linotype" w:hAnsi="Palatino Linotype"/>
          <w:sz w:val="22"/>
          <w:szCs w:val="22"/>
        </w:rPr>
        <w:t xml:space="preserve"> </w:t>
      </w:r>
      <w:r>
        <w:rPr>
          <w:rFonts w:ascii="Palatino Linotype" w:hAnsi="Palatino Linotype"/>
          <w:sz w:val="22"/>
          <w:szCs w:val="22"/>
        </w:rPr>
        <w:t xml:space="preserve">is higher than the rates for Quartiles 2 and 3, and virtually the same as that of Quartile 4.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Pr="004D40F4">
        <w:rPr>
          <w:rFonts w:ascii="Palatino Linotype" w:hAnsi="Palatino Linotype"/>
          <w:sz w:val="22"/>
          <w:szCs w:val="22"/>
        </w:rPr>
        <w:t>indicates that the rate setting system “rewards” facilities with higher occupancies</w:t>
      </w:r>
      <w:r>
        <w:rPr>
          <w:rFonts w:ascii="Palatino Linotype" w:hAnsi="Palatino Linotype"/>
          <w:sz w:val="22"/>
          <w:szCs w:val="22"/>
        </w:rPr>
        <w:t>, although this appears to be an exception when looking at Quartile 4.</w:t>
      </w:r>
    </w:p>
    <w:p w14:paraId="4AD331C5" w14:textId="77777777" w:rsidR="00E22475" w:rsidRPr="004D40F4" w:rsidRDefault="00E22475" w:rsidP="00F47C9C">
      <w:pPr>
        <w:rPr>
          <w:rFonts w:ascii="Palatino Linotype" w:hAnsi="Palatino Linotype"/>
          <w:sz w:val="22"/>
          <w:szCs w:val="22"/>
        </w:rPr>
      </w:pPr>
    </w:p>
    <w:p w14:paraId="09876698"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Medicaid Percentage – Standard Nursing Facilities</w:t>
      </w:r>
    </w:p>
    <w:p w14:paraId="051EF9D9" w14:textId="77777777" w:rsidR="00F644EA" w:rsidRDefault="00F644EA" w:rsidP="00F47C9C">
      <w:pPr>
        <w:rPr>
          <w:rFonts w:ascii="Palatino Linotype" w:hAnsi="Palatino Linotype"/>
          <w:sz w:val="22"/>
          <w:szCs w:val="22"/>
        </w:rPr>
      </w:pPr>
    </w:p>
    <w:p w14:paraId="10639D34" w14:textId="06D9046A" w:rsidR="00F644EA" w:rsidRPr="004D40F4" w:rsidRDefault="00F644EA"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facilities in Quartile 1 (highest payment-to-cost ratios) </w:t>
      </w:r>
      <w:r>
        <w:rPr>
          <w:rFonts w:ascii="Palatino Linotype" w:hAnsi="Palatino Linotype"/>
          <w:sz w:val="22"/>
          <w:szCs w:val="22"/>
        </w:rPr>
        <w:t xml:space="preserve">tend to </w:t>
      </w:r>
      <w:r w:rsidRPr="004D40F4">
        <w:rPr>
          <w:rFonts w:ascii="Palatino Linotype" w:hAnsi="Palatino Linotype"/>
          <w:sz w:val="22"/>
          <w:szCs w:val="22"/>
        </w:rPr>
        <w:t xml:space="preserve">have </w:t>
      </w:r>
      <w:r>
        <w:rPr>
          <w:rFonts w:ascii="Palatino Linotype" w:hAnsi="Palatino Linotype"/>
          <w:sz w:val="22"/>
          <w:szCs w:val="22"/>
        </w:rPr>
        <w:t>a</w:t>
      </w:r>
      <w:r w:rsidRPr="004D40F4">
        <w:rPr>
          <w:rFonts w:ascii="Palatino Linotype" w:hAnsi="Palatino Linotype"/>
          <w:sz w:val="22"/>
          <w:szCs w:val="22"/>
        </w:rPr>
        <w:t xml:space="preserve"> high Medicaid percentage, while facilities in Quartile 4 (lowest payment-to-cost ratios) have the lowest Medicaid percentage</w:t>
      </w:r>
      <w:r>
        <w:rPr>
          <w:rFonts w:ascii="Palatino Linotype" w:hAnsi="Palatino Linotype"/>
          <w:sz w:val="22"/>
          <w:szCs w:val="22"/>
        </w:rPr>
        <w:t xml:space="preserve">.  </w:t>
      </w:r>
      <w:r w:rsidRPr="004D40F4">
        <w:rPr>
          <w:rFonts w:ascii="Palatino Linotype" w:hAnsi="Palatino Linotype"/>
          <w:sz w:val="22"/>
          <w:szCs w:val="22"/>
        </w:rPr>
        <w:t xml:space="preserve">This statistic </w:t>
      </w:r>
      <w:r>
        <w:rPr>
          <w:rFonts w:ascii="Palatino Linotype" w:hAnsi="Palatino Linotype"/>
          <w:sz w:val="22"/>
          <w:szCs w:val="22"/>
        </w:rPr>
        <w:t xml:space="preserve">generally </w:t>
      </w:r>
      <w:r w:rsidRPr="004D40F4">
        <w:rPr>
          <w:rFonts w:ascii="Palatino Linotype" w:hAnsi="Palatino Linotype"/>
          <w:sz w:val="22"/>
          <w:szCs w:val="22"/>
        </w:rPr>
        <w:t>indicates that the rate setting system “rewards” facilities with higher Medicaid percentages.  Note that the median value generally follows the same trend</w:t>
      </w:r>
      <w:r>
        <w:rPr>
          <w:rFonts w:ascii="Palatino Linotype" w:hAnsi="Palatino Linotype"/>
          <w:sz w:val="22"/>
          <w:szCs w:val="22"/>
        </w:rPr>
        <w:t xml:space="preserve">.  </w:t>
      </w:r>
      <w:r w:rsidRPr="004D40F4">
        <w:rPr>
          <w:rFonts w:ascii="Palatino Linotype" w:hAnsi="Palatino Linotype"/>
          <w:sz w:val="22"/>
          <w:szCs w:val="22"/>
        </w:rPr>
        <w:t xml:space="preserve"> </w:t>
      </w:r>
    </w:p>
    <w:p w14:paraId="73BE883F" w14:textId="77777777" w:rsidR="00F47C9C" w:rsidRPr="004D40F4" w:rsidRDefault="00F47C9C" w:rsidP="00F47C9C">
      <w:pPr>
        <w:rPr>
          <w:rFonts w:ascii="Palatino Linotype" w:hAnsi="Palatino Linotype"/>
          <w:sz w:val="22"/>
          <w:szCs w:val="22"/>
        </w:rPr>
      </w:pPr>
    </w:p>
    <w:p w14:paraId="6F7DD44B"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Cost Per Day – Standard Nursing Facilities</w:t>
      </w:r>
    </w:p>
    <w:p w14:paraId="49462161" w14:textId="77777777" w:rsidR="00F47C9C" w:rsidRPr="004D40F4" w:rsidRDefault="00F47C9C" w:rsidP="00F47C9C">
      <w:pPr>
        <w:keepNext/>
        <w:rPr>
          <w:rFonts w:ascii="Palatino Linotype" w:hAnsi="Palatino Linotype"/>
          <w:i/>
          <w:sz w:val="22"/>
          <w:szCs w:val="22"/>
        </w:rPr>
      </w:pPr>
    </w:p>
    <w:p w14:paraId="227B61E1" w14:textId="77777777" w:rsidR="00F47C9C" w:rsidRDefault="00F47C9C" w:rsidP="00F47C9C">
      <w:pPr>
        <w:rPr>
          <w:rFonts w:ascii="Palatino Linotype" w:hAnsi="Palatino Linotype"/>
          <w:sz w:val="22"/>
          <w:szCs w:val="22"/>
        </w:rPr>
      </w:pPr>
      <w:r w:rsidRPr="004D40F4">
        <w:rPr>
          <w:rFonts w:ascii="Palatino Linotype" w:hAnsi="Palatino Linotype"/>
          <w:sz w:val="22"/>
          <w:szCs w:val="22"/>
        </w:rPr>
        <w:t xml:space="preserve">Examining the results by payment-to-cost quartile shows that the median cost per day adjusted to a facility CMI of 1.0 increases with each successive quartile.  That is, facilities in Quartile 1 (highest payment-to-cost ratios) have the lowest cost per day and facilities in Quartile 4 (lowest </w:t>
      </w:r>
      <w:r w:rsidRPr="004D40F4">
        <w:rPr>
          <w:rFonts w:ascii="Palatino Linotype" w:hAnsi="Palatino Linotype"/>
          <w:sz w:val="22"/>
          <w:szCs w:val="22"/>
        </w:rPr>
        <w:lastRenderedPageBreak/>
        <w:t>payment-to-cost ratios) have the highest cost per day.  This statistic indicates that the rate setting system “rewards” facilities with lower cost per day.</w:t>
      </w:r>
    </w:p>
    <w:p w14:paraId="7266ADD5" w14:textId="77777777" w:rsidR="00F47C9C" w:rsidRPr="00B75C3C" w:rsidRDefault="00F47C9C" w:rsidP="00F47C9C">
      <w:pPr>
        <w:rPr>
          <w:rFonts w:ascii="Palatino Linotype" w:hAnsi="Palatino Linotype"/>
          <w:sz w:val="22"/>
          <w:szCs w:val="22"/>
        </w:rPr>
      </w:pPr>
    </w:p>
    <w:p w14:paraId="6827ADF3" w14:textId="77777777" w:rsidR="00F47C9C" w:rsidRPr="004D40F4" w:rsidRDefault="00F47C9C" w:rsidP="00F47C9C">
      <w:pPr>
        <w:keepNext/>
        <w:rPr>
          <w:rFonts w:ascii="Palatino Linotype" w:hAnsi="Palatino Linotype"/>
          <w:i/>
          <w:sz w:val="22"/>
          <w:szCs w:val="22"/>
        </w:rPr>
      </w:pPr>
      <w:r w:rsidRPr="004D40F4">
        <w:rPr>
          <w:rFonts w:ascii="Palatino Linotype" w:hAnsi="Palatino Linotype"/>
          <w:i/>
          <w:sz w:val="22"/>
          <w:szCs w:val="22"/>
        </w:rPr>
        <w:t>Highest Quartile – Standard Nursing Facilities</w:t>
      </w:r>
    </w:p>
    <w:p w14:paraId="554940EE" w14:textId="77777777" w:rsidR="00F47C9C" w:rsidRPr="004D40F4" w:rsidRDefault="00F47C9C" w:rsidP="00F47C9C">
      <w:pPr>
        <w:keepNext/>
        <w:rPr>
          <w:rFonts w:ascii="Palatino Linotype" w:hAnsi="Palatino Linotype"/>
          <w:i/>
          <w:sz w:val="22"/>
          <w:szCs w:val="22"/>
        </w:rPr>
      </w:pPr>
    </w:p>
    <w:p w14:paraId="767EC864" w14:textId="2B97EF01" w:rsidR="00EE0C9C" w:rsidRPr="00EB1FD8" w:rsidRDefault="00EE0C9C" w:rsidP="00EE0C9C">
      <w:pPr>
        <w:rPr>
          <w:rFonts w:ascii="Palatino Linotype" w:hAnsi="Palatino Linotype"/>
          <w:sz w:val="22"/>
          <w:szCs w:val="22"/>
        </w:rPr>
      </w:pPr>
      <w:r w:rsidRPr="00EB1FD8">
        <w:rPr>
          <w:rFonts w:ascii="Palatino Linotype" w:hAnsi="Palatino Linotype"/>
          <w:sz w:val="22"/>
          <w:szCs w:val="22"/>
        </w:rPr>
        <w:t xml:space="preserve">Examining the nursing facilities in the highest quartile (Quartile 1) shows that </w:t>
      </w:r>
      <w:r>
        <w:rPr>
          <w:rFonts w:ascii="Palatino Linotype" w:hAnsi="Palatino Linotype"/>
          <w:sz w:val="22"/>
          <w:szCs w:val="22"/>
        </w:rPr>
        <w:t xml:space="preserve">all of the 49 nursing facilities have </w:t>
      </w:r>
      <w:r w:rsidRPr="00EB1FD8">
        <w:rPr>
          <w:rFonts w:ascii="Palatino Linotype" w:hAnsi="Palatino Linotype"/>
          <w:sz w:val="22"/>
          <w:szCs w:val="22"/>
        </w:rPr>
        <w:t>payment-to-cost ratio</w:t>
      </w:r>
      <w:r>
        <w:rPr>
          <w:rFonts w:ascii="Palatino Linotype" w:hAnsi="Palatino Linotype"/>
          <w:sz w:val="22"/>
          <w:szCs w:val="22"/>
        </w:rPr>
        <w:t xml:space="preserve">s between 96.3 and </w:t>
      </w:r>
      <w:r w:rsidR="00E22475">
        <w:rPr>
          <w:rFonts w:ascii="Palatino Linotype" w:hAnsi="Palatino Linotype"/>
          <w:sz w:val="22"/>
          <w:szCs w:val="22"/>
        </w:rPr>
        <w:t>114.9</w:t>
      </w:r>
      <w:r>
        <w:rPr>
          <w:rFonts w:ascii="Palatino Linotype" w:hAnsi="Palatino Linotype"/>
          <w:sz w:val="22"/>
          <w:szCs w:val="22"/>
        </w:rPr>
        <w:t xml:space="preserve"> percent. Twenty-three nursing facilities have payment-to-cost ratios of 100 percent or higher. </w:t>
      </w:r>
    </w:p>
    <w:p w14:paraId="78DAA56D" w14:textId="77777777" w:rsidR="00EE0C9C" w:rsidRPr="004D40F4" w:rsidRDefault="00EE0C9C" w:rsidP="00EE0C9C">
      <w:pPr>
        <w:rPr>
          <w:rFonts w:ascii="Palatino Linotype" w:hAnsi="Palatino Linotype"/>
          <w:sz w:val="22"/>
          <w:szCs w:val="22"/>
          <w:highlight w:val="yellow"/>
        </w:rPr>
      </w:pPr>
    </w:p>
    <w:p w14:paraId="77094599" w14:textId="14F1BE87" w:rsidR="00EE0C9C" w:rsidRPr="004D40F4" w:rsidRDefault="00EE0C9C" w:rsidP="00EE0C9C">
      <w:pPr>
        <w:rPr>
          <w:rFonts w:ascii="Palatino Linotype" w:hAnsi="Palatino Linotype"/>
          <w:sz w:val="22"/>
          <w:szCs w:val="22"/>
        </w:rPr>
      </w:pPr>
      <w:r w:rsidRPr="004D40F4">
        <w:rPr>
          <w:rFonts w:ascii="Palatino Linotype" w:hAnsi="Palatino Linotype"/>
          <w:sz w:val="22"/>
          <w:szCs w:val="22"/>
        </w:rPr>
        <w:t xml:space="preserve">See Appendix </w:t>
      </w:r>
      <w:r>
        <w:rPr>
          <w:rFonts w:ascii="Palatino Linotype" w:hAnsi="Palatino Linotype"/>
          <w:sz w:val="22"/>
          <w:szCs w:val="22"/>
        </w:rPr>
        <w:t>A</w:t>
      </w:r>
      <w:r w:rsidRPr="004D40F4">
        <w:rPr>
          <w:rFonts w:ascii="Palatino Linotype" w:hAnsi="Palatino Linotype"/>
          <w:sz w:val="22"/>
          <w:szCs w:val="22"/>
        </w:rPr>
        <w:t xml:space="preserve"> for additional detail on the analysis of the SFY 201</w:t>
      </w:r>
      <w:r>
        <w:rPr>
          <w:rFonts w:ascii="Palatino Linotype" w:hAnsi="Palatino Linotype"/>
          <w:sz w:val="22"/>
          <w:szCs w:val="22"/>
        </w:rPr>
        <w:t>6</w:t>
      </w:r>
      <w:r w:rsidRPr="004D40F4">
        <w:rPr>
          <w:rFonts w:ascii="Palatino Linotype" w:hAnsi="Palatino Linotype"/>
          <w:sz w:val="22"/>
          <w:szCs w:val="22"/>
        </w:rPr>
        <w:t xml:space="preserve"> rates.</w:t>
      </w:r>
    </w:p>
    <w:p w14:paraId="6DC2B77A" w14:textId="77777777" w:rsidR="00E72E83" w:rsidRDefault="00E72E83" w:rsidP="00F47C9C">
      <w:pPr>
        <w:rPr>
          <w:rFonts w:ascii="Palatino Linotype" w:hAnsi="Palatino Linotype"/>
          <w:sz w:val="22"/>
          <w:szCs w:val="22"/>
        </w:rPr>
      </w:pPr>
    </w:p>
    <w:p w14:paraId="7F666611" w14:textId="77777777" w:rsidR="00E72E83" w:rsidRPr="002073AE" w:rsidRDefault="00E72E83" w:rsidP="00E72E83">
      <w:pPr>
        <w:rPr>
          <w:rFonts w:ascii="Palatino Linotype" w:hAnsi="Palatino Linotype"/>
          <w:sz w:val="22"/>
          <w:szCs w:val="22"/>
        </w:rPr>
      </w:pPr>
      <w:r w:rsidRPr="004D40F4">
        <w:rPr>
          <w:rFonts w:ascii="Palatino Linotype" w:hAnsi="Palatino Linotype"/>
          <w:b/>
          <w:sz w:val="22"/>
        </w:rPr>
        <w:t>Conclusion</w:t>
      </w:r>
    </w:p>
    <w:p w14:paraId="16669416" w14:textId="77777777" w:rsidR="00E72E83" w:rsidRPr="000B59B6" w:rsidRDefault="00E72E83" w:rsidP="00E72E83">
      <w:pPr>
        <w:rPr>
          <w:rFonts w:ascii="Palatino Linotype" w:hAnsi="Palatino Linotype"/>
          <w:sz w:val="22"/>
        </w:rPr>
      </w:pPr>
    </w:p>
    <w:p w14:paraId="1BA6C978" w14:textId="45E47389" w:rsidR="00EE0C9C" w:rsidRPr="000C13E8" w:rsidRDefault="00EE0C9C" w:rsidP="00EE0C9C">
      <w:pPr>
        <w:rPr>
          <w:rFonts w:ascii="Palatino Linotype" w:hAnsi="Palatino Linotype"/>
          <w:sz w:val="22"/>
        </w:rPr>
      </w:pPr>
      <w:r w:rsidRPr="000B59B6">
        <w:rPr>
          <w:rFonts w:ascii="Palatino Linotype" w:hAnsi="Palatino Linotype"/>
          <w:sz w:val="22"/>
        </w:rPr>
        <w:t>Our analysis shows that Washington’s current Medicaid payment methodology will pay, in SFY 201</w:t>
      </w:r>
      <w:r>
        <w:rPr>
          <w:rFonts w:ascii="Palatino Linotype" w:hAnsi="Palatino Linotype"/>
          <w:sz w:val="22"/>
        </w:rPr>
        <w:t>6</w:t>
      </w:r>
      <w:r w:rsidRPr="000B59B6">
        <w:rPr>
          <w:rFonts w:ascii="Palatino Linotype" w:hAnsi="Palatino Linotype"/>
          <w:sz w:val="22"/>
        </w:rPr>
        <w:t xml:space="preserve">, approximately </w:t>
      </w:r>
      <w:r>
        <w:rPr>
          <w:rFonts w:ascii="Palatino Linotype" w:hAnsi="Palatino Linotype"/>
          <w:sz w:val="22"/>
        </w:rPr>
        <w:t>89.7</w:t>
      </w:r>
      <w:r w:rsidRPr="000B59B6">
        <w:rPr>
          <w:rFonts w:ascii="Palatino Linotype" w:hAnsi="Palatino Linotype"/>
          <w:sz w:val="22"/>
        </w:rPr>
        <w:t xml:space="preserve"> percent of Medicaid allowable costs incurred by nursing facilities that are not hospital-based, veterans or tribal facilities, and </w:t>
      </w:r>
      <w:r>
        <w:rPr>
          <w:rFonts w:ascii="Palatino Linotype" w:hAnsi="Palatino Linotype"/>
          <w:sz w:val="22"/>
        </w:rPr>
        <w:t xml:space="preserve">88.2 percent </w:t>
      </w:r>
      <w:r w:rsidRPr="000B59B6">
        <w:rPr>
          <w:rFonts w:ascii="Palatino Linotype" w:hAnsi="Palatino Linotype"/>
          <w:sz w:val="22"/>
        </w:rPr>
        <w:t xml:space="preserve">when including those facilities.  We estimate that </w:t>
      </w:r>
      <w:r>
        <w:rPr>
          <w:rFonts w:ascii="Palatino Linotype" w:hAnsi="Palatino Linotype"/>
          <w:sz w:val="22"/>
        </w:rPr>
        <w:t>23</w:t>
      </w:r>
      <w:r w:rsidRPr="000B59B6">
        <w:rPr>
          <w:rFonts w:ascii="Palatino Linotype" w:hAnsi="Palatino Linotype"/>
          <w:sz w:val="22"/>
        </w:rPr>
        <w:t xml:space="preserve"> nursing facilities would receive </w:t>
      </w:r>
      <w:r>
        <w:rPr>
          <w:rFonts w:ascii="Palatino Linotype" w:hAnsi="Palatino Linotype"/>
          <w:sz w:val="22"/>
        </w:rPr>
        <w:t>100</w:t>
      </w:r>
      <w:r w:rsidRPr="000B59B6">
        <w:rPr>
          <w:rFonts w:ascii="Palatino Linotype" w:hAnsi="Palatino Linotype"/>
          <w:sz w:val="22"/>
        </w:rPr>
        <w:t xml:space="preserve"> percent or more of their Medicaid allowable cost, with an additional </w:t>
      </w:r>
      <w:r>
        <w:rPr>
          <w:rFonts w:ascii="Palatino Linotype" w:hAnsi="Palatino Linotype"/>
          <w:sz w:val="22"/>
        </w:rPr>
        <w:t>36</w:t>
      </w:r>
      <w:r w:rsidRPr="000B59B6">
        <w:rPr>
          <w:rFonts w:ascii="Palatino Linotype" w:hAnsi="Palatino Linotype"/>
          <w:sz w:val="22"/>
        </w:rPr>
        <w:t xml:space="preserve"> facilities receiving more than 9</w:t>
      </w:r>
      <w:r>
        <w:rPr>
          <w:rFonts w:ascii="Palatino Linotype" w:hAnsi="Palatino Linotype"/>
          <w:sz w:val="22"/>
        </w:rPr>
        <w:t>5</w:t>
      </w:r>
      <w:r w:rsidRPr="000B59B6">
        <w:rPr>
          <w:rFonts w:ascii="Palatino Linotype" w:hAnsi="Palatino Linotype"/>
          <w:sz w:val="22"/>
        </w:rPr>
        <w:t xml:space="preserve"> percent</w:t>
      </w:r>
      <w:r>
        <w:rPr>
          <w:rFonts w:ascii="Palatino Linotype" w:hAnsi="Palatino Linotype"/>
          <w:sz w:val="22"/>
        </w:rPr>
        <w:t xml:space="preserve"> of cost, and another 44 receiving 90 percent or more.  Our analyses</w:t>
      </w:r>
      <w:r w:rsidRPr="000C13E8">
        <w:rPr>
          <w:rFonts w:ascii="Palatino Linotype" w:hAnsi="Palatino Linotype"/>
          <w:sz w:val="22"/>
        </w:rPr>
        <w:t xml:space="preserve"> of access to and quality of care, descr</w:t>
      </w:r>
      <w:r w:rsidR="004B1660">
        <w:rPr>
          <w:rFonts w:ascii="Palatino Linotype" w:hAnsi="Palatino Linotype"/>
          <w:sz w:val="22"/>
        </w:rPr>
        <w:t>ibed in Sections 2 and 3 of the February 2015</w:t>
      </w:r>
      <w:r w:rsidRPr="000C13E8">
        <w:rPr>
          <w:rFonts w:ascii="Palatino Linotype" w:hAnsi="Palatino Linotype"/>
          <w:sz w:val="22"/>
        </w:rPr>
        <w:t xml:space="preserve"> report, respectively, indicate that the current methodology provides rates for services that have been sufficient to maintain adequate access to care of reasonable quality.</w:t>
      </w:r>
      <w:r>
        <w:rPr>
          <w:rFonts w:ascii="Palatino Linotype" w:hAnsi="Palatino Linotype"/>
          <w:sz w:val="22"/>
        </w:rPr>
        <w:t xml:space="preserve">  We should note, however, that the data related to the frequency of survey deficiencies shows some slight increases for some deficiency categories.</w:t>
      </w:r>
    </w:p>
    <w:p w14:paraId="688BBC29" w14:textId="77777777" w:rsidR="00EE0C9C" w:rsidRPr="004D40F4" w:rsidRDefault="00EE0C9C" w:rsidP="00EE0C9C">
      <w:pPr>
        <w:rPr>
          <w:rFonts w:ascii="Palatino Linotype" w:hAnsi="Palatino Linotype"/>
          <w:sz w:val="22"/>
        </w:rPr>
      </w:pPr>
    </w:p>
    <w:p w14:paraId="53BE5A3E" w14:textId="77777777" w:rsidR="00EE0C9C" w:rsidRDefault="00EE0C9C" w:rsidP="00EE0C9C">
      <w:pPr>
        <w:rPr>
          <w:rFonts w:ascii="Palatino Linotype" w:hAnsi="Palatino Linotype"/>
          <w:sz w:val="22"/>
        </w:rPr>
      </w:pPr>
      <w:r w:rsidRPr="004D40F4">
        <w:rPr>
          <w:rFonts w:ascii="Palatino Linotype" w:hAnsi="Palatino Linotype"/>
          <w:sz w:val="22"/>
        </w:rPr>
        <w:t xml:space="preserve">The current system appears to have been designed to effectively </w:t>
      </w:r>
      <w:r>
        <w:rPr>
          <w:rFonts w:ascii="Palatino Linotype" w:hAnsi="Palatino Linotype"/>
          <w:sz w:val="22"/>
        </w:rPr>
        <w:t xml:space="preserve">pay a higher proportion of costs to the </w:t>
      </w:r>
      <w:r w:rsidRPr="004D40F4">
        <w:rPr>
          <w:rFonts w:ascii="Palatino Linotype" w:hAnsi="Palatino Linotype"/>
          <w:sz w:val="22"/>
        </w:rPr>
        <w:t>providers who are the most efficient, as measured by lower average Medicaid cost per day, adjusted for differences in case-mix, and as measured by total occupancy rates and Medicaid utilization.  In other words, nursing facilities with lower case-mix adjusted cost per day, higher occupancy and higher Medicaid utilization tend to fare better under the current system</w:t>
      </w:r>
      <w:r>
        <w:rPr>
          <w:rFonts w:ascii="Palatino Linotype" w:hAnsi="Palatino Linotype"/>
          <w:sz w:val="22"/>
        </w:rPr>
        <w:t xml:space="preserve"> when compared to the costs of providing services</w:t>
      </w:r>
      <w:r w:rsidRPr="004D40F4">
        <w:rPr>
          <w:rFonts w:ascii="Palatino Linotype" w:hAnsi="Palatino Linotype"/>
          <w:sz w:val="22"/>
        </w:rPr>
        <w:t>.</w:t>
      </w:r>
      <w:r>
        <w:rPr>
          <w:rFonts w:ascii="Palatino Linotype" w:hAnsi="Palatino Linotype"/>
          <w:sz w:val="22"/>
        </w:rPr>
        <w:t xml:space="preserve">  </w:t>
      </w:r>
    </w:p>
    <w:p w14:paraId="4898E533" w14:textId="77777777" w:rsidR="00EE0C9C" w:rsidRPr="004D40F4" w:rsidRDefault="00EE0C9C" w:rsidP="00EE0C9C">
      <w:pPr>
        <w:rPr>
          <w:rFonts w:ascii="Palatino Linotype" w:hAnsi="Palatino Linotype"/>
          <w:sz w:val="22"/>
        </w:rPr>
      </w:pPr>
    </w:p>
    <w:p w14:paraId="0C6DB1BE" w14:textId="5FFDCD45" w:rsidR="00BD0A02" w:rsidRDefault="00EE0C9C" w:rsidP="008A694E">
      <w:pPr>
        <w:rPr>
          <w:rFonts w:ascii="Palatino Linotype" w:hAnsi="Palatino Linotype"/>
          <w:sz w:val="22"/>
        </w:rPr>
      </w:pPr>
      <w:r>
        <w:rPr>
          <w:rFonts w:ascii="Palatino Linotype" w:hAnsi="Palatino Linotype"/>
          <w:sz w:val="22"/>
        </w:rPr>
        <w:t>It is expected that rates in SFY 2016</w:t>
      </w:r>
      <w:r w:rsidR="006B090A">
        <w:rPr>
          <w:rFonts w:ascii="Palatino Linotype" w:hAnsi="Palatino Linotype"/>
          <w:sz w:val="22"/>
        </w:rPr>
        <w:t>, that are based on the current</w:t>
      </w:r>
      <w:r w:rsidR="004B1660">
        <w:rPr>
          <w:rFonts w:ascii="Palatino Linotype" w:hAnsi="Palatino Linotype"/>
          <w:sz w:val="22"/>
        </w:rPr>
        <w:t xml:space="preserve"> methodology, </w:t>
      </w:r>
      <w:r>
        <w:rPr>
          <w:rFonts w:ascii="Palatino Linotype" w:hAnsi="Palatino Linotype"/>
          <w:sz w:val="22"/>
        </w:rPr>
        <w:t>will result in slightly lower payment-t</w:t>
      </w:r>
      <w:r w:rsidR="004B1660">
        <w:rPr>
          <w:rFonts w:ascii="Palatino Linotype" w:hAnsi="Palatino Linotype"/>
          <w:sz w:val="22"/>
        </w:rPr>
        <w:t xml:space="preserve">o-cost coverage </w:t>
      </w:r>
      <w:r w:rsidR="00BD0A02">
        <w:rPr>
          <w:rFonts w:ascii="Palatino Linotype" w:hAnsi="Palatino Linotype"/>
          <w:sz w:val="22"/>
        </w:rPr>
        <w:t xml:space="preserve">for SFY 2016 </w:t>
      </w:r>
      <w:r w:rsidR="004B1660">
        <w:rPr>
          <w:rFonts w:ascii="Palatino Linotype" w:hAnsi="Palatino Linotype"/>
          <w:sz w:val="22"/>
        </w:rPr>
        <w:t>than previously determined in the February 2015 report provided to the Department</w:t>
      </w:r>
      <w:r>
        <w:rPr>
          <w:rFonts w:ascii="Palatino Linotype" w:hAnsi="Palatino Linotype"/>
          <w:sz w:val="22"/>
        </w:rPr>
        <w:t xml:space="preserve">.  </w:t>
      </w:r>
      <w:r w:rsidR="00BD0A02" w:rsidRPr="00BD0A02">
        <w:rPr>
          <w:rFonts w:ascii="Palatino Linotype" w:hAnsi="Palatino Linotype"/>
          <w:sz w:val="22"/>
        </w:rPr>
        <w:t xml:space="preserve">However, it should be noted that while the pay-to-cost ratio for all </w:t>
      </w:r>
      <w:r w:rsidR="00BD0A02">
        <w:rPr>
          <w:rFonts w:ascii="Palatino Linotype" w:hAnsi="Palatino Linotype"/>
          <w:sz w:val="22"/>
        </w:rPr>
        <w:t>nursing facilities is decreasing</w:t>
      </w:r>
      <w:r w:rsidR="00BD0A02" w:rsidRPr="00BD0A02">
        <w:rPr>
          <w:rFonts w:ascii="Palatino Linotype" w:hAnsi="Palatino Linotype"/>
          <w:sz w:val="22"/>
        </w:rPr>
        <w:t>, the pay-</w:t>
      </w:r>
      <w:r w:rsidR="00BD0A02">
        <w:rPr>
          <w:rFonts w:ascii="Palatino Linotype" w:hAnsi="Palatino Linotype"/>
          <w:sz w:val="22"/>
        </w:rPr>
        <w:t>to-cost ratios actually increases</w:t>
      </w:r>
      <w:r w:rsidR="00BD0A02" w:rsidRPr="00BD0A02">
        <w:rPr>
          <w:rFonts w:ascii="Palatino Linotype" w:hAnsi="Palatino Linotype"/>
          <w:sz w:val="22"/>
        </w:rPr>
        <w:t xml:space="preserve"> by approximately </w:t>
      </w:r>
      <w:r w:rsidR="00BD0A02">
        <w:rPr>
          <w:rFonts w:ascii="Palatino Linotype" w:hAnsi="Palatino Linotype"/>
          <w:sz w:val="22"/>
        </w:rPr>
        <w:t>0.2</w:t>
      </w:r>
      <w:r w:rsidR="00BD0A02" w:rsidRPr="00BD0A02">
        <w:rPr>
          <w:rFonts w:ascii="Palatino Linotype" w:hAnsi="Palatino Linotype"/>
          <w:sz w:val="22"/>
        </w:rPr>
        <w:t xml:space="preserve"> percent for hospital-based nursing fa</w:t>
      </w:r>
      <w:r w:rsidR="00BD0A02">
        <w:rPr>
          <w:rFonts w:ascii="Palatino Linotype" w:hAnsi="Palatino Linotype"/>
          <w:sz w:val="22"/>
        </w:rPr>
        <w:t>cilities, and by approximately 2.4</w:t>
      </w:r>
      <w:r w:rsidR="00BD0A02" w:rsidRPr="00BD0A02">
        <w:rPr>
          <w:rFonts w:ascii="Palatino Linotype" w:hAnsi="Palatino Linotype"/>
          <w:sz w:val="22"/>
        </w:rPr>
        <w:t xml:space="preserve"> percent for veteran and tribal nursing facilities when compared to the pay-to-cost ratios for these facilities under the current reimbursement methodology.</w:t>
      </w:r>
      <w:r w:rsidR="00BD0A02">
        <w:rPr>
          <w:rFonts w:ascii="Palatino Linotype" w:hAnsi="Palatino Linotype"/>
          <w:sz w:val="22"/>
        </w:rPr>
        <w:t xml:space="preserve">  </w:t>
      </w:r>
    </w:p>
    <w:p w14:paraId="60F725DA" w14:textId="77777777" w:rsidR="00BD0A02" w:rsidRDefault="00BD0A02" w:rsidP="008A694E">
      <w:pPr>
        <w:rPr>
          <w:rFonts w:ascii="Palatino Linotype" w:hAnsi="Palatino Linotype"/>
          <w:sz w:val="22"/>
        </w:rPr>
      </w:pPr>
    </w:p>
    <w:p w14:paraId="0269042C" w14:textId="34557999" w:rsidR="00F47C9C" w:rsidRPr="008A694E" w:rsidRDefault="00BD0A02" w:rsidP="008A694E">
      <w:pPr>
        <w:rPr>
          <w:rFonts w:ascii="Palatino Linotype" w:hAnsi="Palatino Linotype"/>
          <w:sz w:val="22"/>
        </w:rPr>
      </w:pPr>
      <w:r>
        <w:rPr>
          <w:rFonts w:ascii="Palatino Linotype" w:hAnsi="Palatino Linotype"/>
          <w:sz w:val="22"/>
        </w:rPr>
        <w:t>Overall, i</w:t>
      </w:r>
      <w:r w:rsidR="00EE0C9C" w:rsidRPr="004D40F4">
        <w:rPr>
          <w:rFonts w:ascii="Palatino Linotype" w:hAnsi="Palatino Linotype"/>
          <w:sz w:val="22"/>
        </w:rPr>
        <w:t>t wou</w:t>
      </w:r>
      <w:r w:rsidR="00EE0C9C">
        <w:rPr>
          <w:rFonts w:ascii="Palatino Linotype" w:hAnsi="Palatino Linotype"/>
          <w:sz w:val="22"/>
        </w:rPr>
        <w:t xml:space="preserve">ld be difficult to predict the </w:t>
      </w:r>
      <w:r w:rsidR="00EE0C9C" w:rsidRPr="004D40F4">
        <w:rPr>
          <w:rFonts w:ascii="Palatino Linotype" w:hAnsi="Palatino Linotype"/>
          <w:sz w:val="22"/>
        </w:rPr>
        <w:t>impact</w:t>
      </w:r>
      <w:r w:rsidR="00EE0C9C">
        <w:rPr>
          <w:rFonts w:ascii="Palatino Linotype" w:hAnsi="Palatino Linotype"/>
          <w:sz w:val="22"/>
        </w:rPr>
        <w:t xml:space="preserve"> of no funding or rate increases</w:t>
      </w:r>
      <w:r w:rsidR="00EE0C9C" w:rsidRPr="004D40F4">
        <w:rPr>
          <w:rFonts w:ascii="Palatino Linotype" w:hAnsi="Palatino Linotype"/>
          <w:sz w:val="22"/>
        </w:rPr>
        <w:t xml:space="preserve"> </w:t>
      </w:r>
      <w:r w:rsidR="00EE0C9C">
        <w:rPr>
          <w:rFonts w:ascii="Palatino Linotype" w:hAnsi="Palatino Linotype"/>
          <w:sz w:val="22"/>
        </w:rPr>
        <w:t>up</w:t>
      </w:r>
      <w:r w:rsidR="00EE0C9C" w:rsidRPr="004D40F4">
        <w:rPr>
          <w:rFonts w:ascii="Palatino Linotype" w:hAnsi="Palatino Linotype"/>
          <w:sz w:val="22"/>
        </w:rPr>
        <w:t>on access and quality in the State’s nursing facilities</w:t>
      </w:r>
      <w:r w:rsidR="00EE0C9C">
        <w:rPr>
          <w:rFonts w:ascii="Palatino Linotype" w:hAnsi="Palatino Linotype"/>
          <w:sz w:val="22"/>
        </w:rPr>
        <w:t>.  We believe</w:t>
      </w:r>
      <w:r w:rsidR="00EE0C9C" w:rsidRPr="004D40F4">
        <w:rPr>
          <w:rFonts w:ascii="Palatino Linotype" w:hAnsi="Palatino Linotype"/>
          <w:sz w:val="22"/>
        </w:rPr>
        <w:t xml:space="preserve"> that </w:t>
      </w:r>
      <w:r w:rsidR="00EE0C9C">
        <w:rPr>
          <w:rFonts w:ascii="Palatino Linotype" w:hAnsi="Palatino Linotype"/>
          <w:sz w:val="22"/>
        </w:rPr>
        <w:t>it may</w:t>
      </w:r>
      <w:r w:rsidR="00EE0C9C" w:rsidRPr="004D40F4">
        <w:rPr>
          <w:rFonts w:ascii="Palatino Linotype" w:hAnsi="Palatino Linotype"/>
          <w:sz w:val="22"/>
        </w:rPr>
        <w:t xml:space="preserve"> </w:t>
      </w:r>
      <w:r w:rsidR="00EE0C9C">
        <w:rPr>
          <w:rFonts w:ascii="Palatino Linotype" w:hAnsi="Palatino Linotype"/>
          <w:sz w:val="22"/>
        </w:rPr>
        <w:t>motivate</w:t>
      </w:r>
      <w:r w:rsidR="00EE0C9C" w:rsidRPr="004D40F4">
        <w:rPr>
          <w:rFonts w:ascii="Palatino Linotype" w:hAnsi="Palatino Linotype"/>
          <w:sz w:val="22"/>
        </w:rPr>
        <w:t xml:space="preserve"> the facilities to operate more efficiently by reducing expenditures</w:t>
      </w:r>
      <w:r w:rsidR="00EE0C9C">
        <w:rPr>
          <w:rFonts w:ascii="Palatino Linotype" w:hAnsi="Palatino Linotype"/>
          <w:sz w:val="22"/>
        </w:rPr>
        <w:t xml:space="preserve"> and</w:t>
      </w:r>
      <w:r w:rsidR="00EE0C9C" w:rsidRPr="004D40F4">
        <w:rPr>
          <w:rFonts w:ascii="Palatino Linotype" w:hAnsi="Palatino Linotype"/>
          <w:sz w:val="22"/>
        </w:rPr>
        <w:t xml:space="preserve"> possibly </w:t>
      </w:r>
      <w:r w:rsidR="00EE0C9C">
        <w:rPr>
          <w:rFonts w:ascii="Palatino Linotype" w:hAnsi="Palatino Linotype"/>
          <w:sz w:val="22"/>
        </w:rPr>
        <w:t xml:space="preserve">require facilities to increase </w:t>
      </w:r>
      <w:r w:rsidR="00EE0C9C">
        <w:rPr>
          <w:rFonts w:ascii="Palatino Linotype" w:hAnsi="Palatino Linotype"/>
          <w:sz w:val="22"/>
        </w:rPr>
        <w:lastRenderedPageBreak/>
        <w:t xml:space="preserve">rates for </w:t>
      </w:r>
      <w:r w:rsidR="00EE0C9C" w:rsidRPr="004D40F4">
        <w:rPr>
          <w:rFonts w:ascii="Palatino Linotype" w:hAnsi="Palatino Linotype"/>
          <w:sz w:val="22"/>
        </w:rPr>
        <w:t>private pay residents, and/or increase other non-operating revenue such as investment income and donations.</w:t>
      </w:r>
    </w:p>
    <w:sectPr w:rsidR="00F47C9C" w:rsidRPr="008A694E" w:rsidSect="00F0578E">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FC90" w14:textId="77777777" w:rsidR="00F47C9C" w:rsidRDefault="00F47C9C" w:rsidP="00F47C9C">
      <w:r>
        <w:separator/>
      </w:r>
    </w:p>
  </w:endnote>
  <w:endnote w:type="continuationSeparator" w:id="0">
    <w:p w14:paraId="356C43EA" w14:textId="77777777" w:rsidR="00F47C9C" w:rsidRDefault="00F47C9C" w:rsidP="00F4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60274"/>
      <w:docPartObj>
        <w:docPartGallery w:val="Page Numbers (Bottom of Page)"/>
        <w:docPartUnique/>
      </w:docPartObj>
    </w:sdtPr>
    <w:sdtEndPr>
      <w:rPr>
        <w:rFonts w:ascii="Palatino Linotype" w:hAnsi="Palatino Linotype"/>
        <w:b/>
        <w:noProof/>
        <w:sz w:val="22"/>
      </w:rPr>
    </w:sdtEndPr>
    <w:sdtContent>
      <w:p w14:paraId="411002A1" w14:textId="77777777" w:rsidR="00F47C9C" w:rsidRPr="00F47C9C" w:rsidRDefault="00F47C9C" w:rsidP="00F47C9C">
        <w:pPr>
          <w:pStyle w:val="Footer"/>
          <w:rPr>
            <w:rFonts w:ascii="Palatino Linotype" w:hAnsi="Palatino Linotype"/>
            <w:b/>
            <w:sz w:val="22"/>
          </w:rPr>
        </w:pPr>
        <w:r>
          <w:rPr>
            <w:rFonts w:ascii="Palatino Linotype" w:hAnsi="Palatino Linotype"/>
            <w:b/>
            <w:sz w:val="22"/>
          </w:rPr>
          <w:t>Final Draft – March 2015</w:t>
        </w:r>
        <w:r>
          <w:rPr>
            <w:rFonts w:ascii="Palatino Linotype" w:hAnsi="Palatino Linotype"/>
            <w:b/>
            <w:sz w:val="22"/>
          </w:rPr>
          <w:tab/>
        </w:r>
        <w:r w:rsidRPr="00F47C9C">
          <w:rPr>
            <w:rFonts w:ascii="Palatino Linotype" w:hAnsi="Palatino Linotype"/>
            <w:b/>
            <w:sz w:val="22"/>
          </w:rPr>
          <w:fldChar w:fldCharType="begin"/>
        </w:r>
        <w:r w:rsidRPr="00F47C9C">
          <w:rPr>
            <w:rFonts w:ascii="Palatino Linotype" w:hAnsi="Palatino Linotype"/>
            <w:b/>
            <w:sz w:val="22"/>
          </w:rPr>
          <w:instrText xml:space="preserve"> PAGE   \* MERGEFORMAT </w:instrText>
        </w:r>
        <w:r w:rsidRPr="00F47C9C">
          <w:rPr>
            <w:rFonts w:ascii="Palatino Linotype" w:hAnsi="Palatino Linotype"/>
            <w:b/>
            <w:sz w:val="22"/>
          </w:rPr>
          <w:fldChar w:fldCharType="separate"/>
        </w:r>
        <w:r w:rsidR="00742685">
          <w:rPr>
            <w:rFonts w:ascii="Palatino Linotype" w:hAnsi="Palatino Linotype"/>
            <w:b/>
            <w:noProof/>
            <w:sz w:val="22"/>
          </w:rPr>
          <w:t>2</w:t>
        </w:r>
        <w:r w:rsidRPr="00F47C9C">
          <w:rPr>
            <w:rFonts w:ascii="Palatino Linotype" w:hAnsi="Palatino Linotype"/>
            <w:b/>
            <w:noProof/>
            <w:sz w:val="22"/>
          </w:rPr>
          <w:fldChar w:fldCharType="end"/>
        </w:r>
        <w:r>
          <w:rPr>
            <w:rFonts w:ascii="Palatino Linotype" w:hAnsi="Palatino Linotype"/>
            <w:b/>
            <w:noProof/>
            <w:sz w:val="22"/>
          </w:rPr>
          <w:tab/>
          <w:t>Navigant Consulting, Inc.</w:t>
        </w:r>
      </w:p>
    </w:sdtContent>
  </w:sdt>
  <w:p w14:paraId="1E41B262" w14:textId="77777777" w:rsidR="00F47C9C" w:rsidRDefault="00F4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7917" w14:textId="77777777" w:rsidR="00F47C9C" w:rsidRDefault="00F47C9C" w:rsidP="00F47C9C">
      <w:r>
        <w:separator/>
      </w:r>
    </w:p>
  </w:footnote>
  <w:footnote w:type="continuationSeparator" w:id="0">
    <w:p w14:paraId="7C22FA48" w14:textId="77777777" w:rsidR="00F47C9C" w:rsidRDefault="00F47C9C" w:rsidP="00F47C9C">
      <w:r>
        <w:continuationSeparator/>
      </w:r>
    </w:p>
  </w:footnote>
  <w:footnote w:id="1">
    <w:p w14:paraId="20DB8704" w14:textId="69F9E971" w:rsidR="000E1F58" w:rsidRPr="00466D19" w:rsidRDefault="000E1F58" w:rsidP="000E1F58">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w:t>
      </w:r>
      <w:r>
        <w:rPr>
          <w:rFonts w:ascii="Palatino Linotype" w:hAnsi="Palatino Linotype"/>
          <w:sz w:val="18"/>
          <w:szCs w:val="18"/>
        </w:rPr>
        <w:t>Note that one facility (</w:t>
      </w:r>
      <w:proofErr w:type="spellStart"/>
      <w:r>
        <w:rPr>
          <w:rFonts w:ascii="Palatino Linotype" w:hAnsi="Palatino Linotype"/>
          <w:sz w:val="18"/>
          <w:szCs w:val="18"/>
        </w:rPr>
        <w:t>Avamere</w:t>
      </w:r>
      <w:proofErr w:type="spellEnd"/>
      <w:r>
        <w:rPr>
          <w:rFonts w:ascii="Palatino Linotype" w:hAnsi="Palatino Linotype"/>
          <w:sz w:val="18"/>
          <w:szCs w:val="18"/>
        </w:rPr>
        <w:t xml:space="preserve"> Georgian House) closed on January 22, 2015 and is excluded from the analysis. This provider was included in the February report provided to the Department. </w:t>
      </w:r>
      <w:r w:rsidRPr="00466D19">
        <w:rPr>
          <w:rFonts w:ascii="Palatino Linotype" w:hAnsi="Palatino Linotype"/>
          <w:sz w:val="18"/>
          <w:szCs w:val="18"/>
        </w:rPr>
        <w:t xml:space="preserve"> </w:t>
      </w:r>
    </w:p>
  </w:footnote>
  <w:footnote w:id="2">
    <w:p w14:paraId="7DD33BF7" w14:textId="77777777" w:rsidR="00F47C9C" w:rsidRPr="00B208EB" w:rsidRDefault="00F47C9C" w:rsidP="00F47C9C">
      <w:pPr>
        <w:pStyle w:val="FootnoteText"/>
        <w:rPr>
          <w:rFonts w:ascii="Palatino Linotype" w:hAnsi="Palatino Linotype"/>
          <w:sz w:val="18"/>
          <w:szCs w:val="18"/>
        </w:rPr>
      </w:pPr>
      <w:r>
        <w:rPr>
          <w:rStyle w:val="FootnoteReference"/>
        </w:rPr>
        <w:footnoteRef/>
      </w:r>
      <w:r>
        <w:t xml:space="preserve"> </w:t>
      </w:r>
      <w:r w:rsidRPr="00B208EB">
        <w:rPr>
          <w:rFonts w:ascii="Palatino Linotype" w:hAnsi="Palatino Linotype"/>
          <w:sz w:val="18"/>
          <w:szCs w:val="18"/>
        </w:rPr>
        <w:t xml:space="preserve">A case mix index is a measure, expressed as a factor, which is indicative of the expected “relative” resources that will be required to care for individuals in a nursing facility.  Using data extracted from a nationally standardized resident assessment instrument, a case mix score is determined for each nursing facility resident, which indicates the resources required for that resident compared to the average of all residents.  A facility’s case mix index is the average of the case mix scores for all residents in the facility at a given point in time.  </w:t>
      </w:r>
    </w:p>
  </w:footnote>
  <w:footnote w:id="3">
    <w:p w14:paraId="2BB073AF" w14:textId="77777777" w:rsidR="00F47C9C" w:rsidRPr="00B208EB" w:rsidRDefault="00F47C9C" w:rsidP="00F47C9C">
      <w:pPr>
        <w:pStyle w:val="FootnoteText"/>
        <w:rPr>
          <w:rFonts w:ascii="Palatino Linotype" w:hAnsi="Palatino Linotype"/>
          <w:sz w:val="18"/>
          <w:szCs w:val="18"/>
        </w:rPr>
      </w:pPr>
      <w:r w:rsidRPr="00B208EB">
        <w:rPr>
          <w:rStyle w:val="FootnoteReference"/>
          <w:rFonts w:ascii="Palatino Linotype" w:hAnsi="Palatino Linotype"/>
          <w:sz w:val="18"/>
          <w:szCs w:val="18"/>
        </w:rPr>
        <w:footnoteRef/>
      </w:r>
      <w:r w:rsidRPr="00B208EB">
        <w:rPr>
          <w:rFonts w:ascii="Palatino Linotype" w:hAnsi="Palatino Linotype"/>
          <w:sz w:val="18"/>
          <w:szCs w:val="18"/>
        </w:rPr>
        <w:t xml:space="preserve"> This case mix index was calculated “without defaults”.  As we understand, a CMI calculated “without defaults” excludes any individuals with a missing case mix score.  A CMI “with defaults” would include those individuals in the counts and add a 1.0 case mix score for the individual.</w:t>
      </w:r>
    </w:p>
  </w:footnote>
  <w:footnote w:id="4">
    <w:p w14:paraId="2B52CB48" w14:textId="77777777" w:rsidR="00F47C9C" w:rsidRPr="00B208EB" w:rsidRDefault="00F47C9C" w:rsidP="00F47C9C">
      <w:pPr>
        <w:pStyle w:val="FootnoteText"/>
        <w:rPr>
          <w:rFonts w:ascii="Palatino Linotype" w:hAnsi="Palatino Linotype"/>
          <w:sz w:val="18"/>
          <w:szCs w:val="18"/>
        </w:rPr>
      </w:pPr>
      <w:r w:rsidRPr="00B208EB">
        <w:rPr>
          <w:rStyle w:val="FootnoteReference"/>
          <w:rFonts w:ascii="Palatino Linotype" w:hAnsi="Palatino Linotype"/>
          <w:sz w:val="18"/>
          <w:szCs w:val="18"/>
        </w:rPr>
        <w:footnoteRef/>
      </w:r>
      <w:r w:rsidRPr="00B208EB">
        <w:rPr>
          <w:rFonts w:ascii="Palatino Linotype" w:hAnsi="Palatino Linotype"/>
          <w:sz w:val="18"/>
          <w:szCs w:val="18"/>
        </w:rPr>
        <w:t xml:space="preserve"> </w:t>
      </w:r>
      <w:r>
        <w:rPr>
          <w:rFonts w:ascii="Palatino Linotype" w:hAnsi="Palatino Linotype"/>
          <w:sz w:val="18"/>
          <w:szCs w:val="18"/>
        </w:rPr>
        <w:t>This CMI was calculated “with</w:t>
      </w:r>
      <w:r w:rsidRPr="00B208EB">
        <w:rPr>
          <w:rFonts w:ascii="Palatino Linotype" w:hAnsi="Palatino Linotype"/>
          <w:sz w:val="18"/>
          <w:szCs w:val="18"/>
        </w:rPr>
        <w:t xml:space="preserve"> defaults” as described in the previous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8BDF" w14:textId="77777777" w:rsidR="00F47C9C" w:rsidRDefault="00F47C9C">
    <w:pPr>
      <w:pStyle w:val="Header"/>
      <w:rPr>
        <w:rFonts w:ascii="Palatino Linotype" w:hAnsi="Palatino Linotype"/>
        <w:b/>
        <w:sz w:val="22"/>
      </w:rPr>
    </w:pPr>
    <w:r w:rsidRPr="00F47C9C">
      <w:rPr>
        <w:rFonts w:ascii="Palatino Linotype" w:hAnsi="Palatino Linotype"/>
        <w:b/>
        <w:sz w:val="22"/>
      </w:rPr>
      <w:t xml:space="preserve">DSHS </w:t>
    </w:r>
  </w:p>
  <w:p w14:paraId="466CDCCD" w14:textId="589C6D8F" w:rsidR="00F47C9C" w:rsidRDefault="00F47C9C">
    <w:pPr>
      <w:pStyle w:val="Header"/>
      <w:rPr>
        <w:rFonts w:ascii="Palatino Linotype" w:hAnsi="Palatino Linotype"/>
        <w:b/>
        <w:sz w:val="22"/>
      </w:rPr>
    </w:pPr>
    <w:r w:rsidRPr="00F47C9C">
      <w:rPr>
        <w:rFonts w:ascii="Palatino Linotype" w:hAnsi="Palatino Linotype"/>
        <w:b/>
        <w:sz w:val="22"/>
      </w:rPr>
      <w:t>Analysis of the Washington Nursi</w:t>
    </w:r>
    <w:r w:rsidR="008F24B8">
      <w:rPr>
        <w:rFonts w:ascii="Palatino Linotype" w:hAnsi="Palatino Linotype"/>
        <w:b/>
        <w:sz w:val="22"/>
      </w:rPr>
      <w:t xml:space="preserve">ng Facility </w:t>
    </w:r>
    <w:r>
      <w:rPr>
        <w:rFonts w:ascii="Palatino Linotype" w:hAnsi="Palatino Linotype"/>
        <w:b/>
        <w:sz w:val="22"/>
      </w:rPr>
      <w:t xml:space="preserve">Medicaid </w:t>
    </w:r>
    <w:r w:rsidRPr="00F47C9C">
      <w:rPr>
        <w:rFonts w:ascii="Palatino Linotype" w:hAnsi="Palatino Linotype"/>
        <w:b/>
        <w:sz w:val="22"/>
      </w:rPr>
      <w:t>Payment Methodology</w:t>
    </w:r>
    <w:r w:rsidR="008F24B8">
      <w:rPr>
        <w:rFonts w:ascii="Palatino Linotype" w:hAnsi="Palatino Linotype"/>
        <w:b/>
        <w:sz w:val="22"/>
      </w:rPr>
      <w:t xml:space="preserve"> – Addendum Report</w:t>
    </w:r>
  </w:p>
  <w:p w14:paraId="56679B6E" w14:textId="77777777" w:rsidR="00FF221D" w:rsidRPr="00F47C9C" w:rsidRDefault="00FF221D">
    <w:pPr>
      <w:pStyle w:val="Header"/>
      <w:rPr>
        <w:rFonts w:ascii="Palatino Linotype" w:hAnsi="Palatino Linotype"/>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66394"/>
    <w:multiLevelType w:val="hybridMultilevel"/>
    <w:tmpl w:val="BE7083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EE3C48"/>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C"/>
    <w:rsid w:val="000709BF"/>
    <w:rsid w:val="00095936"/>
    <w:rsid w:val="000E1F58"/>
    <w:rsid w:val="00173E81"/>
    <w:rsid w:val="001802A5"/>
    <w:rsid w:val="00283C28"/>
    <w:rsid w:val="003417A0"/>
    <w:rsid w:val="003C537A"/>
    <w:rsid w:val="003D6620"/>
    <w:rsid w:val="003E2B02"/>
    <w:rsid w:val="0046574E"/>
    <w:rsid w:val="004A0107"/>
    <w:rsid w:val="004B1660"/>
    <w:rsid w:val="004D194E"/>
    <w:rsid w:val="00572E97"/>
    <w:rsid w:val="005B12F6"/>
    <w:rsid w:val="0062225A"/>
    <w:rsid w:val="006344BA"/>
    <w:rsid w:val="006B090A"/>
    <w:rsid w:val="006D61C4"/>
    <w:rsid w:val="006E7369"/>
    <w:rsid w:val="006F73F8"/>
    <w:rsid w:val="00710CF7"/>
    <w:rsid w:val="00742685"/>
    <w:rsid w:val="007C3133"/>
    <w:rsid w:val="008369F6"/>
    <w:rsid w:val="008A694E"/>
    <w:rsid w:val="008C45CB"/>
    <w:rsid w:val="008F24B8"/>
    <w:rsid w:val="00920F7A"/>
    <w:rsid w:val="00927071"/>
    <w:rsid w:val="009B2402"/>
    <w:rsid w:val="00A237F2"/>
    <w:rsid w:val="00A96F43"/>
    <w:rsid w:val="00B3650D"/>
    <w:rsid w:val="00B665FC"/>
    <w:rsid w:val="00B7237B"/>
    <w:rsid w:val="00B9586A"/>
    <w:rsid w:val="00BD0A02"/>
    <w:rsid w:val="00C44F06"/>
    <w:rsid w:val="00C47B60"/>
    <w:rsid w:val="00D11728"/>
    <w:rsid w:val="00D5165B"/>
    <w:rsid w:val="00DC6DD1"/>
    <w:rsid w:val="00E06D97"/>
    <w:rsid w:val="00E212D4"/>
    <w:rsid w:val="00E22475"/>
    <w:rsid w:val="00E72E83"/>
    <w:rsid w:val="00E8320C"/>
    <w:rsid w:val="00E93931"/>
    <w:rsid w:val="00EE0C9C"/>
    <w:rsid w:val="00F0578E"/>
    <w:rsid w:val="00F32CBC"/>
    <w:rsid w:val="00F47C9C"/>
    <w:rsid w:val="00F644EA"/>
    <w:rsid w:val="00F83E16"/>
    <w:rsid w:val="00F85FC3"/>
    <w:rsid w:val="00FD6B54"/>
    <w:rsid w:val="00FE0673"/>
    <w:rsid w:val="00FE2BFB"/>
    <w:rsid w:val="00FF041A"/>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CCF2"/>
  <w15:chartTrackingRefBased/>
  <w15:docId w15:val="{BC910BF0-76D6-4A89-B94F-42F16DFE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C9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7C9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7C9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7C9C"/>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47C9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47C9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47C9C"/>
    <w:pPr>
      <w:numPr>
        <w:ilvl w:val="6"/>
        <w:numId w:val="1"/>
      </w:numPr>
      <w:spacing w:before="240" w:after="60"/>
      <w:outlineLvl w:val="6"/>
    </w:pPr>
  </w:style>
  <w:style w:type="paragraph" w:styleId="Heading8">
    <w:name w:val="heading 8"/>
    <w:basedOn w:val="Normal"/>
    <w:next w:val="Normal"/>
    <w:link w:val="Heading8Char"/>
    <w:qFormat/>
    <w:rsid w:val="00F47C9C"/>
    <w:pPr>
      <w:numPr>
        <w:ilvl w:val="7"/>
        <w:numId w:val="1"/>
      </w:numPr>
      <w:spacing w:before="240" w:after="60"/>
      <w:outlineLvl w:val="7"/>
    </w:pPr>
    <w:rPr>
      <w:i/>
      <w:iCs/>
    </w:rPr>
  </w:style>
  <w:style w:type="paragraph" w:styleId="Heading9">
    <w:name w:val="heading 9"/>
    <w:basedOn w:val="Normal"/>
    <w:next w:val="Normal"/>
    <w:link w:val="Heading9Char"/>
    <w:qFormat/>
    <w:rsid w:val="00F47C9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7C9C"/>
    <w:pPr>
      <w:tabs>
        <w:tab w:val="center" w:pos="4320"/>
        <w:tab w:val="right" w:pos="8640"/>
      </w:tabs>
    </w:pPr>
  </w:style>
  <w:style w:type="character" w:customStyle="1" w:styleId="HeaderChar">
    <w:name w:val="Header Char"/>
    <w:basedOn w:val="DefaultParagraphFont"/>
    <w:link w:val="Header"/>
    <w:uiPriority w:val="99"/>
    <w:rsid w:val="00F47C9C"/>
    <w:rPr>
      <w:rFonts w:ascii="Times New Roman" w:eastAsia="Times New Roman" w:hAnsi="Times New Roman" w:cs="Times New Roman"/>
      <w:sz w:val="24"/>
      <w:szCs w:val="24"/>
    </w:rPr>
  </w:style>
  <w:style w:type="paragraph" w:styleId="TOC1">
    <w:name w:val="toc 1"/>
    <w:basedOn w:val="Normal"/>
    <w:next w:val="Normal"/>
    <w:autoRedefine/>
    <w:uiPriority w:val="39"/>
    <w:rsid w:val="00F47C9C"/>
    <w:pPr>
      <w:spacing w:before="120" w:after="120"/>
    </w:pPr>
    <w:rPr>
      <w:b/>
      <w:bCs/>
      <w:caps/>
      <w:sz w:val="20"/>
      <w:szCs w:val="20"/>
    </w:rPr>
  </w:style>
  <w:style w:type="character" w:styleId="Hyperlink">
    <w:name w:val="Hyperlink"/>
    <w:basedOn w:val="DefaultParagraphFont"/>
    <w:uiPriority w:val="99"/>
    <w:rsid w:val="00F47C9C"/>
    <w:rPr>
      <w:color w:val="0000FF"/>
      <w:u w:val="single"/>
    </w:rPr>
  </w:style>
  <w:style w:type="character" w:customStyle="1" w:styleId="Heading1Char">
    <w:name w:val="Heading 1 Char"/>
    <w:basedOn w:val="DefaultParagraphFont"/>
    <w:link w:val="Heading1"/>
    <w:rsid w:val="00F47C9C"/>
    <w:rPr>
      <w:rFonts w:ascii="Arial" w:eastAsia="Times New Roman" w:hAnsi="Arial" w:cs="Arial"/>
      <w:b/>
      <w:bCs/>
      <w:kern w:val="32"/>
      <w:sz w:val="32"/>
      <w:szCs w:val="32"/>
    </w:rPr>
  </w:style>
  <w:style w:type="character" w:customStyle="1" w:styleId="Heading2Char">
    <w:name w:val="Heading 2 Char"/>
    <w:basedOn w:val="DefaultParagraphFont"/>
    <w:link w:val="Heading2"/>
    <w:rsid w:val="00F47C9C"/>
    <w:rPr>
      <w:rFonts w:ascii="Arial" w:eastAsia="Times New Roman" w:hAnsi="Arial" w:cs="Arial"/>
      <w:b/>
      <w:bCs/>
      <w:i/>
      <w:iCs/>
      <w:sz w:val="28"/>
      <w:szCs w:val="28"/>
    </w:rPr>
  </w:style>
  <w:style w:type="character" w:customStyle="1" w:styleId="Heading3Char">
    <w:name w:val="Heading 3 Char"/>
    <w:basedOn w:val="DefaultParagraphFont"/>
    <w:link w:val="Heading3"/>
    <w:rsid w:val="00F47C9C"/>
    <w:rPr>
      <w:rFonts w:ascii="Arial" w:eastAsia="Times New Roman" w:hAnsi="Arial" w:cs="Arial"/>
      <w:b/>
      <w:bCs/>
      <w:sz w:val="26"/>
      <w:szCs w:val="26"/>
    </w:rPr>
  </w:style>
  <w:style w:type="character" w:customStyle="1" w:styleId="Heading4Char">
    <w:name w:val="Heading 4 Char"/>
    <w:basedOn w:val="DefaultParagraphFont"/>
    <w:link w:val="Heading4"/>
    <w:rsid w:val="00F47C9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47C9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47C9C"/>
    <w:rPr>
      <w:rFonts w:ascii="Times New Roman" w:eastAsia="Times New Roman" w:hAnsi="Times New Roman" w:cs="Times New Roman"/>
      <w:b/>
      <w:bCs/>
    </w:rPr>
  </w:style>
  <w:style w:type="character" w:customStyle="1" w:styleId="Heading7Char">
    <w:name w:val="Heading 7 Char"/>
    <w:basedOn w:val="DefaultParagraphFont"/>
    <w:link w:val="Heading7"/>
    <w:rsid w:val="00F47C9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7C9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47C9C"/>
    <w:rPr>
      <w:rFonts w:ascii="Arial" w:eastAsia="Times New Roman" w:hAnsi="Arial" w:cs="Arial"/>
    </w:rPr>
  </w:style>
  <w:style w:type="numbering" w:styleId="ArticleSection">
    <w:name w:val="Outline List 3"/>
    <w:basedOn w:val="NoList"/>
    <w:rsid w:val="00F47C9C"/>
    <w:pPr>
      <w:numPr>
        <w:numId w:val="1"/>
      </w:numPr>
    </w:pPr>
  </w:style>
  <w:style w:type="paragraph" w:styleId="ListParagraph">
    <w:name w:val="List Paragraph"/>
    <w:basedOn w:val="Normal"/>
    <w:uiPriority w:val="34"/>
    <w:qFormat/>
    <w:rsid w:val="00F47C9C"/>
    <w:pPr>
      <w:ind w:left="720"/>
    </w:pPr>
  </w:style>
  <w:style w:type="paragraph" w:styleId="BodyTextIndent2">
    <w:name w:val="Body Text Indent 2"/>
    <w:basedOn w:val="Normal"/>
    <w:link w:val="BodyTextIndent2Char"/>
    <w:rsid w:val="00F47C9C"/>
    <w:pPr>
      <w:tabs>
        <w:tab w:val="num" w:pos="360"/>
      </w:tabs>
      <w:ind w:left="720"/>
    </w:pPr>
    <w:rPr>
      <w:rFonts w:ascii="Arial" w:hAnsi="Arial"/>
    </w:rPr>
  </w:style>
  <w:style w:type="character" w:customStyle="1" w:styleId="BodyTextIndent2Char">
    <w:name w:val="Body Text Indent 2 Char"/>
    <w:basedOn w:val="DefaultParagraphFont"/>
    <w:link w:val="BodyTextIndent2"/>
    <w:rsid w:val="00F47C9C"/>
    <w:rPr>
      <w:rFonts w:ascii="Arial" w:eastAsia="Times New Roman" w:hAnsi="Arial" w:cs="Times New Roman"/>
      <w:sz w:val="24"/>
      <w:szCs w:val="24"/>
    </w:rPr>
  </w:style>
  <w:style w:type="paragraph" w:styleId="FootnoteText">
    <w:name w:val="footnote text"/>
    <w:basedOn w:val="Normal"/>
    <w:link w:val="FootnoteTextChar"/>
    <w:uiPriority w:val="99"/>
    <w:semiHidden/>
    <w:rsid w:val="00F47C9C"/>
    <w:rPr>
      <w:sz w:val="20"/>
      <w:szCs w:val="20"/>
    </w:rPr>
  </w:style>
  <w:style w:type="character" w:customStyle="1" w:styleId="FootnoteTextChar">
    <w:name w:val="Footnote Text Char"/>
    <w:basedOn w:val="DefaultParagraphFont"/>
    <w:link w:val="FootnoteText"/>
    <w:uiPriority w:val="99"/>
    <w:semiHidden/>
    <w:rsid w:val="00F47C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47C9C"/>
    <w:rPr>
      <w:vertAlign w:val="superscript"/>
    </w:rPr>
  </w:style>
  <w:style w:type="paragraph" w:styleId="Footer">
    <w:name w:val="footer"/>
    <w:basedOn w:val="Normal"/>
    <w:link w:val="FooterChar"/>
    <w:uiPriority w:val="99"/>
    <w:unhideWhenUsed/>
    <w:rsid w:val="00F47C9C"/>
    <w:pPr>
      <w:tabs>
        <w:tab w:val="center" w:pos="4680"/>
        <w:tab w:val="right" w:pos="9360"/>
      </w:tabs>
    </w:pPr>
  </w:style>
  <w:style w:type="character" w:customStyle="1" w:styleId="FooterChar">
    <w:name w:val="Footer Char"/>
    <w:basedOn w:val="DefaultParagraphFont"/>
    <w:link w:val="Footer"/>
    <w:uiPriority w:val="99"/>
    <w:rsid w:val="00F47C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3133"/>
    <w:rPr>
      <w:sz w:val="16"/>
      <w:szCs w:val="16"/>
    </w:rPr>
  </w:style>
  <w:style w:type="paragraph" w:styleId="CommentText">
    <w:name w:val="annotation text"/>
    <w:basedOn w:val="Normal"/>
    <w:link w:val="CommentTextChar"/>
    <w:uiPriority w:val="99"/>
    <w:semiHidden/>
    <w:unhideWhenUsed/>
    <w:rsid w:val="007C3133"/>
    <w:rPr>
      <w:sz w:val="20"/>
      <w:szCs w:val="20"/>
    </w:rPr>
  </w:style>
  <w:style w:type="character" w:customStyle="1" w:styleId="CommentTextChar">
    <w:name w:val="Comment Text Char"/>
    <w:basedOn w:val="DefaultParagraphFont"/>
    <w:link w:val="CommentText"/>
    <w:uiPriority w:val="99"/>
    <w:semiHidden/>
    <w:rsid w:val="007C31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133"/>
    <w:rPr>
      <w:b/>
      <w:bCs/>
    </w:rPr>
  </w:style>
  <w:style w:type="character" w:customStyle="1" w:styleId="CommentSubjectChar">
    <w:name w:val="Comment Subject Char"/>
    <w:basedOn w:val="CommentTextChar"/>
    <w:link w:val="CommentSubject"/>
    <w:uiPriority w:val="99"/>
    <w:semiHidden/>
    <w:rsid w:val="007C31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3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33"/>
    <w:rPr>
      <w:rFonts w:ascii="Segoe UI" w:eastAsia="Times New Roman" w:hAnsi="Segoe UI" w:cs="Segoe UI"/>
      <w:sz w:val="18"/>
      <w:szCs w:val="18"/>
    </w:rPr>
  </w:style>
  <w:style w:type="paragraph" w:styleId="TOCHeading">
    <w:name w:val="TOC Heading"/>
    <w:basedOn w:val="Heading1"/>
    <w:next w:val="Normal"/>
    <w:uiPriority w:val="39"/>
    <w:unhideWhenUsed/>
    <w:qFormat/>
    <w:rsid w:val="00E9393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E93931"/>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E9393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5C29-2368-4CA1-B195-E316E899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Nikolova</dc:creator>
  <cp:keywords/>
  <dc:description/>
  <cp:lastModifiedBy>Nina Nikolova</cp:lastModifiedBy>
  <cp:revision>5</cp:revision>
  <cp:lastPrinted>2015-03-12T22:39:00Z</cp:lastPrinted>
  <dcterms:created xsi:type="dcterms:W3CDTF">2015-03-17T22:57:00Z</dcterms:created>
  <dcterms:modified xsi:type="dcterms:W3CDTF">2015-04-04T00:16:00Z</dcterms:modified>
</cp:coreProperties>
</file>