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7FE93" w14:textId="77777777" w:rsidR="00162203" w:rsidRDefault="00162203" w:rsidP="00BE6A2D"/>
    <w:p w14:paraId="47EE30FB" w14:textId="77777777" w:rsidR="00162203" w:rsidRPr="00682392" w:rsidRDefault="00162203" w:rsidP="00ED63AE">
      <w:pPr>
        <w:pStyle w:val="ProposalBody"/>
      </w:pPr>
    </w:p>
    <w:p w14:paraId="17D9F663" w14:textId="1BD530C8" w:rsidR="00535593" w:rsidRPr="00D92AA8" w:rsidRDefault="00535593" w:rsidP="00535593">
      <w:pPr>
        <w:pStyle w:val="Title"/>
      </w:pPr>
      <w:bookmarkStart w:id="0" w:name="_GoBack"/>
      <w:bookmarkEnd w:id="0"/>
      <w:r>
        <w:t xml:space="preserve">Analysis of the Washington </w:t>
      </w:r>
      <w:r w:rsidR="00EB1758">
        <w:t>Adult Family Home Services</w:t>
      </w:r>
      <w:r w:rsidR="00941AB5">
        <w:t xml:space="preserve"> </w:t>
      </w:r>
      <w:r>
        <w:t>Medicaid Payment Methodology</w:t>
      </w:r>
    </w:p>
    <w:p w14:paraId="6E96C4B8" w14:textId="7814E0F3" w:rsidR="003759EF" w:rsidRPr="00927139" w:rsidRDefault="00430AFB" w:rsidP="0037082B">
      <w:pPr>
        <w:tabs>
          <w:tab w:val="left" w:pos="1740"/>
          <w:tab w:val="left" w:pos="4110"/>
          <w:tab w:val="left" w:pos="6030"/>
        </w:tabs>
      </w:pPr>
      <w:r>
        <w:tab/>
      </w:r>
      <w:r w:rsidR="0037082B">
        <w:tab/>
      </w:r>
      <w:r w:rsidR="0037082B">
        <w:tab/>
      </w:r>
    </w:p>
    <w:p w14:paraId="39572A2C" w14:textId="12BB6575" w:rsidR="00535593" w:rsidRPr="006E11D3" w:rsidRDefault="002B724D" w:rsidP="00535593">
      <w:pPr>
        <w:pStyle w:val="Subtitle"/>
        <w:rPr>
          <w:color w:val="648C1A" w:themeColor="accent2"/>
        </w:rPr>
      </w:pPr>
      <w:r>
        <w:rPr>
          <w:color w:val="648C1A" w:themeColor="accent2"/>
        </w:rPr>
        <w:t>Final</w:t>
      </w:r>
      <w:r w:rsidR="0037082B">
        <w:rPr>
          <w:color w:val="648C1A" w:themeColor="accent2"/>
        </w:rPr>
        <w:t xml:space="preserve"> Report</w:t>
      </w:r>
      <w:r w:rsidR="00C94347">
        <w:rPr>
          <w:color w:val="648C1A" w:themeColor="accent2"/>
        </w:rPr>
        <w:t xml:space="preserve"> – </w:t>
      </w:r>
      <w:r>
        <w:rPr>
          <w:color w:val="648C1A" w:themeColor="accent2"/>
        </w:rPr>
        <w:t>for Winter 2018 Legislative Session</w:t>
      </w:r>
    </w:p>
    <w:p w14:paraId="5FF9A848" w14:textId="77777777" w:rsidR="00535593" w:rsidRDefault="00535593" w:rsidP="00535593">
      <w:pPr>
        <w:rPr>
          <w:color w:val="648C1A" w:themeColor="accent2"/>
        </w:rPr>
      </w:pPr>
    </w:p>
    <w:p w14:paraId="07B9CB3E" w14:textId="77777777" w:rsidR="000927E8" w:rsidRDefault="000927E8" w:rsidP="00535593">
      <w:pPr>
        <w:rPr>
          <w:color w:val="648C1A" w:themeColor="accent2"/>
        </w:rPr>
      </w:pPr>
    </w:p>
    <w:p w14:paraId="7DB6D160" w14:textId="77777777" w:rsidR="000927E8" w:rsidRPr="006E11D3" w:rsidRDefault="000927E8" w:rsidP="00535593">
      <w:pPr>
        <w:rPr>
          <w:color w:val="648C1A" w:themeColor="accent2"/>
        </w:rPr>
      </w:pPr>
    </w:p>
    <w:p w14:paraId="698B577E" w14:textId="77777777" w:rsidR="00535593" w:rsidRPr="006E11D3" w:rsidRDefault="00535593" w:rsidP="00535593">
      <w:pPr>
        <w:pStyle w:val="Subtitle"/>
        <w:rPr>
          <w:color w:val="648C1A" w:themeColor="accent2"/>
        </w:rPr>
      </w:pPr>
      <w:r w:rsidRPr="006E11D3">
        <w:rPr>
          <w:color w:val="648C1A" w:themeColor="accent2"/>
        </w:rPr>
        <w:t>Prepared for:</w:t>
      </w:r>
    </w:p>
    <w:p w14:paraId="21A87449" w14:textId="77777777" w:rsidR="00535593" w:rsidRPr="006E11D3" w:rsidRDefault="00535593" w:rsidP="00535593">
      <w:pPr>
        <w:pStyle w:val="Subtitle"/>
        <w:rPr>
          <w:color w:val="648C1A" w:themeColor="accent2"/>
        </w:rPr>
      </w:pPr>
      <w:r>
        <w:rPr>
          <w:color w:val="648C1A" w:themeColor="accent2"/>
        </w:rPr>
        <w:t>Washington State Department of Social and Health Services (DSHS)</w:t>
      </w:r>
    </w:p>
    <w:p w14:paraId="5681E37E" w14:textId="77777777" w:rsidR="00535593" w:rsidRPr="00D92AA8" w:rsidRDefault="00535593" w:rsidP="00535593">
      <w:pPr>
        <w:rPr>
          <w:b/>
          <w:bCs/>
          <w:color w:val="6F6754"/>
        </w:rPr>
      </w:pPr>
    </w:p>
    <w:p w14:paraId="500143D8" w14:textId="77777777" w:rsidR="00535593" w:rsidRPr="00D92AA8" w:rsidRDefault="00535593" w:rsidP="00535593">
      <w:pPr>
        <w:rPr>
          <w:b/>
          <w:bCs/>
          <w:color w:val="6F6754"/>
        </w:rPr>
      </w:pPr>
    </w:p>
    <w:p w14:paraId="5B94A4F6" w14:textId="052D0BB7" w:rsidR="00535593" w:rsidRPr="002B724D" w:rsidRDefault="002B724D" w:rsidP="00535593">
      <w:pPr>
        <w:rPr>
          <w:bCs/>
          <w:color w:val="6F6754"/>
        </w:rPr>
      </w:pPr>
      <w:r>
        <w:rPr>
          <w:bCs/>
          <w:color w:val="6F6754"/>
        </w:rPr>
        <w:t xml:space="preserve">February </w:t>
      </w:r>
      <w:r w:rsidR="00976807">
        <w:rPr>
          <w:bCs/>
          <w:color w:val="6F6754"/>
        </w:rPr>
        <w:t>23</w:t>
      </w:r>
      <w:r>
        <w:rPr>
          <w:bCs/>
          <w:color w:val="6F6754"/>
        </w:rPr>
        <w:t>, 2018</w:t>
      </w:r>
    </w:p>
    <w:p w14:paraId="708955FE" w14:textId="77777777" w:rsidR="00535593" w:rsidRPr="00D92AA8" w:rsidRDefault="00535593" w:rsidP="00535593">
      <w:pPr>
        <w:rPr>
          <w:b/>
          <w:bCs/>
          <w:color w:val="6F6754"/>
        </w:rPr>
      </w:pPr>
    </w:p>
    <w:p w14:paraId="5FB4EF4D" w14:textId="77777777" w:rsidR="00535593" w:rsidRPr="00D92AA8" w:rsidRDefault="00535593" w:rsidP="00535593">
      <w:pPr>
        <w:rPr>
          <w:b/>
          <w:bCs/>
          <w:color w:val="6F6754"/>
        </w:rPr>
      </w:pPr>
    </w:p>
    <w:p w14:paraId="3B4D4AE5" w14:textId="77777777" w:rsidR="00535593" w:rsidRPr="00D92AA8" w:rsidRDefault="00535593" w:rsidP="00535593">
      <w:pPr>
        <w:rPr>
          <w:b/>
          <w:bCs/>
          <w:color w:val="6F6754"/>
        </w:rPr>
      </w:pPr>
    </w:p>
    <w:p w14:paraId="1F3EF894" w14:textId="77777777" w:rsidR="00535593" w:rsidRPr="00D92AA8" w:rsidRDefault="00535593" w:rsidP="00535593">
      <w:pPr>
        <w:rPr>
          <w:b/>
          <w:bCs/>
          <w:color w:val="6F6754"/>
        </w:rPr>
      </w:pPr>
    </w:p>
    <w:p w14:paraId="4DD300E2" w14:textId="28CA7BFB" w:rsidR="00535593" w:rsidRPr="006E11D3" w:rsidRDefault="00535593" w:rsidP="00430AFB">
      <w:pPr>
        <w:tabs>
          <w:tab w:val="left" w:pos="3255"/>
        </w:tabs>
        <w:rPr>
          <w:rStyle w:val="CoverText"/>
          <w:b/>
          <w:i/>
          <w:color w:val="648C1A" w:themeColor="accent2"/>
        </w:rPr>
      </w:pPr>
      <w:r w:rsidRPr="006E11D3">
        <w:rPr>
          <w:rStyle w:val="CoverText"/>
          <w:b/>
          <w:i/>
          <w:color w:val="648C1A" w:themeColor="accent2"/>
        </w:rPr>
        <w:t>Submitted by:</w:t>
      </w:r>
      <w:r w:rsidR="00430AFB">
        <w:rPr>
          <w:rStyle w:val="CoverText"/>
          <w:b/>
          <w:i/>
          <w:color w:val="648C1A" w:themeColor="accent2"/>
        </w:rPr>
        <w:tab/>
      </w:r>
    </w:p>
    <w:p w14:paraId="32D5C401" w14:textId="77777777" w:rsidR="00535593" w:rsidRPr="006E11D3" w:rsidRDefault="00535593" w:rsidP="00535593">
      <w:pPr>
        <w:rPr>
          <w:rStyle w:val="CoverText"/>
          <w:color w:val="648C1A" w:themeColor="accent2"/>
        </w:rPr>
      </w:pPr>
      <w:r w:rsidRPr="006E11D3">
        <w:rPr>
          <w:rStyle w:val="CoverText"/>
          <w:color w:val="648C1A" w:themeColor="accent2"/>
        </w:rPr>
        <w:t>Navigant Consulting, Inc.</w:t>
      </w:r>
    </w:p>
    <w:p w14:paraId="4DCD3567" w14:textId="77777777" w:rsidR="00535593" w:rsidRPr="006E11D3" w:rsidRDefault="00535593" w:rsidP="00535593">
      <w:pPr>
        <w:rPr>
          <w:rStyle w:val="CoverText"/>
          <w:color w:val="648C1A" w:themeColor="accent2"/>
        </w:rPr>
      </w:pPr>
      <w:r>
        <w:rPr>
          <w:rStyle w:val="CoverText"/>
          <w:color w:val="648C1A" w:themeColor="accent2"/>
        </w:rPr>
        <w:t xml:space="preserve">1201 Third Avenue </w:t>
      </w:r>
    </w:p>
    <w:p w14:paraId="54867E7E" w14:textId="77777777" w:rsidR="00535593" w:rsidRPr="006E11D3" w:rsidRDefault="00535593" w:rsidP="00535593">
      <w:pPr>
        <w:rPr>
          <w:rStyle w:val="CoverText"/>
          <w:color w:val="648C1A" w:themeColor="accent2"/>
        </w:rPr>
      </w:pPr>
      <w:r>
        <w:rPr>
          <w:rStyle w:val="CoverText"/>
          <w:color w:val="648C1A" w:themeColor="accent2"/>
        </w:rPr>
        <w:t>Suite 3320</w:t>
      </w:r>
    </w:p>
    <w:p w14:paraId="46AF8BF4" w14:textId="77777777" w:rsidR="00535593" w:rsidRPr="006E11D3" w:rsidRDefault="00535593" w:rsidP="00535593">
      <w:pPr>
        <w:rPr>
          <w:rStyle w:val="CoverText"/>
          <w:color w:val="648C1A" w:themeColor="accent2"/>
        </w:rPr>
      </w:pPr>
      <w:r>
        <w:rPr>
          <w:rStyle w:val="CoverText"/>
          <w:color w:val="648C1A" w:themeColor="accent2"/>
        </w:rPr>
        <w:t>Seattle, Washington 98101</w:t>
      </w:r>
    </w:p>
    <w:p w14:paraId="5798E3DC" w14:textId="77777777" w:rsidR="00535593" w:rsidRPr="006E11D3" w:rsidRDefault="00535593" w:rsidP="00535593">
      <w:pPr>
        <w:rPr>
          <w:rStyle w:val="CoverText"/>
          <w:color w:val="648C1A" w:themeColor="accent2"/>
        </w:rPr>
      </w:pPr>
    </w:p>
    <w:p w14:paraId="1F6A4F0F" w14:textId="77777777" w:rsidR="00535593" w:rsidRPr="006E11D3" w:rsidRDefault="00535593" w:rsidP="00535593">
      <w:pPr>
        <w:rPr>
          <w:rStyle w:val="CoverText"/>
          <w:color w:val="648C1A" w:themeColor="accent2"/>
        </w:rPr>
      </w:pPr>
    </w:p>
    <w:p w14:paraId="4C67A7A6" w14:textId="77777777" w:rsidR="004F3BD6" w:rsidRPr="00535593" w:rsidRDefault="00535593" w:rsidP="00535593">
      <w:pPr>
        <w:rPr>
          <w:color w:val="648C1A" w:themeColor="accent2"/>
          <w:sz w:val="20"/>
        </w:rPr>
        <w:sectPr w:rsidR="004F3BD6" w:rsidRPr="00535593" w:rsidSect="00430AFB">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rPr>
          <w:rStyle w:val="CoverText"/>
          <w:color w:val="648C1A" w:themeColor="accent2"/>
        </w:rPr>
        <w:t>navigant.com</w:t>
      </w:r>
    </w:p>
    <w:sdt>
      <w:sdtPr>
        <w:rPr>
          <w:b w:val="0"/>
          <w:color w:val="555759" w:themeColor="text2"/>
          <w:sz w:val="32"/>
          <w:szCs w:val="32"/>
        </w:rPr>
        <w:id w:val="550499081"/>
        <w:docPartObj>
          <w:docPartGallery w:val="Table of Contents"/>
          <w:docPartUnique/>
        </w:docPartObj>
      </w:sdtPr>
      <w:sdtEndPr>
        <w:rPr>
          <w:bCs/>
          <w:noProof/>
          <w:sz w:val="28"/>
          <w:szCs w:val="24"/>
        </w:rPr>
      </w:sdtEndPr>
      <w:sdtContent>
        <w:p w14:paraId="3F9763CC" w14:textId="77777777" w:rsidR="007E78D6" w:rsidRPr="00BC2578" w:rsidRDefault="007E78D6" w:rsidP="002F0570">
          <w:pPr>
            <w:pStyle w:val="TOCHeading"/>
            <w:spacing w:after="360"/>
            <w:rPr>
              <w:szCs w:val="28"/>
            </w:rPr>
          </w:pPr>
          <w:r w:rsidRPr="00BC2578">
            <w:rPr>
              <w:szCs w:val="28"/>
            </w:rPr>
            <w:t>Table of Contents</w:t>
          </w:r>
        </w:p>
        <w:p w14:paraId="1EAF0FFA" w14:textId="2740B1A4" w:rsidR="005F41EB" w:rsidRDefault="007E78D6">
          <w:pPr>
            <w:pStyle w:val="TOC1"/>
            <w:rPr>
              <w:rFonts w:asciiTheme="minorHAnsi" w:eastAsiaTheme="minorEastAsia" w:hAnsiTheme="minorHAnsi"/>
              <w:b w:val="0"/>
              <w:noProof/>
              <w:color w:val="auto"/>
              <w:sz w:val="22"/>
            </w:rPr>
          </w:pPr>
          <w:r w:rsidRPr="00BC2578">
            <w:rPr>
              <w:szCs w:val="28"/>
            </w:rPr>
            <w:fldChar w:fldCharType="begin"/>
          </w:r>
          <w:r w:rsidRPr="00BC2578">
            <w:rPr>
              <w:szCs w:val="28"/>
            </w:rPr>
            <w:instrText xml:space="preserve"> TOC \o "1-3" \h \z \u </w:instrText>
          </w:r>
          <w:r w:rsidRPr="00BC2578">
            <w:rPr>
              <w:szCs w:val="28"/>
            </w:rPr>
            <w:fldChar w:fldCharType="separate"/>
          </w:r>
          <w:hyperlink w:anchor="_Toc441841140" w:history="1">
            <w:r w:rsidR="005F41EB" w:rsidRPr="009C220B">
              <w:rPr>
                <w:rStyle w:val="Hyperlink"/>
                <w:noProof/>
              </w:rPr>
              <w:t>Section I:  Overview of Adult Family Homes and Services Provided</w:t>
            </w:r>
            <w:r w:rsidR="005F41EB">
              <w:rPr>
                <w:noProof/>
                <w:webHidden/>
              </w:rPr>
              <w:tab/>
            </w:r>
            <w:r w:rsidR="001B0E59">
              <w:rPr>
                <w:noProof/>
                <w:webHidden/>
              </w:rPr>
              <w:t>…………………………………………………………………</w:t>
            </w:r>
            <w:r w:rsidR="005F41EB">
              <w:rPr>
                <w:noProof/>
                <w:webHidden/>
              </w:rPr>
              <w:fldChar w:fldCharType="begin"/>
            </w:r>
            <w:r w:rsidR="005F41EB">
              <w:rPr>
                <w:noProof/>
                <w:webHidden/>
              </w:rPr>
              <w:instrText xml:space="preserve"> PAGEREF _Toc441841140 \h </w:instrText>
            </w:r>
            <w:r w:rsidR="005F41EB">
              <w:rPr>
                <w:noProof/>
                <w:webHidden/>
              </w:rPr>
            </w:r>
            <w:r w:rsidR="005F41EB">
              <w:rPr>
                <w:noProof/>
                <w:webHidden/>
              </w:rPr>
              <w:fldChar w:fldCharType="separate"/>
            </w:r>
            <w:r w:rsidR="005F0B05">
              <w:rPr>
                <w:noProof/>
                <w:webHidden/>
              </w:rPr>
              <w:t>3</w:t>
            </w:r>
            <w:r w:rsidR="005F41EB">
              <w:rPr>
                <w:noProof/>
                <w:webHidden/>
              </w:rPr>
              <w:fldChar w:fldCharType="end"/>
            </w:r>
          </w:hyperlink>
        </w:p>
        <w:p w14:paraId="3D04B799" w14:textId="5D80AB26" w:rsidR="005F41EB" w:rsidRDefault="007505A2">
          <w:pPr>
            <w:pStyle w:val="TOC1"/>
            <w:rPr>
              <w:rFonts w:asciiTheme="minorHAnsi" w:eastAsiaTheme="minorEastAsia" w:hAnsiTheme="minorHAnsi"/>
              <w:b w:val="0"/>
              <w:noProof/>
              <w:color w:val="auto"/>
              <w:sz w:val="22"/>
            </w:rPr>
          </w:pPr>
          <w:hyperlink w:anchor="_Toc441841141" w:history="1">
            <w:r w:rsidR="005F41EB" w:rsidRPr="009C220B">
              <w:rPr>
                <w:rStyle w:val="Hyperlink"/>
                <w:noProof/>
              </w:rPr>
              <w:t>Section II:  Overview of the Current Medicaid Payment Methodology and Rates</w:t>
            </w:r>
            <w:r w:rsidR="005F41EB">
              <w:rPr>
                <w:noProof/>
                <w:webHidden/>
              </w:rPr>
              <w:tab/>
            </w:r>
            <w:r w:rsidR="005F41EB">
              <w:rPr>
                <w:noProof/>
                <w:webHidden/>
              </w:rPr>
              <w:fldChar w:fldCharType="begin"/>
            </w:r>
            <w:r w:rsidR="005F41EB">
              <w:rPr>
                <w:noProof/>
                <w:webHidden/>
              </w:rPr>
              <w:instrText xml:space="preserve"> PAGEREF _Toc441841141 \h </w:instrText>
            </w:r>
            <w:r w:rsidR="005F41EB">
              <w:rPr>
                <w:noProof/>
                <w:webHidden/>
              </w:rPr>
            </w:r>
            <w:r w:rsidR="005F41EB">
              <w:rPr>
                <w:noProof/>
                <w:webHidden/>
              </w:rPr>
              <w:fldChar w:fldCharType="separate"/>
            </w:r>
            <w:r w:rsidR="005F0B05">
              <w:rPr>
                <w:noProof/>
                <w:webHidden/>
              </w:rPr>
              <w:t>4</w:t>
            </w:r>
            <w:r w:rsidR="005F41EB">
              <w:rPr>
                <w:noProof/>
                <w:webHidden/>
              </w:rPr>
              <w:fldChar w:fldCharType="end"/>
            </w:r>
          </w:hyperlink>
        </w:p>
        <w:p w14:paraId="790430E2" w14:textId="49D7EACC" w:rsidR="005F41EB" w:rsidRDefault="007505A2">
          <w:pPr>
            <w:pStyle w:val="TOC1"/>
            <w:rPr>
              <w:rFonts w:asciiTheme="minorHAnsi" w:eastAsiaTheme="minorEastAsia" w:hAnsiTheme="minorHAnsi"/>
              <w:b w:val="0"/>
              <w:noProof/>
              <w:color w:val="auto"/>
              <w:sz w:val="22"/>
            </w:rPr>
          </w:pPr>
          <w:hyperlink w:anchor="_Toc441841142" w:history="1">
            <w:r w:rsidR="005F41EB" w:rsidRPr="009C220B">
              <w:rPr>
                <w:rStyle w:val="Hyperlink"/>
                <w:noProof/>
              </w:rPr>
              <w:t>Section III:  Access to Care</w:t>
            </w:r>
            <w:r w:rsidR="005F41EB">
              <w:rPr>
                <w:noProof/>
                <w:webHidden/>
              </w:rPr>
              <w:tab/>
            </w:r>
            <w:r w:rsidR="005F41EB">
              <w:rPr>
                <w:noProof/>
                <w:webHidden/>
              </w:rPr>
              <w:fldChar w:fldCharType="begin"/>
            </w:r>
            <w:r w:rsidR="005F41EB">
              <w:rPr>
                <w:noProof/>
                <w:webHidden/>
              </w:rPr>
              <w:instrText xml:space="preserve"> PAGEREF _Toc441841142 \h </w:instrText>
            </w:r>
            <w:r w:rsidR="005F41EB">
              <w:rPr>
                <w:noProof/>
                <w:webHidden/>
              </w:rPr>
            </w:r>
            <w:r w:rsidR="005F41EB">
              <w:rPr>
                <w:noProof/>
                <w:webHidden/>
              </w:rPr>
              <w:fldChar w:fldCharType="separate"/>
            </w:r>
            <w:r w:rsidR="005F0B05">
              <w:rPr>
                <w:noProof/>
                <w:webHidden/>
              </w:rPr>
              <w:t>7</w:t>
            </w:r>
            <w:r w:rsidR="005F41EB">
              <w:rPr>
                <w:noProof/>
                <w:webHidden/>
              </w:rPr>
              <w:fldChar w:fldCharType="end"/>
            </w:r>
          </w:hyperlink>
        </w:p>
        <w:p w14:paraId="30D4592B" w14:textId="1C8CA992" w:rsidR="005F41EB" w:rsidRDefault="007505A2">
          <w:pPr>
            <w:pStyle w:val="TOC1"/>
            <w:rPr>
              <w:rFonts w:asciiTheme="minorHAnsi" w:eastAsiaTheme="minorEastAsia" w:hAnsiTheme="minorHAnsi"/>
              <w:b w:val="0"/>
              <w:noProof/>
              <w:color w:val="auto"/>
              <w:sz w:val="22"/>
            </w:rPr>
          </w:pPr>
          <w:hyperlink w:anchor="_Toc441841143" w:history="1">
            <w:r w:rsidR="005F41EB" w:rsidRPr="009C220B">
              <w:rPr>
                <w:rStyle w:val="Hyperlink"/>
                <w:noProof/>
              </w:rPr>
              <w:t>Section IV:  Quality</w:t>
            </w:r>
            <w:r w:rsidR="005F41EB">
              <w:rPr>
                <w:noProof/>
                <w:webHidden/>
              </w:rPr>
              <w:tab/>
            </w:r>
            <w:r w:rsidR="005F41EB">
              <w:rPr>
                <w:noProof/>
                <w:webHidden/>
              </w:rPr>
              <w:fldChar w:fldCharType="begin"/>
            </w:r>
            <w:r w:rsidR="005F41EB">
              <w:rPr>
                <w:noProof/>
                <w:webHidden/>
              </w:rPr>
              <w:instrText xml:space="preserve"> PAGEREF _Toc441841143 \h </w:instrText>
            </w:r>
            <w:r w:rsidR="005F41EB">
              <w:rPr>
                <w:noProof/>
                <w:webHidden/>
              </w:rPr>
            </w:r>
            <w:r w:rsidR="005F41EB">
              <w:rPr>
                <w:noProof/>
                <w:webHidden/>
              </w:rPr>
              <w:fldChar w:fldCharType="separate"/>
            </w:r>
            <w:r w:rsidR="005F0B05">
              <w:rPr>
                <w:noProof/>
                <w:webHidden/>
              </w:rPr>
              <w:t>12</w:t>
            </w:r>
            <w:r w:rsidR="005F41EB">
              <w:rPr>
                <w:noProof/>
                <w:webHidden/>
              </w:rPr>
              <w:fldChar w:fldCharType="end"/>
            </w:r>
          </w:hyperlink>
        </w:p>
        <w:p w14:paraId="5D6DA541" w14:textId="3069A4E0" w:rsidR="005F41EB" w:rsidRDefault="007505A2">
          <w:pPr>
            <w:pStyle w:val="TOC1"/>
            <w:rPr>
              <w:rFonts w:asciiTheme="minorHAnsi" w:eastAsiaTheme="minorEastAsia" w:hAnsiTheme="minorHAnsi"/>
              <w:b w:val="0"/>
              <w:noProof/>
              <w:color w:val="auto"/>
              <w:sz w:val="22"/>
            </w:rPr>
          </w:pPr>
          <w:hyperlink w:anchor="_Toc441841144" w:history="1">
            <w:r w:rsidR="005F41EB" w:rsidRPr="009C220B">
              <w:rPr>
                <w:rStyle w:val="Hyperlink"/>
                <w:noProof/>
              </w:rPr>
              <w:t>Section V:  Comparison of the Costs of Adult Family Home Services to Current Rates</w:t>
            </w:r>
            <w:r w:rsidR="005F41EB">
              <w:rPr>
                <w:noProof/>
                <w:webHidden/>
              </w:rPr>
              <w:tab/>
            </w:r>
            <w:r w:rsidR="005F41EB">
              <w:rPr>
                <w:noProof/>
                <w:webHidden/>
              </w:rPr>
              <w:fldChar w:fldCharType="begin"/>
            </w:r>
            <w:r w:rsidR="005F41EB">
              <w:rPr>
                <w:noProof/>
                <w:webHidden/>
              </w:rPr>
              <w:instrText xml:space="preserve"> PAGEREF _Toc441841144 \h </w:instrText>
            </w:r>
            <w:r w:rsidR="005F41EB">
              <w:rPr>
                <w:noProof/>
                <w:webHidden/>
              </w:rPr>
            </w:r>
            <w:r w:rsidR="005F41EB">
              <w:rPr>
                <w:noProof/>
                <w:webHidden/>
              </w:rPr>
              <w:fldChar w:fldCharType="separate"/>
            </w:r>
            <w:r w:rsidR="005F0B05">
              <w:rPr>
                <w:noProof/>
                <w:webHidden/>
              </w:rPr>
              <w:t>14</w:t>
            </w:r>
            <w:r w:rsidR="005F41EB">
              <w:rPr>
                <w:noProof/>
                <w:webHidden/>
              </w:rPr>
              <w:fldChar w:fldCharType="end"/>
            </w:r>
          </w:hyperlink>
        </w:p>
        <w:p w14:paraId="52699843" w14:textId="5BA215CA" w:rsidR="005F41EB" w:rsidRDefault="007505A2">
          <w:pPr>
            <w:pStyle w:val="TOC1"/>
            <w:rPr>
              <w:rFonts w:asciiTheme="minorHAnsi" w:eastAsiaTheme="minorEastAsia" w:hAnsiTheme="minorHAnsi"/>
              <w:b w:val="0"/>
              <w:noProof/>
              <w:color w:val="auto"/>
              <w:sz w:val="22"/>
            </w:rPr>
          </w:pPr>
          <w:hyperlink w:anchor="_Toc441841145" w:history="1">
            <w:r w:rsidR="005F41EB" w:rsidRPr="009C220B">
              <w:rPr>
                <w:rStyle w:val="Hyperlink"/>
                <w:noProof/>
              </w:rPr>
              <w:t>Section VI:  Conclusion</w:t>
            </w:r>
            <w:r w:rsidR="005F41EB">
              <w:rPr>
                <w:noProof/>
                <w:webHidden/>
              </w:rPr>
              <w:tab/>
            </w:r>
            <w:r w:rsidR="005F41EB">
              <w:rPr>
                <w:noProof/>
                <w:webHidden/>
              </w:rPr>
              <w:fldChar w:fldCharType="begin"/>
            </w:r>
            <w:r w:rsidR="005F41EB">
              <w:rPr>
                <w:noProof/>
                <w:webHidden/>
              </w:rPr>
              <w:instrText xml:space="preserve"> PAGEREF _Toc441841145 \h </w:instrText>
            </w:r>
            <w:r w:rsidR="005F41EB">
              <w:rPr>
                <w:noProof/>
                <w:webHidden/>
              </w:rPr>
            </w:r>
            <w:r w:rsidR="005F41EB">
              <w:rPr>
                <w:noProof/>
                <w:webHidden/>
              </w:rPr>
              <w:fldChar w:fldCharType="separate"/>
            </w:r>
            <w:r w:rsidR="005F0B05">
              <w:rPr>
                <w:noProof/>
                <w:webHidden/>
              </w:rPr>
              <w:t>19</w:t>
            </w:r>
            <w:r w:rsidR="005F41EB">
              <w:rPr>
                <w:noProof/>
                <w:webHidden/>
              </w:rPr>
              <w:fldChar w:fldCharType="end"/>
            </w:r>
          </w:hyperlink>
        </w:p>
        <w:p w14:paraId="77C6CFAE" w14:textId="77777777" w:rsidR="00535593" w:rsidRDefault="007E78D6" w:rsidP="00423B1E">
          <w:pPr>
            <w:pStyle w:val="ProposalTOCContent"/>
          </w:pPr>
          <w:r w:rsidRPr="00BC2578">
            <w:rPr>
              <w:b/>
              <w:bCs/>
              <w:noProof/>
              <w:szCs w:val="28"/>
            </w:rPr>
            <w:fldChar w:fldCharType="end"/>
          </w:r>
        </w:p>
      </w:sdtContent>
    </w:sdt>
    <w:p w14:paraId="211A49DD" w14:textId="77777777" w:rsidR="00535593" w:rsidRDefault="00535593" w:rsidP="00535593"/>
    <w:p w14:paraId="08905C4F" w14:textId="77777777" w:rsidR="00535593" w:rsidRDefault="00535593" w:rsidP="00535593">
      <w:pPr>
        <w:tabs>
          <w:tab w:val="left" w:pos="2925"/>
        </w:tabs>
      </w:pPr>
      <w:r>
        <w:tab/>
      </w:r>
    </w:p>
    <w:p w14:paraId="2531FEF2" w14:textId="77777777" w:rsidR="001D03A8" w:rsidRPr="001D03A8" w:rsidRDefault="001D03A8" w:rsidP="001D03A8">
      <w:pPr>
        <w:spacing w:before="0" w:after="0"/>
        <w:rPr>
          <w:b/>
          <w:sz w:val="24"/>
        </w:rPr>
      </w:pPr>
      <w:r w:rsidRPr="001D03A8">
        <w:rPr>
          <w:b/>
          <w:sz w:val="24"/>
        </w:rPr>
        <w:t xml:space="preserve">APPENDICES: </w:t>
      </w:r>
    </w:p>
    <w:p w14:paraId="0A0E3EE4" w14:textId="77777777" w:rsidR="001D03A8" w:rsidRPr="001D03A8" w:rsidRDefault="001D03A8" w:rsidP="001D03A8">
      <w:pPr>
        <w:spacing w:before="0" w:after="0"/>
        <w:rPr>
          <w:b/>
          <w:sz w:val="24"/>
        </w:rPr>
      </w:pPr>
    </w:p>
    <w:p w14:paraId="5F8F7469" w14:textId="7C211271" w:rsidR="001D03A8" w:rsidRPr="001D03A8" w:rsidRDefault="001D03A8" w:rsidP="001D03A8">
      <w:pPr>
        <w:spacing w:before="0" w:after="0"/>
        <w:rPr>
          <w:b/>
          <w:sz w:val="24"/>
        </w:rPr>
      </w:pPr>
      <w:r w:rsidRPr="001D03A8">
        <w:rPr>
          <w:b/>
          <w:sz w:val="24"/>
        </w:rPr>
        <w:t xml:space="preserve">APPENDIX A: </w:t>
      </w:r>
      <w:r w:rsidR="00AF2753">
        <w:rPr>
          <w:b/>
          <w:sz w:val="24"/>
        </w:rPr>
        <w:t>Current Daily Rates</w:t>
      </w:r>
    </w:p>
    <w:p w14:paraId="1D71DA35" w14:textId="77777777" w:rsidR="001D03A8" w:rsidRPr="001D03A8" w:rsidRDefault="001D03A8" w:rsidP="001D03A8">
      <w:pPr>
        <w:spacing w:before="0" w:after="0"/>
        <w:rPr>
          <w:b/>
          <w:sz w:val="24"/>
        </w:rPr>
      </w:pPr>
    </w:p>
    <w:p w14:paraId="33CCD29C" w14:textId="30F3ABD0" w:rsidR="001D03A8" w:rsidRPr="001D03A8" w:rsidRDefault="001D03A8" w:rsidP="001D03A8">
      <w:pPr>
        <w:spacing w:before="0" w:after="0"/>
        <w:rPr>
          <w:b/>
          <w:sz w:val="24"/>
        </w:rPr>
      </w:pPr>
      <w:r w:rsidRPr="001D03A8">
        <w:rPr>
          <w:b/>
          <w:sz w:val="24"/>
        </w:rPr>
        <w:t xml:space="preserve">APPENDIX B: </w:t>
      </w:r>
      <w:r w:rsidR="00EB1758">
        <w:rPr>
          <w:b/>
          <w:sz w:val="24"/>
        </w:rPr>
        <w:t xml:space="preserve">Adult Family Homes </w:t>
      </w:r>
      <w:r w:rsidR="00AF2753">
        <w:rPr>
          <w:b/>
          <w:sz w:val="24"/>
        </w:rPr>
        <w:t>Enforcement Action Options</w:t>
      </w:r>
    </w:p>
    <w:p w14:paraId="53B87CB8" w14:textId="77777777" w:rsidR="001D03A8" w:rsidRPr="001D03A8" w:rsidRDefault="001D03A8" w:rsidP="001D03A8">
      <w:pPr>
        <w:spacing w:before="0" w:after="0"/>
        <w:rPr>
          <w:b/>
          <w:sz w:val="24"/>
        </w:rPr>
      </w:pPr>
    </w:p>
    <w:p w14:paraId="6BAB4A19" w14:textId="77777777" w:rsidR="00535593" w:rsidRDefault="00535593" w:rsidP="00535593">
      <w:pPr>
        <w:rPr>
          <w:b/>
          <w:sz w:val="24"/>
        </w:rPr>
      </w:pPr>
    </w:p>
    <w:p w14:paraId="0F130FE0" w14:textId="77777777" w:rsidR="00EB1758" w:rsidRDefault="00EB1758" w:rsidP="00535593"/>
    <w:p w14:paraId="25469513" w14:textId="77777777" w:rsidR="00535593" w:rsidRPr="00535593" w:rsidRDefault="00535593" w:rsidP="00535593"/>
    <w:p w14:paraId="1FD1B446" w14:textId="77777777" w:rsidR="00535593" w:rsidRPr="00535593" w:rsidRDefault="00535593" w:rsidP="00535593"/>
    <w:p w14:paraId="4AFDA803" w14:textId="77777777" w:rsidR="00535593" w:rsidRPr="00535593" w:rsidRDefault="00535593" w:rsidP="00535593"/>
    <w:p w14:paraId="002358FB" w14:textId="77777777" w:rsidR="00535593" w:rsidRPr="00535593" w:rsidRDefault="00535593" w:rsidP="00535593"/>
    <w:p w14:paraId="67193926" w14:textId="77777777" w:rsidR="00535593" w:rsidRPr="00535593" w:rsidRDefault="00535593" w:rsidP="00535593"/>
    <w:p w14:paraId="4DB247D6" w14:textId="77777777" w:rsidR="00535593" w:rsidRPr="00535593" w:rsidRDefault="00535593" w:rsidP="00535593"/>
    <w:p w14:paraId="4B7ACD95" w14:textId="77777777" w:rsidR="00535593" w:rsidRPr="00535593" w:rsidRDefault="00535593" w:rsidP="00535593"/>
    <w:p w14:paraId="412DBC19" w14:textId="77777777" w:rsidR="00535593" w:rsidRDefault="00535593" w:rsidP="00535593">
      <w:pPr>
        <w:tabs>
          <w:tab w:val="left" w:pos="4125"/>
        </w:tabs>
      </w:pPr>
      <w:r>
        <w:tab/>
      </w:r>
    </w:p>
    <w:p w14:paraId="1295E54C" w14:textId="77777777" w:rsidR="00535593" w:rsidRDefault="00535593" w:rsidP="00535593">
      <w:pPr>
        <w:tabs>
          <w:tab w:val="left" w:pos="4125"/>
        </w:tabs>
      </w:pPr>
    </w:p>
    <w:p w14:paraId="1B8A62C3" w14:textId="77777777" w:rsidR="00535593" w:rsidRDefault="00535593" w:rsidP="00535593">
      <w:pPr>
        <w:tabs>
          <w:tab w:val="left" w:pos="4125"/>
        </w:tabs>
      </w:pPr>
    </w:p>
    <w:p w14:paraId="26FB97A0" w14:textId="77777777" w:rsidR="00535593" w:rsidRDefault="00535593" w:rsidP="00535593">
      <w:pPr>
        <w:tabs>
          <w:tab w:val="left" w:pos="4125"/>
        </w:tabs>
      </w:pPr>
    </w:p>
    <w:p w14:paraId="5AB07CD8" w14:textId="77777777" w:rsidR="005F0B05" w:rsidRDefault="005F0B05" w:rsidP="00535593">
      <w:pPr>
        <w:tabs>
          <w:tab w:val="left" w:pos="4125"/>
        </w:tabs>
        <w:rPr>
          <w:b/>
          <w:sz w:val="28"/>
          <w:szCs w:val="28"/>
        </w:rPr>
      </w:pPr>
    </w:p>
    <w:p w14:paraId="2C79E424" w14:textId="21627F0B" w:rsidR="00535593" w:rsidRDefault="00535593" w:rsidP="00535593">
      <w:pPr>
        <w:tabs>
          <w:tab w:val="left" w:pos="4125"/>
        </w:tabs>
        <w:rPr>
          <w:b/>
          <w:sz w:val="28"/>
          <w:szCs w:val="28"/>
        </w:rPr>
      </w:pPr>
      <w:r>
        <w:rPr>
          <w:b/>
          <w:sz w:val="28"/>
          <w:szCs w:val="28"/>
        </w:rPr>
        <w:lastRenderedPageBreak/>
        <w:t>Introduction</w:t>
      </w:r>
    </w:p>
    <w:p w14:paraId="6EA0B16E" w14:textId="77777777" w:rsidR="00AF2753" w:rsidRDefault="00AF2753" w:rsidP="00B42F2B">
      <w:pPr>
        <w:tabs>
          <w:tab w:val="left" w:pos="4125"/>
        </w:tabs>
        <w:spacing w:before="0" w:after="0"/>
      </w:pPr>
    </w:p>
    <w:p w14:paraId="2F3BCBFF" w14:textId="0222DD05" w:rsidR="00EB1758" w:rsidRDefault="00EB1758" w:rsidP="00EB1758">
      <w:pPr>
        <w:tabs>
          <w:tab w:val="left" w:pos="4125"/>
        </w:tabs>
        <w:spacing w:before="0" w:after="0"/>
      </w:pPr>
      <w:r>
        <w:t xml:space="preserve">Navigant Consulting, Inc. was engaged by the Washington State Department of Social and Health Services (DSHS), also referred to as “the Department”, to conduct an analysis of the current Medicaid payment methodology and rates paid for Adult Family Home services relative to the efficiency, accessibility and the quality of care standards established under Federal requirements. </w:t>
      </w:r>
      <w:r w:rsidR="00C97C30">
        <w:t xml:space="preserve"> </w:t>
      </w:r>
      <w:r>
        <w:t>The Federal requirements that apply to the methods states employ to pay for Medicaid services, which are described in U.S.C. § 1396a (a)(</w:t>
      </w:r>
      <w:proofErr w:type="gramStart"/>
      <w:r>
        <w:t>30)(</w:t>
      </w:r>
      <w:proofErr w:type="gramEnd"/>
      <w:r>
        <w:t xml:space="preserve">A), specify that a state plan for Medical Assistance (referred to herein as Medicaid) provide such methods and procedures relating to the utilization of, and the payment for, care and services available under the plan as may be necessary to safeguard against unnecessary utilization of such care and services. </w:t>
      </w:r>
      <w:r w:rsidR="00C97C30">
        <w:t xml:space="preserve"> </w:t>
      </w:r>
      <w:r>
        <w:t xml:space="preserve">In </w:t>
      </w:r>
      <w:r w:rsidR="00C97C30">
        <w:t>addition,</w:t>
      </w:r>
      <w:r>
        <w:t xml:space="preserve"> these requirements specify the state plan for Medical Assistance should assure that payments are consistent with efficiency, economy, and quality of care and are sufficient to enlist enough providers so that care and services are available under the plan at least to the extent that such care and services are available to the general population in the geographic area.  </w:t>
      </w:r>
    </w:p>
    <w:p w14:paraId="240DBFBE" w14:textId="77777777" w:rsidR="00EB1758" w:rsidRDefault="00EB1758" w:rsidP="00EB1758">
      <w:pPr>
        <w:tabs>
          <w:tab w:val="left" w:pos="4125"/>
        </w:tabs>
        <w:spacing w:before="0" w:after="0"/>
      </w:pPr>
    </w:p>
    <w:p w14:paraId="3E81A827" w14:textId="77777777" w:rsidR="00EB1758" w:rsidRDefault="00EB1758" w:rsidP="00EB1758">
      <w:pPr>
        <w:tabs>
          <w:tab w:val="left" w:pos="4125"/>
        </w:tabs>
        <w:spacing w:before="0" w:after="0"/>
      </w:pPr>
      <w:r>
        <w:t xml:space="preserve">As such, our analysis focused on an evaluation of the current Washington Medicaid payment methodology and related rates relative to consistency with efficiency and economy, and access to care and quality of care in Washington State.  </w:t>
      </w:r>
    </w:p>
    <w:p w14:paraId="0AF68A7E" w14:textId="2458DF94" w:rsidR="00B42F2B" w:rsidRPr="00535593" w:rsidRDefault="00B42F2B" w:rsidP="00B42F2B">
      <w:pPr>
        <w:tabs>
          <w:tab w:val="left" w:pos="4125"/>
        </w:tabs>
        <w:spacing w:before="0" w:after="0"/>
      </w:pPr>
    </w:p>
    <w:p w14:paraId="3DA5C6F4" w14:textId="727EA30C" w:rsidR="00162203" w:rsidRDefault="008E1BBE" w:rsidP="002F0570">
      <w:pPr>
        <w:pStyle w:val="Heading1"/>
        <w:tabs>
          <w:tab w:val="left" w:pos="2160"/>
        </w:tabs>
        <w:spacing w:before="360"/>
      </w:pPr>
      <w:bookmarkStart w:id="1" w:name="_Toc441841140"/>
      <w:r>
        <w:t>Section I</w:t>
      </w:r>
      <w:r w:rsidR="002E4CE4">
        <w:t xml:space="preserve">:  </w:t>
      </w:r>
      <w:r w:rsidR="00535593">
        <w:t xml:space="preserve">Overview of </w:t>
      </w:r>
      <w:r w:rsidR="00EB1758">
        <w:t>Adult Family Homes and</w:t>
      </w:r>
      <w:r w:rsidR="00AF2753">
        <w:t xml:space="preserve"> Services Provided</w:t>
      </w:r>
      <w:bookmarkEnd w:id="1"/>
    </w:p>
    <w:p w14:paraId="4CEFD290" w14:textId="77777777" w:rsidR="005E6835" w:rsidRDefault="005E6835" w:rsidP="00EB1758">
      <w:pPr>
        <w:pStyle w:val="ProposalBody"/>
        <w:spacing w:before="0" w:after="0" w:line="240" w:lineRule="auto"/>
      </w:pPr>
    </w:p>
    <w:p w14:paraId="04BC83F7" w14:textId="1916A2B1" w:rsidR="00EB1758" w:rsidRDefault="00EB1758" w:rsidP="00EB1758">
      <w:pPr>
        <w:pStyle w:val="ProposalBody"/>
        <w:spacing w:before="0" w:after="0" w:line="240" w:lineRule="auto"/>
      </w:pPr>
      <w:r>
        <w:t xml:space="preserve">Adult Family Homes are residential homes licensed to care for up to six non-related residents and provide housing, meals, laundry, any necessary supervision and help with activities of daily living.  Adult Family Homes can also provide personal care and social services to their residents and allow residents to live an independent lifestyle in a community setting while receiving necessary services from Adult Family Home staff.  Some Adult Family Homes provide intermittent nursing services and others may specialize in serving people with mental health needs, developmental disabilities, or dementia.  The Department contracts with Adult Family Homes to provide services for Medicaid residents in Adult Family Homes. </w:t>
      </w:r>
    </w:p>
    <w:p w14:paraId="4F1F48F6" w14:textId="77777777" w:rsidR="00EB1758" w:rsidRDefault="00EB1758" w:rsidP="00EB1758">
      <w:pPr>
        <w:pStyle w:val="ProposalBody"/>
        <w:spacing w:before="0" w:after="0" w:line="240" w:lineRule="auto"/>
      </w:pPr>
    </w:p>
    <w:p w14:paraId="7E3EE1FA" w14:textId="77777777" w:rsidR="00EB1758" w:rsidRDefault="00EB1758" w:rsidP="00EB1758">
      <w:pPr>
        <w:pStyle w:val="ProposalBody"/>
        <w:spacing w:before="0" w:after="0" w:line="240" w:lineRule="auto"/>
      </w:pPr>
      <w:r>
        <w:t xml:space="preserve">Under federal regulations, federally-matched state Medicaid dollars may not be used to pay for the room and board costs associated with long-term care services, including the room and board components of costs in Adult Family Homes.  As such, Medicaid residents in Adult Family Homes are responsible for paying for their own room and board, and the Department pays only for the allowable Medicaid services that residents receive.  The Department will in some cases pay for room and board expenses with state only dollars when, for instance, the resident has no or little participation to cover the room and board expense. </w:t>
      </w:r>
    </w:p>
    <w:p w14:paraId="4D702124" w14:textId="77777777" w:rsidR="00EB1758" w:rsidRDefault="00EB1758" w:rsidP="00EB1758">
      <w:pPr>
        <w:pStyle w:val="ProposalBody"/>
        <w:spacing w:before="0" w:after="0" w:line="240" w:lineRule="auto"/>
      </w:pPr>
    </w:p>
    <w:p w14:paraId="55B7FD45" w14:textId="5B7AF98C" w:rsidR="00535593" w:rsidRDefault="00EB1758" w:rsidP="00EB1758">
      <w:pPr>
        <w:pStyle w:val="ProposalBody"/>
        <w:spacing w:before="0" w:after="0" w:line="240" w:lineRule="auto"/>
      </w:pPr>
      <w:r>
        <w:t xml:space="preserve">Based on data provided to us by the Department, there were </w:t>
      </w:r>
      <w:r w:rsidRPr="00440B66">
        <w:t>2,</w:t>
      </w:r>
      <w:r w:rsidR="00DD4874">
        <w:t>806</w:t>
      </w:r>
      <w:r w:rsidRPr="00440B66">
        <w:t xml:space="preserve"> </w:t>
      </w:r>
      <w:r>
        <w:t>Adult Family Homes in Washington State in 201</w:t>
      </w:r>
      <w:r w:rsidR="00AC6EC3">
        <w:t>7</w:t>
      </w:r>
      <w:r>
        <w:t>, with a</w:t>
      </w:r>
      <w:r w:rsidR="00DD4874">
        <w:t xml:space="preserve"> total of</w:t>
      </w:r>
      <w:r>
        <w:t xml:space="preserve"> </w:t>
      </w:r>
      <w:r w:rsidRPr="00190D22">
        <w:t>15,</w:t>
      </w:r>
      <w:r w:rsidR="00DD4874">
        <w:t>741</w:t>
      </w:r>
      <w:r>
        <w:t xml:space="preserve"> licensed beds.  Of those, </w:t>
      </w:r>
      <w:r w:rsidRPr="00DD4874">
        <w:t>2,4</w:t>
      </w:r>
      <w:r w:rsidR="00DD4874" w:rsidRPr="00DD4874">
        <w:t>78</w:t>
      </w:r>
      <w:r>
        <w:t xml:space="preserve"> were Medicaid contracted (</w:t>
      </w:r>
      <w:r w:rsidRPr="00DD4874">
        <w:t>8</w:t>
      </w:r>
      <w:r w:rsidR="00B7767D">
        <w:t>8</w:t>
      </w:r>
      <w:r>
        <w:t xml:space="preserve"> percent of the total number of Adult Family Homes), and those Medicaid contracted Adult Family Homes had </w:t>
      </w:r>
      <w:r w:rsidRPr="00B7767D">
        <w:t>13,</w:t>
      </w:r>
      <w:r w:rsidR="00B7767D">
        <w:t>889</w:t>
      </w:r>
      <w:r>
        <w:t xml:space="preserve"> licensed beds (</w:t>
      </w:r>
      <w:r w:rsidRPr="00B7767D">
        <w:t>88</w:t>
      </w:r>
      <w:r>
        <w:t xml:space="preserve"> percent of the total number of licensed beds).  In the State of Washington, Adult Family Homes can enter into a </w:t>
      </w:r>
      <w:r>
        <w:lastRenderedPageBreak/>
        <w:t xml:space="preserve">contract with the Department to provide care to Medicaid residents, but that contract does not require that they accept all Medicaid-eligible residents, even if they have available beds. </w:t>
      </w:r>
      <w:r w:rsidR="00C97C30">
        <w:t xml:space="preserve"> </w:t>
      </w:r>
      <w:r>
        <w:t>Adult Family Homes in Washington can refuse to accept Medicaid residents at their discretion, even if they are a Medicaid-contracted provider.</w:t>
      </w:r>
    </w:p>
    <w:p w14:paraId="511D6EC7" w14:textId="77777777" w:rsidR="005E6835" w:rsidRDefault="005E6835" w:rsidP="00EB1758">
      <w:pPr>
        <w:pStyle w:val="ProposalBody"/>
        <w:spacing w:before="0" w:after="0" w:line="240" w:lineRule="auto"/>
      </w:pPr>
    </w:p>
    <w:p w14:paraId="7FAE5DBE" w14:textId="42B8C942" w:rsidR="00A5081B" w:rsidRPr="00A5081B" w:rsidRDefault="00C453C4" w:rsidP="00A5081B">
      <w:pPr>
        <w:pStyle w:val="Heading1"/>
        <w:tabs>
          <w:tab w:val="left" w:pos="2160"/>
        </w:tabs>
        <w:spacing w:before="360"/>
      </w:pPr>
      <w:bookmarkStart w:id="2" w:name="_Toc441841141"/>
      <w:r>
        <w:t>Section II</w:t>
      </w:r>
      <w:r w:rsidR="002E4CE4">
        <w:t xml:space="preserve">:  </w:t>
      </w:r>
      <w:r w:rsidR="00AF2753">
        <w:t>Overview of the Current Medicaid Payment Methodology and Rates</w:t>
      </w:r>
      <w:bookmarkEnd w:id="2"/>
    </w:p>
    <w:p w14:paraId="712FAC3F" w14:textId="77777777" w:rsidR="005E6835" w:rsidRDefault="005E6835" w:rsidP="00EB1758">
      <w:pPr>
        <w:spacing w:before="0" w:after="0"/>
        <w:rPr>
          <w:rFonts w:cs="Arial"/>
        </w:rPr>
      </w:pPr>
    </w:p>
    <w:p w14:paraId="4BB070E4" w14:textId="6D15E932" w:rsidR="00EB1758" w:rsidRPr="00EB1758" w:rsidRDefault="00EB1758" w:rsidP="00EB1758">
      <w:pPr>
        <w:spacing w:before="0" w:after="0"/>
        <w:rPr>
          <w:rFonts w:cs="Arial"/>
        </w:rPr>
      </w:pPr>
      <w:r w:rsidRPr="00EB1758">
        <w:rPr>
          <w:rFonts w:cs="Arial"/>
        </w:rPr>
        <w:t>This section describes the current Medicaid payment methodology and rates for Adult Family Homes in Washington.  This description is intended to provide a high</w:t>
      </w:r>
      <w:r w:rsidR="00B7767D">
        <w:rPr>
          <w:rFonts w:cs="Arial"/>
        </w:rPr>
        <w:t>-</w:t>
      </w:r>
      <w:r w:rsidRPr="00EB1758">
        <w:rPr>
          <w:rFonts w:cs="Arial"/>
        </w:rPr>
        <w:t xml:space="preserve">level overview of how payment rates are set for Medicaid residents in Adult Family Homes.    </w:t>
      </w:r>
    </w:p>
    <w:p w14:paraId="4AE7C1C7" w14:textId="77777777" w:rsidR="00EB1758" w:rsidRPr="005E6835" w:rsidRDefault="00EB1758" w:rsidP="00EB1758">
      <w:pPr>
        <w:spacing w:before="0" w:after="0"/>
        <w:rPr>
          <w:rFonts w:cs="Arial"/>
          <w:b/>
        </w:rPr>
      </w:pPr>
    </w:p>
    <w:p w14:paraId="3801DF29" w14:textId="77777777" w:rsidR="00EB1758" w:rsidRPr="005E6835" w:rsidRDefault="00EB1758" w:rsidP="00EB1758">
      <w:pPr>
        <w:spacing w:before="0" w:after="0"/>
        <w:rPr>
          <w:rFonts w:cs="Arial"/>
          <w:b/>
        </w:rPr>
      </w:pPr>
      <w:r w:rsidRPr="005E6835">
        <w:rPr>
          <w:rFonts w:cs="Arial"/>
          <w:b/>
        </w:rPr>
        <w:t>Methodology Used to Establish Current Rates</w:t>
      </w:r>
    </w:p>
    <w:p w14:paraId="3ADB0901" w14:textId="77777777" w:rsidR="00EB1758" w:rsidRPr="00EB1758" w:rsidRDefault="00EB1758" w:rsidP="00EB1758">
      <w:pPr>
        <w:spacing w:before="0" w:after="0"/>
        <w:rPr>
          <w:rFonts w:cs="Arial"/>
        </w:rPr>
      </w:pPr>
    </w:p>
    <w:p w14:paraId="7FF52E6C" w14:textId="4871C4F4" w:rsidR="00EB1758" w:rsidRPr="00EB1758" w:rsidRDefault="00EB1758" w:rsidP="00EB1758">
      <w:pPr>
        <w:spacing w:before="0" w:after="0"/>
        <w:rPr>
          <w:rFonts w:cs="Arial"/>
        </w:rPr>
      </w:pPr>
      <w:r w:rsidRPr="00EB1758">
        <w:rPr>
          <w:rFonts w:cs="Arial"/>
        </w:rPr>
        <w:t xml:space="preserve">In Washington State, the Medicaid rates reimbursed to providers are determined by the Legislature. </w:t>
      </w:r>
      <w:r w:rsidR="00C97C30">
        <w:rPr>
          <w:rFonts w:cs="Arial"/>
        </w:rPr>
        <w:t xml:space="preserve"> </w:t>
      </w:r>
      <w:r w:rsidRPr="00EB1758">
        <w:rPr>
          <w:rFonts w:cs="Arial"/>
        </w:rPr>
        <w:t xml:space="preserve">These reimbursement rates are based on negotiations between the Governor’s office and the union representing Adult Family Home providers.  </w:t>
      </w:r>
    </w:p>
    <w:p w14:paraId="7C02D4E0" w14:textId="77777777" w:rsidR="00EB1758" w:rsidRPr="00EB1758" w:rsidRDefault="00EB1758" w:rsidP="00EB1758">
      <w:pPr>
        <w:spacing w:before="0" w:after="0"/>
        <w:rPr>
          <w:rFonts w:cs="Arial"/>
        </w:rPr>
      </w:pPr>
    </w:p>
    <w:p w14:paraId="13AD8818" w14:textId="70886586" w:rsidR="00EB1758" w:rsidRPr="00EB1758" w:rsidRDefault="00EB1758" w:rsidP="00EB1758">
      <w:pPr>
        <w:spacing w:before="0" w:after="0"/>
        <w:rPr>
          <w:rFonts w:cs="Arial"/>
        </w:rPr>
      </w:pPr>
      <w:r w:rsidRPr="00EB1758">
        <w:rPr>
          <w:rFonts w:cs="Arial"/>
        </w:rPr>
        <w:t>The Department developed a methodology in the early 2000’s to establish daily reimbursement rates for adult family home services</w:t>
      </w:r>
      <w:r w:rsidR="005E6835">
        <w:rPr>
          <w:rStyle w:val="FootnoteReference"/>
          <w:rFonts w:ascii="Palatino Linotype" w:hAnsi="Palatino Linotype"/>
        </w:rPr>
        <w:footnoteReference w:id="1"/>
      </w:r>
      <w:r w:rsidRPr="00EB1758">
        <w:rPr>
          <w:rFonts w:cs="Arial"/>
        </w:rPr>
        <w:t xml:space="preserve"> on a client by client basis based on each client’s assignment to one of 12 unique CARE Classifications. </w:t>
      </w:r>
      <w:r w:rsidR="00C97C30">
        <w:rPr>
          <w:rFonts w:cs="Arial"/>
        </w:rPr>
        <w:t xml:space="preserve"> </w:t>
      </w:r>
      <w:r w:rsidRPr="00EB1758">
        <w:rPr>
          <w:rFonts w:cs="Arial"/>
        </w:rPr>
        <w:t xml:space="preserve">These CARE Classifications are reflective of different levels of resources that are required to care for residents with individual needs. </w:t>
      </w:r>
      <w:r w:rsidR="00C97C30">
        <w:rPr>
          <w:rFonts w:cs="Arial"/>
        </w:rPr>
        <w:t xml:space="preserve"> </w:t>
      </w:r>
      <w:r w:rsidRPr="00EB1758">
        <w:rPr>
          <w:rFonts w:cs="Arial"/>
        </w:rPr>
        <w:t xml:space="preserve">In July of 2008, the methodology was expanded to include 17 unique classification groups. </w:t>
      </w:r>
      <w:r w:rsidR="00C97C30">
        <w:rPr>
          <w:rFonts w:cs="Arial"/>
        </w:rPr>
        <w:t xml:space="preserve"> </w:t>
      </w:r>
      <w:r w:rsidRPr="00EB1758">
        <w:rPr>
          <w:rFonts w:cs="Arial"/>
        </w:rPr>
        <w:t>Under the current rate setting methodology, each Medicaid-eligible Adult Family Home resident is assigned to one of the 17 CARE Classifications based on an assessment of the resident</w:t>
      </w:r>
      <w:r w:rsidR="00C97C30">
        <w:rPr>
          <w:rFonts w:cs="Arial"/>
        </w:rPr>
        <w:t xml:space="preserve"> using the CARE assessment tool.</w:t>
      </w:r>
      <w:r w:rsidR="005E6835">
        <w:rPr>
          <w:rStyle w:val="FootnoteReference"/>
          <w:rFonts w:ascii="Palatino Linotype" w:hAnsi="Palatino Linotype"/>
        </w:rPr>
        <w:footnoteReference w:id="2"/>
      </w:r>
      <w:r w:rsidR="00C97C30">
        <w:rPr>
          <w:rStyle w:val="ProposalItalics"/>
          <w:rFonts w:ascii="Palatino Linotype" w:hAnsi="Palatino Linotype"/>
        </w:rPr>
        <w:t xml:space="preserve"> </w:t>
      </w:r>
      <w:r w:rsidR="00C97C30">
        <w:rPr>
          <w:rFonts w:cs="Arial"/>
        </w:rPr>
        <w:t xml:space="preserve"> </w:t>
      </w:r>
      <w:r w:rsidRPr="00EB1758">
        <w:rPr>
          <w:rFonts w:cs="Arial"/>
        </w:rPr>
        <w:t xml:space="preserve">The daily reimbursement rate for services varies based on this classification as well as the geographic area the services are provided. </w:t>
      </w:r>
    </w:p>
    <w:p w14:paraId="034AB7CC" w14:textId="77777777" w:rsidR="00EB1758" w:rsidRPr="00EB1758" w:rsidRDefault="00EB1758" w:rsidP="00EB1758">
      <w:pPr>
        <w:spacing w:before="0" w:after="0"/>
        <w:rPr>
          <w:rFonts w:cs="Arial"/>
        </w:rPr>
      </w:pPr>
    </w:p>
    <w:p w14:paraId="6FAC6386" w14:textId="2D366ABC" w:rsidR="00EB1758" w:rsidRDefault="00EB1758" w:rsidP="00EB1758">
      <w:pPr>
        <w:spacing w:before="0" w:after="0"/>
        <w:rPr>
          <w:rFonts w:cs="Arial"/>
        </w:rPr>
      </w:pPr>
      <w:r w:rsidRPr="00EB1758">
        <w:rPr>
          <w:rFonts w:cs="Arial"/>
        </w:rPr>
        <w:t xml:space="preserve">Federal law requires that Medicaid providers are reimbursed at levels consistent with efficiency, economy, and quality of care, and that the level of reimbursement is sufficient to attract enough providers to provide services to the population. 42 U.S.C. § 1396a (a) (30) (A). </w:t>
      </w:r>
      <w:r w:rsidR="00976807">
        <w:rPr>
          <w:rFonts w:cs="Arial"/>
        </w:rPr>
        <w:t xml:space="preserve"> </w:t>
      </w:r>
    </w:p>
    <w:p w14:paraId="4B096442" w14:textId="1D9230EA" w:rsidR="00FC4882" w:rsidRDefault="00FC4882" w:rsidP="00EB1758">
      <w:pPr>
        <w:spacing w:before="0" w:after="0"/>
        <w:rPr>
          <w:rFonts w:cs="Arial"/>
        </w:rPr>
      </w:pPr>
    </w:p>
    <w:p w14:paraId="0C6B4C2A" w14:textId="77777777" w:rsidR="00FC4882" w:rsidRPr="00EB1758" w:rsidRDefault="00FC4882" w:rsidP="00EB1758">
      <w:pPr>
        <w:spacing w:before="0" w:after="0"/>
        <w:rPr>
          <w:rFonts w:cs="Arial"/>
        </w:rPr>
      </w:pPr>
    </w:p>
    <w:p w14:paraId="00A11789" w14:textId="795F78B9" w:rsidR="00EB1758" w:rsidRPr="005E6835" w:rsidRDefault="00EB1758" w:rsidP="00EB1758">
      <w:pPr>
        <w:spacing w:before="0" w:after="0"/>
        <w:rPr>
          <w:rFonts w:cs="Arial"/>
          <w:b/>
        </w:rPr>
      </w:pPr>
      <w:r w:rsidRPr="005E6835">
        <w:rPr>
          <w:rFonts w:cs="Arial"/>
          <w:b/>
        </w:rPr>
        <w:t>Current Rates for State Fiscal Year 201</w:t>
      </w:r>
      <w:r w:rsidR="005D02B8">
        <w:rPr>
          <w:rFonts w:cs="Arial"/>
          <w:b/>
        </w:rPr>
        <w:t>9</w:t>
      </w:r>
    </w:p>
    <w:p w14:paraId="3F109067" w14:textId="77777777" w:rsidR="00EB1758" w:rsidRPr="00EB1758" w:rsidRDefault="00EB1758" w:rsidP="00EB1758">
      <w:pPr>
        <w:spacing w:before="0" w:after="0"/>
        <w:rPr>
          <w:rFonts w:cs="Arial"/>
        </w:rPr>
      </w:pPr>
    </w:p>
    <w:p w14:paraId="79808AA5" w14:textId="24C05FC9" w:rsidR="00EB1758" w:rsidRPr="00EB1758" w:rsidRDefault="00EB1758" w:rsidP="00EB1758">
      <w:pPr>
        <w:spacing w:before="0" w:after="0"/>
        <w:rPr>
          <w:rFonts w:cs="Arial"/>
        </w:rPr>
      </w:pPr>
      <w:r w:rsidRPr="00EB1758">
        <w:rPr>
          <w:rFonts w:cs="Arial"/>
        </w:rPr>
        <w:t>Appendix A of this report shows the rates currently in effect for services provided in Adult Family Homes.</w:t>
      </w:r>
      <w:r w:rsidR="00EE6AA8">
        <w:rPr>
          <w:rStyle w:val="FootnoteReference"/>
          <w:rFonts w:ascii="Palatino Linotype" w:hAnsi="Palatino Linotype"/>
        </w:rPr>
        <w:footnoteReference w:id="3"/>
      </w:r>
      <w:r w:rsidRPr="00EB1758">
        <w:rPr>
          <w:rFonts w:cs="Arial"/>
        </w:rPr>
        <w:t xml:space="preserve">  Based on data provided to us by the Department, the weighted average </w:t>
      </w:r>
      <w:r w:rsidRPr="00EB1758">
        <w:rPr>
          <w:rFonts w:cs="Arial"/>
        </w:rPr>
        <w:lastRenderedPageBreak/>
        <w:t>Adult Family Home rate given the anticipated number of Medicaid beneficiaries for SFY 201</w:t>
      </w:r>
      <w:r w:rsidR="005D02B8">
        <w:rPr>
          <w:rFonts w:cs="Arial"/>
        </w:rPr>
        <w:t>9</w:t>
      </w:r>
      <w:r w:rsidRPr="00EB1758">
        <w:rPr>
          <w:rFonts w:cs="Arial"/>
        </w:rPr>
        <w:t xml:space="preserve"> is expected to be </w:t>
      </w:r>
      <w:r w:rsidRPr="00843ECE">
        <w:rPr>
          <w:rFonts w:cs="Arial"/>
        </w:rPr>
        <w:t>$</w:t>
      </w:r>
      <w:r w:rsidR="004F23B0">
        <w:rPr>
          <w:rFonts w:cs="Arial"/>
        </w:rPr>
        <w:t>112.7</w:t>
      </w:r>
      <w:r w:rsidR="007C7FE3">
        <w:rPr>
          <w:rFonts w:cs="Arial"/>
        </w:rPr>
        <w:t>0</w:t>
      </w:r>
      <w:r w:rsidRPr="00EB1758">
        <w:rPr>
          <w:rFonts w:cs="Arial"/>
        </w:rPr>
        <w:t xml:space="preserve"> per day. </w:t>
      </w:r>
    </w:p>
    <w:p w14:paraId="5353CF55" w14:textId="77777777" w:rsidR="00EB1758" w:rsidRPr="00EB1758" w:rsidRDefault="00EB1758" w:rsidP="00EB1758">
      <w:pPr>
        <w:spacing w:before="0" w:after="0"/>
        <w:rPr>
          <w:rFonts w:cs="Arial"/>
        </w:rPr>
      </w:pPr>
    </w:p>
    <w:p w14:paraId="3792814D" w14:textId="2486D2A9" w:rsidR="001F5F60" w:rsidRPr="00A5081B" w:rsidRDefault="00EB1758" w:rsidP="00EB1758">
      <w:pPr>
        <w:spacing w:before="0" w:after="0"/>
        <w:rPr>
          <w:rFonts w:cs="Arial"/>
        </w:rPr>
      </w:pPr>
      <w:r w:rsidRPr="00EB1758">
        <w:rPr>
          <w:rFonts w:cs="Arial"/>
        </w:rPr>
        <w:t>The three geographic area groups used for rate-setting purposes are King County, all other Metropolitan Counties</w:t>
      </w:r>
      <w:r>
        <w:rPr>
          <w:rStyle w:val="FootnoteReference"/>
          <w:rFonts w:ascii="Palatino Linotype" w:hAnsi="Palatino Linotype"/>
        </w:rPr>
        <w:footnoteReference w:id="4"/>
      </w:r>
      <w:r w:rsidRPr="00EB1758">
        <w:rPr>
          <w:rFonts w:cs="Arial"/>
        </w:rPr>
        <w:t>, a</w:t>
      </w:r>
      <w:r>
        <w:rPr>
          <w:rFonts w:cs="Arial"/>
        </w:rPr>
        <w:t>nd all Nonmetropolitan Counties</w:t>
      </w:r>
      <w:r>
        <w:rPr>
          <w:rStyle w:val="FootnoteReference"/>
          <w:rFonts w:ascii="Palatino Linotype" w:hAnsi="Palatino Linotype"/>
        </w:rPr>
        <w:footnoteReference w:id="5"/>
      </w:r>
      <w:r w:rsidRPr="00EB1758">
        <w:rPr>
          <w:rFonts w:cs="Arial"/>
        </w:rPr>
        <w:t>.  The counties included in each geographic area group are shown on the map in Exhibit 2.1.  This Exhibit also shows the number of Adult Family Home providers in each county and geographic region.</w:t>
      </w:r>
    </w:p>
    <w:p w14:paraId="756B0BDC" w14:textId="77777777" w:rsidR="00A5081B" w:rsidRPr="00A5081B" w:rsidRDefault="00A5081B" w:rsidP="00A5081B">
      <w:pPr>
        <w:spacing w:before="0" w:after="0"/>
        <w:rPr>
          <w:rFonts w:cs="Arial"/>
        </w:rPr>
      </w:pPr>
    </w:p>
    <w:p w14:paraId="35D96B77" w14:textId="77777777" w:rsidR="00A5081B" w:rsidRDefault="00A5081B" w:rsidP="00B42F2B">
      <w:pPr>
        <w:spacing w:before="0" w:after="0"/>
        <w:rPr>
          <w:rFonts w:cs="Arial"/>
        </w:rPr>
        <w:sectPr w:rsidR="00A5081B" w:rsidSect="00A5081B">
          <w:headerReference w:type="default" r:id="rId12"/>
          <w:endnotePr>
            <w:numFmt w:val="decimal"/>
          </w:endnotePr>
          <w:pgSz w:w="12240" w:h="15840" w:code="1"/>
          <w:pgMar w:top="720" w:right="1800" w:bottom="720" w:left="1440" w:header="720" w:footer="720" w:gutter="0"/>
          <w:cols w:space="720"/>
          <w:docGrid w:linePitch="360"/>
        </w:sectPr>
      </w:pPr>
    </w:p>
    <w:p w14:paraId="0E291451" w14:textId="5C7F6370" w:rsidR="00B42F2B" w:rsidRPr="00B42F2B" w:rsidRDefault="00A00352" w:rsidP="006F4F84">
      <w:pPr>
        <w:jc w:val="center"/>
        <w:rPr>
          <w:rFonts w:cs="Arial"/>
        </w:rPr>
        <w:sectPr w:rsidR="00B42F2B" w:rsidRPr="00B42F2B" w:rsidSect="00B42F2B">
          <w:endnotePr>
            <w:numFmt w:val="decimal"/>
          </w:endnotePr>
          <w:pgSz w:w="15840" w:h="12240" w:orient="landscape" w:code="1"/>
          <w:pgMar w:top="1440" w:right="720" w:bottom="1800" w:left="720" w:header="720" w:footer="720" w:gutter="0"/>
          <w:cols w:space="720"/>
          <w:docGrid w:linePitch="360"/>
        </w:sectPr>
      </w:pPr>
      <w:r>
        <w:rPr>
          <w:rFonts w:cs="Arial"/>
          <w:noProof/>
        </w:rPr>
        <w:lastRenderedPageBreak/>
        <w:drawing>
          <wp:inline distT="0" distB="0" distL="0" distR="0" wp14:anchorId="7548F486" wp14:editId="5FDB5BEF">
            <wp:extent cx="7899400" cy="5924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hibit 2.1 - 2017.jpg"/>
                    <pic:cNvPicPr/>
                  </pic:nvPicPr>
                  <pic:blipFill>
                    <a:blip r:embed="rId13">
                      <a:extLst>
                        <a:ext uri="{28A0092B-C50C-407E-A947-70E740481C1C}">
                          <a14:useLocalDpi xmlns:a14="http://schemas.microsoft.com/office/drawing/2010/main" val="0"/>
                        </a:ext>
                      </a:extLst>
                    </a:blip>
                    <a:stretch>
                      <a:fillRect/>
                    </a:stretch>
                  </pic:blipFill>
                  <pic:spPr>
                    <a:xfrm>
                      <a:off x="0" y="0"/>
                      <a:ext cx="7899400" cy="5924550"/>
                    </a:xfrm>
                    <a:prstGeom prst="rect">
                      <a:avLst/>
                    </a:prstGeom>
                  </pic:spPr>
                </pic:pic>
              </a:graphicData>
            </a:graphic>
          </wp:inline>
        </w:drawing>
      </w:r>
    </w:p>
    <w:p w14:paraId="23AB9B30" w14:textId="0E7A1914" w:rsidR="00C453C4" w:rsidRPr="007F314F" w:rsidRDefault="00C453C4" w:rsidP="002F0570">
      <w:pPr>
        <w:pStyle w:val="Heading1"/>
        <w:tabs>
          <w:tab w:val="left" w:pos="2160"/>
        </w:tabs>
        <w:spacing w:before="360"/>
      </w:pPr>
      <w:bookmarkStart w:id="3" w:name="_Toc441841142"/>
      <w:r>
        <w:lastRenderedPageBreak/>
        <w:t xml:space="preserve">Section </w:t>
      </w:r>
      <w:r w:rsidR="002F0570">
        <w:t>III</w:t>
      </w:r>
      <w:r w:rsidR="002E4CE4">
        <w:t xml:space="preserve">:  </w:t>
      </w:r>
      <w:r w:rsidR="00DE25DD">
        <w:t>Access to Care</w:t>
      </w:r>
      <w:bookmarkEnd w:id="3"/>
    </w:p>
    <w:p w14:paraId="1D739E8E" w14:textId="446B76C9" w:rsidR="005E6835" w:rsidRDefault="005E6835" w:rsidP="005E6835">
      <w:pPr>
        <w:widowControl/>
        <w:spacing w:before="0" w:after="0"/>
        <w:rPr>
          <w:rFonts w:cs="Arial"/>
          <w:b/>
        </w:rPr>
      </w:pPr>
    </w:p>
    <w:p w14:paraId="79E88FE3" w14:textId="77777777" w:rsidR="005E6835" w:rsidRPr="005E6835" w:rsidRDefault="005E6835" w:rsidP="005E6835">
      <w:pPr>
        <w:spacing w:before="0" w:after="0"/>
        <w:rPr>
          <w:rFonts w:cs="Arial"/>
        </w:rPr>
      </w:pPr>
      <w:r w:rsidRPr="005E6835">
        <w:rPr>
          <w:rFonts w:cs="Arial"/>
        </w:rPr>
        <w:t>In this section, we analyze the availability of Adult Family Home beds in Washington as a way to determine if barriers to access exist for Medicaid beneficiaries requiring Adult Family Home services.  We analyze access to care primarily using Adult Family Home licensed beds and occupancy rates over time, as well as information provided to us by the Department regarding Medicaid placements.</w:t>
      </w:r>
    </w:p>
    <w:p w14:paraId="69E4FBB6" w14:textId="77777777" w:rsidR="005E6835" w:rsidRPr="005E6835" w:rsidRDefault="005E6835" w:rsidP="005E6835">
      <w:pPr>
        <w:spacing w:before="0" w:after="0"/>
        <w:rPr>
          <w:rFonts w:cs="Arial"/>
        </w:rPr>
      </w:pPr>
    </w:p>
    <w:p w14:paraId="109965E3" w14:textId="002EAB2D" w:rsidR="005E6835" w:rsidRPr="005E6835" w:rsidRDefault="005E6835" w:rsidP="005E6835">
      <w:pPr>
        <w:spacing w:before="0" w:after="0"/>
        <w:rPr>
          <w:rFonts w:cs="Arial"/>
          <w:b/>
        </w:rPr>
      </w:pPr>
      <w:r w:rsidRPr="005E6835">
        <w:rPr>
          <w:rFonts w:cs="Arial"/>
          <w:b/>
        </w:rPr>
        <w:t>Washington Adult Family Home Capacity and Occupancy from 200</w:t>
      </w:r>
      <w:r w:rsidR="009C2B7C">
        <w:rPr>
          <w:rFonts w:cs="Arial"/>
          <w:b/>
        </w:rPr>
        <w:t>9</w:t>
      </w:r>
      <w:r w:rsidRPr="005E6835">
        <w:rPr>
          <w:rFonts w:cs="Arial"/>
          <w:b/>
        </w:rPr>
        <w:t xml:space="preserve"> to </w:t>
      </w:r>
      <w:r w:rsidR="005D02B8" w:rsidRPr="005E6835">
        <w:rPr>
          <w:rFonts w:cs="Arial"/>
          <w:b/>
        </w:rPr>
        <w:t>201</w:t>
      </w:r>
      <w:r w:rsidR="005D02B8">
        <w:rPr>
          <w:rFonts w:cs="Arial"/>
          <w:b/>
        </w:rPr>
        <w:t>8</w:t>
      </w:r>
    </w:p>
    <w:p w14:paraId="67E6771A" w14:textId="77777777" w:rsidR="005E6835" w:rsidRPr="005E6835" w:rsidRDefault="005E6835" w:rsidP="005E6835">
      <w:pPr>
        <w:spacing w:before="0" w:after="0"/>
        <w:rPr>
          <w:rFonts w:cs="Arial"/>
        </w:rPr>
      </w:pPr>
    </w:p>
    <w:p w14:paraId="0F73FEC9" w14:textId="12421894" w:rsidR="005E6835" w:rsidRPr="005E6835" w:rsidRDefault="005E6835" w:rsidP="005E6835">
      <w:pPr>
        <w:spacing w:before="0" w:after="0"/>
        <w:rPr>
          <w:rFonts w:cs="Arial"/>
        </w:rPr>
      </w:pPr>
      <w:r w:rsidRPr="005E6835">
        <w:rPr>
          <w:rFonts w:cs="Arial"/>
        </w:rPr>
        <w:t xml:space="preserve">We first look at total Adult Family Home capacity in Washington.  Adult Family Home capacity can be measured by the number of bed days available – that is the number of licensed beds multiplied by the number of days in the year. </w:t>
      </w:r>
      <w:r w:rsidR="00ED3263">
        <w:rPr>
          <w:rFonts w:cs="Arial"/>
        </w:rPr>
        <w:t xml:space="preserve"> </w:t>
      </w:r>
      <w:r w:rsidRPr="005E6835">
        <w:rPr>
          <w:rFonts w:cs="Arial"/>
        </w:rPr>
        <w:t>Table 3.1 shows the number of Adult Family Homes, number of licensed beds and total available bed days in the state between 200</w:t>
      </w:r>
      <w:r w:rsidR="009C2B7C">
        <w:rPr>
          <w:rFonts w:cs="Arial"/>
        </w:rPr>
        <w:t>9</w:t>
      </w:r>
      <w:r w:rsidRPr="005E6835">
        <w:rPr>
          <w:rFonts w:cs="Arial"/>
        </w:rPr>
        <w:t xml:space="preserve"> and </w:t>
      </w:r>
      <w:r w:rsidR="005D02B8" w:rsidRPr="005E6835">
        <w:rPr>
          <w:rFonts w:cs="Arial"/>
        </w:rPr>
        <w:t>20</w:t>
      </w:r>
      <w:r w:rsidR="005D02B8">
        <w:rPr>
          <w:rFonts w:cs="Arial"/>
        </w:rPr>
        <w:t>18</w:t>
      </w:r>
      <w:r w:rsidRPr="005E6835">
        <w:rPr>
          <w:rFonts w:cs="Arial"/>
        </w:rPr>
        <w:t xml:space="preserve">.  This table shows that in recent years, the number of Adult Family Homes and the number of licensed beds and available bed days has been </w:t>
      </w:r>
      <w:r w:rsidR="009C2B7C">
        <w:rPr>
          <w:rFonts w:cs="Arial"/>
        </w:rPr>
        <w:t>steadily increasing</w:t>
      </w:r>
      <w:r w:rsidRPr="005E6835">
        <w:rPr>
          <w:rFonts w:cs="Arial"/>
        </w:rPr>
        <w:t xml:space="preserve"> in the last three years shown.</w:t>
      </w:r>
    </w:p>
    <w:p w14:paraId="70020C6E" w14:textId="77777777" w:rsidR="005E6835" w:rsidRPr="005E6835" w:rsidRDefault="005E6835" w:rsidP="005E6835">
      <w:pPr>
        <w:spacing w:before="0" w:after="0"/>
        <w:rPr>
          <w:rFonts w:cs="Arial"/>
        </w:rPr>
      </w:pPr>
    </w:p>
    <w:p w14:paraId="19A3C6A2" w14:textId="4B905818" w:rsidR="005E6835" w:rsidRPr="005E6835" w:rsidRDefault="005E6835" w:rsidP="005E6835">
      <w:pPr>
        <w:tabs>
          <w:tab w:val="left" w:pos="0"/>
        </w:tabs>
        <w:spacing w:before="0" w:after="0"/>
        <w:rPr>
          <w:rFonts w:cs="Arial"/>
          <w:b/>
        </w:rPr>
      </w:pPr>
      <w:r w:rsidRPr="005E6835">
        <w:rPr>
          <w:rFonts w:cs="Arial"/>
          <w:b/>
        </w:rPr>
        <w:t>Table 3.1:  Adult Family Home Capacity in Washington 200</w:t>
      </w:r>
      <w:r w:rsidR="009C2B7C">
        <w:rPr>
          <w:rFonts w:cs="Arial"/>
          <w:b/>
        </w:rPr>
        <w:t>9</w:t>
      </w:r>
      <w:r w:rsidRPr="005E6835">
        <w:rPr>
          <w:rFonts w:cs="Arial"/>
          <w:b/>
        </w:rPr>
        <w:t xml:space="preserve"> – 201</w:t>
      </w:r>
      <w:r w:rsidR="009C2B7C">
        <w:rPr>
          <w:rFonts w:cs="Arial"/>
          <w:b/>
        </w:rPr>
        <w:t>8</w:t>
      </w:r>
      <w:r w:rsidRPr="005E6835">
        <w:rPr>
          <w:rFonts w:cs="Arial"/>
          <w:b/>
        </w:rPr>
        <w:t xml:space="preserve"> </w:t>
      </w:r>
    </w:p>
    <w:p w14:paraId="3B07F344" w14:textId="77777777" w:rsidR="005E6835" w:rsidRPr="005E6835" w:rsidRDefault="005E6835" w:rsidP="005E6835">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81"/>
        <w:gridCol w:w="1827"/>
        <w:gridCol w:w="1760"/>
      </w:tblGrid>
      <w:tr w:rsidR="005E6835" w:rsidRPr="005E6835" w14:paraId="59B5E32F" w14:textId="77777777" w:rsidTr="005E6835">
        <w:trPr>
          <w:cantSplit/>
        </w:trPr>
        <w:tc>
          <w:tcPr>
            <w:tcW w:w="1170" w:type="dxa"/>
            <w:vAlign w:val="bottom"/>
          </w:tcPr>
          <w:p w14:paraId="3B0C5D4E" w14:textId="77777777" w:rsidR="005E6835" w:rsidRPr="005E6835" w:rsidRDefault="005E6835" w:rsidP="005E6835">
            <w:pPr>
              <w:jc w:val="center"/>
              <w:rPr>
                <w:rFonts w:cs="Arial"/>
                <w:b/>
                <w:sz w:val="20"/>
              </w:rPr>
            </w:pPr>
            <w:r w:rsidRPr="005E6835">
              <w:rPr>
                <w:rFonts w:cs="Arial"/>
                <w:b/>
                <w:sz w:val="20"/>
              </w:rPr>
              <w:t xml:space="preserve">State </w:t>
            </w:r>
            <w:proofErr w:type="gramStart"/>
            <w:r w:rsidRPr="005E6835">
              <w:rPr>
                <w:rFonts w:cs="Arial"/>
                <w:b/>
                <w:sz w:val="20"/>
              </w:rPr>
              <w:t>Fiscal  Year</w:t>
            </w:r>
            <w:proofErr w:type="gramEnd"/>
          </w:p>
        </w:tc>
        <w:tc>
          <w:tcPr>
            <w:tcW w:w="1181" w:type="dxa"/>
            <w:vAlign w:val="bottom"/>
          </w:tcPr>
          <w:p w14:paraId="64645EDD" w14:textId="77777777" w:rsidR="005E6835" w:rsidRPr="005E6835" w:rsidRDefault="005E6835" w:rsidP="005E6835">
            <w:pPr>
              <w:jc w:val="center"/>
              <w:rPr>
                <w:rFonts w:cs="Arial"/>
                <w:b/>
                <w:sz w:val="20"/>
              </w:rPr>
            </w:pPr>
            <w:r w:rsidRPr="005E6835">
              <w:rPr>
                <w:rFonts w:cs="Arial"/>
                <w:b/>
                <w:sz w:val="20"/>
              </w:rPr>
              <w:t>Number of Facilities</w:t>
            </w:r>
          </w:p>
        </w:tc>
        <w:tc>
          <w:tcPr>
            <w:tcW w:w="1827" w:type="dxa"/>
            <w:vAlign w:val="bottom"/>
          </w:tcPr>
          <w:p w14:paraId="799822D7" w14:textId="77777777" w:rsidR="005E6835" w:rsidRPr="005E6835" w:rsidRDefault="005E6835" w:rsidP="005E6835">
            <w:pPr>
              <w:jc w:val="center"/>
              <w:rPr>
                <w:rFonts w:cs="Arial"/>
                <w:b/>
                <w:sz w:val="20"/>
              </w:rPr>
            </w:pPr>
            <w:r w:rsidRPr="005E6835">
              <w:rPr>
                <w:rFonts w:cs="Arial"/>
                <w:b/>
                <w:sz w:val="20"/>
              </w:rPr>
              <w:t>Number of Licensed Beds</w:t>
            </w:r>
          </w:p>
        </w:tc>
        <w:tc>
          <w:tcPr>
            <w:tcW w:w="1760" w:type="dxa"/>
            <w:vAlign w:val="bottom"/>
          </w:tcPr>
          <w:p w14:paraId="5C7D9B26" w14:textId="77777777" w:rsidR="005E6835" w:rsidRPr="005E6835" w:rsidRDefault="005E6835" w:rsidP="005E6835">
            <w:pPr>
              <w:jc w:val="center"/>
              <w:rPr>
                <w:rFonts w:cs="Arial"/>
                <w:b/>
                <w:sz w:val="20"/>
              </w:rPr>
            </w:pPr>
            <w:r w:rsidRPr="005E6835">
              <w:rPr>
                <w:rFonts w:cs="Arial"/>
                <w:b/>
                <w:sz w:val="20"/>
              </w:rPr>
              <w:t>Total Number of Bed Days Available</w:t>
            </w:r>
          </w:p>
        </w:tc>
      </w:tr>
      <w:tr w:rsidR="005E6835" w:rsidRPr="005E6835" w14:paraId="76C3BA85" w14:textId="107A932B" w:rsidTr="005E6835">
        <w:trPr>
          <w:cantSplit/>
        </w:trPr>
        <w:tc>
          <w:tcPr>
            <w:tcW w:w="1170" w:type="dxa"/>
          </w:tcPr>
          <w:p w14:paraId="6FBED7BF" w14:textId="54513036" w:rsidR="005E6835" w:rsidRPr="005E6835" w:rsidRDefault="005E6835" w:rsidP="005E6835">
            <w:pPr>
              <w:jc w:val="center"/>
              <w:rPr>
                <w:rFonts w:cs="Arial"/>
                <w:sz w:val="20"/>
                <w:szCs w:val="18"/>
              </w:rPr>
            </w:pPr>
            <w:r w:rsidRPr="005E6835">
              <w:rPr>
                <w:rFonts w:cs="Arial"/>
                <w:sz w:val="20"/>
                <w:szCs w:val="18"/>
              </w:rPr>
              <w:t>2009</w:t>
            </w:r>
          </w:p>
        </w:tc>
        <w:tc>
          <w:tcPr>
            <w:tcW w:w="1181" w:type="dxa"/>
            <w:vAlign w:val="center"/>
          </w:tcPr>
          <w:p w14:paraId="0767A996" w14:textId="011EDDA5" w:rsidR="005E6835" w:rsidRPr="005E6835" w:rsidRDefault="005E6835" w:rsidP="005E6835">
            <w:pPr>
              <w:jc w:val="center"/>
              <w:rPr>
                <w:rFonts w:cs="Arial"/>
                <w:sz w:val="20"/>
                <w:szCs w:val="18"/>
              </w:rPr>
            </w:pPr>
            <w:r w:rsidRPr="005E6835">
              <w:rPr>
                <w:rFonts w:cs="Arial"/>
                <w:sz w:val="20"/>
                <w:szCs w:val="18"/>
              </w:rPr>
              <w:t>2,732</w:t>
            </w:r>
          </w:p>
        </w:tc>
        <w:tc>
          <w:tcPr>
            <w:tcW w:w="1827" w:type="dxa"/>
            <w:vAlign w:val="center"/>
          </w:tcPr>
          <w:p w14:paraId="2EE181E3" w14:textId="1558E0C0" w:rsidR="005E6835" w:rsidRPr="005E6835" w:rsidRDefault="005E6835" w:rsidP="005E6835">
            <w:pPr>
              <w:jc w:val="center"/>
              <w:rPr>
                <w:rFonts w:cs="Arial"/>
                <w:sz w:val="20"/>
                <w:szCs w:val="18"/>
              </w:rPr>
            </w:pPr>
            <w:r w:rsidRPr="005E6835">
              <w:rPr>
                <w:rFonts w:cs="Arial"/>
                <w:sz w:val="20"/>
                <w:szCs w:val="18"/>
              </w:rPr>
              <w:t>15,081</w:t>
            </w:r>
          </w:p>
        </w:tc>
        <w:tc>
          <w:tcPr>
            <w:tcW w:w="1760" w:type="dxa"/>
            <w:vAlign w:val="center"/>
          </w:tcPr>
          <w:p w14:paraId="1C40A341" w14:textId="24454526" w:rsidR="005E6835" w:rsidRPr="005E6835" w:rsidRDefault="005E6835" w:rsidP="005E6835">
            <w:pPr>
              <w:jc w:val="center"/>
              <w:rPr>
                <w:rFonts w:cs="Arial"/>
                <w:sz w:val="20"/>
                <w:szCs w:val="18"/>
              </w:rPr>
            </w:pPr>
            <w:r w:rsidRPr="005E6835">
              <w:rPr>
                <w:rFonts w:cs="Arial"/>
                <w:sz w:val="20"/>
                <w:szCs w:val="18"/>
              </w:rPr>
              <w:t>5,504,565</w:t>
            </w:r>
          </w:p>
        </w:tc>
      </w:tr>
      <w:tr w:rsidR="005E6835" w:rsidRPr="005E6835" w14:paraId="28D5C149" w14:textId="77777777" w:rsidTr="005E6835">
        <w:trPr>
          <w:cantSplit/>
        </w:trPr>
        <w:tc>
          <w:tcPr>
            <w:tcW w:w="1170" w:type="dxa"/>
          </w:tcPr>
          <w:p w14:paraId="4DD76C36" w14:textId="77777777" w:rsidR="005E6835" w:rsidRPr="005E6835" w:rsidRDefault="005E6835" w:rsidP="005E6835">
            <w:pPr>
              <w:jc w:val="center"/>
              <w:rPr>
                <w:rFonts w:cs="Arial"/>
                <w:sz w:val="20"/>
                <w:szCs w:val="18"/>
              </w:rPr>
            </w:pPr>
            <w:r w:rsidRPr="005E6835">
              <w:rPr>
                <w:rFonts w:cs="Arial"/>
                <w:sz w:val="20"/>
                <w:szCs w:val="18"/>
              </w:rPr>
              <w:t>2010</w:t>
            </w:r>
          </w:p>
        </w:tc>
        <w:tc>
          <w:tcPr>
            <w:tcW w:w="1181" w:type="dxa"/>
            <w:vAlign w:val="center"/>
          </w:tcPr>
          <w:p w14:paraId="5C5F4309" w14:textId="77777777" w:rsidR="005E6835" w:rsidRPr="005E6835" w:rsidRDefault="005E6835" w:rsidP="005E6835">
            <w:pPr>
              <w:jc w:val="center"/>
              <w:rPr>
                <w:rFonts w:cs="Arial"/>
                <w:sz w:val="20"/>
                <w:szCs w:val="18"/>
              </w:rPr>
            </w:pPr>
            <w:r w:rsidRPr="005E6835">
              <w:rPr>
                <w:rFonts w:cs="Arial"/>
                <w:sz w:val="20"/>
                <w:szCs w:val="18"/>
              </w:rPr>
              <w:t>2,829</w:t>
            </w:r>
          </w:p>
        </w:tc>
        <w:tc>
          <w:tcPr>
            <w:tcW w:w="1827" w:type="dxa"/>
            <w:vAlign w:val="center"/>
          </w:tcPr>
          <w:p w14:paraId="4D9B8DEE" w14:textId="77777777" w:rsidR="005E6835" w:rsidRPr="005E6835" w:rsidRDefault="005E6835" w:rsidP="005E6835">
            <w:pPr>
              <w:jc w:val="center"/>
              <w:rPr>
                <w:rFonts w:cs="Arial"/>
                <w:sz w:val="20"/>
                <w:szCs w:val="18"/>
              </w:rPr>
            </w:pPr>
            <w:r w:rsidRPr="005E6835">
              <w:rPr>
                <w:rFonts w:cs="Arial"/>
                <w:sz w:val="20"/>
                <w:szCs w:val="18"/>
              </w:rPr>
              <w:t>15,635</w:t>
            </w:r>
          </w:p>
        </w:tc>
        <w:tc>
          <w:tcPr>
            <w:tcW w:w="1760" w:type="dxa"/>
            <w:vAlign w:val="center"/>
          </w:tcPr>
          <w:p w14:paraId="63A0BF3F" w14:textId="77777777" w:rsidR="005E6835" w:rsidRPr="005E6835" w:rsidRDefault="005E6835" w:rsidP="005E6835">
            <w:pPr>
              <w:jc w:val="center"/>
              <w:rPr>
                <w:rFonts w:cs="Arial"/>
                <w:sz w:val="20"/>
                <w:szCs w:val="18"/>
              </w:rPr>
            </w:pPr>
            <w:r w:rsidRPr="005E6835">
              <w:rPr>
                <w:rFonts w:cs="Arial"/>
                <w:sz w:val="20"/>
                <w:szCs w:val="18"/>
              </w:rPr>
              <w:t>5,706,775</w:t>
            </w:r>
          </w:p>
        </w:tc>
      </w:tr>
      <w:tr w:rsidR="005E6835" w:rsidRPr="005E6835" w14:paraId="357098C8" w14:textId="77777777" w:rsidTr="005E6835">
        <w:trPr>
          <w:cantSplit/>
        </w:trPr>
        <w:tc>
          <w:tcPr>
            <w:tcW w:w="1170" w:type="dxa"/>
          </w:tcPr>
          <w:p w14:paraId="2B64C87D" w14:textId="77777777" w:rsidR="005E6835" w:rsidRPr="005E6835" w:rsidRDefault="005E6835" w:rsidP="005E6835">
            <w:pPr>
              <w:jc w:val="center"/>
              <w:rPr>
                <w:rFonts w:cs="Arial"/>
                <w:sz w:val="20"/>
                <w:szCs w:val="18"/>
              </w:rPr>
            </w:pPr>
            <w:r w:rsidRPr="005E6835">
              <w:rPr>
                <w:rFonts w:cs="Arial"/>
                <w:sz w:val="20"/>
                <w:szCs w:val="18"/>
              </w:rPr>
              <w:t>2011</w:t>
            </w:r>
          </w:p>
        </w:tc>
        <w:tc>
          <w:tcPr>
            <w:tcW w:w="1181" w:type="dxa"/>
            <w:vAlign w:val="center"/>
          </w:tcPr>
          <w:p w14:paraId="546C3B60" w14:textId="77777777" w:rsidR="005E6835" w:rsidRPr="005E6835" w:rsidRDefault="005E6835" w:rsidP="005E6835">
            <w:pPr>
              <w:jc w:val="center"/>
              <w:rPr>
                <w:rFonts w:cs="Arial"/>
                <w:sz w:val="20"/>
                <w:szCs w:val="18"/>
              </w:rPr>
            </w:pPr>
            <w:r w:rsidRPr="005E6835">
              <w:rPr>
                <w:rFonts w:cs="Arial"/>
                <w:sz w:val="20"/>
                <w:szCs w:val="18"/>
              </w:rPr>
              <w:t>2,888</w:t>
            </w:r>
          </w:p>
        </w:tc>
        <w:tc>
          <w:tcPr>
            <w:tcW w:w="1827" w:type="dxa"/>
            <w:vAlign w:val="center"/>
          </w:tcPr>
          <w:p w14:paraId="572EB527" w14:textId="77777777" w:rsidR="005E6835" w:rsidRPr="005E6835" w:rsidRDefault="005E6835" w:rsidP="005E6835">
            <w:pPr>
              <w:jc w:val="center"/>
              <w:rPr>
                <w:rFonts w:cs="Arial"/>
                <w:sz w:val="20"/>
                <w:szCs w:val="18"/>
              </w:rPr>
            </w:pPr>
            <w:r w:rsidRPr="005E6835">
              <w:rPr>
                <w:rFonts w:cs="Arial"/>
                <w:sz w:val="20"/>
                <w:szCs w:val="18"/>
              </w:rPr>
              <w:t>15,918</w:t>
            </w:r>
          </w:p>
        </w:tc>
        <w:tc>
          <w:tcPr>
            <w:tcW w:w="1760" w:type="dxa"/>
            <w:vAlign w:val="center"/>
          </w:tcPr>
          <w:p w14:paraId="35E88CDC" w14:textId="77777777" w:rsidR="005E6835" w:rsidRPr="005E6835" w:rsidRDefault="005E6835" w:rsidP="005E6835">
            <w:pPr>
              <w:jc w:val="center"/>
              <w:rPr>
                <w:rFonts w:cs="Arial"/>
                <w:sz w:val="20"/>
                <w:szCs w:val="18"/>
              </w:rPr>
            </w:pPr>
            <w:r w:rsidRPr="005E6835">
              <w:rPr>
                <w:rFonts w:cs="Arial"/>
                <w:sz w:val="20"/>
                <w:szCs w:val="18"/>
              </w:rPr>
              <w:t>5,810,070</w:t>
            </w:r>
          </w:p>
        </w:tc>
      </w:tr>
      <w:tr w:rsidR="005E6835" w:rsidRPr="005E6835" w14:paraId="03F8D8BC" w14:textId="77777777" w:rsidTr="005E6835">
        <w:trPr>
          <w:cantSplit/>
        </w:trPr>
        <w:tc>
          <w:tcPr>
            <w:tcW w:w="1170" w:type="dxa"/>
          </w:tcPr>
          <w:p w14:paraId="3BA207B9" w14:textId="77777777" w:rsidR="005E6835" w:rsidRPr="005E6835" w:rsidRDefault="005E6835" w:rsidP="005E6835">
            <w:pPr>
              <w:jc w:val="center"/>
              <w:rPr>
                <w:rFonts w:cs="Arial"/>
                <w:sz w:val="20"/>
                <w:szCs w:val="18"/>
              </w:rPr>
            </w:pPr>
            <w:r w:rsidRPr="005E6835">
              <w:rPr>
                <w:rFonts w:cs="Arial"/>
                <w:sz w:val="20"/>
                <w:szCs w:val="18"/>
              </w:rPr>
              <w:t>2012</w:t>
            </w:r>
          </w:p>
        </w:tc>
        <w:tc>
          <w:tcPr>
            <w:tcW w:w="1181" w:type="dxa"/>
            <w:vAlign w:val="center"/>
          </w:tcPr>
          <w:p w14:paraId="520F2098" w14:textId="77777777" w:rsidR="005E6835" w:rsidRPr="005E6835" w:rsidRDefault="005E6835" w:rsidP="005E6835">
            <w:pPr>
              <w:jc w:val="center"/>
              <w:rPr>
                <w:rFonts w:cs="Arial"/>
                <w:sz w:val="20"/>
                <w:szCs w:val="18"/>
              </w:rPr>
            </w:pPr>
            <w:r w:rsidRPr="005E6835">
              <w:rPr>
                <w:rFonts w:cs="Arial"/>
                <w:sz w:val="20"/>
                <w:szCs w:val="18"/>
              </w:rPr>
              <w:t>2,870</w:t>
            </w:r>
          </w:p>
        </w:tc>
        <w:tc>
          <w:tcPr>
            <w:tcW w:w="1827" w:type="dxa"/>
            <w:vAlign w:val="center"/>
          </w:tcPr>
          <w:p w14:paraId="29623FA3" w14:textId="77777777" w:rsidR="005E6835" w:rsidRPr="005E6835" w:rsidRDefault="005E6835" w:rsidP="005E6835">
            <w:pPr>
              <w:jc w:val="center"/>
              <w:rPr>
                <w:rFonts w:cs="Arial"/>
                <w:sz w:val="20"/>
                <w:szCs w:val="18"/>
              </w:rPr>
            </w:pPr>
            <w:r w:rsidRPr="005E6835">
              <w:rPr>
                <w:rFonts w:cs="Arial"/>
                <w:sz w:val="20"/>
                <w:szCs w:val="18"/>
              </w:rPr>
              <w:t>15,830</w:t>
            </w:r>
          </w:p>
        </w:tc>
        <w:tc>
          <w:tcPr>
            <w:tcW w:w="1760" w:type="dxa"/>
            <w:vAlign w:val="center"/>
          </w:tcPr>
          <w:p w14:paraId="39301094" w14:textId="77777777" w:rsidR="005E6835" w:rsidRPr="005E6835" w:rsidRDefault="005E6835" w:rsidP="005E6835">
            <w:pPr>
              <w:jc w:val="center"/>
              <w:rPr>
                <w:rFonts w:cs="Arial"/>
                <w:sz w:val="20"/>
                <w:szCs w:val="18"/>
              </w:rPr>
            </w:pPr>
            <w:r w:rsidRPr="005E6835">
              <w:rPr>
                <w:rFonts w:cs="Arial"/>
                <w:sz w:val="20"/>
                <w:szCs w:val="18"/>
              </w:rPr>
              <w:t>5,793,780</w:t>
            </w:r>
          </w:p>
        </w:tc>
      </w:tr>
      <w:tr w:rsidR="005E6835" w:rsidRPr="005E6835" w14:paraId="6D694F3F" w14:textId="77777777" w:rsidTr="005E6835">
        <w:trPr>
          <w:cantSplit/>
        </w:trPr>
        <w:tc>
          <w:tcPr>
            <w:tcW w:w="1170" w:type="dxa"/>
          </w:tcPr>
          <w:p w14:paraId="7C9F450A" w14:textId="77777777" w:rsidR="005E6835" w:rsidRPr="005E6835" w:rsidRDefault="005E6835" w:rsidP="005E6835">
            <w:pPr>
              <w:jc w:val="center"/>
              <w:rPr>
                <w:rFonts w:cs="Arial"/>
                <w:sz w:val="20"/>
                <w:szCs w:val="18"/>
              </w:rPr>
            </w:pPr>
            <w:r w:rsidRPr="005E6835">
              <w:rPr>
                <w:rFonts w:cs="Arial"/>
                <w:sz w:val="20"/>
                <w:szCs w:val="18"/>
              </w:rPr>
              <w:t>2013</w:t>
            </w:r>
          </w:p>
        </w:tc>
        <w:tc>
          <w:tcPr>
            <w:tcW w:w="1181" w:type="dxa"/>
            <w:vAlign w:val="center"/>
          </w:tcPr>
          <w:p w14:paraId="052878F0" w14:textId="77777777" w:rsidR="005E6835" w:rsidRPr="005E6835" w:rsidRDefault="005E6835" w:rsidP="005E6835">
            <w:pPr>
              <w:jc w:val="center"/>
              <w:rPr>
                <w:rFonts w:cs="Arial"/>
                <w:sz w:val="20"/>
                <w:szCs w:val="18"/>
              </w:rPr>
            </w:pPr>
            <w:r w:rsidRPr="005E6835">
              <w:rPr>
                <w:rFonts w:cs="Arial"/>
                <w:sz w:val="20"/>
                <w:szCs w:val="18"/>
              </w:rPr>
              <w:t>2,842</w:t>
            </w:r>
          </w:p>
        </w:tc>
        <w:tc>
          <w:tcPr>
            <w:tcW w:w="1827" w:type="dxa"/>
            <w:vAlign w:val="center"/>
          </w:tcPr>
          <w:p w14:paraId="7CB43CAA" w14:textId="77777777" w:rsidR="005E6835" w:rsidRPr="005E6835" w:rsidRDefault="005E6835" w:rsidP="005E6835">
            <w:pPr>
              <w:jc w:val="center"/>
              <w:rPr>
                <w:rFonts w:cs="Arial"/>
                <w:sz w:val="20"/>
                <w:szCs w:val="18"/>
              </w:rPr>
            </w:pPr>
            <w:r w:rsidRPr="005E6835">
              <w:rPr>
                <w:rFonts w:cs="Arial"/>
                <w:sz w:val="20"/>
                <w:szCs w:val="18"/>
              </w:rPr>
              <w:t>15,596</w:t>
            </w:r>
          </w:p>
        </w:tc>
        <w:tc>
          <w:tcPr>
            <w:tcW w:w="1760" w:type="dxa"/>
            <w:vAlign w:val="center"/>
          </w:tcPr>
          <w:p w14:paraId="29884FC7" w14:textId="77777777" w:rsidR="005E6835" w:rsidRPr="005E6835" w:rsidRDefault="005E6835" w:rsidP="005E6835">
            <w:pPr>
              <w:jc w:val="center"/>
              <w:rPr>
                <w:rFonts w:cs="Arial"/>
                <w:sz w:val="20"/>
                <w:szCs w:val="18"/>
              </w:rPr>
            </w:pPr>
            <w:r w:rsidRPr="005E6835">
              <w:rPr>
                <w:rFonts w:cs="Arial"/>
                <w:sz w:val="20"/>
                <w:szCs w:val="18"/>
              </w:rPr>
              <w:t>5,692,540</w:t>
            </w:r>
          </w:p>
        </w:tc>
      </w:tr>
      <w:tr w:rsidR="005E6835" w:rsidRPr="005E6835" w14:paraId="5511A19C" w14:textId="77777777" w:rsidTr="005E6835">
        <w:trPr>
          <w:cantSplit/>
        </w:trPr>
        <w:tc>
          <w:tcPr>
            <w:tcW w:w="1170" w:type="dxa"/>
          </w:tcPr>
          <w:p w14:paraId="7C120870" w14:textId="77777777" w:rsidR="005E6835" w:rsidRPr="005E6835" w:rsidRDefault="005E6835" w:rsidP="005E6835">
            <w:pPr>
              <w:jc w:val="center"/>
              <w:rPr>
                <w:rFonts w:cs="Arial"/>
                <w:sz w:val="20"/>
                <w:szCs w:val="18"/>
              </w:rPr>
            </w:pPr>
            <w:r w:rsidRPr="005E6835">
              <w:rPr>
                <w:rFonts w:cs="Arial"/>
                <w:sz w:val="20"/>
                <w:szCs w:val="18"/>
              </w:rPr>
              <w:t>2014</w:t>
            </w:r>
          </w:p>
        </w:tc>
        <w:tc>
          <w:tcPr>
            <w:tcW w:w="1181" w:type="dxa"/>
            <w:vAlign w:val="center"/>
          </w:tcPr>
          <w:p w14:paraId="5ADAA7E6" w14:textId="77777777" w:rsidR="005E6835" w:rsidRPr="005E6835" w:rsidRDefault="005E6835" w:rsidP="005E6835">
            <w:pPr>
              <w:jc w:val="center"/>
              <w:rPr>
                <w:rFonts w:cs="Arial"/>
                <w:sz w:val="20"/>
                <w:szCs w:val="18"/>
              </w:rPr>
            </w:pPr>
            <w:r w:rsidRPr="005E6835">
              <w:rPr>
                <w:rFonts w:cs="Arial"/>
                <w:sz w:val="20"/>
                <w:szCs w:val="18"/>
              </w:rPr>
              <w:t>2,772</w:t>
            </w:r>
          </w:p>
        </w:tc>
        <w:tc>
          <w:tcPr>
            <w:tcW w:w="1827" w:type="dxa"/>
            <w:vAlign w:val="center"/>
          </w:tcPr>
          <w:p w14:paraId="1167FC19" w14:textId="77777777" w:rsidR="005E6835" w:rsidRPr="005E6835" w:rsidRDefault="005E6835" w:rsidP="005E6835">
            <w:pPr>
              <w:jc w:val="center"/>
              <w:rPr>
                <w:rFonts w:cs="Arial"/>
                <w:sz w:val="20"/>
                <w:szCs w:val="18"/>
              </w:rPr>
            </w:pPr>
            <w:r w:rsidRPr="005E6835">
              <w:rPr>
                <w:rFonts w:cs="Arial"/>
                <w:sz w:val="20"/>
                <w:szCs w:val="18"/>
              </w:rPr>
              <w:t>15,214</w:t>
            </w:r>
          </w:p>
        </w:tc>
        <w:tc>
          <w:tcPr>
            <w:tcW w:w="1760" w:type="dxa"/>
            <w:vAlign w:val="center"/>
          </w:tcPr>
          <w:p w14:paraId="5D3F00E1" w14:textId="77777777" w:rsidR="005E6835" w:rsidRPr="005E6835" w:rsidRDefault="005E6835" w:rsidP="005E6835">
            <w:pPr>
              <w:jc w:val="center"/>
              <w:rPr>
                <w:rFonts w:cs="Arial"/>
                <w:sz w:val="20"/>
                <w:szCs w:val="18"/>
              </w:rPr>
            </w:pPr>
            <w:r w:rsidRPr="005E6835">
              <w:rPr>
                <w:rFonts w:cs="Arial"/>
                <w:sz w:val="20"/>
                <w:szCs w:val="18"/>
              </w:rPr>
              <w:t>5,553,110</w:t>
            </w:r>
          </w:p>
        </w:tc>
      </w:tr>
      <w:tr w:rsidR="005E6835" w:rsidRPr="005E6835" w14:paraId="119C5900" w14:textId="77777777" w:rsidTr="005E6835">
        <w:trPr>
          <w:cantSplit/>
        </w:trPr>
        <w:tc>
          <w:tcPr>
            <w:tcW w:w="1170" w:type="dxa"/>
          </w:tcPr>
          <w:p w14:paraId="2071D0C4" w14:textId="77777777" w:rsidR="005E6835" w:rsidRPr="005E6835" w:rsidRDefault="005E6835" w:rsidP="005E6835">
            <w:pPr>
              <w:jc w:val="center"/>
              <w:rPr>
                <w:rFonts w:cs="Arial"/>
                <w:sz w:val="20"/>
                <w:szCs w:val="18"/>
              </w:rPr>
            </w:pPr>
            <w:r w:rsidRPr="005E6835">
              <w:rPr>
                <w:rFonts w:cs="Arial"/>
                <w:sz w:val="20"/>
                <w:szCs w:val="18"/>
              </w:rPr>
              <w:t>2015</w:t>
            </w:r>
          </w:p>
        </w:tc>
        <w:tc>
          <w:tcPr>
            <w:tcW w:w="1181" w:type="dxa"/>
            <w:vAlign w:val="center"/>
          </w:tcPr>
          <w:p w14:paraId="4962A2AE" w14:textId="77777777" w:rsidR="005E6835" w:rsidRPr="005E6835" w:rsidRDefault="005E6835" w:rsidP="005E6835">
            <w:pPr>
              <w:jc w:val="center"/>
              <w:rPr>
                <w:rFonts w:cs="Arial"/>
                <w:sz w:val="20"/>
                <w:szCs w:val="18"/>
              </w:rPr>
            </w:pPr>
            <w:r w:rsidRPr="005E6835">
              <w:rPr>
                <w:rFonts w:cs="Arial"/>
                <w:sz w:val="20"/>
                <w:szCs w:val="18"/>
              </w:rPr>
              <w:t>2,750</w:t>
            </w:r>
          </w:p>
        </w:tc>
        <w:tc>
          <w:tcPr>
            <w:tcW w:w="1827" w:type="dxa"/>
            <w:vAlign w:val="center"/>
          </w:tcPr>
          <w:p w14:paraId="6807BEE1" w14:textId="77777777" w:rsidR="005E6835" w:rsidRPr="005E6835" w:rsidRDefault="005E6835" w:rsidP="005E6835">
            <w:pPr>
              <w:jc w:val="center"/>
              <w:rPr>
                <w:rFonts w:cs="Arial"/>
                <w:sz w:val="20"/>
                <w:szCs w:val="18"/>
              </w:rPr>
            </w:pPr>
            <w:r w:rsidRPr="005E6835">
              <w:rPr>
                <w:rFonts w:cs="Arial"/>
                <w:sz w:val="20"/>
                <w:szCs w:val="18"/>
              </w:rPr>
              <w:t>15,190</w:t>
            </w:r>
          </w:p>
        </w:tc>
        <w:tc>
          <w:tcPr>
            <w:tcW w:w="1760" w:type="dxa"/>
            <w:vAlign w:val="center"/>
          </w:tcPr>
          <w:p w14:paraId="0C32BD7F" w14:textId="77777777" w:rsidR="005E6835" w:rsidRPr="005E6835" w:rsidRDefault="005E6835" w:rsidP="005E6835">
            <w:pPr>
              <w:jc w:val="center"/>
              <w:rPr>
                <w:rFonts w:cs="Arial"/>
                <w:sz w:val="20"/>
                <w:szCs w:val="18"/>
              </w:rPr>
            </w:pPr>
            <w:r w:rsidRPr="005E6835">
              <w:rPr>
                <w:rFonts w:cs="Arial"/>
                <w:sz w:val="20"/>
                <w:szCs w:val="18"/>
              </w:rPr>
              <w:t>5,544,350</w:t>
            </w:r>
          </w:p>
        </w:tc>
      </w:tr>
      <w:tr w:rsidR="005E6835" w:rsidRPr="005E6835" w14:paraId="6ED6C3B9" w14:textId="77777777" w:rsidTr="005E6835">
        <w:trPr>
          <w:cantSplit/>
        </w:trPr>
        <w:tc>
          <w:tcPr>
            <w:tcW w:w="1170" w:type="dxa"/>
          </w:tcPr>
          <w:p w14:paraId="360F20C1" w14:textId="77777777" w:rsidR="005E6835" w:rsidRPr="005E6835" w:rsidRDefault="005E6835" w:rsidP="005E6835">
            <w:pPr>
              <w:jc w:val="center"/>
              <w:rPr>
                <w:rFonts w:cs="Arial"/>
                <w:sz w:val="20"/>
                <w:szCs w:val="18"/>
              </w:rPr>
            </w:pPr>
            <w:r w:rsidRPr="005E6835">
              <w:rPr>
                <w:rFonts w:cs="Arial"/>
                <w:sz w:val="20"/>
                <w:szCs w:val="18"/>
              </w:rPr>
              <w:t>2016</w:t>
            </w:r>
          </w:p>
        </w:tc>
        <w:tc>
          <w:tcPr>
            <w:tcW w:w="1181" w:type="dxa"/>
            <w:vAlign w:val="center"/>
          </w:tcPr>
          <w:p w14:paraId="7D685816" w14:textId="77777777" w:rsidR="005E6835" w:rsidRPr="005E6835" w:rsidRDefault="005E6835" w:rsidP="005E6835">
            <w:pPr>
              <w:jc w:val="center"/>
              <w:rPr>
                <w:rFonts w:cs="Arial"/>
                <w:sz w:val="20"/>
                <w:szCs w:val="18"/>
              </w:rPr>
            </w:pPr>
            <w:r w:rsidRPr="005E6835">
              <w:rPr>
                <w:rFonts w:cs="Arial"/>
                <w:sz w:val="20"/>
                <w:szCs w:val="18"/>
              </w:rPr>
              <w:t>2,768</w:t>
            </w:r>
          </w:p>
        </w:tc>
        <w:tc>
          <w:tcPr>
            <w:tcW w:w="1827" w:type="dxa"/>
            <w:vAlign w:val="center"/>
          </w:tcPr>
          <w:p w14:paraId="27084B3D" w14:textId="77777777" w:rsidR="005E6835" w:rsidRPr="005E6835" w:rsidRDefault="005E6835" w:rsidP="005E6835">
            <w:pPr>
              <w:jc w:val="center"/>
              <w:rPr>
                <w:rFonts w:cs="Arial"/>
                <w:sz w:val="20"/>
                <w:szCs w:val="18"/>
              </w:rPr>
            </w:pPr>
            <w:r w:rsidRPr="005E6835">
              <w:rPr>
                <w:rFonts w:cs="Arial"/>
                <w:sz w:val="20"/>
                <w:szCs w:val="18"/>
              </w:rPr>
              <w:t>15,316</w:t>
            </w:r>
          </w:p>
        </w:tc>
        <w:tc>
          <w:tcPr>
            <w:tcW w:w="1760" w:type="dxa"/>
            <w:vAlign w:val="center"/>
          </w:tcPr>
          <w:p w14:paraId="043B37C2" w14:textId="77777777" w:rsidR="005E6835" w:rsidRPr="005E6835" w:rsidRDefault="005E6835" w:rsidP="005E6835">
            <w:pPr>
              <w:jc w:val="center"/>
              <w:rPr>
                <w:rFonts w:cs="Arial"/>
                <w:sz w:val="20"/>
                <w:szCs w:val="18"/>
              </w:rPr>
            </w:pPr>
            <w:r w:rsidRPr="005E6835">
              <w:rPr>
                <w:rFonts w:cs="Arial"/>
                <w:sz w:val="20"/>
                <w:szCs w:val="18"/>
              </w:rPr>
              <w:t>5,605,656</w:t>
            </w:r>
          </w:p>
        </w:tc>
      </w:tr>
      <w:tr w:rsidR="009C2B7C" w:rsidRPr="005E6835" w14:paraId="2F8DB66B" w14:textId="77777777" w:rsidTr="005E6835">
        <w:trPr>
          <w:cantSplit/>
        </w:trPr>
        <w:tc>
          <w:tcPr>
            <w:tcW w:w="1170" w:type="dxa"/>
          </w:tcPr>
          <w:p w14:paraId="33DBDF98" w14:textId="57FCEC5B" w:rsidR="009C2B7C" w:rsidRPr="005E6835" w:rsidRDefault="009C2B7C" w:rsidP="005E6835">
            <w:pPr>
              <w:jc w:val="center"/>
              <w:rPr>
                <w:rFonts w:cs="Arial"/>
                <w:sz w:val="20"/>
                <w:szCs w:val="18"/>
              </w:rPr>
            </w:pPr>
            <w:r>
              <w:rPr>
                <w:rFonts w:cs="Arial"/>
                <w:sz w:val="20"/>
                <w:szCs w:val="18"/>
              </w:rPr>
              <w:t>2017</w:t>
            </w:r>
          </w:p>
        </w:tc>
        <w:tc>
          <w:tcPr>
            <w:tcW w:w="1181" w:type="dxa"/>
            <w:vAlign w:val="center"/>
          </w:tcPr>
          <w:p w14:paraId="151D91C7" w14:textId="654CD822" w:rsidR="009C2B7C" w:rsidRPr="005E6835" w:rsidRDefault="009C2B7C" w:rsidP="005E6835">
            <w:pPr>
              <w:jc w:val="center"/>
              <w:rPr>
                <w:rFonts w:cs="Arial"/>
                <w:sz w:val="20"/>
                <w:szCs w:val="18"/>
              </w:rPr>
            </w:pPr>
            <w:r>
              <w:rPr>
                <w:rFonts w:cs="Arial"/>
                <w:sz w:val="20"/>
                <w:szCs w:val="18"/>
              </w:rPr>
              <w:t>2,780</w:t>
            </w:r>
          </w:p>
        </w:tc>
        <w:tc>
          <w:tcPr>
            <w:tcW w:w="1827" w:type="dxa"/>
            <w:vAlign w:val="center"/>
          </w:tcPr>
          <w:p w14:paraId="2A6E44AE" w14:textId="01925851" w:rsidR="009C2B7C" w:rsidRPr="005E6835" w:rsidRDefault="009C2B7C" w:rsidP="005E6835">
            <w:pPr>
              <w:jc w:val="center"/>
              <w:rPr>
                <w:rFonts w:cs="Arial"/>
                <w:sz w:val="20"/>
                <w:szCs w:val="18"/>
              </w:rPr>
            </w:pPr>
            <w:r>
              <w:rPr>
                <w:rFonts w:cs="Arial"/>
                <w:sz w:val="20"/>
                <w:szCs w:val="18"/>
              </w:rPr>
              <w:t>15,533</w:t>
            </w:r>
          </w:p>
        </w:tc>
        <w:tc>
          <w:tcPr>
            <w:tcW w:w="1760" w:type="dxa"/>
            <w:vAlign w:val="center"/>
          </w:tcPr>
          <w:p w14:paraId="634D8254" w14:textId="68C1C4C7" w:rsidR="009C2B7C" w:rsidRPr="005E6835" w:rsidRDefault="00476621" w:rsidP="005E6835">
            <w:pPr>
              <w:jc w:val="center"/>
              <w:rPr>
                <w:rFonts w:cs="Arial"/>
                <w:sz w:val="20"/>
                <w:szCs w:val="18"/>
              </w:rPr>
            </w:pPr>
            <w:r>
              <w:rPr>
                <w:rFonts w:cs="Arial"/>
                <w:sz w:val="20"/>
                <w:szCs w:val="18"/>
              </w:rPr>
              <w:t>5,669,545</w:t>
            </w:r>
          </w:p>
        </w:tc>
      </w:tr>
      <w:tr w:rsidR="009C2B7C" w:rsidRPr="005E6835" w14:paraId="0315B975" w14:textId="77777777" w:rsidTr="005E6835">
        <w:trPr>
          <w:cantSplit/>
        </w:trPr>
        <w:tc>
          <w:tcPr>
            <w:tcW w:w="1170" w:type="dxa"/>
          </w:tcPr>
          <w:p w14:paraId="46736BBF" w14:textId="72871EA4" w:rsidR="009C2B7C" w:rsidRPr="005E6835" w:rsidRDefault="009C2B7C" w:rsidP="005E6835">
            <w:pPr>
              <w:jc w:val="center"/>
              <w:rPr>
                <w:rFonts w:cs="Arial"/>
                <w:sz w:val="20"/>
                <w:szCs w:val="18"/>
              </w:rPr>
            </w:pPr>
            <w:r>
              <w:rPr>
                <w:rFonts w:cs="Arial"/>
                <w:sz w:val="20"/>
                <w:szCs w:val="18"/>
              </w:rPr>
              <w:t>2018</w:t>
            </w:r>
          </w:p>
        </w:tc>
        <w:tc>
          <w:tcPr>
            <w:tcW w:w="1181" w:type="dxa"/>
            <w:vAlign w:val="center"/>
          </w:tcPr>
          <w:p w14:paraId="54F95407" w14:textId="723F5E66" w:rsidR="009C2B7C" w:rsidRPr="005E6835" w:rsidRDefault="009C2B7C" w:rsidP="005E6835">
            <w:pPr>
              <w:jc w:val="center"/>
              <w:rPr>
                <w:rFonts w:cs="Arial"/>
                <w:sz w:val="20"/>
                <w:szCs w:val="18"/>
              </w:rPr>
            </w:pPr>
            <w:r>
              <w:rPr>
                <w:rFonts w:cs="Arial"/>
                <w:sz w:val="20"/>
                <w:szCs w:val="18"/>
              </w:rPr>
              <w:t>2,806</w:t>
            </w:r>
          </w:p>
        </w:tc>
        <w:tc>
          <w:tcPr>
            <w:tcW w:w="1827" w:type="dxa"/>
            <w:vAlign w:val="center"/>
          </w:tcPr>
          <w:p w14:paraId="7C1981FB" w14:textId="0F381A7F" w:rsidR="009C2B7C" w:rsidRPr="005E6835" w:rsidRDefault="009C2B7C" w:rsidP="005E6835">
            <w:pPr>
              <w:jc w:val="center"/>
              <w:rPr>
                <w:rFonts w:cs="Arial"/>
                <w:sz w:val="20"/>
                <w:szCs w:val="18"/>
              </w:rPr>
            </w:pPr>
            <w:r>
              <w:rPr>
                <w:rFonts w:cs="Arial"/>
                <w:sz w:val="20"/>
                <w:szCs w:val="18"/>
              </w:rPr>
              <w:t>15,741</w:t>
            </w:r>
          </w:p>
        </w:tc>
        <w:tc>
          <w:tcPr>
            <w:tcW w:w="1760" w:type="dxa"/>
            <w:vAlign w:val="center"/>
          </w:tcPr>
          <w:p w14:paraId="799C7A88" w14:textId="1D560143" w:rsidR="009C2B7C" w:rsidRPr="005E6835" w:rsidRDefault="009C2B7C" w:rsidP="005E6835">
            <w:pPr>
              <w:jc w:val="center"/>
              <w:rPr>
                <w:rFonts w:cs="Arial"/>
                <w:sz w:val="20"/>
                <w:szCs w:val="18"/>
              </w:rPr>
            </w:pPr>
            <w:r>
              <w:rPr>
                <w:rFonts w:cs="Arial"/>
                <w:sz w:val="20"/>
                <w:szCs w:val="18"/>
              </w:rPr>
              <w:t>5,745,465</w:t>
            </w:r>
          </w:p>
        </w:tc>
      </w:tr>
    </w:tbl>
    <w:p w14:paraId="401F7D87" w14:textId="77777777" w:rsidR="005E6835" w:rsidRPr="005E6835" w:rsidRDefault="005E6835" w:rsidP="005E6835">
      <w:pPr>
        <w:rPr>
          <w:rFonts w:cs="Arial"/>
        </w:rPr>
      </w:pPr>
    </w:p>
    <w:p w14:paraId="131F7E7C" w14:textId="77777777" w:rsidR="005E6835" w:rsidRPr="005E6835" w:rsidRDefault="005E6835" w:rsidP="005E6835">
      <w:pPr>
        <w:rPr>
          <w:rFonts w:cs="Arial"/>
          <w:sz w:val="18"/>
          <w:szCs w:val="18"/>
        </w:rPr>
      </w:pPr>
      <w:r w:rsidRPr="005E6835">
        <w:rPr>
          <w:rFonts w:cs="Arial"/>
          <w:sz w:val="18"/>
          <w:szCs w:val="18"/>
        </w:rPr>
        <w:t xml:space="preserve">Source:  </w:t>
      </w:r>
    </w:p>
    <w:p w14:paraId="3A4417BD" w14:textId="652770CA" w:rsidR="005E6835" w:rsidRPr="005E6835" w:rsidRDefault="005E6835" w:rsidP="005E6835">
      <w:pPr>
        <w:rPr>
          <w:rFonts w:cs="Arial"/>
          <w:sz w:val="18"/>
          <w:szCs w:val="18"/>
        </w:rPr>
      </w:pPr>
      <w:r w:rsidRPr="005E6835">
        <w:rPr>
          <w:rFonts w:cs="Arial"/>
          <w:sz w:val="18"/>
          <w:szCs w:val="18"/>
        </w:rPr>
        <w:t xml:space="preserve">Number of facilities and licensed beds were provided by the Department and are as of the end of July of each state fiscal year. </w:t>
      </w:r>
      <w:r w:rsidR="00ED3263">
        <w:rPr>
          <w:rFonts w:cs="Arial"/>
          <w:sz w:val="18"/>
          <w:szCs w:val="18"/>
        </w:rPr>
        <w:t xml:space="preserve"> </w:t>
      </w:r>
      <w:r w:rsidRPr="005E6835">
        <w:rPr>
          <w:rFonts w:cs="Arial"/>
          <w:sz w:val="18"/>
          <w:szCs w:val="18"/>
        </w:rPr>
        <w:t>Numbers of beds days available were calculated using the number of days in each year.</w:t>
      </w:r>
    </w:p>
    <w:p w14:paraId="614F8C71" w14:textId="77777777" w:rsidR="005E6835" w:rsidRPr="005E6835" w:rsidRDefault="005E6835" w:rsidP="005E6835">
      <w:pPr>
        <w:rPr>
          <w:rFonts w:cs="Arial"/>
        </w:rPr>
      </w:pPr>
    </w:p>
    <w:p w14:paraId="43CBC2A3" w14:textId="77777777" w:rsidR="005E6835" w:rsidRPr="005E6835" w:rsidRDefault="005E6835" w:rsidP="005E6835">
      <w:pPr>
        <w:spacing w:before="0" w:after="0"/>
        <w:rPr>
          <w:rFonts w:cs="Arial"/>
        </w:rPr>
      </w:pPr>
      <w:r w:rsidRPr="005E6835">
        <w:rPr>
          <w:rFonts w:cs="Arial"/>
        </w:rPr>
        <w:t xml:space="preserve">Adult Family Homes are not required to report occupancy rates to the Department.  As such, as of the date of this report, data regarding statewide occupancy levels in Adult Family </w:t>
      </w:r>
      <w:r w:rsidRPr="005E6835">
        <w:rPr>
          <w:rFonts w:cs="Arial"/>
        </w:rPr>
        <w:lastRenderedPageBreak/>
        <w:t xml:space="preserve">Homes were not available.  However, in 2000 and 2007, the Department conducted a survey of Adult Family Homes regarding their occupancy levels and the average statewide occupancy rate based on these two surveys was determined to be 83 percent.  </w:t>
      </w:r>
    </w:p>
    <w:p w14:paraId="7AF6BD28" w14:textId="77777777" w:rsidR="005E6835" w:rsidRPr="005E6835" w:rsidRDefault="005E6835" w:rsidP="005E6835">
      <w:pPr>
        <w:spacing w:before="0" w:after="0"/>
        <w:rPr>
          <w:rFonts w:cs="Arial"/>
        </w:rPr>
      </w:pPr>
    </w:p>
    <w:p w14:paraId="66C38E7B" w14:textId="031E31C1" w:rsidR="005E6835" w:rsidRPr="005E6835" w:rsidRDefault="005E6835" w:rsidP="005E6835">
      <w:pPr>
        <w:spacing w:before="0" w:after="0"/>
        <w:rPr>
          <w:rFonts w:cs="Arial"/>
        </w:rPr>
      </w:pPr>
      <w:r w:rsidRPr="005E6835">
        <w:rPr>
          <w:rFonts w:cs="Arial"/>
        </w:rPr>
        <w:t>Table 3.2 shows Adult Family Homes estimated total occupied beds based on the assumption that Adult Family Homes realized an 83 percent occupancy rate in each year.  It also shows total beds occupied by Medicaid residents and the estimated average Medicaid utilization rate, that is, Medicaid’s share of estimated total occupied beds for 200</w:t>
      </w:r>
      <w:r w:rsidR="009C2B7C">
        <w:rPr>
          <w:rFonts w:cs="Arial"/>
        </w:rPr>
        <w:t>9</w:t>
      </w:r>
      <w:r w:rsidRPr="005E6835">
        <w:rPr>
          <w:rFonts w:cs="Arial"/>
        </w:rPr>
        <w:t xml:space="preserve"> through 201</w:t>
      </w:r>
      <w:r w:rsidR="005D02B8">
        <w:rPr>
          <w:rFonts w:cs="Arial"/>
        </w:rPr>
        <w:t>8</w:t>
      </w:r>
      <w:r w:rsidRPr="005E6835">
        <w:rPr>
          <w:rFonts w:cs="Arial"/>
        </w:rPr>
        <w:t xml:space="preserve">.  </w:t>
      </w:r>
    </w:p>
    <w:p w14:paraId="773DF4B3" w14:textId="77777777" w:rsidR="005E6835" w:rsidRPr="005E6835" w:rsidRDefault="005E6835" w:rsidP="005E6835">
      <w:pPr>
        <w:spacing w:before="0" w:after="0"/>
        <w:rPr>
          <w:rFonts w:cs="Arial"/>
          <w:b/>
        </w:rPr>
      </w:pPr>
    </w:p>
    <w:p w14:paraId="1EE16613" w14:textId="77777777" w:rsidR="005E6835" w:rsidRPr="005E6835" w:rsidRDefault="005E6835" w:rsidP="005E6835">
      <w:pPr>
        <w:spacing w:before="0" w:after="0"/>
        <w:rPr>
          <w:rFonts w:cs="Arial"/>
          <w:b/>
        </w:rPr>
      </w:pPr>
    </w:p>
    <w:p w14:paraId="4815A1DF" w14:textId="624B6401" w:rsidR="005E6835" w:rsidRDefault="005E6835" w:rsidP="005E6835">
      <w:pPr>
        <w:spacing w:before="0" w:after="0"/>
        <w:rPr>
          <w:rFonts w:cs="Arial"/>
          <w:b/>
        </w:rPr>
      </w:pPr>
      <w:r w:rsidRPr="005E6835">
        <w:rPr>
          <w:rFonts w:cs="Arial"/>
          <w:b/>
        </w:rPr>
        <w:t>Table 3.2:  Adult Family Homes Medicaid Utilization in Washington 200</w:t>
      </w:r>
      <w:r w:rsidR="009C2B7C">
        <w:rPr>
          <w:rFonts w:cs="Arial"/>
          <w:b/>
        </w:rPr>
        <w:t>9</w:t>
      </w:r>
      <w:r w:rsidRPr="005E6835">
        <w:rPr>
          <w:rFonts w:cs="Arial"/>
          <w:b/>
        </w:rPr>
        <w:t xml:space="preserve"> – 201</w:t>
      </w:r>
      <w:r w:rsidR="005D02B8">
        <w:rPr>
          <w:rFonts w:cs="Arial"/>
          <w:b/>
        </w:rPr>
        <w:t>8</w:t>
      </w:r>
    </w:p>
    <w:p w14:paraId="71A5E021" w14:textId="77777777" w:rsidR="005E6835" w:rsidRPr="005E6835" w:rsidRDefault="005E6835" w:rsidP="005E6835">
      <w:pPr>
        <w:spacing w:before="0" w:after="0"/>
        <w:rPr>
          <w:rFonts w:cs="Arial"/>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811"/>
        <w:gridCol w:w="2220"/>
        <w:gridCol w:w="1991"/>
        <w:gridCol w:w="1927"/>
      </w:tblGrid>
      <w:tr w:rsidR="005E6835" w:rsidRPr="005E6835" w14:paraId="77167957" w14:textId="77777777" w:rsidTr="005E6835">
        <w:tc>
          <w:tcPr>
            <w:tcW w:w="1267" w:type="dxa"/>
            <w:tcBorders>
              <w:top w:val="single" w:sz="4" w:space="0" w:color="auto"/>
              <w:left w:val="single" w:sz="4" w:space="0" w:color="auto"/>
              <w:bottom w:val="single" w:sz="4" w:space="0" w:color="auto"/>
              <w:right w:val="single" w:sz="4" w:space="0" w:color="auto"/>
            </w:tcBorders>
            <w:vAlign w:val="bottom"/>
          </w:tcPr>
          <w:p w14:paraId="00EFBFFB" w14:textId="77777777" w:rsidR="005E6835" w:rsidRPr="005E6835" w:rsidRDefault="005E6835" w:rsidP="005E6835">
            <w:pPr>
              <w:jc w:val="center"/>
              <w:rPr>
                <w:rFonts w:cs="Arial"/>
                <w:b/>
                <w:sz w:val="18"/>
              </w:rPr>
            </w:pPr>
            <w:r w:rsidRPr="005E6835">
              <w:rPr>
                <w:rFonts w:cs="Arial"/>
                <w:b/>
                <w:sz w:val="18"/>
              </w:rPr>
              <w:t>State Fiscal Year</w:t>
            </w:r>
          </w:p>
        </w:tc>
        <w:tc>
          <w:tcPr>
            <w:tcW w:w="1811" w:type="dxa"/>
            <w:tcBorders>
              <w:top w:val="single" w:sz="4" w:space="0" w:color="auto"/>
              <w:left w:val="single" w:sz="4" w:space="0" w:color="auto"/>
              <w:bottom w:val="single" w:sz="4" w:space="0" w:color="auto"/>
              <w:right w:val="single" w:sz="4" w:space="0" w:color="auto"/>
            </w:tcBorders>
            <w:vAlign w:val="bottom"/>
          </w:tcPr>
          <w:p w14:paraId="08A4BD1B" w14:textId="6B1ABE3B" w:rsidR="005E6835" w:rsidRPr="005E6835" w:rsidRDefault="00C97C30" w:rsidP="005E6835">
            <w:pPr>
              <w:jc w:val="center"/>
              <w:rPr>
                <w:rFonts w:cs="Arial"/>
                <w:b/>
                <w:sz w:val="18"/>
              </w:rPr>
            </w:pPr>
            <w:r>
              <w:rPr>
                <w:rFonts w:cs="Arial"/>
                <w:b/>
                <w:sz w:val="18"/>
              </w:rPr>
              <w:t>Total Licensed Adult Family</w:t>
            </w:r>
            <w:r w:rsidR="005E6835" w:rsidRPr="005E6835">
              <w:rPr>
                <w:rFonts w:cs="Arial"/>
                <w:b/>
                <w:sz w:val="18"/>
              </w:rPr>
              <w:t xml:space="preserve"> Home Beds</w:t>
            </w:r>
          </w:p>
        </w:tc>
        <w:tc>
          <w:tcPr>
            <w:tcW w:w="2220" w:type="dxa"/>
            <w:tcBorders>
              <w:top w:val="single" w:sz="4" w:space="0" w:color="auto"/>
              <w:left w:val="single" w:sz="4" w:space="0" w:color="auto"/>
              <w:bottom w:val="single" w:sz="4" w:space="0" w:color="auto"/>
              <w:right w:val="single" w:sz="4" w:space="0" w:color="auto"/>
            </w:tcBorders>
            <w:vAlign w:val="bottom"/>
          </w:tcPr>
          <w:p w14:paraId="32F75BC6" w14:textId="77777777" w:rsidR="005E6835" w:rsidRPr="005E6835" w:rsidRDefault="005E6835" w:rsidP="005E6835">
            <w:pPr>
              <w:jc w:val="center"/>
              <w:rPr>
                <w:rFonts w:cs="Arial"/>
                <w:b/>
                <w:sz w:val="18"/>
              </w:rPr>
            </w:pPr>
            <w:r w:rsidRPr="005E6835">
              <w:rPr>
                <w:rFonts w:cs="Arial"/>
                <w:b/>
                <w:sz w:val="18"/>
              </w:rPr>
              <w:t>Estimated Number of Occupied Beds at Assumed 83% Occupancy Rate</w:t>
            </w:r>
          </w:p>
        </w:tc>
        <w:tc>
          <w:tcPr>
            <w:tcW w:w="1991" w:type="dxa"/>
            <w:tcBorders>
              <w:top w:val="single" w:sz="4" w:space="0" w:color="auto"/>
              <w:left w:val="single" w:sz="4" w:space="0" w:color="auto"/>
              <w:bottom w:val="single" w:sz="4" w:space="0" w:color="auto"/>
              <w:right w:val="single" w:sz="4" w:space="0" w:color="auto"/>
            </w:tcBorders>
            <w:vAlign w:val="bottom"/>
          </w:tcPr>
          <w:p w14:paraId="56888B4A" w14:textId="77777777" w:rsidR="005E6835" w:rsidRPr="005E6835" w:rsidRDefault="005E6835" w:rsidP="005E6835">
            <w:pPr>
              <w:jc w:val="center"/>
              <w:rPr>
                <w:rFonts w:cs="Arial"/>
                <w:b/>
                <w:sz w:val="18"/>
              </w:rPr>
            </w:pPr>
            <w:r w:rsidRPr="005E6835">
              <w:rPr>
                <w:rFonts w:cs="Arial"/>
                <w:b/>
                <w:sz w:val="18"/>
              </w:rPr>
              <w:t>Number of Beds Occupied by Medicaid Residents</w:t>
            </w:r>
          </w:p>
        </w:tc>
        <w:tc>
          <w:tcPr>
            <w:tcW w:w="1927" w:type="dxa"/>
            <w:tcBorders>
              <w:top w:val="single" w:sz="4" w:space="0" w:color="auto"/>
              <w:left w:val="single" w:sz="4" w:space="0" w:color="auto"/>
              <w:bottom w:val="single" w:sz="4" w:space="0" w:color="auto"/>
              <w:right w:val="single" w:sz="4" w:space="0" w:color="auto"/>
            </w:tcBorders>
            <w:vAlign w:val="bottom"/>
          </w:tcPr>
          <w:p w14:paraId="4F547B99" w14:textId="77777777" w:rsidR="005E6835" w:rsidRPr="005E6835" w:rsidRDefault="005E6835" w:rsidP="005E6835">
            <w:pPr>
              <w:jc w:val="center"/>
              <w:rPr>
                <w:rFonts w:cs="Arial"/>
                <w:b/>
                <w:sz w:val="18"/>
              </w:rPr>
            </w:pPr>
            <w:r w:rsidRPr="005E6835">
              <w:rPr>
                <w:rFonts w:cs="Arial"/>
                <w:b/>
                <w:sz w:val="18"/>
              </w:rPr>
              <w:t>Estimated Average Medicaid Utilization Rate</w:t>
            </w:r>
          </w:p>
        </w:tc>
      </w:tr>
      <w:tr w:rsidR="005E6835" w:rsidRPr="005E6835" w14:paraId="0C0476A6" w14:textId="33DC8F99" w:rsidTr="005E6835">
        <w:tc>
          <w:tcPr>
            <w:tcW w:w="1267" w:type="dxa"/>
            <w:tcBorders>
              <w:top w:val="single" w:sz="4" w:space="0" w:color="auto"/>
              <w:left w:val="single" w:sz="4" w:space="0" w:color="auto"/>
              <w:bottom w:val="single" w:sz="4" w:space="0" w:color="auto"/>
              <w:right w:val="single" w:sz="4" w:space="0" w:color="auto"/>
            </w:tcBorders>
            <w:vAlign w:val="center"/>
          </w:tcPr>
          <w:p w14:paraId="472292EA" w14:textId="799B2040" w:rsidR="005E6835" w:rsidRPr="005E6835" w:rsidRDefault="005E6835" w:rsidP="005E6835">
            <w:pPr>
              <w:jc w:val="center"/>
              <w:rPr>
                <w:rFonts w:cs="Arial"/>
                <w:sz w:val="18"/>
              </w:rPr>
            </w:pPr>
            <w:r w:rsidRPr="005E6835">
              <w:rPr>
                <w:rFonts w:cs="Arial"/>
                <w:sz w:val="18"/>
              </w:rPr>
              <w:t>2009</w:t>
            </w:r>
          </w:p>
        </w:tc>
        <w:tc>
          <w:tcPr>
            <w:tcW w:w="1811" w:type="dxa"/>
            <w:tcBorders>
              <w:top w:val="single" w:sz="4" w:space="0" w:color="auto"/>
              <w:left w:val="single" w:sz="4" w:space="0" w:color="auto"/>
              <w:bottom w:val="single" w:sz="4" w:space="0" w:color="auto"/>
              <w:right w:val="single" w:sz="4" w:space="0" w:color="auto"/>
            </w:tcBorders>
            <w:vAlign w:val="center"/>
          </w:tcPr>
          <w:p w14:paraId="146AF466" w14:textId="2B29B158" w:rsidR="005E6835" w:rsidRPr="005E6835" w:rsidRDefault="005E6835" w:rsidP="005E6835">
            <w:pPr>
              <w:jc w:val="center"/>
              <w:rPr>
                <w:rFonts w:cs="Arial"/>
                <w:sz w:val="18"/>
                <w:szCs w:val="18"/>
              </w:rPr>
            </w:pPr>
            <w:r w:rsidRPr="005E6835">
              <w:rPr>
                <w:rFonts w:cs="Arial"/>
                <w:sz w:val="18"/>
                <w:szCs w:val="18"/>
              </w:rPr>
              <w:t>15,081</w:t>
            </w:r>
          </w:p>
        </w:tc>
        <w:tc>
          <w:tcPr>
            <w:tcW w:w="2220" w:type="dxa"/>
            <w:tcBorders>
              <w:top w:val="single" w:sz="4" w:space="0" w:color="auto"/>
              <w:left w:val="single" w:sz="4" w:space="0" w:color="auto"/>
              <w:bottom w:val="single" w:sz="4" w:space="0" w:color="auto"/>
              <w:right w:val="single" w:sz="4" w:space="0" w:color="auto"/>
            </w:tcBorders>
            <w:vAlign w:val="center"/>
          </w:tcPr>
          <w:p w14:paraId="662EBB47" w14:textId="097A4ABB" w:rsidR="005E6835" w:rsidRPr="005E6835" w:rsidRDefault="005E6835" w:rsidP="005E6835">
            <w:pPr>
              <w:jc w:val="center"/>
              <w:rPr>
                <w:rFonts w:cs="Arial"/>
                <w:sz w:val="18"/>
                <w:szCs w:val="18"/>
              </w:rPr>
            </w:pPr>
            <w:r w:rsidRPr="005E6835">
              <w:rPr>
                <w:rFonts w:cs="Arial"/>
                <w:sz w:val="18"/>
                <w:szCs w:val="18"/>
              </w:rPr>
              <w:t>12,517</w:t>
            </w:r>
          </w:p>
        </w:tc>
        <w:tc>
          <w:tcPr>
            <w:tcW w:w="1991" w:type="dxa"/>
            <w:tcBorders>
              <w:top w:val="single" w:sz="4" w:space="0" w:color="auto"/>
              <w:left w:val="single" w:sz="4" w:space="0" w:color="auto"/>
              <w:bottom w:val="single" w:sz="4" w:space="0" w:color="auto"/>
              <w:right w:val="single" w:sz="4" w:space="0" w:color="auto"/>
            </w:tcBorders>
            <w:vAlign w:val="center"/>
          </w:tcPr>
          <w:p w14:paraId="29D384E9" w14:textId="74D8933E" w:rsidR="005E6835" w:rsidRPr="005E6835" w:rsidRDefault="005E6835" w:rsidP="005E6835">
            <w:pPr>
              <w:jc w:val="center"/>
              <w:rPr>
                <w:rFonts w:cs="Arial"/>
                <w:sz w:val="18"/>
                <w:szCs w:val="18"/>
              </w:rPr>
            </w:pPr>
            <w:r w:rsidRPr="005E6835">
              <w:rPr>
                <w:rFonts w:cs="Arial"/>
                <w:sz w:val="18"/>
                <w:szCs w:val="18"/>
              </w:rPr>
              <w:t>5,937</w:t>
            </w:r>
          </w:p>
        </w:tc>
        <w:tc>
          <w:tcPr>
            <w:tcW w:w="1927" w:type="dxa"/>
            <w:tcBorders>
              <w:top w:val="single" w:sz="4" w:space="0" w:color="auto"/>
              <w:left w:val="single" w:sz="4" w:space="0" w:color="auto"/>
              <w:bottom w:val="single" w:sz="4" w:space="0" w:color="auto"/>
              <w:right w:val="single" w:sz="4" w:space="0" w:color="auto"/>
            </w:tcBorders>
            <w:vAlign w:val="center"/>
          </w:tcPr>
          <w:p w14:paraId="329EAA9F" w14:textId="11097BBC" w:rsidR="005E6835" w:rsidRPr="005E6835" w:rsidRDefault="005E6835" w:rsidP="005E6835">
            <w:pPr>
              <w:jc w:val="center"/>
              <w:rPr>
                <w:rFonts w:cs="Arial"/>
                <w:sz w:val="18"/>
                <w:szCs w:val="18"/>
              </w:rPr>
            </w:pPr>
            <w:r w:rsidRPr="005E6835">
              <w:rPr>
                <w:rFonts w:cs="Arial"/>
                <w:sz w:val="18"/>
              </w:rPr>
              <w:t>47%</w:t>
            </w:r>
          </w:p>
        </w:tc>
      </w:tr>
      <w:tr w:rsidR="005E6835" w:rsidRPr="005E6835" w14:paraId="57927CAC" w14:textId="77777777" w:rsidTr="005E6835">
        <w:tc>
          <w:tcPr>
            <w:tcW w:w="1267" w:type="dxa"/>
            <w:tcBorders>
              <w:top w:val="single" w:sz="4" w:space="0" w:color="auto"/>
              <w:left w:val="single" w:sz="4" w:space="0" w:color="auto"/>
              <w:bottom w:val="single" w:sz="4" w:space="0" w:color="auto"/>
              <w:right w:val="single" w:sz="4" w:space="0" w:color="auto"/>
            </w:tcBorders>
            <w:vAlign w:val="center"/>
          </w:tcPr>
          <w:p w14:paraId="22486C76" w14:textId="77777777" w:rsidR="005E6835" w:rsidRPr="005E6835" w:rsidRDefault="005E6835" w:rsidP="005E6835">
            <w:pPr>
              <w:jc w:val="center"/>
              <w:rPr>
                <w:rFonts w:cs="Arial"/>
                <w:sz w:val="18"/>
              </w:rPr>
            </w:pPr>
            <w:r w:rsidRPr="005E6835">
              <w:rPr>
                <w:rFonts w:cs="Arial"/>
                <w:sz w:val="18"/>
              </w:rPr>
              <w:t>2010</w:t>
            </w:r>
          </w:p>
        </w:tc>
        <w:tc>
          <w:tcPr>
            <w:tcW w:w="1811" w:type="dxa"/>
            <w:tcBorders>
              <w:top w:val="single" w:sz="4" w:space="0" w:color="auto"/>
              <w:left w:val="single" w:sz="4" w:space="0" w:color="auto"/>
              <w:bottom w:val="single" w:sz="4" w:space="0" w:color="auto"/>
              <w:right w:val="single" w:sz="4" w:space="0" w:color="auto"/>
            </w:tcBorders>
            <w:vAlign w:val="center"/>
          </w:tcPr>
          <w:p w14:paraId="4F75C082" w14:textId="77777777" w:rsidR="005E6835" w:rsidRPr="005E6835" w:rsidRDefault="005E6835" w:rsidP="005E6835">
            <w:pPr>
              <w:jc w:val="center"/>
              <w:rPr>
                <w:rFonts w:cs="Arial"/>
                <w:sz w:val="18"/>
                <w:szCs w:val="18"/>
              </w:rPr>
            </w:pPr>
            <w:r w:rsidRPr="005E6835">
              <w:rPr>
                <w:rFonts w:cs="Arial"/>
                <w:sz w:val="18"/>
                <w:szCs w:val="18"/>
              </w:rPr>
              <w:t>15,635</w:t>
            </w:r>
          </w:p>
        </w:tc>
        <w:tc>
          <w:tcPr>
            <w:tcW w:w="2220" w:type="dxa"/>
            <w:tcBorders>
              <w:top w:val="single" w:sz="4" w:space="0" w:color="auto"/>
              <w:left w:val="single" w:sz="4" w:space="0" w:color="auto"/>
              <w:bottom w:val="single" w:sz="4" w:space="0" w:color="auto"/>
              <w:right w:val="single" w:sz="4" w:space="0" w:color="auto"/>
            </w:tcBorders>
            <w:vAlign w:val="center"/>
          </w:tcPr>
          <w:p w14:paraId="73672CAA" w14:textId="77777777" w:rsidR="005E6835" w:rsidRPr="005E6835" w:rsidRDefault="005E6835" w:rsidP="005E6835">
            <w:pPr>
              <w:jc w:val="center"/>
              <w:rPr>
                <w:rFonts w:cs="Arial"/>
                <w:sz w:val="18"/>
                <w:szCs w:val="18"/>
              </w:rPr>
            </w:pPr>
            <w:r w:rsidRPr="005E6835">
              <w:rPr>
                <w:rFonts w:cs="Arial"/>
                <w:sz w:val="18"/>
                <w:szCs w:val="18"/>
              </w:rPr>
              <w:t>12,977</w:t>
            </w:r>
          </w:p>
        </w:tc>
        <w:tc>
          <w:tcPr>
            <w:tcW w:w="1991" w:type="dxa"/>
            <w:tcBorders>
              <w:top w:val="single" w:sz="4" w:space="0" w:color="auto"/>
              <w:left w:val="single" w:sz="4" w:space="0" w:color="auto"/>
              <w:bottom w:val="single" w:sz="4" w:space="0" w:color="auto"/>
              <w:right w:val="single" w:sz="4" w:space="0" w:color="auto"/>
            </w:tcBorders>
            <w:vAlign w:val="center"/>
          </w:tcPr>
          <w:p w14:paraId="5829761C" w14:textId="77777777" w:rsidR="005E6835" w:rsidRPr="005E6835" w:rsidRDefault="005E6835" w:rsidP="005E6835">
            <w:pPr>
              <w:jc w:val="center"/>
              <w:rPr>
                <w:rFonts w:cs="Arial"/>
                <w:sz w:val="18"/>
                <w:szCs w:val="18"/>
              </w:rPr>
            </w:pPr>
            <w:r w:rsidRPr="005E6835">
              <w:rPr>
                <w:rFonts w:cs="Arial"/>
                <w:sz w:val="18"/>
                <w:szCs w:val="18"/>
              </w:rPr>
              <w:t>6,287</w:t>
            </w:r>
          </w:p>
        </w:tc>
        <w:tc>
          <w:tcPr>
            <w:tcW w:w="1927" w:type="dxa"/>
            <w:tcBorders>
              <w:top w:val="single" w:sz="4" w:space="0" w:color="auto"/>
              <w:left w:val="single" w:sz="4" w:space="0" w:color="auto"/>
              <w:bottom w:val="single" w:sz="4" w:space="0" w:color="auto"/>
              <w:right w:val="single" w:sz="4" w:space="0" w:color="auto"/>
            </w:tcBorders>
            <w:vAlign w:val="center"/>
          </w:tcPr>
          <w:p w14:paraId="49A4EFDB" w14:textId="77777777" w:rsidR="005E6835" w:rsidRPr="005E6835" w:rsidRDefault="005E6835" w:rsidP="005E6835">
            <w:pPr>
              <w:jc w:val="center"/>
              <w:rPr>
                <w:rFonts w:cs="Arial"/>
                <w:sz w:val="18"/>
                <w:szCs w:val="18"/>
              </w:rPr>
            </w:pPr>
            <w:r w:rsidRPr="005E6835">
              <w:rPr>
                <w:rFonts w:cs="Arial"/>
                <w:sz w:val="18"/>
              </w:rPr>
              <w:t>48%</w:t>
            </w:r>
          </w:p>
        </w:tc>
      </w:tr>
      <w:tr w:rsidR="005E6835" w:rsidRPr="005E6835" w14:paraId="23F4FCA8" w14:textId="77777777" w:rsidTr="005E6835">
        <w:tc>
          <w:tcPr>
            <w:tcW w:w="1267" w:type="dxa"/>
            <w:tcBorders>
              <w:top w:val="single" w:sz="4" w:space="0" w:color="auto"/>
              <w:left w:val="single" w:sz="4" w:space="0" w:color="auto"/>
              <w:bottom w:val="single" w:sz="4" w:space="0" w:color="auto"/>
              <w:right w:val="single" w:sz="4" w:space="0" w:color="auto"/>
            </w:tcBorders>
            <w:vAlign w:val="center"/>
          </w:tcPr>
          <w:p w14:paraId="29C5C3B4" w14:textId="77777777" w:rsidR="005E6835" w:rsidRPr="005E6835" w:rsidRDefault="005E6835" w:rsidP="005E6835">
            <w:pPr>
              <w:jc w:val="center"/>
              <w:rPr>
                <w:rFonts w:cs="Arial"/>
                <w:sz w:val="18"/>
              </w:rPr>
            </w:pPr>
            <w:r w:rsidRPr="005E6835">
              <w:rPr>
                <w:rFonts w:cs="Arial"/>
                <w:sz w:val="18"/>
              </w:rPr>
              <w:t>2011</w:t>
            </w:r>
          </w:p>
        </w:tc>
        <w:tc>
          <w:tcPr>
            <w:tcW w:w="1811" w:type="dxa"/>
            <w:tcBorders>
              <w:top w:val="single" w:sz="4" w:space="0" w:color="auto"/>
              <w:left w:val="single" w:sz="4" w:space="0" w:color="auto"/>
              <w:bottom w:val="single" w:sz="4" w:space="0" w:color="auto"/>
              <w:right w:val="single" w:sz="4" w:space="0" w:color="auto"/>
            </w:tcBorders>
            <w:vAlign w:val="center"/>
          </w:tcPr>
          <w:p w14:paraId="22F1957A" w14:textId="77777777" w:rsidR="005E6835" w:rsidRPr="005E6835" w:rsidRDefault="005E6835" w:rsidP="005E6835">
            <w:pPr>
              <w:jc w:val="center"/>
              <w:rPr>
                <w:rFonts w:cs="Arial"/>
                <w:sz w:val="18"/>
                <w:szCs w:val="18"/>
              </w:rPr>
            </w:pPr>
            <w:r w:rsidRPr="005E6835">
              <w:rPr>
                <w:rFonts w:cs="Arial"/>
                <w:sz w:val="18"/>
                <w:szCs w:val="18"/>
              </w:rPr>
              <w:t>15,918</w:t>
            </w:r>
          </w:p>
        </w:tc>
        <w:tc>
          <w:tcPr>
            <w:tcW w:w="2220" w:type="dxa"/>
            <w:tcBorders>
              <w:top w:val="single" w:sz="4" w:space="0" w:color="auto"/>
              <w:left w:val="single" w:sz="4" w:space="0" w:color="auto"/>
              <w:bottom w:val="single" w:sz="4" w:space="0" w:color="auto"/>
              <w:right w:val="single" w:sz="4" w:space="0" w:color="auto"/>
            </w:tcBorders>
            <w:vAlign w:val="center"/>
          </w:tcPr>
          <w:p w14:paraId="29002EEE" w14:textId="77777777" w:rsidR="005E6835" w:rsidRPr="005E6835" w:rsidRDefault="005E6835" w:rsidP="005E6835">
            <w:pPr>
              <w:jc w:val="center"/>
              <w:rPr>
                <w:rFonts w:cs="Arial"/>
                <w:sz w:val="18"/>
                <w:szCs w:val="18"/>
              </w:rPr>
            </w:pPr>
            <w:r w:rsidRPr="005E6835">
              <w:rPr>
                <w:rFonts w:cs="Arial"/>
                <w:sz w:val="18"/>
                <w:szCs w:val="18"/>
              </w:rPr>
              <w:t>13,212</w:t>
            </w:r>
          </w:p>
        </w:tc>
        <w:tc>
          <w:tcPr>
            <w:tcW w:w="1991" w:type="dxa"/>
            <w:tcBorders>
              <w:top w:val="single" w:sz="4" w:space="0" w:color="auto"/>
              <w:left w:val="single" w:sz="4" w:space="0" w:color="auto"/>
              <w:bottom w:val="single" w:sz="4" w:space="0" w:color="auto"/>
              <w:right w:val="single" w:sz="4" w:space="0" w:color="auto"/>
            </w:tcBorders>
            <w:vAlign w:val="center"/>
          </w:tcPr>
          <w:p w14:paraId="0715307D" w14:textId="77777777" w:rsidR="005E6835" w:rsidRPr="005E6835" w:rsidRDefault="005E6835" w:rsidP="005E6835">
            <w:pPr>
              <w:jc w:val="center"/>
              <w:rPr>
                <w:rFonts w:cs="Arial"/>
                <w:sz w:val="18"/>
                <w:szCs w:val="18"/>
              </w:rPr>
            </w:pPr>
            <w:r w:rsidRPr="005E6835">
              <w:rPr>
                <w:rFonts w:cs="Arial"/>
                <w:sz w:val="18"/>
                <w:szCs w:val="18"/>
              </w:rPr>
              <w:t>6,645</w:t>
            </w:r>
          </w:p>
        </w:tc>
        <w:tc>
          <w:tcPr>
            <w:tcW w:w="1927" w:type="dxa"/>
            <w:tcBorders>
              <w:top w:val="single" w:sz="4" w:space="0" w:color="auto"/>
              <w:left w:val="single" w:sz="4" w:space="0" w:color="auto"/>
              <w:bottom w:val="single" w:sz="4" w:space="0" w:color="auto"/>
              <w:right w:val="single" w:sz="4" w:space="0" w:color="auto"/>
            </w:tcBorders>
            <w:vAlign w:val="center"/>
          </w:tcPr>
          <w:p w14:paraId="52F1DE96" w14:textId="77777777" w:rsidR="005E6835" w:rsidRPr="005E6835" w:rsidRDefault="005E6835" w:rsidP="005E6835">
            <w:pPr>
              <w:jc w:val="center"/>
              <w:rPr>
                <w:rFonts w:cs="Arial"/>
                <w:sz w:val="18"/>
                <w:szCs w:val="18"/>
              </w:rPr>
            </w:pPr>
            <w:r w:rsidRPr="005E6835">
              <w:rPr>
                <w:rFonts w:cs="Arial"/>
                <w:sz w:val="18"/>
              </w:rPr>
              <w:t>50%</w:t>
            </w:r>
          </w:p>
        </w:tc>
      </w:tr>
      <w:tr w:rsidR="005E6835" w:rsidRPr="005E6835" w14:paraId="6BD0CF55" w14:textId="77777777" w:rsidTr="005E6835">
        <w:tc>
          <w:tcPr>
            <w:tcW w:w="1267" w:type="dxa"/>
            <w:tcBorders>
              <w:top w:val="single" w:sz="4" w:space="0" w:color="auto"/>
              <w:left w:val="single" w:sz="4" w:space="0" w:color="auto"/>
              <w:bottom w:val="single" w:sz="4" w:space="0" w:color="auto"/>
              <w:right w:val="single" w:sz="4" w:space="0" w:color="auto"/>
            </w:tcBorders>
            <w:vAlign w:val="center"/>
          </w:tcPr>
          <w:p w14:paraId="088D7C8C" w14:textId="77777777" w:rsidR="005E6835" w:rsidRPr="005E6835" w:rsidRDefault="005E6835" w:rsidP="005E6835">
            <w:pPr>
              <w:jc w:val="center"/>
              <w:rPr>
                <w:rFonts w:cs="Arial"/>
                <w:sz w:val="18"/>
              </w:rPr>
            </w:pPr>
            <w:r w:rsidRPr="005E6835">
              <w:rPr>
                <w:rFonts w:cs="Arial"/>
                <w:sz w:val="18"/>
              </w:rPr>
              <w:t>2012</w:t>
            </w:r>
          </w:p>
        </w:tc>
        <w:tc>
          <w:tcPr>
            <w:tcW w:w="1811" w:type="dxa"/>
            <w:tcBorders>
              <w:top w:val="single" w:sz="4" w:space="0" w:color="auto"/>
              <w:left w:val="single" w:sz="4" w:space="0" w:color="auto"/>
              <w:bottom w:val="single" w:sz="4" w:space="0" w:color="auto"/>
              <w:right w:val="single" w:sz="4" w:space="0" w:color="auto"/>
            </w:tcBorders>
            <w:vAlign w:val="center"/>
          </w:tcPr>
          <w:p w14:paraId="36EFAD39" w14:textId="77777777" w:rsidR="005E6835" w:rsidRPr="005E6835" w:rsidRDefault="005E6835" w:rsidP="005E6835">
            <w:pPr>
              <w:jc w:val="center"/>
              <w:rPr>
                <w:rFonts w:cs="Arial"/>
                <w:sz w:val="18"/>
                <w:szCs w:val="18"/>
              </w:rPr>
            </w:pPr>
            <w:r w:rsidRPr="005E6835">
              <w:rPr>
                <w:rFonts w:cs="Arial"/>
                <w:sz w:val="18"/>
                <w:szCs w:val="18"/>
              </w:rPr>
              <w:t>15,830</w:t>
            </w:r>
          </w:p>
        </w:tc>
        <w:tc>
          <w:tcPr>
            <w:tcW w:w="2220" w:type="dxa"/>
            <w:tcBorders>
              <w:top w:val="single" w:sz="4" w:space="0" w:color="auto"/>
              <w:left w:val="single" w:sz="4" w:space="0" w:color="auto"/>
              <w:bottom w:val="single" w:sz="4" w:space="0" w:color="auto"/>
              <w:right w:val="single" w:sz="4" w:space="0" w:color="auto"/>
            </w:tcBorders>
            <w:vAlign w:val="center"/>
          </w:tcPr>
          <w:p w14:paraId="23D53D8C" w14:textId="77777777" w:rsidR="005E6835" w:rsidRPr="005E6835" w:rsidRDefault="005E6835" w:rsidP="005E6835">
            <w:pPr>
              <w:jc w:val="center"/>
              <w:rPr>
                <w:rFonts w:cs="Arial"/>
                <w:sz w:val="18"/>
                <w:szCs w:val="18"/>
              </w:rPr>
            </w:pPr>
            <w:r w:rsidRPr="005E6835">
              <w:rPr>
                <w:rFonts w:cs="Arial"/>
                <w:sz w:val="18"/>
                <w:szCs w:val="18"/>
              </w:rPr>
              <w:t>13,139</w:t>
            </w:r>
          </w:p>
        </w:tc>
        <w:tc>
          <w:tcPr>
            <w:tcW w:w="1991" w:type="dxa"/>
            <w:tcBorders>
              <w:top w:val="single" w:sz="4" w:space="0" w:color="auto"/>
              <w:left w:val="single" w:sz="4" w:space="0" w:color="auto"/>
              <w:bottom w:val="single" w:sz="4" w:space="0" w:color="auto"/>
              <w:right w:val="single" w:sz="4" w:space="0" w:color="auto"/>
            </w:tcBorders>
            <w:vAlign w:val="center"/>
          </w:tcPr>
          <w:p w14:paraId="46A6F588" w14:textId="77777777" w:rsidR="005E6835" w:rsidRPr="005E6835" w:rsidRDefault="005E6835" w:rsidP="005E6835">
            <w:pPr>
              <w:jc w:val="center"/>
              <w:rPr>
                <w:rFonts w:cs="Arial"/>
                <w:sz w:val="18"/>
                <w:szCs w:val="18"/>
              </w:rPr>
            </w:pPr>
            <w:r w:rsidRPr="005E6835">
              <w:rPr>
                <w:rFonts w:cs="Arial"/>
                <w:sz w:val="18"/>
                <w:szCs w:val="18"/>
              </w:rPr>
              <w:t>6,878</w:t>
            </w:r>
          </w:p>
        </w:tc>
        <w:tc>
          <w:tcPr>
            <w:tcW w:w="1927" w:type="dxa"/>
            <w:tcBorders>
              <w:top w:val="single" w:sz="4" w:space="0" w:color="auto"/>
              <w:left w:val="single" w:sz="4" w:space="0" w:color="auto"/>
              <w:bottom w:val="single" w:sz="4" w:space="0" w:color="auto"/>
              <w:right w:val="single" w:sz="4" w:space="0" w:color="auto"/>
            </w:tcBorders>
            <w:vAlign w:val="center"/>
          </w:tcPr>
          <w:p w14:paraId="0E263BCD" w14:textId="77777777" w:rsidR="005E6835" w:rsidRPr="005E6835" w:rsidRDefault="005E6835" w:rsidP="005E6835">
            <w:pPr>
              <w:jc w:val="center"/>
              <w:rPr>
                <w:rFonts w:cs="Arial"/>
                <w:sz w:val="18"/>
                <w:szCs w:val="18"/>
              </w:rPr>
            </w:pPr>
            <w:r w:rsidRPr="005E6835">
              <w:rPr>
                <w:rFonts w:cs="Arial"/>
                <w:sz w:val="18"/>
              </w:rPr>
              <w:t>52%</w:t>
            </w:r>
          </w:p>
        </w:tc>
      </w:tr>
      <w:tr w:rsidR="005E6835" w:rsidRPr="005E6835" w14:paraId="4A703946" w14:textId="77777777" w:rsidTr="005E6835">
        <w:tc>
          <w:tcPr>
            <w:tcW w:w="1267" w:type="dxa"/>
            <w:tcBorders>
              <w:top w:val="single" w:sz="4" w:space="0" w:color="auto"/>
              <w:left w:val="single" w:sz="4" w:space="0" w:color="auto"/>
              <w:bottom w:val="single" w:sz="4" w:space="0" w:color="auto"/>
              <w:right w:val="single" w:sz="4" w:space="0" w:color="auto"/>
            </w:tcBorders>
            <w:vAlign w:val="center"/>
          </w:tcPr>
          <w:p w14:paraId="44AEE1FF" w14:textId="77777777" w:rsidR="005E6835" w:rsidRPr="005E6835" w:rsidRDefault="005E6835" w:rsidP="005E6835">
            <w:pPr>
              <w:jc w:val="center"/>
              <w:rPr>
                <w:rFonts w:cs="Arial"/>
                <w:sz w:val="18"/>
              </w:rPr>
            </w:pPr>
            <w:r w:rsidRPr="005E6835">
              <w:rPr>
                <w:rFonts w:cs="Arial"/>
                <w:sz w:val="18"/>
              </w:rPr>
              <w:t>2013</w:t>
            </w:r>
          </w:p>
        </w:tc>
        <w:tc>
          <w:tcPr>
            <w:tcW w:w="1811" w:type="dxa"/>
            <w:tcBorders>
              <w:top w:val="single" w:sz="4" w:space="0" w:color="auto"/>
              <w:left w:val="single" w:sz="4" w:space="0" w:color="auto"/>
              <w:bottom w:val="single" w:sz="4" w:space="0" w:color="auto"/>
              <w:right w:val="single" w:sz="4" w:space="0" w:color="auto"/>
            </w:tcBorders>
            <w:vAlign w:val="center"/>
          </w:tcPr>
          <w:p w14:paraId="0420BFB1" w14:textId="77777777" w:rsidR="005E6835" w:rsidRPr="005E6835" w:rsidRDefault="005E6835" w:rsidP="005E6835">
            <w:pPr>
              <w:jc w:val="center"/>
              <w:rPr>
                <w:rFonts w:cs="Arial"/>
                <w:sz w:val="18"/>
                <w:szCs w:val="18"/>
              </w:rPr>
            </w:pPr>
            <w:r w:rsidRPr="005E6835">
              <w:rPr>
                <w:rFonts w:cs="Arial"/>
                <w:sz w:val="18"/>
                <w:szCs w:val="18"/>
              </w:rPr>
              <w:t>15,596</w:t>
            </w:r>
          </w:p>
        </w:tc>
        <w:tc>
          <w:tcPr>
            <w:tcW w:w="2220" w:type="dxa"/>
            <w:tcBorders>
              <w:top w:val="single" w:sz="4" w:space="0" w:color="auto"/>
              <w:left w:val="single" w:sz="4" w:space="0" w:color="auto"/>
              <w:bottom w:val="single" w:sz="4" w:space="0" w:color="auto"/>
              <w:right w:val="single" w:sz="4" w:space="0" w:color="auto"/>
            </w:tcBorders>
            <w:vAlign w:val="center"/>
          </w:tcPr>
          <w:p w14:paraId="7766AAC9" w14:textId="77777777" w:rsidR="005E6835" w:rsidRPr="005E6835" w:rsidRDefault="005E6835" w:rsidP="005E6835">
            <w:pPr>
              <w:jc w:val="center"/>
              <w:rPr>
                <w:rFonts w:cs="Arial"/>
                <w:sz w:val="18"/>
                <w:szCs w:val="18"/>
              </w:rPr>
            </w:pPr>
            <w:r w:rsidRPr="005E6835">
              <w:rPr>
                <w:rFonts w:cs="Arial"/>
                <w:sz w:val="18"/>
                <w:szCs w:val="18"/>
              </w:rPr>
              <w:t>12,945</w:t>
            </w:r>
          </w:p>
        </w:tc>
        <w:tc>
          <w:tcPr>
            <w:tcW w:w="1991" w:type="dxa"/>
            <w:tcBorders>
              <w:top w:val="single" w:sz="4" w:space="0" w:color="auto"/>
              <w:left w:val="single" w:sz="4" w:space="0" w:color="auto"/>
              <w:bottom w:val="single" w:sz="4" w:space="0" w:color="auto"/>
              <w:right w:val="single" w:sz="4" w:space="0" w:color="auto"/>
            </w:tcBorders>
            <w:vAlign w:val="center"/>
          </w:tcPr>
          <w:p w14:paraId="38B2D7C8" w14:textId="77777777" w:rsidR="005E6835" w:rsidRPr="005E6835" w:rsidRDefault="005E6835" w:rsidP="005E6835">
            <w:pPr>
              <w:jc w:val="center"/>
              <w:rPr>
                <w:rFonts w:cs="Arial"/>
                <w:sz w:val="18"/>
                <w:szCs w:val="18"/>
              </w:rPr>
            </w:pPr>
            <w:r w:rsidRPr="005E6835">
              <w:rPr>
                <w:rFonts w:cs="Arial"/>
                <w:sz w:val="18"/>
                <w:szCs w:val="18"/>
              </w:rPr>
              <w:t>7,075</w:t>
            </w:r>
          </w:p>
        </w:tc>
        <w:tc>
          <w:tcPr>
            <w:tcW w:w="1927" w:type="dxa"/>
            <w:tcBorders>
              <w:top w:val="single" w:sz="4" w:space="0" w:color="auto"/>
              <w:left w:val="single" w:sz="4" w:space="0" w:color="auto"/>
              <w:bottom w:val="single" w:sz="4" w:space="0" w:color="auto"/>
              <w:right w:val="single" w:sz="4" w:space="0" w:color="auto"/>
            </w:tcBorders>
            <w:vAlign w:val="center"/>
          </w:tcPr>
          <w:p w14:paraId="400CE9C0" w14:textId="77777777" w:rsidR="005E6835" w:rsidRPr="005E6835" w:rsidRDefault="005E6835" w:rsidP="005E6835">
            <w:pPr>
              <w:jc w:val="center"/>
              <w:rPr>
                <w:rFonts w:cs="Arial"/>
                <w:sz w:val="18"/>
                <w:szCs w:val="18"/>
              </w:rPr>
            </w:pPr>
            <w:r w:rsidRPr="005E6835">
              <w:rPr>
                <w:rFonts w:cs="Arial"/>
                <w:sz w:val="18"/>
              </w:rPr>
              <w:t>55%</w:t>
            </w:r>
          </w:p>
        </w:tc>
      </w:tr>
      <w:tr w:rsidR="005E6835" w:rsidRPr="005E6835" w14:paraId="05BA13AC" w14:textId="77777777" w:rsidTr="005E6835">
        <w:tc>
          <w:tcPr>
            <w:tcW w:w="1267" w:type="dxa"/>
            <w:tcBorders>
              <w:top w:val="single" w:sz="4" w:space="0" w:color="auto"/>
              <w:left w:val="single" w:sz="4" w:space="0" w:color="auto"/>
              <w:bottom w:val="single" w:sz="4" w:space="0" w:color="auto"/>
              <w:right w:val="single" w:sz="4" w:space="0" w:color="auto"/>
            </w:tcBorders>
            <w:vAlign w:val="center"/>
          </w:tcPr>
          <w:p w14:paraId="4E521A0E" w14:textId="77777777" w:rsidR="005E6835" w:rsidRPr="005E6835" w:rsidRDefault="005E6835" w:rsidP="005E6835">
            <w:pPr>
              <w:jc w:val="center"/>
              <w:rPr>
                <w:rFonts w:cs="Arial"/>
                <w:sz w:val="18"/>
              </w:rPr>
            </w:pPr>
            <w:r w:rsidRPr="005E6835">
              <w:rPr>
                <w:rFonts w:cs="Arial"/>
                <w:sz w:val="18"/>
              </w:rPr>
              <w:t>2014</w:t>
            </w:r>
          </w:p>
        </w:tc>
        <w:tc>
          <w:tcPr>
            <w:tcW w:w="1811" w:type="dxa"/>
            <w:tcBorders>
              <w:top w:val="single" w:sz="4" w:space="0" w:color="auto"/>
              <w:left w:val="single" w:sz="4" w:space="0" w:color="auto"/>
              <w:bottom w:val="single" w:sz="4" w:space="0" w:color="auto"/>
              <w:right w:val="single" w:sz="4" w:space="0" w:color="auto"/>
            </w:tcBorders>
            <w:vAlign w:val="center"/>
          </w:tcPr>
          <w:p w14:paraId="3EBE6CF1" w14:textId="77777777" w:rsidR="005E6835" w:rsidRPr="005E6835" w:rsidRDefault="005E6835" w:rsidP="005E6835">
            <w:pPr>
              <w:jc w:val="center"/>
              <w:rPr>
                <w:rFonts w:cs="Arial"/>
                <w:sz w:val="18"/>
                <w:szCs w:val="18"/>
              </w:rPr>
            </w:pPr>
            <w:r w:rsidRPr="005E6835">
              <w:rPr>
                <w:rFonts w:cs="Arial"/>
                <w:sz w:val="18"/>
                <w:szCs w:val="18"/>
              </w:rPr>
              <w:t>15,214</w:t>
            </w:r>
          </w:p>
        </w:tc>
        <w:tc>
          <w:tcPr>
            <w:tcW w:w="2220" w:type="dxa"/>
            <w:tcBorders>
              <w:top w:val="single" w:sz="4" w:space="0" w:color="auto"/>
              <w:left w:val="single" w:sz="4" w:space="0" w:color="auto"/>
              <w:bottom w:val="single" w:sz="4" w:space="0" w:color="auto"/>
              <w:right w:val="single" w:sz="4" w:space="0" w:color="auto"/>
            </w:tcBorders>
            <w:vAlign w:val="center"/>
          </w:tcPr>
          <w:p w14:paraId="2A663BEF" w14:textId="77777777" w:rsidR="005E6835" w:rsidRPr="005E6835" w:rsidRDefault="005E6835" w:rsidP="005E6835">
            <w:pPr>
              <w:jc w:val="center"/>
              <w:rPr>
                <w:rFonts w:cs="Arial"/>
                <w:sz w:val="18"/>
                <w:szCs w:val="18"/>
              </w:rPr>
            </w:pPr>
            <w:r w:rsidRPr="005E6835">
              <w:rPr>
                <w:rFonts w:cs="Arial"/>
                <w:sz w:val="18"/>
                <w:szCs w:val="18"/>
              </w:rPr>
              <w:t>12,628</w:t>
            </w:r>
          </w:p>
        </w:tc>
        <w:tc>
          <w:tcPr>
            <w:tcW w:w="1991" w:type="dxa"/>
            <w:tcBorders>
              <w:top w:val="single" w:sz="4" w:space="0" w:color="auto"/>
              <w:left w:val="single" w:sz="4" w:space="0" w:color="auto"/>
              <w:bottom w:val="single" w:sz="4" w:space="0" w:color="auto"/>
              <w:right w:val="single" w:sz="4" w:space="0" w:color="auto"/>
            </w:tcBorders>
            <w:vAlign w:val="center"/>
          </w:tcPr>
          <w:p w14:paraId="2F160642" w14:textId="77777777" w:rsidR="005E6835" w:rsidRPr="005E6835" w:rsidRDefault="005E6835" w:rsidP="005E6835">
            <w:pPr>
              <w:jc w:val="center"/>
              <w:rPr>
                <w:rFonts w:cs="Arial"/>
                <w:sz w:val="18"/>
                <w:szCs w:val="18"/>
              </w:rPr>
            </w:pPr>
            <w:r w:rsidRPr="005E6835">
              <w:rPr>
                <w:rFonts w:cs="Arial"/>
                <w:sz w:val="18"/>
                <w:szCs w:val="18"/>
              </w:rPr>
              <w:t>7,101</w:t>
            </w:r>
          </w:p>
        </w:tc>
        <w:tc>
          <w:tcPr>
            <w:tcW w:w="1927" w:type="dxa"/>
            <w:tcBorders>
              <w:top w:val="single" w:sz="4" w:space="0" w:color="auto"/>
              <w:left w:val="single" w:sz="4" w:space="0" w:color="auto"/>
              <w:bottom w:val="single" w:sz="4" w:space="0" w:color="auto"/>
              <w:right w:val="single" w:sz="4" w:space="0" w:color="auto"/>
            </w:tcBorders>
            <w:vAlign w:val="center"/>
          </w:tcPr>
          <w:p w14:paraId="7AFAE1EC" w14:textId="77777777" w:rsidR="005E6835" w:rsidRPr="005E6835" w:rsidRDefault="005E6835" w:rsidP="005E6835">
            <w:pPr>
              <w:jc w:val="center"/>
              <w:rPr>
                <w:rFonts w:cs="Arial"/>
                <w:sz w:val="18"/>
                <w:szCs w:val="18"/>
              </w:rPr>
            </w:pPr>
            <w:r w:rsidRPr="005E6835">
              <w:rPr>
                <w:rFonts w:cs="Arial"/>
                <w:sz w:val="18"/>
              </w:rPr>
              <w:t>56%</w:t>
            </w:r>
          </w:p>
        </w:tc>
      </w:tr>
      <w:tr w:rsidR="005E6835" w:rsidRPr="005E6835" w14:paraId="1D826084" w14:textId="77777777" w:rsidTr="005E6835">
        <w:tc>
          <w:tcPr>
            <w:tcW w:w="1267" w:type="dxa"/>
            <w:tcBorders>
              <w:top w:val="single" w:sz="4" w:space="0" w:color="auto"/>
              <w:left w:val="single" w:sz="4" w:space="0" w:color="auto"/>
              <w:bottom w:val="single" w:sz="4" w:space="0" w:color="auto"/>
              <w:right w:val="single" w:sz="4" w:space="0" w:color="auto"/>
            </w:tcBorders>
            <w:vAlign w:val="center"/>
          </w:tcPr>
          <w:p w14:paraId="4E91678E" w14:textId="77777777" w:rsidR="005E6835" w:rsidRPr="005E6835" w:rsidRDefault="005E6835" w:rsidP="005E6835">
            <w:pPr>
              <w:jc w:val="center"/>
              <w:rPr>
                <w:rFonts w:cs="Arial"/>
                <w:sz w:val="18"/>
              </w:rPr>
            </w:pPr>
            <w:r w:rsidRPr="005E6835">
              <w:rPr>
                <w:rFonts w:cs="Arial"/>
                <w:sz w:val="18"/>
              </w:rPr>
              <w:t>2015</w:t>
            </w:r>
          </w:p>
        </w:tc>
        <w:tc>
          <w:tcPr>
            <w:tcW w:w="1811" w:type="dxa"/>
            <w:tcBorders>
              <w:top w:val="single" w:sz="4" w:space="0" w:color="auto"/>
              <w:left w:val="single" w:sz="4" w:space="0" w:color="auto"/>
              <w:bottom w:val="single" w:sz="4" w:space="0" w:color="auto"/>
              <w:right w:val="single" w:sz="4" w:space="0" w:color="auto"/>
            </w:tcBorders>
            <w:vAlign w:val="center"/>
          </w:tcPr>
          <w:p w14:paraId="3B3E83A9" w14:textId="77777777" w:rsidR="005E6835" w:rsidRPr="005E6835" w:rsidRDefault="005E6835" w:rsidP="005E6835">
            <w:pPr>
              <w:jc w:val="center"/>
              <w:rPr>
                <w:rFonts w:cs="Arial"/>
                <w:sz w:val="18"/>
                <w:szCs w:val="18"/>
              </w:rPr>
            </w:pPr>
            <w:r w:rsidRPr="005E6835">
              <w:rPr>
                <w:rFonts w:cs="Arial"/>
                <w:sz w:val="18"/>
                <w:szCs w:val="18"/>
              </w:rPr>
              <w:t>15,190</w:t>
            </w:r>
          </w:p>
        </w:tc>
        <w:tc>
          <w:tcPr>
            <w:tcW w:w="2220" w:type="dxa"/>
            <w:tcBorders>
              <w:top w:val="single" w:sz="4" w:space="0" w:color="auto"/>
              <w:left w:val="single" w:sz="4" w:space="0" w:color="auto"/>
              <w:bottom w:val="single" w:sz="4" w:space="0" w:color="auto"/>
              <w:right w:val="single" w:sz="4" w:space="0" w:color="auto"/>
            </w:tcBorders>
            <w:vAlign w:val="center"/>
          </w:tcPr>
          <w:p w14:paraId="684DB266" w14:textId="77777777" w:rsidR="005E6835" w:rsidRPr="005E6835" w:rsidRDefault="005E6835" w:rsidP="005E6835">
            <w:pPr>
              <w:jc w:val="center"/>
              <w:rPr>
                <w:rFonts w:cs="Arial"/>
                <w:sz w:val="18"/>
                <w:szCs w:val="18"/>
              </w:rPr>
            </w:pPr>
            <w:r w:rsidRPr="005E6835">
              <w:rPr>
                <w:rFonts w:cs="Arial"/>
                <w:sz w:val="18"/>
                <w:szCs w:val="18"/>
              </w:rPr>
              <w:t>12,608</w:t>
            </w:r>
          </w:p>
        </w:tc>
        <w:tc>
          <w:tcPr>
            <w:tcW w:w="1991" w:type="dxa"/>
            <w:tcBorders>
              <w:top w:val="single" w:sz="4" w:space="0" w:color="auto"/>
              <w:left w:val="single" w:sz="4" w:space="0" w:color="auto"/>
              <w:bottom w:val="single" w:sz="4" w:space="0" w:color="auto"/>
              <w:right w:val="single" w:sz="4" w:space="0" w:color="auto"/>
            </w:tcBorders>
            <w:vAlign w:val="center"/>
          </w:tcPr>
          <w:p w14:paraId="07C1E241" w14:textId="77777777" w:rsidR="005E6835" w:rsidRPr="005E6835" w:rsidRDefault="005E6835" w:rsidP="005E6835">
            <w:pPr>
              <w:jc w:val="center"/>
              <w:rPr>
                <w:rFonts w:cs="Arial"/>
                <w:sz w:val="18"/>
                <w:szCs w:val="18"/>
              </w:rPr>
            </w:pPr>
            <w:r w:rsidRPr="005E6835">
              <w:rPr>
                <w:rFonts w:cs="Arial"/>
                <w:sz w:val="18"/>
                <w:szCs w:val="18"/>
              </w:rPr>
              <w:t>7,121</w:t>
            </w:r>
          </w:p>
        </w:tc>
        <w:tc>
          <w:tcPr>
            <w:tcW w:w="1927" w:type="dxa"/>
            <w:tcBorders>
              <w:top w:val="single" w:sz="4" w:space="0" w:color="auto"/>
              <w:left w:val="single" w:sz="4" w:space="0" w:color="auto"/>
              <w:bottom w:val="single" w:sz="4" w:space="0" w:color="auto"/>
              <w:right w:val="single" w:sz="4" w:space="0" w:color="auto"/>
            </w:tcBorders>
            <w:vAlign w:val="center"/>
          </w:tcPr>
          <w:p w14:paraId="34117A02" w14:textId="77777777" w:rsidR="005E6835" w:rsidRPr="005E6835" w:rsidRDefault="005E6835" w:rsidP="005E6835">
            <w:pPr>
              <w:jc w:val="center"/>
              <w:rPr>
                <w:rFonts w:cs="Arial"/>
                <w:sz w:val="18"/>
                <w:szCs w:val="18"/>
              </w:rPr>
            </w:pPr>
            <w:r w:rsidRPr="005E6835">
              <w:rPr>
                <w:rFonts w:cs="Arial"/>
                <w:sz w:val="18"/>
              </w:rPr>
              <w:t>56%</w:t>
            </w:r>
          </w:p>
        </w:tc>
      </w:tr>
      <w:tr w:rsidR="005E6835" w:rsidRPr="005E6835" w14:paraId="69D6ACD3" w14:textId="77777777" w:rsidTr="005E6835">
        <w:tc>
          <w:tcPr>
            <w:tcW w:w="1267" w:type="dxa"/>
            <w:tcBorders>
              <w:top w:val="single" w:sz="4" w:space="0" w:color="auto"/>
              <w:left w:val="single" w:sz="4" w:space="0" w:color="auto"/>
              <w:bottom w:val="single" w:sz="4" w:space="0" w:color="auto"/>
              <w:right w:val="single" w:sz="4" w:space="0" w:color="auto"/>
            </w:tcBorders>
            <w:vAlign w:val="center"/>
          </w:tcPr>
          <w:p w14:paraId="2DBD6DDD" w14:textId="77777777" w:rsidR="005E6835" w:rsidRPr="005E6835" w:rsidRDefault="005E6835" w:rsidP="005E6835">
            <w:pPr>
              <w:jc w:val="center"/>
              <w:rPr>
                <w:rFonts w:cs="Arial"/>
                <w:sz w:val="18"/>
              </w:rPr>
            </w:pPr>
            <w:r w:rsidRPr="005E6835">
              <w:rPr>
                <w:rFonts w:cs="Arial"/>
                <w:sz w:val="18"/>
              </w:rPr>
              <w:t>2016</w:t>
            </w:r>
          </w:p>
        </w:tc>
        <w:tc>
          <w:tcPr>
            <w:tcW w:w="1811" w:type="dxa"/>
            <w:tcBorders>
              <w:top w:val="single" w:sz="4" w:space="0" w:color="auto"/>
              <w:left w:val="single" w:sz="4" w:space="0" w:color="auto"/>
              <w:bottom w:val="single" w:sz="4" w:space="0" w:color="auto"/>
              <w:right w:val="single" w:sz="4" w:space="0" w:color="auto"/>
            </w:tcBorders>
            <w:vAlign w:val="center"/>
          </w:tcPr>
          <w:p w14:paraId="572C7CD1" w14:textId="77777777" w:rsidR="005E6835" w:rsidRPr="005E6835" w:rsidRDefault="005E6835" w:rsidP="005E6835">
            <w:pPr>
              <w:jc w:val="center"/>
              <w:rPr>
                <w:rFonts w:cs="Arial"/>
                <w:sz w:val="18"/>
                <w:szCs w:val="18"/>
              </w:rPr>
            </w:pPr>
            <w:r w:rsidRPr="005E6835">
              <w:rPr>
                <w:rFonts w:cs="Arial"/>
                <w:sz w:val="18"/>
                <w:szCs w:val="18"/>
              </w:rPr>
              <w:t>15,316</w:t>
            </w:r>
          </w:p>
        </w:tc>
        <w:tc>
          <w:tcPr>
            <w:tcW w:w="2220" w:type="dxa"/>
            <w:tcBorders>
              <w:top w:val="single" w:sz="4" w:space="0" w:color="auto"/>
              <w:left w:val="single" w:sz="4" w:space="0" w:color="auto"/>
              <w:bottom w:val="single" w:sz="4" w:space="0" w:color="auto"/>
              <w:right w:val="single" w:sz="4" w:space="0" w:color="auto"/>
            </w:tcBorders>
            <w:vAlign w:val="center"/>
          </w:tcPr>
          <w:p w14:paraId="60BD4D58" w14:textId="77777777" w:rsidR="005E6835" w:rsidRPr="005E6835" w:rsidRDefault="005E6835" w:rsidP="005E6835">
            <w:pPr>
              <w:jc w:val="center"/>
              <w:rPr>
                <w:rFonts w:cs="Arial"/>
                <w:sz w:val="18"/>
                <w:szCs w:val="18"/>
              </w:rPr>
            </w:pPr>
            <w:r w:rsidRPr="005E6835">
              <w:rPr>
                <w:rFonts w:cs="Arial"/>
                <w:sz w:val="18"/>
                <w:szCs w:val="18"/>
              </w:rPr>
              <w:t>12,712</w:t>
            </w:r>
          </w:p>
        </w:tc>
        <w:tc>
          <w:tcPr>
            <w:tcW w:w="1991" w:type="dxa"/>
            <w:tcBorders>
              <w:top w:val="single" w:sz="4" w:space="0" w:color="auto"/>
              <w:left w:val="single" w:sz="4" w:space="0" w:color="auto"/>
              <w:bottom w:val="single" w:sz="4" w:space="0" w:color="auto"/>
              <w:right w:val="single" w:sz="4" w:space="0" w:color="auto"/>
            </w:tcBorders>
            <w:vAlign w:val="center"/>
          </w:tcPr>
          <w:p w14:paraId="594D06A1" w14:textId="77777777" w:rsidR="005E6835" w:rsidRPr="005E6835" w:rsidRDefault="005E6835" w:rsidP="005E6835">
            <w:pPr>
              <w:jc w:val="center"/>
              <w:rPr>
                <w:rFonts w:cs="Arial"/>
                <w:sz w:val="18"/>
                <w:szCs w:val="18"/>
              </w:rPr>
            </w:pPr>
            <w:r w:rsidRPr="005E6835">
              <w:rPr>
                <w:rFonts w:cs="Arial"/>
                <w:sz w:val="18"/>
                <w:szCs w:val="18"/>
              </w:rPr>
              <w:t>7,296</w:t>
            </w:r>
          </w:p>
        </w:tc>
        <w:tc>
          <w:tcPr>
            <w:tcW w:w="1927" w:type="dxa"/>
            <w:tcBorders>
              <w:top w:val="single" w:sz="4" w:space="0" w:color="auto"/>
              <w:left w:val="single" w:sz="4" w:space="0" w:color="auto"/>
              <w:bottom w:val="single" w:sz="4" w:space="0" w:color="auto"/>
              <w:right w:val="single" w:sz="4" w:space="0" w:color="auto"/>
            </w:tcBorders>
            <w:vAlign w:val="center"/>
          </w:tcPr>
          <w:p w14:paraId="7B042A46" w14:textId="77777777" w:rsidR="005E6835" w:rsidRPr="005E6835" w:rsidRDefault="005E6835" w:rsidP="005E6835">
            <w:pPr>
              <w:jc w:val="center"/>
              <w:rPr>
                <w:rFonts w:cs="Arial"/>
                <w:sz w:val="18"/>
                <w:szCs w:val="18"/>
              </w:rPr>
            </w:pPr>
            <w:r w:rsidRPr="005E6835">
              <w:rPr>
                <w:rFonts w:cs="Arial"/>
                <w:sz w:val="18"/>
              </w:rPr>
              <w:t>57%</w:t>
            </w:r>
          </w:p>
        </w:tc>
      </w:tr>
      <w:tr w:rsidR="005D02B8" w:rsidRPr="005E6835" w14:paraId="5B612C60" w14:textId="77777777" w:rsidTr="005E6835">
        <w:tc>
          <w:tcPr>
            <w:tcW w:w="1267" w:type="dxa"/>
            <w:tcBorders>
              <w:top w:val="single" w:sz="4" w:space="0" w:color="auto"/>
              <w:left w:val="single" w:sz="4" w:space="0" w:color="auto"/>
              <w:bottom w:val="single" w:sz="4" w:space="0" w:color="auto"/>
              <w:right w:val="single" w:sz="4" w:space="0" w:color="auto"/>
            </w:tcBorders>
            <w:vAlign w:val="center"/>
          </w:tcPr>
          <w:p w14:paraId="33523C9E" w14:textId="0AC81D85" w:rsidR="005D02B8" w:rsidRPr="005E6835" w:rsidRDefault="00A00352" w:rsidP="005E6835">
            <w:pPr>
              <w:jc w:val="center"/>
              <w:rPr>
                <w:rFonts w:cs="Arial"/>
                <w:sz w:val="18"/>
              </w:rPr>
            </w:pPr>
            <w:r>
              <w:rPr>
                <w:rFonts w:cs="Arial"/>
                <w:sz w:val="18"/>
              </w:rPr>
              <w:t>2017</w:t>
            </w:r>
          </w:p>
        </w:tc>
        <w:tc>
          <w:tcPr>
            <w:tcW w:w="1811" w:type="dxa"/>
            <w:tcBorders>
              <w:top w:val="single" w:sz="4" w:space="0" w:color="auto"/>
              <w:left w:val="single" w:sz="4" w:space="0" w:color="auto"/>
              <w:bottom w:val="single" w:sz="4" w:space="0" w:color="auto"/>
              <w:right w:val="single" w:sz="4" w:space="0" w:color="auto"/>
            </w:tcBorders>
            <w:vAlign w:val="center"/>
          </w:tcPr>
          <w:p w14:paraId="74EC5209" w14:textId="7649ABD6" w:rsidR="005D02B8" w:rsidRPr="005E6835" w:rsidRDefault="009C2B7C" w:rsidP="005E6835">
            <w:pPr>
              <w:jc w:val="center"/>
              <w:rPr>
                <w:rFonts w:cs="Arial"/>
                <w:sz w:val="18"/>
                <w:szCs w:val="18"/>
              </w:rPr>
            </w:pPr>
            <w:r>
              <w:rPr>
                <w:rFonts w:cs="Arial"/>
                <w:sz w:val="18"/>
                <w:szCs w:val="18"/>
              </w:rPr>
              <w:t>15,533</w:t>
            </w:r>
          </w:p>
        </w:tc>
        <w:tc>
          <w:tcPr>
            <w:tcW w:w="2220" w:type="dxa"/>
            <w:tcBorders>
              <w:top w:val="single" w:sz="4" w:space="0" w:color="auto"/>
              <w:left w:val="single" w:sz="4" w:space="0" w:color="auto"/>
              <w:bottom w:val="single" w:sz="4" w:space="0" w:color="auto"/>
              <w:right w:val="single" w:sz="4" w:space="0" w:color="auto"/>
            </w:tcBorders>
            <w:vAlign w:val="center"/>
          </w:tcPr>
          <w:p w14:paraId="29141EE7" w14:textId="25A9AA1E" w:rsidR="005D02B8" w:rsidRPr="005E6835" w:rsidRDefault="009C2B7C" w:rsidP="005E6835">
            <w:pPr>
              <w:jc w:val="center"/>
              <w:rPr>
                <w:rFonts w:cs="Arial"/>
                <w:sz w:val="18"/>
                <w:szCs w:val="18"/>
              </w:rPr>
            </w:pPr>
            <w:r>
              <w:rPr>
                <w:rFonts w:cs="Arial"/>
                <w:sz w:val="18"/>
                <w:szCs w:val="18"/>
              </w:rPr>
              <w:t>12,830</w:t>
            </w:r>
          </w:p>
        </w:tc>
        <w:tc>
          <w:tcPr>
            <w:tcW w:w="1991" w:type="dxa"/>
            <w:tcBorders>
              <w:top w:val="single" w:sz="4" w:space="0" w:color="auto"/>
              <w:left w:val="single" w:sz="4" w:space="0" w:color="auto"/>
              <w:bottom w:val="single" w:sz="4" w:space="0" w:color="auto"/>
              <w:right w:val="single" w:sz="4" w:space="0" w:color="auto"/>
            </w:tcBorders>
            <w:vAlign w:val="center"/>
          </w:tcPr>
          <w:p w14:paraId="03F252AC" w14:textId="4C5BEDAD" w:rsidR="005D02B8" w:rsidRPr="005E6835" w:rsidRDefault="009C2B7C" w:rsidP="005E6835">
            <w:pPr>
              <w:jc w:val="center"/>
              <w:rPr>
                <w:rFonts w:cs="Arial"/>
                <w:sz w:val="18"/>
                <w:szCs w:val="18"/>
              </w:rPr>
            </w:pPr>
            <w:r>
              <w:rPr>
                <w:rFonts w:cs="Arial"/>
                <w:sz w:val="18"/>
                <w:szCs w:val="18"/>
              </w:rPr>
              <w:t>7,331</w:t>
            </w:r>
          </w:p>
        </w:tc>
        <w:tc>
          <w:tcPr>
            <w:tcW w:w="1927" w:type="dxa"/>
            <w:tcBorders>
              <w:top w:val="single" w:sz="4" w:space="0" w:color="auto"/>
              <w:left w:val="single" w:sz="4" w:space="0" w:color="auto"/>
              <w:bottom w:val="single" w:sz="4" w:space="0" w:color="auto"/>
              <w:right w:val="single" w:sz="4" w:space="0" w:color="auto"/>
            </w:tcBorders>
            <w:vAlign w:val="center"/>
          </w:tcPr>
          <w:p w14:paraId="025A404B" w14:textId="5E307888" w:rsidR="005D02B8" w:rsidRPr="005E6835" w:rsidRDefault="005B206E" w:rsidP="005E6835">
            <w:pPr>
              <w:jc w:val="center"/>
              <w:rPr>
                <w:rFonts w:cs="Arial"/>
                <w:sz w:val="18"/>
              </w:rPr>
            </w:pPr>
            <w:r>
              <w:rPr>
                <w:rFonts w:cs="Arial"/>
                <w:sz w:val="18"/>
              </w:rPr>
              <w:t>57%</w:t>
            </w:r>
          </w:p>
        </w:tc>
      </w:tr>
      <w:tr w:rsidR="005D02B8" w:rsidRPr="005E6835" w14:paraId="43B6ABFD" w14:textId="77777777" w:rsidTr="005E6835">
        <w:tc>
          <w:tcPr>
            <w:tcW w:w="1267" w:type="dxa"/>
            <w:tcBorders>
              <w:top w:val="single" w:sz="4" w:space="0" w:color="auto"/>
              <w:left w:val="single" w:sz="4" w:space="0" w:color="auto"/>
              <w:bottom w:val="single" w:sz="4" w:space="0" w:color="auto"/>
              <w:right w:val="single" w:sz="4" w:space="0" w:color="auto"/>
            </w:tcBorders>
            <w:vAlign w:val="center"/>
          </w:tcPr>
          <w:p w14:paraId="44892210" w14:textId="024857B0" w:rsidR="005D02B8" w:rsidRPr="005E6835" w:rsidRDefault="00A00352" w:rsidP="005E6835">
            <w:pPr>
              <w:jc w:val="center"/>
              <w:rPr>
                <w:rFonts w:cs="Arial"/>
                <w:sz w:val="18"/>
              </w:rPr>
            </w:pPr>
            <w:r>
              <w:rPr>
                <w:rFonts w:cs="Arial"/>
                <w:sz w:val="18"/>
              </w:rPr>
              <w:t>2018</w:t>
            </w:r>
          </w:p>
        </w:tc>
        <w:tc>
          <w:tcPr>
            <w:tcW w:w="1811" w:type="dxa"/>
            <w:tcBorders>
              <w:top w:val="single" w:sz="4" w:space="0" w:color="auto"/>
              <w:left w:val="single" w:sz="4" w:space="0" w:color="auto"/>
              <w:bottom w:val="single" w:sz="4" w:space="0" w:color="auto"/>
              <w:right w:val="single" w:sz="4" w:space="0" w:color="auto"/>
            </w:tcBorders>
            <w:vAlign w:val="center"/>
          </w:tcPr>
          <w:p w14:paraId="5BEC9A40" w14:textId="68AE8700" w:rsidR="005D02B8" w:rsidRPr="005E6835" w:rsidRDefault="009C2B7C" w:rsidP="005E6835">
            <w:pPr>
              <w:jc w:val="center"/>
              <w:rPr>
                <w:rFonts w:cs="Arial"/>
                <w:sz w:val="18"/>
                <w:szCs w:val="18"/>
              </w:rPr>
            </w:pPr>
            <w:r>
              <w:rPr>
                <w:rFonts w:cs="Arial"/>
                <w:sz w:val="18"/>
                <w:szCs w:val="18"/>
              </w:rPr>
              <w:t>15,741</w:t>
            </w:r>
          </w:p>
        </w:tc>
        <w:tc>
          <w:tcPr>
            <w:tcW w:w="2220" w:type="dxa"/>
            <w:tcBorders>
              <w:top w:val="single" w:sz="4" w:space="0" w:color="auto"/>
              <w:left w:val="single" w:sz="4" w:space="0" w:color="auto"/>
              <w:bottom w:val="single" w:sz="4" w:space="0" w:color="auto"/>
              <w:right w:val="single" w:sz="4" w:space="0" w:color="auto"/>
            </w:tcBorders>
            <w:vAlign w:val="center"/>
          </w:tcPr>
          <w:p w14:paraId="1EE66C4F" w14:textId="4660D149" w:rsidR="005D02B8" w:rsidRPr="005E6835" w:rsidRDefault="009C2B7C" w:rsidP="005E6835">
            <w:pPr>
              <w:jc w:val="center"/>
              <w:rPr>
                <w:rFonts w:cs="Arial"/>
                <w:sz w:val="18"/>
                <w:szCs w:val="18"/>
              </w:rPr>
            </w:pPr>
            <w:r>
              <w:rPr>
                <w:rFonts w:cs="Arial"/>
                <w:sz w:val="18"/>
                <w:szCs w:val="18"/>
              </w:rPr>
              <w:t>13,002</w:t>
            </w:r>
          </w:p>
        </w:tc>
        <w:tc>
          <w:tcPr>
            <w:tcW w:w="1991" w:type="dxa"/>
            <w:tcBorders>
              <w:top w:val="single" w:sz="4" w:space="0" w:color="auto"/>
              <w:left w:val="single" w:sz="4" w:space="0" w:color="auto"/>
              <w:bottom w:val="single" w:sz="4" w:space="0" w:color="auto"/>
              <w:right w:val="single" w:sz="4" w:space="0" w:color="auto"/>
            </w:tcBorders>
            <w:vAlign w:val="center"/>
          </w:tcPr>
          <w:p w14:paraId="08D5CB20" w14:textId="6220E179" w:rsidR="005D02B8" w:rsidRPr="005E6835" w:rsidRDefault="009C2B7C" w:rsidP="005E6835">
            <w:pPr>
              <w:jc w:val="center"/>
              <w:rPr>
                <w:rFonts w:cs="Arial"/>
                <w:sz w:val="18"/>
                <w:szCs w:val="18"/>
              </w:rPr>
            </w:pPr>
            <w:r>
              <w:rPr>
                <w:rFonts w:cs="Arial"/>
                <w:sz w:val="18"/>
                <w:szCs w:val="18"/>
              </w:rPr>
              <w:t>7,517</w:t>
            </w:r>
          </w:p>
        </w:tc>
        <w:tc>
          <w:tcPr>
            <w:tcW w:w="1927" w:type="dxa"/>
            <w:tcBorders>
              <w:top w:val="single" w:sz="4" w:space="0" w:color="auto"/>
              <w:left w:val="single" w:sz="4" w:space="0" w:color="auto"/>
              <w:bottom w:val="single" w:sz="4" w:space="0" w:color="auto"/>
              <w:right w:val="single" w:sz="4" w:space="0" w:color="auto"/>
            </w:tcBorders>
            <w:vAlign w:val="center"/>
          </w:tcPr>
          <w:p w14:paraId="0CDE357D" w14:textId="586520B5" w:rsidR="005D02B8" w:rsidRPr="005E6835" w:rsidRDefault="005B206E" w:rsidP="005E6835">
            <w:pPr>
              <w:jc w:val="center"/>
              <w:rPr>
                <w:rFonts w:cs="Arial"/>
                <w:sz w:val="18"/>
              </w:rPr>
            </w:pPr>
            <w:r>
              <w:rPr>
                <w:rFonts w:cs="Arial"/>
                <w:sz w:val="18"/>
              </w:rPr>
              <w:t>58%</w:t>
            </w:r>
          </w:p>
        </w:tc>
      </w:tr>
    </w:tbl>
    <w:p w14:paraId="6BB0FBFB" w14:textId="77777777" w:rsidR="005E6835" w:rsidRPr="005E6835" w:rsidRDefault="005E6835" w:rsidP="00C97C30">
      <w:pPr>
        <w:spacing w:before="0" w:after="0"/>
        <w:rPr>
          <w:rFonts w:cs="Arial"/>
          <w:sz w:val="18"/>
          <w:szCs w:val="18"/>
        </w:rPr>
      </w:pPr>
    </w:p>
    <w:p w14:paraId="7FBFCA82" w14:textId="77777777" w:rsidR="005E6835" w:rsidRPr="005E6835" w:rsidRDefault="005E6835" w:rsidP="00C97C30">
      <w:pPr>
        <w:spacing w:before="0" w:after="0"/>
        <w:rPr>
          <w:rFonts w:cs="Arial"/>
          <w:sz w:val="18"/>
          <w:szCs w:val="18"/>
        </w:rPr>
      </w:pPr>
      <w:r w:rsidRPr="005E6835">
        <w:rPr>
          <w:rFonts w:cs="Arial"/>
          <w:sz w:val="18"/>
          <w:szCs w:val="18"/>
        </w:rPr>
        <w:t xml:space="preserve">Source:  </w:t>
      </w:r>
    </w:p>
    <w:p w14:paraId="7BC8E704" w14:textId="77777777" w:rsidR="005E6835" w:rsidRPr="005E6835" w:rsidRDefault="005E6835" w:rsidP="00C97C30">
      <w:pPr>
        <w:spacing w:before="0" w:after="0"/>
        <w:rPr>
          <w:rFonts w:cs="Arial"/>
          <w:sz w:val="18"/>
          <w:szCs w:val="18"/>
        </w:rPr>
      </w:pPr>
      <w:r w:rsidRPr="005E6835">
        <w:rPr>
          <w:rFonts w:cs="Arial"/>
          <w:sz w:val="18"/>
          <w:szCs w:val="18"/>
        </w:rPr>
        <w:t xml:space="preserve">Data provided by the Department and is as of the end of July of each state fiscal year.  </w:t>
      </w:r>
    </w:p>
    <w:p w14:paraId="65538627" w14:textId="77777777" w:rsidR="005E6835" w:rsidRPr="005E6835" w:rsidRDefault="005E6835" w:rsidP="005E6835">
      <w:pPr>
        <w:rPr>
          <w:rFonts w:cs="Arial"/>
          <w:highlight w:val="yellow"/>
        </w:rPr>
      </w:pPr>
    </w:p>
    <w:p w14:paraId="504E7031" w14:textId="1E4BFA90" w:rsidR="005E6835" w:rsidRPr="005E6835" w:rsidRDefault="005E6835" w:rsidP="005E6835">
      <w:pPr>
        <w:spacing w:before="0" w:after="0"/>
        <w:rPr>
          <w:rFonts w:cs="Arial"/>
        </w:rPr>
      </w:pPr>
      <w:r w:rsidRPr="005E6835">
        <w:rPr>
          <w:rFonts w:cs="Arial"/>
        </w:rPr>
        <w:t xml:space="preserve">This table shows that the total number of licensed Adult Family Homes beds in the state increased by </w:t>
      </w:r>
      <w:r w:rsidR="005B206E">
        <w:rPr>
          <w:rFonts w:cs="Arial"/>
        </w:rPr>
        <w:t>660</w:t>
      </w:r>
      <w:r w:rsidRPr="005E6835">
        <w:rPr>
          <w:rFonts w:cs="Arial"/>
        </w:rPr>
        <w:t xml:space="preserve">, a </w:t>
      </w:r>
      <w:r w:rsidR="005B206E">
        <w:rPr>
          <w:rFonts w:cs="Arial"/>
        </w:rPr>
        <w:t>4.4</w:t>
      </w:r>
      <w:r w:rsidRPr="005E6835">
        <w:rPr>
          <w:rFonts w:cs="Arial"/>
        </w:rPr>
        <w:t xml:space="preserve"> percent increase, from 200</w:t>
      </w:r>
      <w:r w:rsidR="005B206E">
        <w:rPr>
          <w:rFonts w:cs="Arial"/>
        </w:rPr>
        <w:t>9</w:t>
      </w:r>
      <w:r w:rsidRPr="005E6835">
        <w:rPr>
          <w:rFonts w:cs="Arial"/>
        </w:rPr>
        <w:t xml:space="preserve"> to 201</w:t>
      </w:r>
      <w:r w:rsidR="005D02B8">
        <w:rPr>
          <w:rFonts w:cs="Arial"/>
        </w:rPr>
        <w:t>8</w:t>
      </w:r>
      <w:r w:rsidRPr="005E6835">
        <w:rPr>
          <w:rFonts w:cs="Arial"/>
        </w:rPr>
        <w:t xml:space="preserve">.  It also shows that the utilization of beds by Medicaid residents has steadily increased over this same period, and in </w:t>
      </w:r>
      <w:r w:rsidR="005D02B8" w:rsidRPr="005E6835">
        <w:rPr>
          <w:rFonts w:cs="Arial"/>
        </w:rPr>
        <w:t>201</w:t>
      </w:r>
      <w:r w:rsidR="005D02B8">
        <w:rPr>
          <w:rFonts w:cs="Arial"/>
        </w:rPr>
        <w:t>8</w:t>
      </w:r>
      <w:r w:rsidR="005D02B8" w:rsidRPr="005E6835">
        <w:rPr>
          <w:rFonts w:cs="Arial"/>
        </w:rPr>
        <w:t xml:space="preserve"> </w:t>
      </w:r>
      <w:r w:rsidRPr="005E6835">
        <w:rPr>
          <w:rFonts w:cs="Arial"/>
        </w:rPr>
        <w:t xml:space="preserve">Medicaid occupied beds were </w:t>
      </w:r>
      <w:r w:rsidR="005B206E">
        <w:rPr>
          <w:rFonts w:cs="Arial"/>
        </w:rPr>
        <w:t>1,580</w:t>
      </w:r>
      <w:r w:rsidRPr="005E6835">
        <w:rPr>
          <w:rFonts w:cs="Arial"/>
        </w:rPr>
        <w:t xml:space="preserve"> greater than in 200</w:t>
      </w:r>
      <w:r w:rsidR="005B206E">
        <w:rPr>
          <w:rFonts w:cs="Arial"/>
        </w:rPr>
        <w:t>9</w:t>
      </w:r>
      <w:r w:rsidRPr="005E6835">
        <w:rPr>
          <w:rFonts w:cs="Arial"/>
        </w:rPr>
        <w:t xml:space="preserve">, or </w:t>
      </w:r>
      <w:r w:rsidRPr="005B206E">
        <w:rPr>
          <w:rFonts w:cs="Arial"/>
        </w:rPr>
        <w:t>2</w:t>
      </w:r>
      <w:r w:rsidR="005B206E">
        <w:rPr>
          <w:rFonts w:cs="Arial"/>
        </w:rPr>
        <w:t>6.6</w:t>
      </w:r>
      <w:r w:rsidRPr="005E6835">
        <w:rPr>
          <w:rFonts w:cs="Arial"/>
        </w:rPr>
        <w:t xml:space="preserve"> percent greater.</w:t>
      </w:r>
    </w:p>
    <w:p w14:paraId="6C32E276" w14:textId="77777777" w:rsidR="005E6835" w:rsidRPr="005E6835" w:rsidRDefault="005E6835" w:rsidP="005E6835">
      <w:pPr>
        <w:spacing w:before="0" w:after="0"/>
        <w:rPr>
          <w:rFonts w:cs="Arial"/>
        </w:rPr>
      </w:pPr>
    </w:p>
    <w:p w14:paraId="4B109EF5" w14:textId="52C4D3CC" w:rsidR="005E6835" w:rsidRPr="006F4F84" w:rsidRDefault="005E6835" w:rsidP="005E6835">
      <w:pPr>
        <w:spacing w:before="0" w:after="0"/>
        <w:rPr>
          <w:rFonts w:cs="Arial"/>
        </w:rPr>
      </w:pPr>
      <w:r w:rsidRPr="005E6835">
        <w:rPr>
          <w:rFonts w:cs="Arial"/>
        </w:rPr>
        <w:t>Table 3.3 shows the estimated average number of unfilled beds each day in Washington Adult Family Homes in 200</w:t>
      </w:r>
      <w:r w:rsidR="005B206E">
        <w:rPr>
          <w:rFonts w:cs="Arial"/>
        </w:rPr>
        <w:t>9</w:t>
      </w:r>
      <w:r w:rsidRPr="005E6835">
        <w:rPr>
          <w:rFonts w:cs="Arial"/>
        </w:rPr>
        <w:t xml:space="preserve"> through 201</w:t>
      </w:r>
      <w:r w:rsidR="005D02B8">
        <w:rPr>
          <w:rFonts w:cs="Arial"/>
        </w:rPr>
        <w:t>8</w:t>
      </w:r>
      <w:r w:rsidRPr="005E6835">
        <w:rPr>
          <w:rFonts w:cs="Arial"/>
        </w:rPr>
        <w:t>, based on the assumed 83 percent average statewide occupancy rate from the Department surveys.</w:t>
      </w:r>
    </w:p>
    <w:p w14:paraId="57AEFB43" w14:textId="77777777" w:rsidR="005E6835" w:rsidRPr="005E6835" w:rsidRDefault="005E6835" w:rsidP="005E6835">
      <w:pPr>
        <w:spacing w:before="0" w:after="0"/>
        <w:rPr>
          <w:rFonts w:cs="Arial"/>
          <w:b/>
        </w:rPr>
      </w:pPr>
    </w:p>
    <w:p w14:paraId="3B3C51A5" w14:textId="77777777" w:rsidR="00C97C30" w:rsidRDefault="00C97C30" w:rsidP="005E6835">
      <w:pPr>
        <w:spacing w:before="0" w:after="0"/>
        <w:ind w:left="1210" w:hanging="1210"/>
        <w:rPr>
          <w:rFonts w:cs="Arial"/>
          <w:b/>
        </w:rPr>
      </w:pPr>
    </w:p>
    <w:p w14:paraId="18FF6484" w14:textId="55168FC8" w:rsidR="00C97C30" w:rsidRDefault="00C97C30" w:rsidP="005E6835">
      <w:pPr>
        <w:spacing w:before="0" w:after="0"/>
        <w:ind w:left="1210" w:hanging="1210"/>
        <w:rPr>
          <w:rFonts w:cs="Arial"/>
          <w:b/>
        </w:rPr>
      </w:pPr>
    </w:p>
    <w:p w14:paraId="5D96C365" w14:textId="4EEDE386" w:rsidR="00C97C30" w:rsidRDefault="00C97C30" w:rsidP="005E6835">
      <w:pPr>
        <w:spacing w:before="0" w:after="0"/>
        <w:ind w:left="1210" w:hanging="1210"/>
        <w:rPr>
          <w:rFonts w:cs="Arial"/>
          <w:b/>
        </w:rPr>
      </w:pPr>
    </w:p>
    <w:p w14:paraId="173E69DE" w14:textId="77777777" w:rsidR="00C97C30" w:rsidRDefault="00C97C30" w:rsidP="005E6835">
      <w:pPr>
        <w:spacing w:before="0" w:after="0"/>
        <w:ind w:left="1210" w:hanging="1210"/>
        <w:rPr>
          <w:rFonts w:cs="Arial"/>
          <w:b/>
        </w:rPr>
      </w:pPr>
    </w:p>
    <w:p w14:paraId="799E40BA" w14:textId="77777777" w:rsidR="00C97C30" w:rsidRDefault="00C97C30" w:rsidP="005E6835">
      <w:pPr>
        <w:spacing w:before="0" w:after="0"/>
        <w:ind w:left="1210" w:hanging="1210"/>
        <w:rPr>
          <w:rFonts w:cs="Arial"/>
          <w:b/>
        </w:rPr>
      </w:pPr>
    </w:p>
    <w:p w14:paraId="36C9D3FC" w14:textId="77777777" w:rsidR="00C97C30" w:rsidRDefault="00C97C30" w:rsidP="005E6835">
      <w:pPr>
        <w:spacing w:before="0" w:after="0"/>
        <w:ind w:left="1210" w:hanging="1210"/>
        <w:rPr>
          <w:rFonts w:cs="Arial"/>
          <w:b/>
        </w:rPr>
      </w:pPr>
    </w:p>
    <w:p w14:paraId="01EA15FC" w14:textId="15CB640C" w:rsidR="005E6835" w:rsidRPr="005E6835" w:rsidRDefault="005E6835" w:rsidP="005E6835">
      <w:pPr>
        <w:spacing w:before="0" w:after="0"/>
        <w:ind w:left="1210" w:hanging="1210"/>
        <w:rPr>
          <w:rFonts w:cs="Arial"/>
          <w:b/>
        </w:rPr>
      </w:pPr>
      <w:r w:rsidRPr="005E6835">
        <w:rPr>
          <w:rFonts w:cs="Arial"/>
          <w:b/>
        </w:rPr>
        <w:lastRenderedPageBreak/>
        <w:t>Table 3.3:  Estimated Number of Unfilled Adult Family Home Beds in Washington 200</w:t>
      </w:r>
      <w:r w:rsidR="005B206E">
        <w:rPr>
          <w:rFonts w:cs="Arial"/>
          <w:b/>
        </w:rPr>
        <w:t>9</w:t>
      </w:r>
      <w:r w:rsidRPr="005E6835">
        <w:rPr>
          <w:rFonts w:cs="Arial"/>
          <w:b/>
        </w:rPr>
        <w:t xml:space="preserve"> – 201</w:t>
      </w:r>
      <w:r w:rsidR="005D02B8">
        <w:rPr>
          <w:rFonts w:cs="Arial"/>
          <w:b/>
        </w:rPr>
        <w:t>8</w:t>
      </w:r>
    </w:p>
    <w:p w14:paraId="0C5A0C6A" w14:textId="77777777" w:rsidR="005E6835" w:rsidRPr="005E6835" w:rsidRDefault="005E6835" w:rsidP="005E6835">
      <w:pPr>
        <w:rPr>
          <w:rFonts w:cs="Arial"/>
        </w:rPr>
      </w:pPr>
    </w:p>
    <w:tbl>
      <w:tblPr>
        <w:tblW w:w="5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3960"/>
      </w:tblGrid>
      <w:tr w:rsidR="005E6835" w:rsidRPr="005E6835" w14:paraId="0FE3F0A7" w14:textId="77777777" w:rsidTr="005E6835">
        <w:tc>
          <w:tcPr>
            <w:tcW w:w="1530" w:type="dxa"/>
            <w:vAlign w:val="bottom"/>
          </w:tcPr>
          <w:p w14:paraId="759AE3E5" w14:textId="0A0DED90" w:rsidR="005E6835" w:rsidRPr="005E6835" w:rsidRDefault="00C97C30" w:rsidP="005E6835">
            <w:pPr>
              <w:jc w:val="center"/>
              <w:rPr>
                <w:rFonts w:cs="Arial"/>
                <w:b/>
                <w:sz w:val="18"/>
              </w:rPr>
            </w:pPr>
            <w:r>
              <w:rPr>
                <w:rFonts w:cs="Arial"/>
                <w:b/>
                <w:sz w:val="18"/>
              </w:rPr>
              <w:t xml:space="preserve">State Fiscal </w:t>
            </w:r>
            <w:r w:rsidR="005E6835" w:rsidRPr="005E6835">
              <w:rPr>
                <w:rFonts w:cs="Arial"/>
                <w:b/>
                <w:sz w:val="18"/>
              </w:rPr>
              <w:t>Year</w:t>
            </w:r>
          </w:p>
        </w:tc>
        <w:tc>
          <w:tcPr>
            <w:tcW w:w="3960" w:type="dxa"/>
            <w:vAlign w:val="bottom"/>
          </w:tcPr>
          <w:p w14:paraId="5225D186" w14:textId="77777777" w:rsidR="005E6835" w:rsidRPr="005E6835" w:rsidRDefault="005E6835" w:rsidP="005E6835">
            <w:pPr>
              <w:jc w:val="center"/>
              <w:rPr>
                <w:rFonts w:cs="Arial"/>
                <w:b/>
                <w:sz w:val="18"/>
              </w:rPr>
            </w:pPr>
            <w:r w:rsidRPr="005E6835">
              <w:rPr>
                <w:rFonts w:cs="Arial"/>
                <w:b/>
                <w:sz w:val="18"/>
              </w:rPr>
              <w:t>Estimated Average Number of Unfilled Beds per Day at 83% Occupancy Rate</w:t>
            </w:r>
            <w:r w:rsidRPr="005E6835">
              <w:rPr>
                <w:rStyle w:val="FootnoteReference"/>
                <w:rFonts w:cs="Arial"/>
                <w:b/>
                <w:sz w:val="18"/>
              </w:rPr>
              <w:t xml:space="preserve"> </w:t>
            </w:r>
            <w:r w:rsidRPr="005E6835">
              <w:rPr>
                <w:rStyle w:val="FootnoteReference"/>
                <w:rFonts w:cs="Arial"/>
                <w:b/>
                <w:sz w:val="18"/>
              </w:rPr>
              <w:footnoteReference w:id="6"/>
            </w:r>
          </w:p>
        </w:tc>
      </w:tr>
      <w:tr w:rsidR="005E6835" w:rsidRPr="005E6835" w14:paraId="786713A9" w14:textId="0330A89E" w:rsidTr="005E6835">
        <w:tc>
          <w:tcPr>
            <w:tcW w:w="1530" w:type="dxa"/>
          </w:tcPr>
          <w:p w14:paraId="3EFA4756" w14:textId="6BB332CA" w:rsidR="005E6835" w:rsidRPr="005E6835" w:rsidRDefault="005E6835" w:rsidP="005E6835">
            <w:pPr>
              <w:jc w:val="center"/>
              <w:rPr>
                <w:rFonts w:cs="Arial"/>
                <w:sz w:val="18"/>
              </w:rPr>
            </w:pPr>
            <w:r w:rsidRPr="005E6835">
              <w:rPr>
                <w:rFonts w:cs="Arial"/>
                <w:sz w:val="18"/>
              </w:rPr>
              <w:t>2009</w:t>
            </w:r>
          </w:p>
        </w:tc>
        <w:tc>
          <w:tcPr>
            <w:tcW w:w="3960" w:type="dxa"/>
            <w:vAlign w:val="center"/>
          </w:tcPr>
          <w:p w14:paraId="228F8ED4" w14:textId="0CE9DF85" w:rsidR="005E6835" w:rsidRPr="005E6835" w:rsidRDefault="005E6835" w:rsidP="005E6835">
            <w:pPr>
              <w:jc w:val="center"/>
              <w:rPr>
                <w:rFonts w:cs="Arial"/>
                <w:sz w:val="18"/>
                <w:szCs w:val="18"/>
              </w:rPr>
            </w:pPr>
            <w:r w:rsidRPr="005E6835">
              <w:rPr>
                <w:rFonts w:cs="Arial"/>
                <w:sz w:val="18"/>
              </w:rPr>
              <w:t>2,564</w:t>
            </w:r>
          </w:p>
        </w:tc>
      </w:tr>
      <w:tr w:rsidR="005E6835" w:rsidRPr="005E6835" w14:paraId="70F171EC" w14:textId="77777777" w:rsidTr="005E6835">
        <w:tc>
          <w:tcPr>
            <w:tcW w:w="1530" w:type="dxa"/>
          </w:tcPr>
          <w:p w14:paraId="256A2086" w14:textId="77777777" w:rsidR="005E6835" w:rsidRPr="005E6835" w:rsidRDefault="005E6835" w:rsidP="005E6835">
            <w:pPr>
              <w:jc w:val="center"/>
              <w:rPr>
                <w:rFonts w:cs="Arial"/>
                <w:sz w:val="18"/>
              </w:rPr>
            </w:pPr>
            <w:r w:rsidRPr="005E6835">
              <w:rPr>
                <w:rFonts w:cs="Arial"/>
                <w:sz w:val="18"/>
              </w:rPr>
              <w:t>2010</w:t>
            </w:r>
          </w:p>
        </w:tc>
        <w:tc>
          <w:tcPr>
            <w:tcW w:w="3960" w:type="dxa"/>
            <w:vAlign w:val="center"/>
          </w:tcPr>
          <w:p w14:paraId="736E7E55" w14:textId="77777777" w:rsidR="005E6835" w:rsidRPr="005E6835" w:rsidRDefault="005E6835" w:rsidP="005E6835">
            <w:pPr>
              <w:jc w:val="center"/>
              <w:rPr>
                <w:rFonts w:cs="Arial"/>
                <w:sz w:val="18"/>
                <w:szCs w:val="18"/>
              </w:rPr>
            </w:pPr>
            <w:r w:rsidRPr="005E6835">
              <w:rPr>
                <w:rFonts w:cs="Arial"/>
                <w:sz w:val="18"/>
              </w:rPr>
              <w:t>2,658</w:t>
            </w:r>
          </w:p>
        </w:tc>
      </w:tr>
      <w:tr w:rsidR="005E6835" w:rsidRPr="005E6835" w14:paraId="28E8284E" w14:textId="77777777" w:rsidTr="005E6835">
        <w:tc>
          <w:tcPr>
            <w:tcW w:w="1530" w:type="dxa"/>
          </w:tcPr>
          <w:p w14:paraId="79AC4C10" w14:textId="77777777" w:rsidR="005E6835" w:rsidRPr="005E6835" w:rsidRDefault="005E6835" w:rsidP="005E6835">
            <w:pPr>
              <w:jc w:val="center"/>
              <w:rPr>
                <w:rFonts w:cs="Arial"/>
                <w:sz w:val="18"/>
              </w:rPr>
            </w:pPr>
            <w:r w:rsidRPr="005E6835">
              <w:rPr>
                <w:rFonts w:cs="Arial"/>
                <w:sz w:val="18"/>
              </w:rPr>
              <w:t>2011</w:t>
            </w:r>
          </w:p>
        </w:tc>
        <w:tc>
          <w:tcPr>
            <w:tcW w:w="3960" w:type="dxa"/>
            <w:vAlign w:val="center"/>
          </w:tcPr>
          <w:p w14:paraId="61EF0037" w14:textId="77777777" w:rsidR="005E6835" w:rsidRPr="005E6835" w:rsidRDefault="005E6835" w:rsidP="005E6835">
            <w:pPr>
              <w:jc w:val="center"/>
              <w:rPr>
                <w:rFonts w:cs="Arial"/>
                <w:sz w:val="18"/>
                <w:szCs w:val="18"/>
              </w:rPr>
            </w:pPr>
            <w:r w:rsidRPr="005E6835">
              <w:rPr>
                <w:rFonts w:cs="Arial"/>
                <w:sz w:val="18"/>
              </w:rPr>
              <w:t>2,706</w:t>
            </w:r>
          </w:p>
        </w:tc>
      </w:tr>
      <w:tr w:rsidR="005E6835" w:rsidRPr="005E6835" w14:paraId="44FCAF63" w14:textId="77777777" w:rsidTr="005E6835">
        <w:tc>
          <w:tcPr>
            <w:tcW w:w="1530" w:type="dxa"/>
          </w:tcPr>
          <w:p w14:paraId="6D5F0882" w14:textId="77777777" w:rsidR="005E6835" w:rsidRPr="005E6835" w:rsidRDefault="005E6835" w:rsidP="005E6835">
            <w:pPr>
              <w:jc w:val="center"/>
              <w:rPr>
                <w:rFonts w:cs="Arial"/>
                <w:sz w:val="18"/>
              </w:rPr>
            </w:pPr>
            <w:r w:rsidRPr="005E6835">
              <w:rPr>
                <w:rFonts w:cs="Arial"/>
                <w:sz w:val="18"/>
              </w:rPr>
              <w:t>2012</w:t>
            </w:r>
          </w:p>
        </w:tc>
        <w:tc>
          <w:tcPr>
            <w:tcW w:w="3960" w:type="dxa"/>
            <w:vAlign w:val="center"/>
          </w:tcPr>
          <w:p w14:paraId="71D64AB3" w14:textId="77777777" w:rsidR="005E6835" w:rsidRPr="005E6835" w:rsidRDefault="005E6835" w:rsidP="005E6835">
            <w:pPr>
              <w:jc w:val="center"/>
              <w:rPr>
                <w:rFonts w:cs="Arial"/>
                <w:sz w:val="18"/>
                <w:szCs w:val="18"/>
              </w:rPr>
            </w:pPr>
            <w:r w:rsidRPr="005E6835">
              <w:rPr>
                <w:rFonts w:cs="Arial"/>
                <w:sz w:val="18"/>
              </w:rPr>
              <w:t>2,691</w:t>
            </w:r>
          </w:p>
        </w:tc>
      </w:tr>
      <w:tr w:rsidR="005E6835" w:rsidRPr="005E6835" w14:paraId="2D59D7D4" w14:textId="77777777" w:rsidTr="005E6835">
        <w:tc>
          <w:tcPr>
            <w:tcW w:w="1530" w:type="dxa"/>
          </w:tcPr>
          <w:p w14:paraId="2CE13445" w14:textId="77777777" w:rsidR="005E6835" w:rsidRPr="005E6835" w:rsidRDefault="005E6835" w:rsidP="005E6835">
            <w:pPr>
              <w:jc w:val="center"/>
              <w:rPr>
                <w:rFonts w:cs="Arial"/>
                <w:sz w:val="18"/>
              </w:rPr>
            </w:pPr>
            <w:r w:rsidRPr="005E6835">
              <w:rPr>
                <w:rFonts w:cs="Arial"/>
                <w:sz w:val="18"/>
              </w:rPr>
              <w:t>2013</w:t>
            </w:r>
          </w:p>
        </w:tc>
        <w:tc>
          <w:tcPr>
            <w:tcW w:w="3960" w:type="dxa"/>
            <w:vAlign w:val="center"/>
          </w:tcPr>
          <w:p w14:paraId="569F0399" w14:textId="77777777" w:rsidR="005E6835" w:rsidRPr="005E6835" w:rsidRDefault="005E6835" w:rsidP="005E6835">
            <w:pPr>
              <w:jc w:val="center"/>
              <w:rPr>
                <w:rFonts w:cs="Arial"/>
                <w:sz w:val="18"/>
                <w:szCs w:val="18"/>
              </w:rPr>
            </w:pPr>
            <w:r w:rsidRPr="005E6835">
              <w:rPr>
                <w:rFonts w:cs="Arial"/>
                <w:sz w:val="18"/>
              </w:rPr>
              <w:t>2,651</w:t>
            </w:r>
          </w:p>
        </w:tc>
      </w:tr>
      <w:tr w:rsidR="005E6835" w:rsidRPr="005E6835" w14:paraId="2F7B61DE" w14:textId="77777777" w:rsidTr="005E6835">
        <w:tc>
          <w:tcPr>
            <w:tcW w:w="1530" w:type="dxa"/>
          </w:tcPr>
          <w:p w14:paraId="6AB9B249" w14:textId="77777777" w:rsidR="005E6835" w:rsidRPr="005E6835" w:rsidRDefault="005E6835" w:rsidP="005E6835">
            <w:pPr>
              <w:jc w:val="center"/>
              <w:rPr>
                <w:rFonts w:cs="Arial"/>
                <w:sz w:val="18"/>
              </w:rPr>
            </w:pPr>
            <w:r w:rsidRPr="005E6835">
              <w:rPr>
                <w:rFonts w:cs="Arial"/>
                <w:sz w:val="18"/>
              </w:rPr>
              <w:t>2014</w:t>
            </w:r>
          </w:p>
        </w:tc>
        <w:tc>
          <w:tcPr>
            <w:tcW w:w="3960" w:type="dxa"/>
            <w:vAlign w:val="center"/>
          </w:tcPr>
          <w:p w14:paraId="70F9854A" w14:textId="77777777" w:rsidR="005E6835" w:rsidRPr="005E6835" w:rsidRDefault="005E6835" w:rsidP="005E6835">
            <w:pPr>
              <w:jc w:val="center"/>
              <w:rPr>
                <w:rFonts w:cs="Arial"/>
                <w:sz w:val="18"/>
                <w:szCs w:val="18"/>
              </w:rPr>
            </w:pPr>
            <w:r w:rsidRPr="005E6835">
              <w:rPr>
                <w:rFonts w:cs="Arial"/>
                <w:sz w:val="18"/>
              </w:rPr>
              <w:t>2,586</w:t>
            </w:r>
          </w:p>
        </w:tc>
      </w:tr>
      <w:tr w:rsidR="005E6835" w:rsidRPr="005E6835" w14:paraId="6D4B7333" w14:textId="77777777" w:rsidTr="005E6835">
        <w:tc>
          <w:tcPr>
            <w:tcW w:w="1530" w:type="dxa"/>
          </w:tcPr>
          <w:p w14:paraId="2B665066" w14:textId="77777777" w:rsidR="005E6835" w:rsidRPr="005E6835" w:rsidRDefault="005E6835" w:rsidP="005E6835">
            <w:pPr>
              <w:jc w:val="center"/>
              <w:rPr>
                <w:rFonts w:cs="Arial"/>
                <w:sz w:val="18"/>
              </w:rPr>
            </w:pPr>
            <w:r w:rsidRPr="005E6835">
              <w:rPr>
                <w:rFonts w:cs="Arial"/>
                <w:sz w:val="18"/>
              </w:rPr>
              <w:t>2015</w:t>
            </w:r>
          </w:p>
        </w:tc>
        <w:tc>
          <w:tcPr>
            <w:tcW w:w="3960" w:type="dxa"/>
            <w:vAlign w:val="center"/>
          </w:tcPr>
          <w:p w14:paraId="0F272F3A" w14:textId="77777777" w:rsidR="005E6835" w:rsidRPr="005E6835" w:rsidRDefault="005E6835" w:rsidP="005E6835">
            <w:pPr>
              <w:jc w:val="center"/>
              <w:rPr>
                <w:rFonts w:cs="Arial"/>
                <w:sz w:val="18"/>
                <w:szCs w:val="18"/>
              </w:rPr>
            </w:pPr>
            <w:r w:rsidRPr="005E6835">
              <w:rPr>
                <w:rFonts w:cs="Arial"/>
                <w:sz w:val="18"/>
              </w:rPr>
              <w:t>2,582</w:t>
            </w:r>
          </w:p>
        </w:tc>
      </w:tr>
      <w:tr w:rsidR="005E6835" w:rsidRPr="005E6835" w14:paraId="4725C594" w14:textId="77777777" w:rsidTr="005E6835">
        <w:tc>
          <w:tcPr>
            <w:tcW w:w="1530" w:type="dxa"/>
          </w:tcPr>
          <w:p w14:paraId="028F4F09" w14:textId="77777777" w:rsidR="005E6835" w:rsidRPr="005E6835" w:rsidRDefault="005E6835" w:rsidP="005E6835">
            <w:pPr>
              <w:jc w:val="center"/>
              <w:rPr>
                <w:rFonts w:cs="Arial"/>
                <w:sz w:val="18"/>
              </w:rPr>
            </w:pPr>
            <w:r w:rsidRPr="005E6835">
              <w:rPr>
                <w:rFonts w:cs="Arial"/>
                <w:sz w:val="18"/>
              </w:rPr>
              <w:t>2016</w:t>
            </w:r>
          </w:p>
        </w:tc>
        <w:tc>
          <w:tcPr>
            <w:tcW w:w="3960" w:type="dxa"/>
            <w:vAlign w:val="center"/>
          </w:tcPr>
          <w:p w14:paraId="4ED7C823" w14:textId="77777777" w:rsidR="005E6835" w:rsidRPr="005E6835" w:rsidRDefault="005E6835" w:rsidP="005E6835">
            <w:pPr>
              <w:jc w:val="center"/>
              <w:rPr>
                <w:rFonts w:cs="Arial"/>
                <w:sz w:val="18"/>
                <w:szCs w:val="18"/>
              </w:rPr>
            </w:pPr>
            <w:r w:rsidRPr="005E6835">
              <w:rPr>
                <w:rFonts w:cs="Arial"/>
                <w:sz w:val="18"/>
              </w:rPr>
              <w:t>2,604</w:t>
            </w:r>
          </w:p>
        </w:tc>
      </w:tr>
      <w:tr w:rsidR="005D02B8" w:rsidRPr="005E6835" w14:paraId="41CE0102" w14:textId="77777777" w:rsidTr="005E6835">
        <w:tc>
          <w:tcPr>
            <w:tcW w:w="1530" w:type="dxa"/>
          </w:tcPr>
          <w:p w14:paraId="7FDE3E60" w14:textId="17BEE7FB" w:rsidR="005D02B8" w:rsidRPr="005E6835" w:rsidRDefault="00D3385E" w:rsidP="005E6835">
            <w:pPr>
              <w:jc w:val="center"/>
              <w:rPr>
                <w:rFonts w:cs="Arial"/>
                <w:sz w:val="18"/>
              </w:rPr>
            </w:pPr>
            <w:r>
              <w:rPr>
                <w:rFonts w:cs="Arial"/>
                <w:sz w:val="18"/>
              </w:rPr>
              <w:t>2017</w:t>
            </w:r>
          </w:p>
        </w:tc>
        <w:tc>
          <w:tcPr>
            <w:tcW w:w="3960" w:type="dxa"/>
            <w:vAlign w:val="center"/>
          </w:tcPr>
          <w:p w14:paraId="0C0BF54B" w14:textId="0C80A194" w:rsidR="005D02B8" w:rsidRPr="005E6835" w:rsidRDefault="005B206E" w:rsidP="005E6835">
            <w:pPr>
              <w:jc w:val="center"/>
              <w:rPr>
                <w:rFonts w:cs="Arial"/>
                <w:sz w:val="18"/>
              </w:rPr>
            </w:pPr>
            <w:r>
              <w:rPr>
                <w:rFonts w:cs="Arial"/>
                <w:sz w:val="18"/>
              </w:rPr>
              <w:t>2,703</w:t>
            </w:r>
          </w:p>
        </w:tc>
      </w:tr>
      <w:tr w:rsidR="005D02B8" w:rsidRPr="005E6835" w14:paraId="2EC25A1E" w14:textId="77777777" w:rsidTr="005E6835">
        <w:tc>
          <w:tcPr>
            <w:tcW w:w="1530" w:type="dxa"/>
          </w:tcPr>
          <w:p w14:paraId="51F566FE" w14:textId="5AF07288" w:rsidR="005D02B8" w:rsidRPr="005E6835" w:rsidRDefault="00D3385E" w:rsidP="005E6835">
            <w:pPr>
              <w:jc w:val="center"/>
              <w:rPr>
                <w:rFonts w:cs="Arial"/>
                <w:sz w:val="18"/>
              </w:rPr>
            </w:pPr>
            <w:r>
              <w:rPr>
                <w:rFonts w:cs="Arial"/>
                <w:sz w:val="18"/>
              </w:rPr>
              <w:t>2018</w:t>
            </w:r>
          </w:p>
        </w:tc>
        <w:tc>
          <w:tcPr>
            <w:tcW w:w="3960" w:type="dxa"/>
            <w:vAlign w:val="center"/>
          </w:tcPr>
          <w:p w14:paraId="4E7D0F57" w14:textId="13CC0DDE" w:rsidR="005D02B8" w:rsidRPr="005E6835" w:rsidRDefault="005B206E" w:rsidP="005E6835">
            <w:pPr>
              <w:jc w:val="center"/>
              <w:rPr>
                <w:rFonts w:cs="Arial"/>
                <w:sz w:val="18"/>
              </w:rPr>
            </w:pPr>
            <w:r>
              <w:rPr>
                <w:rFonts w:cs="Arial"/>
                <w:sz w:val="18"/>
              </w:rPr>
              <w:t>2,739</w:t>
            </w:r>
          </w:p>
        </w:tc>
      </w:tr>
    </w:tbl>
    <w:p w14:paraId="0F198799" w14:textId="77777777" w:rsidR="005E6835" w:rsidRPr="005E6835" w:rsidRDefault="005E6835" w:rsidP="00C97C30">
      <w:pPr>
        <w:spacing w:before="0" w:after="0"/>
        <w:jc w:val="center"/>
        <w:rPr>
          <w:rFonts w:cs="Arial"/>
          <w:sz w:val="18"/>
        </w:rPr>
      </w:pPr>
    </w:p>
    <w:p w14:paraId="44886097" w14:textId="77777777" w:rsidR="00C97C30" w:rsidRDefault="00C97C30" w:rsidP="00C97C30">
      <w:pPr>
        <w:spacing w:before="0" w:after="0"/>
        <w:rPr>
          <w:rFonts w:cs="Arial"/>
          <w:sz w:val="18"/>
          <w:szCs w:val="18"/>
        </w:rPr>
      </w:pPr>
    </w:p>
    <w:p w14:paraId="6173C156" w14:textId="41ADD31A" w:rsidR="005E6835" w:rsidRPr="005E6835" w:rsidRDefault="005E6835" w:rsidP="00C97C30">
      <w:pPr>
        <w:spacing w:before="0" w:after="0"/>
        <w:rPr>
          <w:rFonts w:cs="Arial"/>
          <w:sz w:val="18"/>
          <w:szCs w:val="18"/>
        </w:rPr>
      </w:pPr>
      <w:r w:rsidRPr="005E6835">
        <w:rPr>
          <w:rFonts w:cs="Arial"/>
          <w:sz w:val="18"/>
          <w:szCs w:val="18"/>
        </w:rPr>
        <w:t xml:space="preserve">Source:  </w:t>
      </w:r>
    </w:p>
    <w:p w14:paraId="30CCE865" w14:textId="77777777" w:rsidR="005E6835" w:rsidRPr="005E6835" w:rsidRDefault="005E6835" w:rsidP="00C97C30">
      <w:pPr>
        <w:spacing w:before="0" w:after="0"/>
        <w:rPr>
          <w:rFonts w:cs="Arial"/>
          <w:sz w:val="18"/>
          <w:szCs w:val="18"/>
        </w:rPr>
      </w:pPr>
      <w:r w:rsidRPr="005E6835">
        <w:rPr>
          <w:rFonts w:cs="Arial"/>
          <w:sz w:val="18"/>
          <w:szCs w:val="18"/>
        </w:rPr>
        <w:t>Estimated Number of Unfilled Bed Days and Estimated Average Number of Unfilled Beds per Day were calculated using data provided by the Department.</w:t>
      </w:r>
    </w:p>
    <w:p w14:paraId="0704645E" w14:textId="77777777" w:rsidR="008E6DF8" w:rsidRDefault="008E6DF8" w:rsidP="008960D1">
      <w:pPr>
        <w:spacing w:before="0" w:after="0"/>
        <w:rPr>
          <w:rFonts w:cs="Arial"/>
        </w:rPr>
      </w:pPr>
    </w:p>
    <w:p w14:paraId="69096588" w14:textId="44CE9A84" w:rsidR="008960D1" w:rsidRPr="00DE25DD" w:rsidRDefault="005E6835" w:rsidP="008960D1">
      <w:pPr>
        <w:spacing w:before="0" w:after="0"/>
        <w:rPr>
          <w:rFonts w:cs="Arial"/>
        </w:rPr>
      </w:pPr>
      <w:r w:rsidRPr="005E6835">
        <w:rPr>
          <w:rFonts w:cs="Arial"/>
        </w:rPr>
        <w:t>This table shows that, based on the assumed occupancy rate of 83 percent, that there is available Adult Family Home capacity in Washington State.</w:t>
      </w:r>
      <w:r w:rsidR="008960D1">
        <w:rPr>
          <w:rFonts w:cs="Arial"/>
        </w:rPr>
        <w:t xml:space="preserve">  It should be noted that </w:t>
      </w:r>
      <w:r w:rsidR="00C85684">
        <w:rPr>
          <w:rFonts w:cs="Arial"/>
        </w:rPr>
        <w:t>this</w:t>
      </w:r>
      <w:r w:rsidR="008960D1">
        <w:rPr>
          <w:rFonts w:cs="Arial"/>
        </w:rPr>
        <w:t xml:space="preserve"> occupancy rate estimate is based on surveys </w:t>
      </w:r>
      <w:r w:rsidR="00C85684">
        <w:rPr>
          <w:rFonts w:cs="Arial"/>
        </w:rPr>
        <w:t>completed in 2000 and 2007</w:t>
      </w:r>
      <w:r w:rsidR="008960D1">
        <w:rPr>
          <w:rFonts w:cs="Arial"/>
        </w:rPr>
        <w:t xml:space="preserve">.  </w:t>
      </w:r>
      <w:r w:rsidR="00C85684">
        <w:rPr>
          <w:rFonts w:cs="Arial"/>
        </w:rPr>
        <w:t>It is</w:t>
      </w:r>
      <w:r w:rsidR="008960D1">
        <w:rPr>
          <w:rFonts w:cs="Arial"/>
        </w:rPr>
        <w:t xml:space="preserve"> possible that the overall occupancy rate for Adult Family Homes has changed </w:t>
      </w:r>
      <w:r w:rsidR="00C85684">
        <w:rPr>
          <w:rFonts w:cs="Arial"/>
        </w:rPr>
        <w:t>since these surveys were completed</w:t>
      </w:r>
      <w:r w:rsidR="008960D1">
        <w:rPr>
          <w:rFonts w:cs="Arial"/>
        </w:rPr>
        <w:t>.  If the current actual oc</w:t>
      </w:r>
      <w:r w:rsidR="008E6DF8">
        <w:rPr>
          <w:rFonts w:cs="Arial"/>
        </w:rPr>
        <w:t>cupancy rate is higher than 83</w:t>
      </w:r>
      <w:r w:rsidR="008960D1">
        <w:rPr>
          <w:rFonts w:cs="Arial"/>
        </w:rPr>
        <w:t xml:space="preserve"> percent, there would be fewer available beds than the number reflected in the table above.  At the time this report was completed, however, the occupancy rate based on the two surveys conducted was the most recently available estimate of occupancy rates for Adult Family Homes.  </w:t>
      </w:r>
    </w:p>
    <w:p w14:paraId="48E1497B" w14:textId="0825B9E7" w:rsidR="005E6835" w:rsidRPr="005E6835" w:rsidRDefault="005E6835" w:rsidP="005E6835">
      <w:pPr>
        <w:spacing w:before="0" w:after="0"/>
        <w:rPr>
          <w:rFonts w:cs="Arial"/>
        </w:rPr>
      </w:pPr>
    </w:p>
    <w:p w14:paraId="14671D0D" w14:textId="77777777" w:rsidR="005E6835" w:rsidRPr="005E6835" w:rsidRDefault="005E6835" w:rsidP="005E6835">
      <w:pPr>
        <w:spacing w:before="0" w:after="0"/>
        <w:rPr>
          <w:rFonts w:cs="Arial"/>
          <w:b/>
          <w:sz w:val="20"/>
        </w:rPr>
      </w:pPr>
    </w:p>
    <w:p w14:paraId="52D2471A" w14:textId="633E7D8A" w:rsidR="005E6835" w:rsidRPr="005E6835" w:rsidRDefault="005E6835" w:rsidP="005E6835">
      <w:pPr>
        <w:spacing w:before="0" w:after="0"/>
        <w:rPr>
          <w:rFonts w:cs="Arial"/>
          <w:b/>
        </w:rPr>
      </w:pPr>
      <w:r w:rsidRPr="005E6835">
        <w:rPr>
          <w:rFonts w:cs="Arial"/>
          <w:b/>
        </w:rPr>
        <w:t xml:space="preserve">Washington Adult Family Home Capacity by County, For </w:t>
      </w:r>
      <w:r w:rsidR="0039488C">
        <w:rPr>
          <w:rFonts w:cs="Arial"/>
          <w:b/>
        </w:rPr>
        <w:t xml:space="preserve">SFY </w:t>
      </w:r>
      <w:r w:rsidRPr="005E6835">
        <w:rPr>
          <w:rFonts w:cs="Arial"/>
          <w:b/>
        </w:rPr>
        <w:t>201</w:t>
      </w:r>
      <w:r w:rsidR="003B5AC4">
        <w:rPr>
          <w:rFonts w:cs="Arial"/>
          <w:b/>
        </w:rPr>
        <w:t>8</w:t>
      </w:r>
    </w:p>
    <w:p w14:paraId="67FE7FF1" w14:textId="77777777" w:rsidR="005E6835" w:rsidRPr="005E6835" w:rsidRDefault="005E6835" w:rsidP="005E6835">
      <w:pPr>
        <w:spacing w:before="0" w:after="0"/>
        <w:rPr>
          <w:rFonts w:cs="Arial"/>
        </w:rPr>
      </w:pPr>
    </w:p>
    <w:p w14:paraId="297F360A" w14:textId="77777777" w:rsidR="005E6835" w:rsidRDefault="005E6835" w:rsidP="005E6835">
      <w:pPr>
        <w:spacing w:before="0" w:after="0"/>
        <w:rPr>
          <w:rFonts w:cs="Arial"/>
        </w:rPr>
      </w:pPr>
      <w:r w:rsidRPr="005E6835">
        <w:rPr>
          <w:rFonts w:cs="Arial"/>
        </w:rPr>
        <w:t>To assess whether Washington residents in all areas of the state have access to Adult Family Home services, we analyzed the distribution of Adult Family Home beds at the county level.</w:t>
      </w:r>
    </w:p>
    <w:p w14:paraId="55FE8674" w14:textId="77777777" w:rsidR="005E6835" w:rsidRPr="005E6835" w:rsidRDefault="005E6835" w:rsidP="005E6835">
      <w:pPr>
        <w:spacing w:before="0" w:after="0"/>
        <w:rPr>
          <w:rFonts w:cs="Arial"/>
        </w:rPr>
      </w:pPr>
    </w:p>
    <w:p w14:paraId="1048F048" w14:textId="4B36424E" w:rsidR="005E6835" w:rsidRPr="005E6835" w:rsidRDefault="005E6835" w:rsidP="005E6835">
      <w:pPr>
        <w:spacing w:before="0" w:after="0"/>
        <w:rPr>
          <w:rFonts w:cs="Arial"/>
        </w:rPr>
      </w:pPr>
      <w:r w:rsidRPr="005E6835">
        <w:rPr>
          <w:rFonts w:cs="Arial"/>
        </w:rPr>
        <w:t xml:space="preserve">As of </w:t>
      </w:r>
      <w:r w:rsidR="006F4F84">
        <w:rPr>
          <w:rFonts w:cs="Arial"/>
        </w:rPr>
        <w:t>September</w:t>
      </w:r>
      <w:r w:rsidRPr="005E6835">
        <w:rPr>
          <w:rFonts w:cs="Arial"/>
        </w:rPr>
        <w:t xml:space="preserve"> 201</w:t>
      </w:r>
      <w:r w:rsidR="00C42A05">
        <w:rPr>
          <w:rFonts w:cs="Arial"/>
        </w:rPr>
        <w:t>7</w:t>
      </w:r>
      <w:r w:rsidRPr="005E6835">
        <w:rPr>
          <w:rFonts w:cs="Arial"/>
        </w:rPr>
        <w:t xml:space="preserve">, the number of Adult Family Homes per county ranged from zero in </w:t>
      </w:r>
      <w:r w:rsidRPr="00E5143B">
        <w:rPr>
          <w:rFonts w:cs="Arial"/>
        </w:rPr>
        <w:t>four</w:t>
      </w:r>
      <w:r w:rsidRPr="005E6835">
        <w:rPr>
          <w:rFonts w:cs="Arial"/>
        </w:rPr>
        <w:t xml:space="preserve"> counties to </w:t>
      </w:r>
      <w:r w:rsidRPr="00E5143B">
        <w:rPr>
          <w:rFonts w:cs="Arial"/>
        </w:rPr>
        <w:t>1,0</w:t>
      </w:r>
      <w:r w:rsidR="004F23B0">
        <w:rPr>
          <w:rFonts w:cs="Arial"/>
        </w:rPr>
        <w:t>36</w:t>
      </w:r>
      <w:r w:rsidRPr="005E6835">
        <w:rPr>
          <w:rFonts w:cs="Arial"/>
        </w:rPr>
        <w:t xml:space="preserve"> in King County.  Exhibit 3.1 shows that the number of licensed beds per county, for counties with at least one Adult Family Home, ranged from </w:t>
      </w:r>
      <w:r w:rsidRPr="00E5143B">
        <w:rPr>
          <w:rFonts w:cs="Arial"/>
        </w:rPr>
        <w:t>4 to 5,</w:t>
      </w:r>
      <w:r w:rsidR="004F23B0">
        <w:rPr>
          <w:rFonts w:cs="Arial"/>
        </w:rPr>
        <w:t>840</w:t>
      </w:r>
      <w:r w:rsidRPr="005E6835">
        <w:rPr>
          <w:rFonts w:cs="Arial"/>
        </w:rPr>
        <w:t>.  As expected, the most urban and populous counties of King, Pierce, Snohomish</w:t>
      </w:r>
      <w:r w:rsidR="0039488C">
        <w:rPr>
          <w:rFonts w:cs="Arial"/>
        </w:rPr>
        <w:t>,</w:t>
      </w:r>
      <w:r w:rsidRPr="005E6835">
        <w:rPr>
          <w:rFonts w:cs="Arial"/>
        </w:rPr>
        <w:t xml:space="preserve"> Spokane</w:t>
      </w:r>
      <w:r w:rsidR="0039488C">
        <w:rPr>
          <w:rFonts w:cs="Arial"/>
        </w:rPr>
        <w:t>, and Clark</w:t>
      </w:r>
      <w:r w:rsidRPr="005E6835">
        <w:rPr>
          <w:rFonts w:cs="Arial"/>
        </w:rPr>
        <w:t xml:space="preserve"> have the most Adult Family Home beds.  Currently</w:t>
      </w:r>
      <w:r w:rsidRPr="00E5143B">
        <w:rPr>
          <w:rFonts w:cs="Arial"/>
        </w:rPr>
        <w:t>, Columbia, Garfield, Jefferson and Wahkiakum</w:t>
      </w:r>
      <w:r w:rsidRPr="005E6835">
        <w:rPr>
          <w:rFonts w:cs="Arial"/>
        </w:rPr>
        <w:t xml:space="preserve"> Counties do not have Adult Family Homes. </w:t>
      </w:r>
    </w:p>
    <w:p w14:paraId="2065FBD7" w14:textId="388842FB" w:rsidR="005E6835" w:rsidRPr="005E6835" w:rsidRDefault="005E6835" w:rsidP="005E6835">
      <w:pPr>
        <w:rPr>
          <w:rFonts w:cs="Arial"/>
        </w:rPr>
        <w:sectPr w:rsidR="005E6835" w:rsidRPr="005E6835" w:rsidSect="005E6835">
          <w:headerReference w:type="default" r:id="rId14"/>
          <w:footerReference w:type="default" r:id="rId15"/>
          <w:pgSz w:w="11907" w:h="16839" w:code="9"/>
          <w:pgMar w:top="1440" w:right="1440" w:bottom="1440" w:left="1440" w:header="720" w:footer="720" w:gutter="0"/>
          <w:cols w:space="720"/>
          <w:docGrid w:linePitch="360"/>
        </w:sectPr>
      </w:pPr>
    </w:p>
    <w:p w14:paraId="3D20F9FE" w14:textId="08D7D577" w:rsidR="005E6835" w:rsidRDefault="004801FF" w:rsidP="006F4F84">
      <w:pPr>
        <w:jc w:val="center"/>
        <w:rPr>
          <w:rFonts w:cs="Arial"/>
        </w:rPr>
        <w:sectPr w:rsidR="005E6835" w:rsidSect="005E6835">
          <w:pgSz w:w="16839" w:h="11907" w:orient="landscape" w:code="9"/>
          <w:pgMar w:top="1440" w:right="1440" w:bottom="1440" w:left="1440" w:header="720" w:footer="720" w:gutter="0"/>
          <w:cols w:space="720"/>
          <w:docGrid w:linePitch="360"/>
        </w:sectPr>
      </w:pPr>
      <w:r>
        <w:rPr>
          <w:rFonts w:cs="Arial"/>
          <w:noProof/>
        </w:rPr>
        <w:lastRenderedPageBreak/>
        <w:drawing>
          <wp:inline distT="0" distB="0" distL="0" distR="0" wp14:anchorId="0DFB7BF5" wp14:editId="2A5E94E9">
            <wp:extent cx="7823200" cy="5867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hibit 3.1 - 2017.jpg"/>
                    <pic:cNvPicPr/>
                  </pic:nvPicPr>
                  <pic:blipFill>
                    <a:blip r:embed="rId16">
                      <a:extLst>
                        <a:ext uri="{28A0092B-C50C-407E-A947-70E740481C1C}">
                          <a14:useLocalDpi xmlns:a14="http://schemas.microsoft.com/office/drawing/2010/main" val="0"/>
                        </a:ext>
                      </a:extLst>
                    </a:blip>
                    <a:stretch>
                      <a:fillRect/>
                    </a:stretch>
                  </pic:blipFill>
                  <pic:spPr>
                    <a:xfrm>
                      <a:off x="0" y="0"/>
                      <a:ext cx="7823200" cy="5867400"/>
                    </a:xfrm>
                    <a:prstGeom prst="rect">
                      <a:avLst/>
                    </a:prstGeom>
                  </pic:spPr>
                </pic:pic>
              </a:graphicData>
            </a:graphic>
          </wp:inline>
        </w:drawing>
      </w:r>
    </w:p>
    <w:p w14:paraId="05FEF17E" w14:textId="77777777" w:rsidR="005E6835" w:rsidRPr="00A84DDF" w:rsidRDefault="005E6835" w:rsidP="00A84DDF">
      <w:pPr>
        <w:spacing w:before="0" w:after="0"/>
        <w:rPr>
          <w:rFonts w:cs="Arial"/>
          <w:b/>
        </w:rPr>
      </w:pPr>
      <w:r w:rsidRPr="00A84DDF">
        <w:rPr>
          <w:rFonts w:cs="Arial"/>
          <w:b/>
        </w:rPr>
        <w:lastRenderedPageBreak/>
        <w:t>Capacity of Medicaid-contracted Adult Family Homes</w:t>
      </w:r>
    </w:p>
    <w:p w14:paraId="20832673" w14:textId="77777777" w:rsidR="005E6835" w:rsidRPr="00A84DDF" w:rsidRDefault="005E6835" w:rsidP="00A84DDF">
      <w:pPr>
        <w:spacing w:before="0" w:after="0"/>
        <w:rPr>
          <w:rFonts w:cs="Arial"/>
        </w:rPr>
      </w:pPr>
    </w:p>
    <w:p w14:paraId="6266BBAE" w14:textId="55845C02" w:rsidR="005E6835" w:rsidRDefault="005E6835" w:rsidP="00A84DDF">
      <w:pPr>
        <w:spacing w:before="0" w:after="0"/>
        <w:rPr>
          <w:rFonts w:cs="Arial"/>
        </w:rPr>
      </w:pPr>
      <w:r w:rsidRPr="00A84DDF">
        <w:rPr>
          <w:rFonts w:cs="Arial"/>
        </w:rPr>
        <w:t xml:space="preserve">As discussed previously, not all Adult Family Homes are contracted with the Department to provide Medicaid services. </w:t>
      </w:r>
      <w:r w:rsidR="00ED3263">
        <w:rPr>
          <w:rFonts w:cs="Arial"/>
        </w:rPr>
        <w:t xml:space="preserve"> </w:t>
      </w:r>
      <w:r w:rsidRPr="00A84DDF">
        <w:rPr>
          <w:rFonts w:cs="Arial"/>
        </w:rPr>
        <w:t>Table 3.4 shows the change in the number of Medicaid-contracted Adult Family Homes in Washington between 200</w:t>
      </w:r>
      <w:r w:rsidR="005B206E">
        <w:rPr>
          <w:rFonts w:cs="Arial"/>
        </w:rPr>
        <w:t>9</w:t>
      </w:r>
      <w:r w:rsidRPr="00A84DDF">
        <w:rPr>
          <w:rFonts w:cs="Arial"/>
        </w:rPr>
        <w:t xml:space="preserve"> and 201</w:t>
      </w:r>
      <w:r w:rsidR="00C42A05">
        <w:rPr>
          <w:rFonts w:cs="Arial"/>
        </w:rPr>
        <w:t>8</w:t>
      </w:r>
      <w:r w:rsidRPr="00A84DDF">
        <w:rPr>
          <w:rFonts w:cs="Arial"/>
        </w:rPr>
        <w:t xml:space="preserve"> based on data provided to us by the Department, and the number of licensed beds in those Medicaid-contracted Adult Family Homes.</w:t>
      </w:r>
    </w:p>
    <w:p w14:paraId="10E58637" w14:textId="77777777" w:rsidR="00A84DDF" w:rsidRPr="00A84DDF" w:rsidRDefault="00A84DDF" w:rsidP="00A84DDF">
      <w:pPr>
        <w:spacing w:before="0" w:after="0"/>
        <w:rPr>
          <w:rFonts w:cs="Arial"/>
        </w:rPr>
      </w:pPr>
    </w:p>
    <w:p w14:paraId="1A3ADB01" w14:textId="0994F873" w:rsidR="005E6835" w:rsidRPr="00A84DDF" w:rsidRDefault="005E6835" w:rsidP="00A84DDF">
      <w:pPr>
        <w:tabs>
          <w:tab w:val="left" w:pos="0"/>
        </w:tabs>
        <w:spacing w:before="0" w:after="0"/>
        <w:rPr>
          <w:rFonts w:cs="Arial"/>
          <w:b/>
        </w:rPr>
      </w:pPr>
      <w:r w:rsidRPr="00A84DDF">
        <w:rPr>
          <w:rFonts w:cs="Arial"/>
          <w:b/>
        </w:rPr>
        <w:t>Table 3.4:  Medicaid-contracted Adult Family Home Capacity in Washington 200</w:t>
      </w:r>
      <w:r w:rsidR="005B206E">
        <w:rPr>
          <w:rFonts w:cs="Arial"/>
          <w:b/>
        </w:rPr>
        <w:t>9</w:t>
      </w:r>
      <w:r w:rsidRPr="00A84DDF">
        <w:rPr>
          <w:rFonts w:cs="Arial"/>
          <w:b/>
        </w:rPr>
        <w:t xml:space="preserve"> – 201</w:t>
      </w:r>
      <w:r w:rsidR="00C42A05">
        <w:rPr>
          <w:rFonts w:cs="Arial"/>
          <w:b/>
        </w:rPr>
        <w:t>8</w:t>
      </w:r>
    </w:p>
    <w:p w14:paraId="5EF07234" w14:textId="77777777" w:rsidR="005E6835" w:rsidRPr="00A84DDF" w:rsidRDefault="005E6835" w:rsidP="005E6835">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430"/>
        <w:gridCol w:w="2700"/>
      </w:tblGrid>
      <w:tr w:rsidR="005E6835" w:rsidRPr="00A84DDF" w14:paraId="47B19059" w14:textId="77777777" w:rsidTr="005E6835">
        <w:trPr>
          <w:cantSplit/>
        </w:trPr>
        <w:tc>
          <w:tcPr>
            <w:tcW w:w="1170" w:type="dxa"/>
            <w:vAlign w:val="bottom"/>
          </w:tcPr>
          <w:p w14:paraId="495A219D" w14:textId="77777777" w:rsidR="005E6835" w:rsidRPr="00A84DDF" w:rsidRDefault="005E6835" w:rsidP="005E6835">
            <w:pPr>
              <w:jc w:val="center"/>
              <w:rPr>
                <w:rFonts w:cs="Arial"/>
                <w:b/>
                <w:sz w:val="20"/>
              </w:rPr>
            </w:pPr>
            <w:r w:rsidRPr="00A84DDF">
              <w:rPr>
                <w:rFonts w:cs="Arial"/>
                <w:b/>
                <w:sz w:val="20"/>
              </w:rPr>
              <w:t xml:space="preserve">State </w:t>
            </w:r>
            <w:proofErr w:type="gramStart"/>
            <w:r w:rsidRPr="00A84DDF">
              <w:rPr>
                <w:rFonts w:cs="Arial"/>
                <w:b/>
                <w:sz w:val="20"/>
              </w:rPr>
              <w:t>Fiscal  Year</w:t>
            </w:r>
            <w:proofErr w:type="gramEnd"/>
          </w:p>
        </w:tc>
        <w:tc>
          <w:tcPr>
            <w:tcW w:w="2430" w:type="dxa"/>
            <w:vAlign w:val="bottom"/>
          </w:tcPr>
          <w:p w14:paraId="21C84D04" w14:textId="77777777" w:rsidR="005E6835" w:rsidRPr="00A84DDF" w:rsidRDefault="005E6835" w:rsidP="005E6835">
            <w:pPr>
              <w:jc w:val="center"/>
              <w:rPr>
                <w:rFonts w:cs="Arial"/>
                <w:b/>
                <w:sz w:val="20"/>
              </w:rPr>
            </w:pPr>
            <w:r w:rsidRPr="00A84DDF">
              <w:rPr>
                <w:rFonts w:cs="Arial"/>
                <w:b/>
                <w:sz w:val="20"/>
              </w:rPr>
              <w:t>Number of Medicaid-Contracted Facilities</w:t>
            </w:r>
          </w:p>
        </w:tc>
        <w:tc>
          <w:tcPr>
            <w:tcW w:w="2700" w:type="dxa"/>
            <w:vAlign w:val="bottom"/>
          </w:tcPr>
          <w:p w14:paraId="1C3F6926" w14:textId="77777777" w:rsidR="005E6835" w:rsidRPr="00A84DDF" w:rsidRDefault="005E6835" w:rsidP="005E6835">
            <w:pPr>
              <w:jc w:val="center"/>
              <w:rPr>
                <w:rFonts w:cs="Arial"/>
                <w:b/>
                <w:sz w:val="20"/>
              </w:rPr>
            </w:pPr>
            <w:r w:rsidRPr="00A84DDF">
              <w:rPr>
                <w:rFonts w:cs="Arial"/>
                <w:b/>
                <w:sz w:val="20"/>
              </w:rPr>
              <w:t>Number of Licensed Beds in Medicaid-contracted Facilities</w:t>
            </w:r>
          </w:p>
        </w:tc>
      </w:tr>
      <w:tr w:rsidR="005E6835" w:rsidRPr="00A84DDF" w14:paraId="44AE779D" w14:textId="16FE54B9" w:rsidTr="005E6835">
        <w:trPr>
          <w:cantSplit/>
        </w:trPr>
        <w:tc>
          <w:tcPr>
            <w:tcW w:w="1170" w:type="dxa"/>
          </w:tcPr>
          <w:p w14:paraId="4F037D61" w14:textId="2670CACE" w:rsidR="005E6835" w:rsidRPr="00A84DDF" w:rsidRDefault="005E6835" w:rsidP="005E6835">
            <w:pPr>
              <w:jc w:val="center"/>
              <w:rPr>
                <w:rFonts w:cs="Arial"/>
                <w:sz w:val="20"/>
              </w:rPr>
            </w:pPr>
            <w:r w:rsidRPr="00A84DDF">
              <w:rPr>
                <w:rFonts w:cs="Arial"/>
                <w:sz w:val="20"/>
              </w:rPr>
              <w:t>2009</w:t>
            </w:r>
          </w:p>
        </w:tc>
        <w:tc>
          <w:tcPr>
            <w:tcW w:w="2430" w:type="dxa"/>
            <w:vAlign w:val="center"/>
          </w:tcPr>
          <w:p w14:paraId="53EDD238" w14:textId="20CCD33D" w:rsidR="005E6835" w:rsidRPr="00A84DDF" w:rsidRDefault="005E6835" w:rsidP="005E6835">
            <w:pPr>
              <w:jc w:val="center"/>
              <w:rPr>
                <w:rFonts w:cs="Arial"/>
                <w:sz w:val="20"/>
                <w:szCs w:val="18"/>
              </w:rPr>
            </w:pPr>
            <w:r w:rsidRPr="00A84DDF">
              <w:rPr>
                <w:rFonts w:cs="Arial"/>
                <w:sz w:val="20"/>
                <w:szCs w:val="18"/>
              </w:rPr>
              <w:t>2,352</w:t>
            </w:r>
          </w:p>
        </w:tc>
        <w:tc>
          <w:tcPr>
            <w:tcW w:w="2700" w:type="dxa"/>
            <w:vAlign w:val="center"/>
          </w:tcPr>
          <w:p w14:paraId="65A6A255" w14:textId="6CD08800" w:rsidR="005E6835" w:rsidRPr="00A84DDF" w:rsidRDefault="005E6835" w:rsidP="005E6835">
            <w:pPr>
              <w:jc w:val="center"/>
              <w:rPr>
                <w:rFonts w:cs="Arial"/>
                <w:sz w:val="20"/>
                <w:szCs w:val="18"/>
              </w:rPr>
            </w:pPr>
            <w:r w:rsidRPr="00A84DDF">
              <w:rPr>
                <w:rFonts w:cs="Arial"/>
                <w:sz w:val="20"/>
                <w:szCs w:val="18"/>
              </w:rPr>
              <w:t>13,031</w:t>
            </w:r>
          </w:p>
        </w:tc>
      </w:tr>
      <w:tr w:rsidR="005E6835" w:rsidRPr="00A84DDF" w14:paraId="76E8A2BB" w14:textId="77777777" w:rsidTr="005E6835">
        <w:trPr>
          <w:cantSplit/>
        </w:trPr>
        <w:tc>
          <w:tcPr>
            <w:tcW w:w="1170" w:type="dxa"/>
          </w:tcPr>
          <w:p w14:paraId="742F889D" w14:textId="77777777" w:rsidR="005E6835" w:rsidRPr="00A84DDF" w:rsidRDefault="005E6835" w:rsidP="005E6835">
            <w:pPr>
              <w:jc w:val="center"/>
              <w:rPr>
                <w:rFonts w:cs="Arial"/>
                <w:sz w:val="20"/>
              </w:rPr>
            </w:pPr>
            <w:r w:rsidRPr="00A84DDF">
              <w:rPr>
                <w:rFonts w:cs="Arial"/>
                <w:sz w:val="20"/>
              </w:rPr>
              <w:t>2010</w:t>
            </w:r>
          </w:p>
        </w:tc>
        <w:tc>
          <w:tcPr>
            <w:tcW w:w="2430" w:type="dxa"/>
            <w:vAlign w:val="center"/>
          </w:tcPr>
          <w:p w14:paraId="5E98F348" w14:textId="77777777" w:rsidR="005E6835" w:rsidRPr="00A84DDF" w:rsidRDefault="005E6835" w:rsidP="005E6835">
            <w:pPr>
              <w:jc w:val="center"/>
              <w:rPr>
                <w:rFonts w:cs="Arial"/>
                <w:sz w:val="20"/>
                <w:szCs w:val="18"/>
              </w:rPr>
            </w:pPr>
            <w:r w:rsidRPr="00A84DDF">
              <w:rPr>
                <w:rFonts w:cs="Arial"/>
                <w:sz w:val="20"/>
                <w:szCs w:val="18"/>
              </w:rPr>
              <w:t>2,382</w:t>
            </w:r>
          </w:p>
        </w:tc>
        <w:tc>
          <w:tcPr>
            <w:tcW w:w="2700" w:type="dxa"/>
            <w:vAlign w:val="center"/>
          </w:tcPr>
          <w:p w14:paraId="2CBA01ED" w14:textId="77777777" w:rsidR="005E6835" w:rsidRPr="00A84DDF" w:rsidRDefault="005E6835" w:rsidP="005E6835">
            <w:pPr>
              <w:jc w:val="center"/>
              <w:rPr>
                <w:rFonts w:cs="Arial"/>
                <w:sz w:val="20"/>
                <w:szCs w:val="18"/>
              </w:rPr>
            </w:pPr>
            <w:r w:rsidRPr="00A84DDF">
              <w:rPr>
                <w:rFonts w:cs="Arial"/>
                <w:sz w:val="20"/>
                <w:szCs w:val="18"/>
              </w:rPr>
              <w:t>13,242</w:t>
            </w:r>
          </w:p>
        </w:tc>
      </w:tr>
      <w:tr w:rsidR="005E6835" w:rsidRPr="00A84DDF" w14:paraId="3EE22A57" w14:textId="77777777" w:rsidTr="005E6835">
        <w:trPr>
          <w:cantSplit/>
        </w:trPr>
        <w:tc>
          <w:tcPr>
            <w:tcW w:w="1170" w:type="dxa"/>
          </w:tcPr>
          <w:p w14:paraId="55B7E4A1" w14:textId="77777777" w:rsidR="005E6835" w:rsidRPr="00A84DDF" w:rsidRDefault="005E6835" w:rsidP="005E6835">
            <w:pPr>
              <w:jc w:val="center"/>
              <w:rPr>
                <w:rFonts w:cs="Arial"/>
                <w:sz w:val="20"/>
              </w:rPr>
            </w:pPr>
            <w:r w:rsidRPr="00A84DDF">
              <w:rPr>
                <w:rFonts w:cs="Arial"/>
                <w:sz w:val="20"/>
              </w:rPr>
              <w:t>2011</w:t>
            </w:r>
          </w:p>
        </w:tc>
        <w:tc>
          <w:tcPr>
            <w:tcW w:w="2430" w:type="dxa"/>
            <w:vAlign w:val="center"/>
          </w:tcPr>
          <w:p w14:paraId="0ACAE8B5" w14:textId="77777777" w:rsidR="005E6835" w:rsidRPr="00A84DDF" w:rsidRDefault="005E6835" w:rsidP="005E6835">
            <w:pPr>
              <w:jc w:val="center"/>
              <w:rPr>
                <w:rFonts w:cs="Arial"/>
                <w:sz w:val="20"/>
                <w:szCs w:val="18"/>
              </w:rPr>
            </w:pPr>
            <w:r w:rsidRPr="00A84DDF">
              <w:rPr>
                <w:rFonts w:cs="Arial"/>
                <w:sz w:val="20"/>
                <w:szCs w:val="18"/>
              </w:rPr>
              <w:t>2,449</w:t>
            </w:r>
          </w:p>
        </w:tc>
        <w:tc>
          <w:tcPr>
            <w:tcW w:w="2700" w:type="dxa"/>
            <w:vAlign w:val="center"/>
          </w:tcPr>
          <w:p w14:paraId="254E10AB" w14:textId="77777777" w:rsidR="005E6835" w:rsidRPr="00A84DDF" w:rsidRDefault="005E6835" w:rsidP="005E6835">
            <w:pPr>
              <w:jc w:val="center"/>
              <w:rPr>
                <w:rFonts w:cs="Arial"/>
                <w:sz w:val="20"/>
                <w:szCs w:val="18"/>
              </w:rPr>
            </w:pPr>
            <w:r w:rsidRPr="00A84DDF">
              <w:rPr>
                <w:rFonts w:cs="Arial"/>
                <w:sz w:val="20"/>
                <w:szCs w:val="18"/>
              </w:rPr>
              <w:t>13,626</w:t>
            </w:r>
          </w:p>
        </w:tc>
      </w:tr>
      <w:tr w:rsidR="005E6835" w:rsidRPr="00A84DDF" w14:paraId="5F71A4F7" w14:textId="77777777" w:rsidTr="005E6835">
        <w:trPr>
          <w:cantSplit/>
        </w:trPr>
        <w:tc>
          <w:tcPr>
            <w:tcW w:w="1170" w:type="dxa"/>
          </w:tcPr>
          <w:p w14:paraId="057F2A9E" w14:textId="77777777" w:rsidR="005E6835" w:rsidRPr="00A84DDF" w:rsidRDefault="005E6835" w:rsidP="005E6835">
            <w:pPr>
              <w:jc w:val="center"/>
              <w:rPr>
                <w:rFonts w:cs="Arial"/>
                <w:sz w:val="20"/>
              </w:rPr>
            </w:pPr>
            <w:r w:rsidRPr="00A84DDF">
              <w:rPr>
                <w:rFonts w:cs="Arial"/>
                <w:sz w:val="20"/>
              </w:rPr>
              <w:t>2012</w:t>
            </w:r>
          </w:p>
        </w:tc>
        <w:tc>
          <w:tcPr>
            <w:tcW w:w="2430" w:type="dxa"/>
            <w:vAlign w:val="center"/>
          </w:tcPr>
          <w:p w14:paraId="7A92AF29" w14:textId="77777777" w:rsidR="005E6835" w:rsidRPr="00A84DDF" w:rsidRDefault="005E6835" w:rsidP="005E6835">
            <w:pPr>
              <w:jc w:val="center"/>
              <w:rPr>
                <w:rFonts w:cs="Arial"/>
                <w:sz w:val="20"/>
                <w:szCs w:val="18"/>
              </w:rPr>
            </w:pPr>
            <w:r w:rsidRPr="00A84DDF">
              <w:rPr>
                <w:rFonts w:cs="Arial"/>
                <w:sz w:val="20"/>
                <w:szCs w:val="18"/>
              </w:rPr>
              <w:t>2,471</w:t>
            </w:r>
          </w:p>
        </w:tc>
        <w:tc>
          <w:tcPr>
            <w:tcW w:w="2700" w:type="dxa"/>
            <w:vAlign w:val="center"/>
          </w:tcPr>
          <w:p w14:paraId="6856A7D6" w14:textId="77777777" w:rsidR="005E6835" w:rsidRPr="00A84DDF" w:rsidRDefault="005E6835" w:rsidP="005E6835">
            <w:pPr>
              <w:jc w:val="center"/>
              <w:rPr>
                <w:rFonts w:cs="Arial"/>
                <w:sz w:val="20"/>
                <w:szCs w:val="18"/>
              </w:rPr>
            </w:pPr>
            <w:r w:rsidRPr="00A84DDF">
              <w:rPr>
                <w:rFonts w:cs="Arial"/>
                <w:sz w:val="20"/>
                <w:szCs w:val="18"/>
              </w:rPr>
              <w:t>13,776</w:t>
            </w:r>
          </w:p>
        </w:tc>
      </w:tr>
      <w:tr w:rsidR="005E6835" w:rsidRPr="00A84DDF" w14:paraId="4D67B830" w14:textId="77777777" w:rsidTr="005E6835">
        <w:trPr>
          <w:cantSplit/>
        </w:trPr>
        <w:tc>
          <w:tcPr>
            <w:tcW w:w="1170" w:type="dxa"/>
          </w:tcPr>
          <w:p w14:paraId="25D28AF9" w14:textId="77777777" w:rsidR="005E6835" w:rsidRPr="00A84DDF" w:rsidRDefault="005E6835" w:rsidP="005E6835">
            <w:pPr>
              <w:jc w:val="center"/>
              <w:rPr>
                <w:rFonts w:cs="Arial"/>
                <w:sz w:val="20"/>
              </w:rPr>
            </w:pPr>
            <w:r w:rsidRPr="00A84DDF">
              <w:rPr>
                <w:rFonts w:cs="Arial"/>
                <w:sz w:val="20"/>
              </w:rPr>
              <w:t>2013</w:t>
            </w:r>
          </w:p>
        </w:tc>
        <w:tc>
          <w:tcPr>
            <w:tcW w:w="2430" w:type="dxa"/>
            <w:vAlign w:val="center"/>
          </w:tcPr>
          <w:p w14:paraId="192A33DF" w14:textId="77777777" w:rsidR="005E6835" w:rsidRPr="00A84DDF" w:rsidRDefault="005E6835" w:rsidP="005E6835">
            <w:pPr>
              <w:jc w:val="center"/>
              <w:rPr>
                <w:rFonts w:cs="Arial"/>
                <w:sz w:val="20"/>
                <w:szCs w:val="18"/>
              </w:rPr>
            </w:pPr>
            <w:r w:rsidRPr="00A84DDF">
              <w:rPr>
                <w:rFonts w:cs="Arial"/>
                <w:sz w:val="20"/>
                <w:szCs w:val="18"/>
              </w:rPr>
              <w:t>2,496</w:t>
            </w:r>
          </w:p>
        </w:tc>
        <w:tc>
          <w:tcPr>
            <w:tcW w:w="2700" w:type="dxa"/>
            <w:vAlign w:val="center"/>
          </w:tcPr>
          <w:p w14:paraId="0314BB72" w14:textId="77777777" w:rsidR="005E6835" w:rsidRPr="00A84DDF" w:rsidRDefault="005E6835" w:rsidP="005E6835">
            <w:pPr>
              <w:jc w:val="center"/>
              <w:rPr>
                <w:rFonts w:cs="Arial"/>
                <w:sz w:val="20"/>
                <w:szCs w:val="18"/>
              </w:rPr>
            </w:pPr>
            <w:r w:rsidRPr="00A84DDF">
              <w:rPr>
                <w:rFonts w:cs="Arial"/>
                <w:sz w:val="20"/>
                <w:szCs w:val="18"/>
              </w:rPr>
              <w:t>13,778</w:t>
            </w:r>
          </w:p>
        </w:tc>
      </w:tr>
      <w:tr w:rsidR="005E6835" w:rsidRPr="00A84DDF" w14:paraId="347285C0" w14:textId="77777777" w:rsidTr="005E6835">
        <w:trPr>
          <w:cantSplit/>
        </w:trPr>
        <w:tc>
          <w:tcPr>
            <w:tcW w:w="1170" w:type="dxa"/>
          </w:tcPr>
          <w:p w14:paraId="1F11F6FD" w14:textId="77777777" w:rsidR="005E6835" w:rsidRPr="00A84DDF" w:rsidRDefault="005E6835" w:rsidP="005E6835">
            <w:pPr>
              <w:jc w:val="center"/>
              <w:rPr>
                <w:rFonts w:cs="Arial"/>
                <w:sz w:val="20"/>
              </w:rPr>
            </w:pPr>
            <w:r w:rsidRPr="00A84DDF">
              <w:rPr>
                <w:rFonts w:cs="Arial"/>
                <w:sz w:val="20"/>
              </w:rPr>
              <w:t>2014</w:t>
            </w:r>
          </w:p>
        </w:tc>
        <w:tc>
          <w:tcPr>
            <w:tcW w:w="2430" w:type="dxa"/>
            <w:vAlign w:val="center"/>
          </w:tcPr>
          <w:p w14:paraId="0F3D0175" w14:textId="77777777" w:rsidR="005E6835" w:rsidRPr="00A84DDF" w:rsidRDefault="005E6835" w:rsidP="005E6835">
            <w:pPr>
              <w:jc w:val="center"/>
              <w:rPr>
                <w:rFonts w:cs="Arial"/>
                <w:sz w:val="20"/>
                <w:szCs w:val="18"/>
              </w:rPr>
            </w:pPr>
            <w:r w:rsidRPr="00A84DDF">
              <w:rPr>
                <w:rFonts w:cs="Arial"/>
                <w:sz w:val="20"/>
                <w:szCs w:val="18"/>
              </w:rPr>
              <w:t>2,431</w:t>
            </w:r>
          </w:p>
        </w:tc>
        <w:tc>
          <w:tcPr>
            <w:tcW w:w="2700" w:type="dxa"/>
            <w:vAlign w:val="center"/>
          </w:tcPr>
          <w:p w14:paraId="326DAC2A" w14:textId="77777777" w:rsidR="005E6835" w:rsidRPr="00A84DDF" w:rsidRDefault="005E6835" w:rsidP="005E6835">
            <w:pPr>
              <w:jc w:val="center"/>
              <w:rPr>
                <w:rFonts w:cs="Arial"/>
                <w:sz w:val="20"/>
                <w:szCs w:val="18"/>
              </w:rPr>
            </w:pPr>
            <w:r w:rsidRPr="00A84DDF">
              <w:rPr>
                <w:rFonts w:cs="Arial"/>
                <w:sz w:val="20"/>
                <w:szCs w:val="18"/>
              </w:rPr>
              <w:t>13,417</w:t>
            </w:r>
          </w:p>
        </w:tc>
      </w:tr>
      <w:tr w:rsidR="005E6835" w:rsidRPr="00A84DDF" w14:paraId="2507D16D" w14:textId="77777777" w:rsidTr="005E6835">
        <w:trPr>
          <w:cantSplit/>
        </w:trPr>
        <w:tc>
          <w:tcPr>
            <w:tcW w:w="1170" w:type="dxa"/>
          </w:tcPr>
          <w:p w14:paraId="2881DCF6" w14:textId="77777777" w:rsidR="005E6835" w:rsidRPr="00A84DDF" w:rsidRDefault="005E6835" w:rsidP="005E6835">
            <w:pPr>
              <w:jc w:val="center"/>
              <w:rPr>
                <w:rFonts w:cs="Arial"/>
                <w:sz w:val="20"/>
              </w:rPr>
            </w:pPr>
            <w:r w:rsidRPr="00A84DDF">
              <w:rPr>
                <w:rFonts w:cs="Arial"/>
                <w:sz w:val="20"/>
              </w:rPr>
              <w:t>2015</w:t>
            </w:r>
          </w:p>
        </w:tc>
        <w:tc>
          <w:tcPr>
            <w:tcW w:w="2430" w:type="dxa"/>
            <w:vAlign w:val="center"/>
          </w:tcPr>
          <w:p w14:paraId="1906846A" w14:textId="77777777" w:rsidR="005E6835" w:rsidRPr="00A84DDF" w:rsidRDefault="005E6835" w:rsidP="005E6835">
            <w:pPr>
              <w:jc w:val="center"/>
              <w:rPr>
                <w:rFonts w:cs="Arial"/>
                <w:sz w:val="20"/>
                <w:szCs w:val="18"/>
              </w:rPr>
            </w:pPr>
            <w:r w:rsidRPr="00A84DDF">
              <w:rPr>
                <w:rFonts w:cs="Arial"/>
                <w:sz w:val="20"/>
                <w:szCs w:val="18"/>
              </w:rPr>
              <w:t>2,438</w:t>
            </w:r>
          </w:p>
        </w:tc>
        <w:tc>
          <w:tcPr>
            <w:tcW w:w="2700" w:type="dxa"/>
            <w:vAlign w:val="center"/>
          </w:tcPr>
          <w:p w14:paraId="2A128F15" w14:textId="77777777" w:rsidR="005E6835" w:rsidRPr="00A84DDF" w:rsidRDefault="005E6835" w:rsidP="005E6835">
            <w:pPr>
              <w:jc w:val="center"/>
              <w:rPr>
                <w:rFonts w:cs="Arial"/>
                <w:sz w:val="20"/>
                <w:szCs w:val="18"/>
              </w:rPr>
            </w:pPr>
            <w:r w:rsidRPr="00A84DDF">
              <w:rPr>
                <w:rFonts w:cs="Arial"/>
                <w:sz w:val="20"/>
                <w:szCs w:val="18"/>
              </w:rPr>
              <w:t>13,484</w:t>
            </w:r>
          </w:p>
        </w:tc>
      </w:tr>
      <w:tr w:rsidR="005E6835" w:rsidRPr="00A84DDF" w14:paraId="6E4C88F0" w14:textId="77777777" w:rsidTr="005E6835">
        <w:trPr>
          <w:cantSplit/>
        </w:trPr>
        <w:tc>
          <w:tcPr>
            <w:tcW w:w="1170" w:type="dxa"/>
          </w:tcPr>
          <w:p w14:paraId="37FA104D" w14:textId="77777777" w:rsidR="005E6835" w:rsidRPr="00A84DDF" w:rsidRDefault="005E6835" w:rsidP="005E6835">
            <w:pPr>
              <w:jc w:val="center"/>
              <w:rPr>
                <w:rFonts w:cs="Arial"/>
                <w:sz w:val="20"/>
              </w:rPr>
            </w:pPr>
            <w:r w:rsidRPr="00A84DDF">
              <w:rPr>
                <w:rFonts w:cs="Arial"/>
                <w:sz w:val="20"/>
              </w:rPr>
              <w:t>2016</w:t>
            </w:r>
          </w:p>
        </w:tc>
        <w:tc>
          <w:tcPr>
            <w:tcW w:w="2430" w:type="dxa"/>
            <w:vAlign w:val="center"/>
          </w:tcPr>
          <w:p w14:paraId="0F501B50" w14:textId="77777777" w:rsidR="005E6835" w:rsidRPr="00A84DDF" w:rsidRDefault="005E6835" w:rsidP="005E6835">
            <w:pPr>
              <w:jc w:val="center"/>
              <w:rPr>
                <w:rFonts w:cs="Arial"/>
                <w:sz w:val="20"/>
                <w:szCs w:val="18"/>
              </w:rPr>
            </w:pPr>
            <w:r w:rsidRPr="00A84DDF">
              <w:rPr>
                <w:rFonts w:cs="Arial"/>
                <w:sz w:val="20"/>
                <w:szCs w:val="18"/>
              </w:rPr>
              <w:t>2,421</w:t>
            </w:r>
          </w:p>
        </w:tc>
        <w:tc>
          <w:tcPr>
            <w:tcW w:w="2700" w:type="dxa"/>
            <w:vAlign w:val="center"/>
          </w:tcPr>
          <w:p w14:paraId="0F348E87" w14:textId="77777777" w:rsidR="005E6835" w:rsidRPr="00A84DDF" w:rsidRDefault="005E6835" w:rsidP="005E6835">
            <w:pPr>
              <w:jc w:val="center"/>
              <w:rPr>
                <w:rFonts w:cs="Arial"/>
                <w:sz w:val="20"/>
                <w:szCs w:val="18"/>
              </w:rPr>
            </w:pPr>
            <w:r w:rsidRPr="00A84DDF">
              <w:rPr>
                <w:rFonts w:cs="Arial"/>
                <w:sz w:val="20"/>
                <w:szCs w:val="18"/>
              </w:rPr>
              <w:t>13,434</w:t>
            </w:r>
          </w:p>
        </w:tc>
      </w:tr>
      <w:tr w:rsidR="00C42A05" w:rsidRPr="00A84DDF" w14:paraId="2CB8E30B" w14:textId="77777777" w:rsidTr="005E6835">
        <w:trPr>
          <w:cantSplit/>
        </w:trPr>
        <w:tc>
          <w:tcPr>
            <w:tcW w:w="1170" w:type="dxa"/>
          </w:tcPr>
          <w:p w14:paraId="5286E0A2" w14:textId="0FFD0B19" w:rsidR="00C42A05" w:rsidRPr="00A84DDF" w:rsidRDefault="00C42A05" w:rsidP="005E6835">
            <w:pPr>
              <w:jc w:val="center"/>
              <w:rPr>
                <w:rFonts w:cs="Arial"/>
                <w:sz w:val="20"/>
              </w:rPr>
            </w:pPr>
            <w:r>
              <w:rPr>
                <w:rFonts w:cs="Arial"/>
                <w:sz w:val="20"/>
              </w:rPr>
              <w:t>2017</w:t>
            </w:r>
          </w:p>
        </w:tc>
        <w:tc>
          <w:tcPr>
            <w:tcW w:w="2430" w:type="dxa"/>
            <w:vAlign w:val="center"/>
          </w:tcPr>
          <w:p w14:paraId="1B649260" w14:textId="17DCAD29" w:rsidR="00C42A05" w:rsidRPr="00A84DDF" w:rsidRDefault="005B206E" w:rsidP="005E6835">
            <w:pPr>
              <w:jc w:val="center"/>
              <w:rPr>
                <w:rFonts w:cs="Arial"/>
                <w:sz w:val="20"/>
                <w:szCs w:val="18"/>
              </w:rPr>
            </w:pPr>
            <w:r>
              <w:rPr>
                <w:rFonts w:cs="Arial"/>
                <w:sz w:val="20"/>
                <w:szCs w:val="18"/>
              </w:rPr>
              <w:t>2,454</w:t>
            </w:r>
          </w:p>
        </w:tc>
        <w:tc>
          <w:tcPr>
            <w:tcW w:w="2700" w:type="dxa"/>
            <w:vAlign w:val="center"/>
          </w:tcPr>
          <w:p w14:paraId="7C503973" w14:textId="1AB17E16" w:rsidR="00C42A05" w:rsidRPr="00A84DDF" w:rsidRDefault="005B206E" w:rsidP="005E6835">
            <w:pPr>
              <w:jc w:val="center"/>
              <w:rPr>
                <w:rFonts w:cs="Arial"/>
                <w:sz w:val="20"/>
                <w:szCs w:val="18"/>
              </w:rPr>
            </w:pPr>
            <w:r>
              <w:rPr>
                <w:rFonts w:cs="Arial"/>
                <w:sz w:val="20"/>
                <w:szCs w:val="18"/>
              </w:rPr>
              <w:t>13,692</w:t>
            </w:r>
          </w:p>
        </w:tc>
      </w:tr>
      <w:tr w:rsidR="00C42A05" w:rsidRPr="00A84DDF" w14:paraId="7895FB73" w14:textId="77777777" w:rsidTr="005E6835">
        <w:trPr>
          <w:cantSplit/>
        </w:trPr>
        <w:tc>
          <w:tcPr>
            <w:tcW w:w="1170" w:type="dxa"/>
          </w:tcPr>
          <w:p w14:paraId="163FE5F2" w14:textId="020CD807" w:rsidR="00C42A05" w:rsidRPr="00A84DDF" w:rsidRDefault="00C42A05" w:rsidP="005E6835">
            <w:pPr>
              <w:jc w:val="center"/>
              <w:rPr>
                <w:rFonts w:cs="Arial"/>
                <w:sz w:val="20"/>
              </w:rPr>
            </w:pPr>
            <w:r>
              <w:rPr>
                <w:rFonts w:cs="Arial"/>
                <w:sz w:val="20"/>
              </w:rPr>
              <w:t>2018</w:t>
            </w:r>
          </w:p>
        </w:tc>
        <w:tc>
          <w:tcPr>
            <w:tcW w:w="2430" w:type="dxa"/>
            <w:vAlign w:val="center"/>
          </w:tcPr>
          <w:p w14:paraId="2C652B17" w14:textId="776797E5" w:rsidR="00C42A05" w:rsidRPr="00A84DDF" w:rsidRDefault="005B206E" w:rsidP="005E6835">
            <w:pPr>
              <w:jc w:val="center"/>
              <w:rPr>
                <w:rFonts w:cs="Arial"/>
                <w:sz w:val="20"/>
                <w:szCs w:val="18"/>
              </w:rPr>
            </w:pPr>
            <w:r>
              <w:rPr>
                <w:rFonts w:cs="Arial"/>
                <w:sz w:val="20"/>
                <w:szCs w:val="18"/>
              </w:rPr>
              <w:t>2,478</w:t>
            </w:r>
          </w:p>
        </w:tc>
        <w:tc>
          <w:tcPr>
            <w:tcW w:w="2700" w:type="dxa"/>
            <w:vAlign w:val="center"/>
          </w:tcPr>
          <w:p w14:paraId="4032D158" w14:textId="7A75A8F9" w:rsidR="00C42A05" w:rsidRPr="00A84DDF" w:rsidRDefault="005B206E" w:rsidP="005E6835">
            <w:pPr>
              <w:jc w:val="center"/>
              <w:rPr>
                <w:rFonts w:cs="Arial"/>
                <w:sz w:val="20"/>
                <w:szCs w:val="18"/>
              </w:rPr>
            </w:pPr>
            <w:r>
              <w:rPr>
                <w:rFonts w:cs="Arial"/>
                <w:sz w:val="20"/>
                <w:szCs w:val="18"/>
              </w:rPr>
              <w:t>13,889</w:t>
            </w:r>
          </w:p>
        </w:tc>
      </w:tr>
    </w:tbl>
    <w:p w14:paraId="092E4C5D" w14:textId="77777777" w:rsidR="005E6835" w:rsidRPr="00A84DDF" w:rsidRDefault="005E6835" w:rsidP="005E6835">
      <w:pPr>
        <w:spacing w:after="240"/>
        <w:rPr>
          <w:rFonts w:cs="Arial"/>
        </w:rPr>
      </w:pPr>
    </w:p>
    <w:p w14:paraId="503431EC" w14:textId="320B8053" w:rsidR="005E6835" w:rsidRPr="00A84DDF" w:rsidRDefault="005E6835" w:rsidP="00A84DDF">
      <w:pPr>
        <w:spacing w:before="0" w:after="0"/>
        <w:rPr>
          <w:rFonts w:cs="Arial"/>
        </w:rPr>
      </w:pPr>
      <w:r w:rsidRPr="00A84DDF">
        <w:rPr>
          <w:rFonts w:cs="Arial"/>
        </w:rPr>
        <w:t xml:space="preserve">This table shows that the number of Medicaid-contracted Adult Family Homes has increased by </w:t>
      </w:r>
      <w:r w:rsidR="005B206E">
        <w:rPr>
          <w:rFonts w:cs="Arial"/>
        </w:rPr>
        <w:t>126</w:t>
      </w:r>
      <w:r w:rsidRPr="00A84DDF">
        <w:rPr>
          <w:rFonts w:cs="Arial"/>
        </w:rPr>
        <w:t xml:space="preserve"> facilities, and that the number of licensed beds in Medicaid-contracted facilities has increased by </w:t>
      </w:r>
      <w:r w:rsidR="005B206E">
        <w:rPr>
          <w:rFonts w:cs="Arial"/>
        </w:rPr>
        <w:t>858</w:t>
      </w:r>
      <w:r w:rsidRPr="00A84DDF">
        <w:rPr>
          <w:rFonts w:cs="Arial"/>
        </w:rPr>
        <w:t xml:space="preserve"> licensed beds between state fiscal years 200</w:t>
      </w:r>
      <w:r w:rsidR="005B206E">
        <w:rPr>
          <w:rFonts w:cs="Arial"/>
        </w:rPr>
        <w:t>9</w:t>
      </w:r>
      <w:r w:rsidRPr="00A84DDF">
        <w:rPr>
          <w:rFonts w:cs="Arial"/>
        </w:rPr>
        <w:t xml:space="preserve"> and 201</w:t>
      </w:r>
      <w:r w:rsidR="00640162">
        <w:rPr>
          <w:rFonts w:cs="Arial"/>
        </w:rPr>
        <w:t>8</w:t>
      </w:r>
      <w:r w:rsidRPr="00A84DDF">
        <w:rPr>
          <w:rFonts w:cs="Arial"/>
        </w:rPr>
        <w:t>.  It also shows that the number of Medicaid-contracted facilities has remained relatively constant over the most recent years shown.</w:t>
      </w:r>
    </w:p>
    <w:p w14:paraId="7D6C1607" w14:textId="77777777" w:rsidR="005E6835" w:rsidRPr="00A84DDF" w:rsidRDefault="005E6835" w:rsidP="00A84DDF">
      <w:pPr>
        <w:spacing w:before="0" w:after="0"/>
        <w:rPr>
          <w:rFonts w:cs="Arial"/>
        </w:rPr>
      </w:pPr>
    </w:p>
    <w:p w14:paraId="36960EF1" w14:textId="77777777" w:rsidR="005E6835" w:rsidRPr="00A84DDF" w:rsidRDefault="005E6835" w:rsidP="00A84DDF">
      <w:pPr>
        <w:spacing w:before="0" w:after="0"/>
        <w:rPr>
          <w:rFonts w:cs="Arial"/>
        </w:rPr>
      </w:pPr>
      <w:r w:rsidRPr="00A84DDF">
        <w:rPr>
          <w:rFonts w:cs="Arial"/>
        </w:rPr>
        <w:t>Medicaid-contracted Adult Family Homes have been determined to be qualified to accept Medicaid residents, and will accept Medicaid rates for payment of the services they provide for Medicaid residents, but they may, at their discretion, decline to accept Medicaid-eligible residents.</w:t>
      </w:r>
    </w:p>
    <w:p w14:paraId="35C80BE4" w14:textId="77777777" w:rsidR="005E6835" w:rsidRPr="00A84DDF" w:rsidRDefault="005E6835" w:rsidP="00A84DDF">
      <w:pPr>
        <w:spacing w:before="0" w:after="0"/>
        <w:rPr>
          <w:rFonts w:cs="Arial"/>
        </w:rPr>
      </w:pPr>
    </w:p>
    <w:p w14:paraId="567D0996" w14:textId="421F30CA" w:rsidR="005E6835" w:rsidRPr="00A84DDF" w:rsidRDefault="005E6835" w:rsidP="00A84DDF">
      <w:pPr>
        <w:spacing w:before="0" w:after="0"/>
        <w:rPr>
          <w:rFonts w:cs="Arial"/>
        </w:rPr>
      </w:pPr>
      <w:r w:rsidRPr="00A84DDF">
        <w:rPr>
          <w:rFonts w:cs="Arial"/>
        </w:rPr>
        <w:t xml:space="preserve">Given this circumstance, for purposes of understanding whether there is sufficient access to Adult Family Home services for Medicaid-eligible residents, it is important to know whether Medicaid-eligible residents have historically had difficulty being placed into licensed Adult Family Homes. </w:t>
      </w:r>
      <w:r w:rsidR="00ED3263">
        <w:rPr>
          <w:rFonts w:cs="Arial"/>
        </w:rPr>
        <w:t xml:space="preserve"> </w:t>
      </w:r>
      <w:r w:rsidRPr="00A84DDF">
        <w:rPr>
          <w:rFonts w:cs="Arial"/>
        </w:rPr>
        <w:t xml:space="preserve">To understand this, we discussed Medicaid placements with the Department representatives. </w:t>
      </w:r>
      <w:r w:rsidR="00ED3263">
        <w:rPr>
          <w:rFonts w:cs="Arial"/>
        </w:rPr>
        <w:t xml:space="preserve"> </w:t>
      </w:r>
      <w:r w:rsidRPr="00A84DDF">
        <w:rPr>
          <w:rFonts w:cs="Arial"/>
        </w:rPr>
        <w:t>Based on these discussions, we found that the Department generally has not experienced difficulty in placing Medicaid-eligible residents into Adult Family Homes.</w:t>
      </w:r>
      <w:r w:rsidR="005D271F">
        <w:rPr>
          <w:rFonts w:cs="Arial"/>
        </w:rPr>
        <w:t xml:space="preserve"> </w:t>
      </w:r>
      <w:r w:rsidR="006F0C70">
        <w:rPr>
          <w:rFonts w:cs="Arial"/>
        </w:rPr>
        <w:t xml:space="preserve"> </w:t>
      </w:r>
      <w:r w:rsidR="005D271F">
        <w:rPr>
          <w:rFonts w:cs="Arial"/>
        </w:rPr>
        <w:t xml:space="preserve">But when the Department does find difficulty in placing residents, the reasons typically involve </w:t>
      </w:r>
      <w:r w:rsidR="005D271F">
        <w:rPr>
          <w:rFonts w:cs="Arial"/>
        </w:rPr>
        <w:lastRenderedPageBreak/>
        <w:t>residents with special circumstances.  The circumstances may include the following</w:t>
      </w:r>
      <w:r w:rsidRPr="00A84DDF">
        <w:rPr>
          <w:rFonts w:cs="Arial"/>
        </w:rPr>
        <w:t>:</w:t>
      </w:r>
    </w:p>
    <w:p w14:paraId="15E59E94" w14:textId="77777777" w:rsidR="005E6835" w:rsidRPr="00A84DDF" w:rsidRDefault="005E6835" w:rsidP="00A84DDF">
      <w:pPr>
        <w:spacing w:before="0" w:after="0"/>
        <w:rPr>
          <w:rFonts w:cs="Arial"/>
        </w:rPr>
      </w:pPr>
    </w:p>
    <w:p w14:paraId="25015A80" w14:textId="77777777" w:rsidR="005E6835" w:rsidRPr="00A84DDF" w:rsidRDefault="005E6835" w:rsidP="00A84DDF">
      <w:pPr>
        <w:pStyle w:val="ListParagraph"/>
        <w:widowControl/>
        <w:numPr>
          <w:ilvl w:val="0"/>
          <w:numId w:val="6"/>
        </w:numPr>
        <w:spacing w:before="0"/>
        <w:ind w:left="1080"/>
        <w:rPr>
          <w:rFonts w:cs="Arial"/>
        </w:rPr>
      </w:pPr>
      <w:r w:rsidRPr="00A84DDF">
        <w:rPr>
          <w:rFonts w:cs="Arial"/>
        </w:rPr>
        <w:t>Bariatric (seriously obese) clients</w:t>
      </w:r>
    </w:p>
    <w:p w14:paraId="3FF9A5F5" w14:textId="77777777" w:rsidR="005E6835" w:rsidRPr="00A84DDF" w:rsidRDefault="005E6835" w:rsidP="00A84DDF">
      <w:pPr>
        <w:pStyle w:val="ListParagraph"/>
        <w:widowControl/>
        <w:numPr>
          <w:ilvl w:val="0"/>
          <w:numId w:val="6"/>
        </w:numPr>
        <w:spacing w:before="0"/>
        <w:ind w:left="1080"/>
        <w:rPr>
          <w:rFonts w:cs="Arial"/>
        </w:rPr>
      </w:pPr>
      <w:r w:rsidRPr="00A84DDF">
        <w:rPr>
          <w:rFonts w:cs="Arial"/>
        </w:rPr>
        <w:t>Clients with criminal histories, such as sexual offenses</w:t>
      </w:r>
    </w:p>
    <w:p w14:paraId="67609074" w14:textId="77777777" w:rsidR="005E6835" w:rsidRPr="00A84DDF" w:rsidRDefault="005E6835" w:rsidP="00A84DDF">
      <w:pPr>
        <w:pStyle w:val="ListParagraph"/>
        <w:widowControl/>
        <w:numPr>
          <w:ilvl w:val="0"/>
          <w:numId w:val="6"/>
        </w:numPr>
        <w:spacing w:before="0"/>
        <w:ind w:left="1080"/>
        <w:rPr>
          <w:rFonts w:cs="Arial"/>
        </w:rPr>
      </w:pPr>
      <w:r w:rsidRPr="00A84DDF">
        <w:rPr>
          <w:rFonts w:cs="Arial"/>
        </w:rPr>
        <w:t>Clients with disabilities resulting from traumatic brain injuries or mental illness</w:t>
      </w:r>
    </w:p>
    <w:p w14:paraId="7E9293EB" w14:textId="77777777" w:rsidR="005E6835" w:rsidRPr="00A84DDF" w:rsidRDefault="005E6835" w:rsidP="00A84DDF">
      <w:pPr>
        <w:pStyle w:val="ListParagraph"/>
        <w:widowControl/>
        <w:numPr>
          <w:ilvl w:val="0"/>
          <w:numId w:val="6"/>
        </w:numPr>
        <w:spacing w:before="0"/>
        <w:ind w:left="1080"/>
        <w:rPr>
          <w:rFonts w:cs="Arial"/>
        </w:rPr>
      </w:pPr>
      <w:r w:rsidRPr="00A84DDF">
        <w:rPr>
          <w:rFonts w:cs="Arial"/>
        </w:rPr>
        <w:t>Clients with known histories of behavioral problems, such as physical or verbal aggression against facility staff or with other residents</w:t>
      </w:r>
    </w:p>
    <w:p w14:paraId="5841A025" w14:textId="77777777" w:rsidR="005E6835" w:rsidRPr="00A84DDF" w:rsidRDefault="005E6835" w:rsidP="00A84DDF">
      <w:pPr>
        <w:pStyle w:val="ListParagraph"/>
        <w:widowControl/>
        <w:numPr>
          <w:ilvl w:val="0"/>
          <w:numId w:val="6"/>
        </w:numPr>
        <w:spacing w:before="0"/>
        <w:ind w:left="1080"/>
        <w:rPr>
          <w:rFonts w:cs="Arial"/>
        </w:rPr>
      </w:pPr>
      <w:r w:rsidRPr="00A84DDF">
        <w:rPr>
          <w:rFonts w:cs="Arial"/>
        </w:rPr>
        <w:t>Clients with dementia and wandering</w:t>
      </w:r>
    </w:p>
    <w:p w14:paraId="54D27887" w14:textId="35234E7B" w:rsidR="00280386" w:rsidRPr="005E6835" w:rsidRDefault="00280386" w:rsidP="005E6835">
      <w:pPr>
        <w:widowControl/>
        <w:spacing w:before="0" w:after="0"/>
        <w:ind w:left="360" w:hanging="360"/>
        <w:rPr>
          <w:rFonts w:cs="Arial"/>
        </w:rPr>
      </w:pPr>
    </w:p>
    <w:p w14:paraId="280145F0" w14:textId="77777777" w:rsidR="00280386" w:rsidRPr="00280386" w:rsidRDefault="00280386" w:rsidP="00280386">
      <w:pPr>
        <w:pStyle w:val="ListParagraph"/>
        <w:widowControl/>
        <w:numPr>
          <w:ilvl w:val="0"/>
          <w:numId w:val="0"/>
        </w:numPr>
        <w:spacing w:before="0" w:after="0"/>
        <w:ind w:left="1080"/>
        <w:rPr>
          <w:rFonts w:cs="Arial"/>
        </w:rPr>
      </w:pPr>
    </w:p>
    <w:p w14:paraId="53E4E04D" w14:textId="74CC68F0" w:rsidR="00280386" w:rsidRDefault="00280386" w:rsidP="001D03A8">
      <w:pPr>
        <w:pStyle w:val="Heading1"/>
        <w:tabs>
          <w:tab w:val="left" w:pos="2160"/>
        </w:tabs>
        <w:spacing w:before="360"/>
      </w:pPr>
      <w:bookmarkStart w:id="4" w:name="_Toc441841143"/>
      <w:r>
        <w:t>Section IV</w:t>
      </w:r>
      <w:r w:rsidR="002E4CE4">
        <w:t xml:space="preserve">:  </w:t>
      </w:r>
      <w:r>
        <w:t>Quality</w:t>
      </w:r>
      <w:bookmarkEnd w:id="4"/>
    </w:p>
    <w:p w14:paraId="35927337" w14:textId="77777777" w:rsidR="00D34961" w:rsidRPr="00D34961" w:rsidRDefault="00D34961" w:rsidP="00D34961">
      <w:pPr>
        <w:spacing w:before="0" w:after="0"/>
        <w:rPr>
          <w:rFonts w:cs="Arial"/>
        </w:rPr>
      </w:pPr>
      <w:r w:rsidRPr="00D34961">
        <w:rPr>
          <w:rFonts w:cs="Arial"/>
        </w:rPr>
        <w:t xml:space="preserve">In the previous section we analyzed whether Washington’s Medicaid payment methodology for Adult Family Home services supports sufficient access to care for Washington’s Medicaid beneficiaries.  In this section, we analyze whether Washington’s Medicaid payment methodology supports provision of care at an acceptable level of quality.  </w:t>
      </w:r>
    </w:p>
    <w:p w14:paraId="4E5AC4E5" w14:textId="77777777" w:rsidR="00D34961" w:rsidRPr="00D34961" w:rsidRDefault="00D34961" w:rsidP="00D34961">
      <w:pPr>
        <w:spacing w:before="0" w:after="0"/>
        <w:rPr>
          <w:rFonts w:cs="Arial"/>
        </w:rPr>
      </w:pPr>
    </w:p>
    <w:p w14:paraId="0B405CB6" w14:textId="77777777" w:rsidR="00D34961" w:rsidRPr="00D34961" w:rsidRDefault="00D34961" w:rsidP="00D34961">
      <w:pPr>
        <w:spacing w:before="0" w:after="0"/>
        <w:rPr>
          <w:rFonts w:cs="Arial"/>
        </w:rPr>
      </w:pPr>
      <w:r w:rsidRPr="00D34961">
        <w:rPr>
          <w:rFonts w:cs="Arial"/>
        </w:rPr>
        <w:t xml:space="preserve">Inspections are one of the numerous quality assurance activities that occur in Adult Family Homes.  The Department has a comprehensive inspection protocol in place, which includes the identification and assessment of citations.  Remedies for citations are dependent upon the severity of the circumstances, and can range from providing consultation with no plan of correction for initial citations where there is no potential harm to residents in the Adult Family Home, to civil penalties for repeat citations, to the most severe remedy, which can result in license revocation or stop placement.  For a complete description of potential enforcement action options for Adult Family Homes, see Appendix B. </w:t>
      </w:r>
    </w:p>
    <w:p w14:paraId="3F316B96" w14:textId="77777777" w:rsidR="00D34961" w:rsidRPr="00D34961" w:rsidRDefault="00D34961" w:rsidP="00D34961">
      <w:pPr>
        <w:spacing w:before="0" w:after="0"/>
        <w:rPr>
          <w:rFonts w:cs="Arial"/>
        </w:rPr>
      </w:pPr>
    </w:p>
    <w:p w14:paraId="65F93F8B" w14:textId="77777777" w:rsidR="00D34961" w:rsidRPr="00D34961" w:rsidRDefault="00D34961" w:rsidP="00D34961">
      <w:pPr>
        <w:spacing w:before="0" w:after="0"/>
        <w:rPr>
          <w:rFonts w:cs="Arial"/>
        </w:rPr>
      </w:pPr>
      <w:r w:rsidRPr="00D34961">
        <w:rPr>
          <w:rFonts w:cs="Arial"/>
        </w:rPr>
        <w:t xml:space="preserve">Based on the General Guidelines for Adult Family Home inspections, the purpose of an inspection is to determine if the home is in compliance with applicable licensing laws and regulations, all of which are documented in the State WACs and RCWs.  Licensing laws and regulations also include those that are specific to Medicaid-contracted services to assure that the facilities meet the additional Medicaid contracting requirements.  </w:t>
      </w:r>
    </w:p>
    <w:p w14:paraId="2607A079" w14:textId="77777777" w:rsidR="00D34961" w:rsidRPr="00D34961" w:rsidRDefault="00D34961" w:rsidP="00D34961">
      <w:pPr>
        <w:spacing w:before="0" w:after="0"/>
        <w:rPr>
          <w:rFonts w:cs="Arial"/>
        </w:rPr>
      </w:pPr>
    </w:p>
    <w:p w14:paraId="0DA407CB" w14:textId="77777777" w:rsidR="00D34961" w:rsidRPr="00D34961" w:rsidRDefault="00D34961" w:rsidP="00D34961">
      <w:pPr>
        <w:spacing w:before="0" w:after="0"/>
        <w:rPr>
          <w:rFonts w:cs="Arial"/>
        </w:rPr>
      </w:pPr>
      <w:r w:rsidRPr="00D34961">
        <w:rPr>
          <w:rFonts w:cs="Arial"/>
        </w:rPr>
        <w:t>It should be noted that inspections are not limited to Adult Family Homes providing services to Medicaid-eligible residents.  All Adult Family Homes licensed in the State of Washington are subject to licensing inspection requirement.</w:t>
      </w:r>
    </w:p>
    <w:p w14:paraId="68CBB54F" w14:textId="77777777" w:rsidR="00D34961" w:rsidRPr="00D34961" w:rsidRDefault="00D34961" w:rsidP="00D34961">
      <w:pPr>
        <w:spacing w:before="0" w:after="0"/>
        <w:rPr>
          <w:rFonts w:cs="Arial"/>
        </w:rPr>
      </w:pPr>
    </w:p>
    <w:p w14:paraId="69F78B3D" w14:textId="77777777" w:rsidR="00D34961" w:rsidRPr="00D34961" w:rsidRDefault="00D34961" w:rsidP="00D34961">
      <w:pPr>
        <w:spacing w:before="0" w:after="0"/>
        <w:rPr>
          <w:rFonts w:cs="Arial"/>
        </w:rPr>
      </w:pPr>
      <w:r w:rsidRPr="00D34961">
        <w:rPr>
          <w:rFonts w:cs="Arial"/>
        </w:rPr>
        <w:t>The following lists the operational principles for conducting an inspection of a Family Home in Washington:</w:t>
      </w:r>
    </w:p>
    <w:p w14:paraId="58A58072" w14:textId="77777777" w:rsidR="00D34961" w:rsidRPr="00D34961" w:rsidRDefault="00D34961" w:rsidP="00D34961">
      <w:pPr>
        <w:spacing w:before="0" w:after="0"/>
        <w:rPr>
          <w:rFonts w:cs="Arial"/>
        </w:rPr>
      </w:pPr>
    </w:p>
    <w:p w14:paraId="603D74B9" w14:textId="77777777" w:rsidR="00D34961" w:rsidRPr="00D34961" w:rsidRDefault="00D34961" w:rsidP="00D34961">
      <w:pPr>
        <w:pStyle w:val="ListParagraph"/>
        <w:widowControl/>
        <w:numPr>
          <w:ilvl w:val="0"/>
          <w:numId w:val="8"/>
        </w:numPr>
        <w:spacing w:after="0"/>
        <w:rPr>
          <w:rFonts w:cs="Arial"/>
        </w:rPr>
      </w:pPr>
      <w:r w:rsidRPr="00D34961">
        <w:rPr>
          <w:rFonts w:cs="Arial"/>
        </w:rPr>
        <w:t>Adult Family Homes must meet, and always be in compliance with, the applicable minimum licensing requirements.</w:t>
      </w:r>
    </w:p>
    <w:p w14:paraId="30B3B8D8" w14:textId="77777777" w:rsidR="00D34961" w:rsidRPr="00D34961" w:rsidRDefault="00D34961" w:rsidP="00D34961">
      <w:pPr>
        <w:pStyle w:val="ListParagraph"/>
        <w:widowControl/>
        <w:numPr>
          <w:ilvl w:val="0"/>
          <w:numId w:val="8"/>
        </w:numPr>
        <w:spacing w:after="0"/>
        <w:rPr>
          <w:rFonts w:cs="Arial"/>
        </w:rPr>
      </w:pPr>
      <w:r w:rsidRPr="00D34961">
        <w:rPr>
          <w:rFonts w:cs="Arial"/>
        </w:rPr>
        <w:t>Adult Family Homes are required to deliver quality care to residents in order to meet the requirements.</w:t>
      </w:r>
    </w:p>
    <w:p w14:paraId="79C715ED" w14:textId="77777777" w:rsidR="00D34961" w:rsidRPr="00D34961" w:rsidRDefault="00D34961" w:rsidP="00D34961">
      <w:pPr>
        <w:pStyle w:val="ListParagraph"/>
        <w:widowControl/>
        <w:numPr>
          <w:ilvl w:val="0"/>
          <w:numId w:val="8"/>
        </w:numPr>
        <w:spacing w:after="0"/>
        <w:rPr>
          <w:rFonts w:cs="Arial"/>
        </w:rPr>
      </w:pPr>
      <w:r w:rsidRPr="00D34961">
        <w:rPr>
          <w:rFonts w:cs="Arial"/>
        </w:rPr>
        <w:t>Adult Family Homes must correct all deficiencies in a timely manner.  Time frames must be acceptable to the department.</w:t>
      </w:r>
    </w:p>
    <w:p w14:paraId="65A10EAB" w14:textId="77777777" w:rsidR="00D34961" w:rsidRPr="00D34961" w:rsidRDefault="00D34961" w:rsidP="00D34961">
      <w:pPr>
        <w:pStyle w:val="ListParagraph"/>
        <w:widowControl/>
        <w:numPr>
          <w:ilvl w:val="0"/>
          <w:numId w:val="8"/>
        </w:numPr>
        <w:spacing w:after="0"/>
        <w:rPr>
          <w:rFonts w:cs="Arial"/>
        </w:rPr>
      </w:pPr>
      <w:r w:rsidRPr="00D34961">
        <w:rPr>
          <w:rFonts w:cs="Arial"/>
        </w:rPr>
        <w:t>Timeliness of data collection is critical for enforcement.</w:t>
      </w:r>
    </w:p>
    <w:p w14:paraId="6EBCB3C6" w14:textId="77777777" w:rsidR="00D34961" w:rsidRPr="00D34961" w:rsidRDefault="00D34961" w:rsidP="00D34961">
      <w:pPr>
        <w:pStyle w:val="ListParagraph"/>
        <w:widowControl/>
        <w:numPr>
          <w:ilvl w:val="0"/>
          <w:numId w:val="8"/>
        </w:numPr>
        <w:spacing w:after="0"/>
        <w:rPr>
          <w:rFonts w:cs="Arial"/>
        </w:rPr>
      </w:pPr>
      <w:r w:rsidRPr="00D34961">
        <w:rPr>
          <w:rFonts w:cs="Arial"/>
        </w:rPr>
        <w:t>Adult Family Homes must begin correction of any citation as soon as they are notified of a deficiency.</w:t>
      </w:r>
    </w:p>
    <w:p w14:paraId="5849A438" w14:textId="77777777" w:rsidR="00D34961" w:rsidRPr="00D34961" w:rsidRDefault="00D34961" w:rsidP="00D34961">
      <w:pPr>
        <w:pStyle w:val="ListParagraph"/>
        <w:widowControl/>
        <w:numPr>
          <w:ilvl w:val="0"/>
          <w:numId w:val="8"/>
        </w:numPr>
        <w:spacing w:after="0"/>
        <w:rPr>
          <w:rFonts w:cs="Arial"/>
        </w:rPr>
      </w:pPr>
      <w:r w:rsidRPr="00D34961">
        <w:rPr>
          <w:rFonts w:cs="Arial"/>
        </w:rPr>
        <w:lastRenderedPageBreak/>
        <w:t>The field staff will contact the Field Manager when deficiencies involving resident care issues and the likelihood of compromised resident safety should result in shortened POC timeframes.</w:t>
      </w:r>
    </w:p>
    <w:p w14:paraId="1C2DEAC3" w14:textId="77777777" w:rsidR="00D34961" w:rsidRPr="00D34961" w:rsidRDefault="00D34961" w:rsidP="00D34961">
      <w:pPr>
        <w:pStyle w:val="ListParagraph"/>
        <w:widowControl/>
        <w:numPr>
          <w:ilvl w:val="0"/>
          <w:numId w:val="8"/>
        </w:numPr>
        <w:spacing w:after="0"/>
        <w:rPr>
          <w:rFonts w:cs="Arial"/>
        </w:rPr>
      </w:pPr>
      <w:r w:rsidRPr="00D34961">
        <w:rPr>
          <w:rFonts w:cs="Arial"/>
        </w:rPr>
        <w:t>The Field Manager will immediately refer any situation involving the likelihood of life threatening risk to a resident (imminent risk, imminent harm) to the Compliance Specialist/Assistant Director for possible immediate enforcement.</w:t>
      </w:r>
    </w:p>
    <w:p w14:paraId="2893FC54" w14:textId="77777777" w:rsidR="00D34961" w:rsidRPr="00D34961" w:rsidRDefault="00D34961" w:rsidP="00D34961">
      <w:pPr>
        <w:pStyle w:val="ListParagraph"/>
        <w:widowControl/>
        <w:numPr>
          <w:ilvl w:val="0"/>
          <w:numId w:val="8"/>
        </w:numPr>
        <w:spacing w:after="0"/>
        <w:rPr>
          <w:rFonts w:cs="Arial"/>
        </w:rPr>
      </w:pPr>
      <w:r w:rsidRPr="00D34961">
        <w:rPr>
          <w:rFonts w:cs="Arial"/>
        </w:rPr>
        <w:t>The field staff will follow the written inspection and follow up visit principles and procedures to ensure that inspections and follow up visits are done in a consistent manner.</w:t>
      </w:r>
    </w:p>
    <w:p w14:paraId="5043F2EA" w14:textId="77777777" w:rsidR="00D34961" w:rsidRPr="00D34961" w:rsidRDefault="00D34961" w:rsidP="00D34961">
      <w:pPr>
        <w:pStyle w:val="ListParagraph"/>
        <w:widowControl/>
        <w:numPr>
          <w:ilvl w:val="0"/>
          <w:numId w:val="8"/>
        </w:numPr>
        <w:spacing w:after="0"/>
        <w:rPr>
          <w:rFonts w:cs="Arial"/>
        </w:rPr>
      </w:pPr>
      <w:r w:rsidRPr="00D34961">
        <w:rPr>
          <w:rFonts w:cs="Arial"/>
        </w:rPr>
        <w:t>Homes that do not meet all of the licensing requirements during the full inspection may have up to two follow-up inspections prior to contacting the Compliance Specialist/Assistant Director.</w:t>
      </w:r>
    </w:p>
    <w:p w14:paraId="59CAD106" w14:textId="77777777" w:rsidR="00D34961" w:rsidRPr="00D34961" w:rsidRDefault="00D34961" w:rsidP="00D34961">
      <w:pPr>
        <w:spacing w:after="0"/>
        <w:rPr>
          <w:rFonts w:cs="Arial"/>
        </w:rPr>
      </w:pPr>
    </w:p>
    <w:p w14:paraId="54C1C119" w14:textId="7C50A36C" w:rsidR="00D34961" w:rsidRPr="00D34961" w:rsidRDefault="00D34961" w:rsidP="00D34961">
      <w:pPr>
        <w:spacing w:before="0" w:after="0"/>
        <w:rPr>
          <w:rFonts w:cs="Arial"/>
        </w:rPr>
      </w:pPr>
      <w:r w:rsidRPr="00D34961">
        <w:rPr>
          <w:rFonts w:cs="Arial"/>
        </w:rPr>
        <w:t>The Department is required to conduct inspections of every Adult Family Home at least every 18 months, however, based on our discussions with Department staff, inspections are being conducted more frequently than the requirement.</w:t>
      </w:r>
    </w:p>
    <w:p w14:paraId="2819C7D5" w14:textId="77777777" w:rsidR="00D34961" w:rsidRPr="00D34961" w:rsidRDefault="00D34961" w:rsidP="00D34961">
      <w:pPr>
        <w:spacing w:before="0" w:after="0"/>
        <w:rPr>
          <w:rFonts w:cs="Arial"/>
        </w:rPr>
      </w:pPr>
    </w:p>
    <w:p w14:paraId="0013F180" w14:textId="77777777" w:rsidR="00D34961" w:rsidRPr="00D34961" w:rsidRDefault="00D34961" w:rsidP="00D34961">
      <w:pPr>
        <w:spacing w:before="0" w:after="0"/>
        <w:rPr>
          <w:rFonts w:cs="Arial"/>
        </w:rPr>
      </w:pPr>
      <w:r w:rsidRPr="00D34961">
        <w:rPr>
          <w:rFonts w:cs="Arial"/>
        </w:rPr>
        <w:t>Table 4.1 shows the number of citations for the past ten years in Adult Family Homes which, based on the enforcement protocols shown in Appendix B, did require a Plan of Correction.</w:t>
      </w:r>
    </w:p>
    <w:p w14:paraId="18247B0B" w14:textId="77777777" w:rsidR="00D34961" w:rsidRPr="00D34961" w:rsidRDefault="00D34961" w:rsidP="00D34961">
      <w:pPr>
        <w:spacing w:before="0" w:after="0"/>
        <w:jc w:val="both"/>
        <w:rPr>
          <w:rFonts w:cs="Arial"/>
        </w:rPr>
      </w:pPr>
    </w:p>
    <w:p w14:paraId="4A9109AC" w14:textId="20340733" w:rsidR="00D34961" w:rsidRPr="00D34961" w:rsidRDefault="00D34961" w:rsidP="00D34961">
      <w:pPr>
        <w:tabs>
          <w:tab w:val="left" w:pos="0"/>
        </w:tabs>
        <w:spacing w:before="0" w:after="0"/>
        <w:rPr>
          <w:rFonts w:cs="Arial"/>
          <w:b/>
        </w:rPr>
      </w:pPr>
      <w:r w:rsidRPr="00D34961">
        <w:rPr>
          <w:rFonts w:cs="Arial"/>
          <w:b/>
        </w:rPr>
        <w:t>Table 4.1:  Adult Family Home Inspection Citations Requiring Plan of Correction, 200</w:t>
      </w:r>
      <w:r w:rsidR="0052491B">
        <w:rPr>
          <w:rFonts w:cs="Arial"/>
          <w:b/>
        </w:rPr>
        <w:t>8</w:t>
      </w:r>
      <w:r w:rsidRPr="00D34961">
        <w:rPr>
          <w:rFonts w:cs="Arial"/>
          <w:b/>
        </w:rPr>
        <w:t xml:space="preserve"> – 201</w:t>
      </w:r>
      <w:r w:rsidR="00060E41">
        <w:rPr>
          <w:rFonts w:cs="Arial"/>
          <w:b/>
        </w:rPr>
        <w:t>7</w:t>
      </w:r>
    </w:p>
    <w:p w14:paraId="392CE737" w14:textId="77777777" w:rsidR="00D34961" w:rsidRPr="00D34961" w:rsidRDefault="00D34961" w:rsidP="00D34961">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340"/>
      </w:tblGrid>
      <w:tr w:rsidR="00D34961" w:rsidRPr="00D34961" w14:paraId="4654DCDE" w14:textId="77777777" w:rsidTr="002E4CE4">
        <w:trPr>
          <w:cantSplit/>
        </w:trPr>
        <w:tc>
          <w:tcPr>
            <w:tcW w:w="1620" w:type="dxa"/>
            <w:vAlign w:val="bottom"/>
          </w:tcPr>
          <w:p w14:paraId="0AAF078B" w14:textId="2B0414DC" w:rsidR="00D34961" w:rsidRPr="00D34961" w:rsidRDefault="00C97C30" w:rsidP="002E4CE4">
            <w:pPr>
              <w:jc w:val="center"/>
              <w:rPr>
                <w:rFonts w:cs="Arial"/>
                <w:b/>
                <w:sz w:val="20"/>
              </w:rPr>
            </w:pPr>
            <w:r>
              <w:rPr>
                <w:rFonts w:cs="Arial"/>
                <w:b/>
                <w:sz w:val="20"/>
              </w:rPr>
              <w:t>Calendar</w:t>
            </w:r>
            <w:r w:rsidR="00D34961" w:rsidRPr="00D34961">
              <w:rPr>
                <w:rFonts w:cs="Arial"/>
                <w:b/>
                <w:sz w:val="20"/>
              </w:rPr>
              <w:t xml:space="preserve"> Year</w:t>
            </w:r>
          </w:p>
        </w:tc>
        <w:tc>
          <w:tcPr>
            <w:tcW w:w="2340" w:type="dxa"/>
            <w:vAlign w:val="bottom"/>
          </w:tcPr>
          <w:p w14:paraId="77C11BCF" w14:textId="77777777" w:rsidR="00D34961" w:rsidRPr="00D34961" w:rsidRDefault="00D34961" w:rsidP="002E4CE4">
            <w:pPr>
              <w:jc w:val="center"/>
              <w:rPr>
                <w:rFonts w:cs="Arial"/>
                <w:b/>
                <w:sz w:val="20"/>
              </w:rPr>
            </w:pPr>
            <w:r w:rsidRPr="00D34961">
              <w:rPr>
                <w:rFonts w:cs="Arial"/>
                <w:b/>
                <w:sz w:val="20"/>
              </w:rPr>
              <w:t>Number of Citations</w:t>
            </w:r>
          </w:p>
        </w:tc>
      </w:tr>
      <w:tr w:rsidR="00D34961" w:rsidRPr="00D34961" w14:paraId="385B47C3" w14:textId="2974AC90" w:rsidTr="002E4CE4">
        <w:trPr>
          <w:cantSplit/>
        </w:trPr>
        <w:tc>
          <w:tcPr>
            <w:tcW w:w="1620" w:type="dxa"/>
          </w:tcPr>
          <w:p w14:paraId="026A387D" w14:textId="700D2117" w:rsidR="00D34961" w:rsidRPr="00D34961" w:rsidRDefault="00D34961" w:rsidP="002E4CE4">
            <w:pPr>
              <w:spacing w:before="60" w:after="60"/>
              <w:jc w:val="center"/>
              <w:rPr>
                <w:rFonts w:cs="Arial"/>
                <w:sz w:val="20"/>
              </w:rPr>
            </w:pPr>
            <w:r w:rsidRPr="00D34961">
              <w:rPr>
                <w:rFonts w:cs="Arial"/>
                <w:sz w:val="20"/>
              </w:rPr>
              <w:t>2008</w:t>
            </w:r>
          </w:p>
        </w:tc>
        <w:tc>
          <w:tcPr>
            <w:tcW w:w="2340" w:type="dxa"/>
            <w:vAlign w:val="center"/>
          </w:tcPr>
          <w:p w14:paraId="4005C4CA" w14:textId="42BB6093" w:rsidR="00D34961" w:rsidRPr="00D34961" w:rsidRDefault="00D34961" w:rsidP="002E4CE4">
            <w:pPr>
              <w:spacing w:before="60" w:after="60"/>
              <w:jc w:val="center"/>
              <w:rPr>
                <w:rFonts w:cs="Arial"/>
                <w:sz w:val="20"/>
                <w:szCs w:val="18"/>
              </w:rPr>
            </w:pPr>
            <w:r w:rsidRPr="00D34961">
              <w:rPr>
                <w:rFonts w:cs="Arial"/>
                <w:sz w:val="20"/>
                <w:szCs w:val="18"/>
              </w:rPr>
              <w:t>10,079</w:t>
            </w:r>
          </w:p>
        </w:tc>
      </w:tr>
      <w:tr w:rsidR="00D34961" w:rsidRPr="00D34961" w14:paraId="52CA711F" w14:textId="77777777" w:rsidTr="002E4CE4">
        <w:trPr>
          <w:cantSplit/>
        </w:trPr>
        <w:tc>
          <w:tcPr>
            <w:tcW w:w="1620" w:type="dxa"/>
          </w:tcPr>
          <w:p w14:paraId="20DCCE2C" w14:textId="77777777" w:rsidR="00D34961" w:rsidRPr="00D34961" w:rsidRDefault="00D34961" w:rsidP="002E4CE4">
            <w:pPr>
              <w:spacing w:before="60" w:after="60"/>
              <w:jc w:val="center"/>
              <w:rPr>
                <w:rFonts w:cs="Arial"/>
                <w:sz w:val="20"/>
              </w:rPr>
            </w:pPr>
            <w:r w:rsidRPr="00D34961">
              <w:rPr>
                <w:rFonts w:cs="Arial"/>
                <w:sz w:val="20"/>
              </w:rPr>
              <w:t>2009</w:t>
            </w:r>
          </w:p>
        </w:tc>
        <w:tc>
          <w:tcPr>
            <w:tcW w:w="2340" w:type="dxa"/>
            <w:vAlign w:val="center"/>
          </w:tcPr>
          <w:p w14:paraId="51DE28A7" w14:textId="77777777" w:rsidR="00D34961" w:rsidRPr="00D34961" w:rsidRDefault="00D34961" w:rsidP="002E4CE4">
            <w:pPr>
              <w:spacing w:before="60" w:after="60"/>
              <w:jc w:val="center"/>
              <w:rPr>
                <w:rFonts w:cs="Arial"/>
                <w:sz w:val="20"/>
                <w:szCs w:val="18"/>
              </w:rPr>
            </w:pPr>
            <w:r w:rsidRPr="00D34961">
              <w:rPr>
                <w:rFonts w:cs="Arial"/>
                <w:sz w:val="20"/>
                <w:szCs w:val="18"/>
              </w:rPr>
              <w:t>13,140</w:t>
            </w:r>
          </w:p>
        </w:tc>
      </w:tr>
      <w:tr w:rsidR="00D34961" w:rsidRPr="00D34961" w14:paraId="4C34DD75" w14:textId="77777777" w:rsidTr="002E4CE4">
        <w:trPr>
          <w:cantSplit/>
        </w:trPr>
        <w:tc>
          <w:tcPr>
            <w:tcW w:w="1620" w:type="dxa"/>
          </w:tcPr>
          <w:p w14:paraId="3B62A607" w14:textId="77777777" w:rsidR="00D34961" w:rsidRPr="00D34961" w:rsidRDefault="00D34961" w:rsidP="002E4CE4">
            <w:pPr>
              <w:spacing w:before="60" w:after="60"/>
              <w:jc w:val="center"/>
              <w:rPr>
                <w:rFonts w:cs="Arial"/>
                <w:sz w:val="20"/>
              </w:rPr>
            </w:pPr>
            <w:r w:rsidRPr="00D34961">
              <w:rPr>
                <w:rFonts w:cs="Arial"/>
                <w:sz w:val="20"/>
              </w:rPr>
              <w:t>2010</w:t>
            </w:r>
          </w:p>
        </w:tc>
        <w:tc>
          <w:tcPr>
            <w:tcW w:w="2340" w:type="dxa"/>
            <w:vAlign w:val="center"/>
          </w:tcPr>
          <w:p w14:paraId="5288265F" w14:textId="77777777" w:rsidR="00D34961" w:rsidRPr="00D34961" w:rsidRDefault="00D34961" w:rsidP="002E4CE4">
            <w:pPr>
              <w:spacing w:before="60" w:after="60"/>
              <w:jc w:val="center"/>
              <w:rPr>
                <w:rFonts w:cs="Arial"/>
                <w:sz w:val="20"/>
                <w:szCs w:val="18"/>
              </w:rPr>
            </w:pPr>
            <w:r w:rsidRPr="00D34961">
              <w:rPr>
                <w:rFonts w:cs="Arial"/>
                <w:sz w:val="20"/>
                <w:szCs w:val="18"/>
              </w:rPr>
              <w:t>13,080</w:t>
            </w:r>
          </w:p>
        </w:tc>
      </w:tr>
      <w:tr w:rsidR="00D34961" w:rsidRPr="00D34961" w14:paraId="645D2EB4" w14:textId="77777777" w:rsidTr="002E4CE4">
        <w:trPr>
          <w:cantSplit/>
        </w:trPr>
        <w:tc>
          <w:tcPr>
            <w:tcW w:w="1620" w:type="dxa"/>
          </w:tcPr>
          <w:p w14:paraId="2320AE44" w14:textId="77777777" w:rsidR="00D34961" w:rsidRPr="00D34961" w:rsidRDefault="00D34961" w:rsidP="002E4CE4">
            <w:pPr>
              <w:spacing w:before="60" w:after="60"/>
              <w:jc w:val="center"/>
              <w:rPr>
                <w:rFonts w:cs="Arial"/>
                <w:sz w:val="20"/>
              </w:rPr>
            </w:pPr>
            <w:r w:rsidRPr="00D34961">
              <w:rPr>
                <w:rFonts w:cs="Arial"/>
                <w:sz w:val="20"/>
              </w:rPr>
              <w:t>2011</w:t>
            </w:r>
          </w:p>
        </w:tc>
        <w:tc>
          <w:tcPr>
            <w:tcW w:w="2340" w:type="dxa"/>
            <w:vAlign w:val="center"/>
          </w:tcPr>
          <w:p w14:paraId="37CA3B99" w14:textId="77777777" w:rsidR="00D34961" w:rsidRPr="00D34961" w:rsidRDefault="00D34961" w:rsidP="002E4CE4">
            <w:pPr>
              <w:spacing w:before="60" w:after="60"/>
              <w:jc w:val="center"/>
              <w:rPr>
                <w:rFonts w:cs="Arial"/>
                <w:sz w:val="20"/>
                <w:szCs w:val="18"/>
              </w:rPr>
            </w:pPr>
            <w:r w:rsidRPr="00D34961">
              <w:rPr>
                <w:rFonts w:cs="Arial"/>
                <w:sz w:val="20"/>
                <w:szCs w:val="18"/>
              </w:rPr>
              <w:t>15,412</w:t>
            </w:r>
          </w:p>
        </w:tc>
      </w:tr>
      <w:tr w:rsidR="00D34961" w:rsidRPr="00D34961" w14:paraId="35D366D3" w14:textId="77777777" w:rsidTr="002E4CE4">
        <w:trPr>
          <w:cantSplit/>
        </w:trPr>
        <w:tc>
          <w:tcPr>
            <w:tcW w:w="1620" w:type="dxa"/>
          </w:tcPr>
          <w:p w14:paraId="65D58C3A" w14:textId="77777777" w:rsidR="00D34961" w:rsidRPr="00D34961" w:rsidRDefault="00D34961" w:rsidP="002E4CE4">
            <w:pPr>
              <w:spacing w:before="60" w:after="60"/>
              <w:jc w:val="center"/>
              <w:rPr>
                <w:rFonts w:cs="Arial"/>
                <w:sz w:val="20"/>
              </w:rPr>
            </w:pPr>
            <w:r w:rsidRPr="00D34961">
              <w:rPr>
                <w:rFonts w:cs="Arial"/>
                <w:sz w:val="20"/>
              </w:rPr>
              <w:t>2012</w:t>
            </w:r>
          </w:p>
        </w:tc>
        <w:tc>
          <w:tcPr>
            <w:tcW w:w="2340" w:type="dxa"/>
            <w:vAlign w:val="center"/>
          </w:tcPr>
          <w:p w14:paraId="4C7168EF" w14:textId="77777777" w:rsidR="00D34961" w:rsidRPr="00D34961" w:rsidRDefault="00D34961" w:rsidP="002E4CE4">
            <w:pPr>
              <w:spacing w:before="60" w:after="60"/>
              <w:jc w:val="center"/>
              <w:rPr>
                <w:rFonts w:cs="Arial"/>
                <w:sz w:val="20"/>
                <w:szCs w:val="18"/>
              </w:rPr>
            </w:pPr>
            <w:r w:rsidRPr="00D34961">
              <w:rPr>
                <w:rFonts w:cs="Arial"/>
                <w:sz w:val="20"/>
                <w:szCs w:val="18"/>
              </w:rPr>
              <w:t>15,094</w:t>
            </w:r>
          </w:p>
        </w:tc>
      </w:tr>
      <w:tr w:rsidR="00D34961" w:rsidRPr="00D34961" w14:paraId="05E7C8E3" w14:textId="77777777" w:rsidTr="002E4CE4">
        <w:trPr>
          <w:cantSplit/>
        </w:trPr>
        <w:tc>
          <w:tcPr>
            <w:tcW w:w="1620" w:type="dxa"/>
          </w:tcPr>
          <w:p w14:paraId="0A1C89DE" w14:textId="77777777" w:rsidR="00D34961" w:rsidRPr="00D34961" w:rsidRDefault="00D34961" w:rsidP="002E4CE4">
            <w:pPr>
              <w:spacing w:before="60" w:after="60"/>
              <w:jc w:val="center"/>
              <w:rPr>
                <w:rFonts w:cs="Arial"/>
                <w:sz w:val="20"/>
              </w:rPr>
            </w:pPr>
            <w:r w:rsidRPr="00D34961">
              <w:rPr>
                <w:rFonts w:cs="Arial"/>
                <w:sz w:val="20"/>
              </w:rPr>
              <w:t>2013</w:t>
            </w:r>
          </w:p>
        </w:tc>
        <w:tc>
          <w:tcPr>
            <w:tcW w:w="2340" w:type="dxa"/>
            <w:vAlign w:val="center"/>
          </w:tcPr>
          <w:p w14:paraId="03E1BBA1" w14:textId="77777777" w:rsidR="00D34961" w:rsidRPr="00D34961" w:rsidRDefault="00D34961" w:rsidP="002E4CE4">
            <w:pPr>
              <w:spacing w:before="60" w:after="60"/>
              <w:jc w:val="center"/>
              <w:rPr>
                <w:rFonts w:cs="Arial"/>
                <w:sz w:val="20"/>
                <w:szCs w:val="18"/>
              </w:rPr>
            </w:pPr>
            <w:r w:rsidRPr="00D34961">
              <w:rPr>
                <w:rFonts w:cs="Arial"/>
                <w:sz w:val="20"/>
                <w:szCs w:val="18"/>
              </w:rPr>
              <w:t>12,433</w:t>
            </w:r>
          </w:p>
        </w:tc>
      </w:tr>
      <w:tr w:rsidR="00D34961" w:rsidRPr="00D34961" w14:paraId="4E26C271" w14:textId="77777777" w:rsidTr="002E4CE4">
        <w:trPr>
          <w:cantSplit/>
        </w:trPr>
        <w:tc>
          <w:tcPr>
            <w:tcW w:w="1620" w:type="dxa"/>
          </w:tcPr>
          <w:p w14:paraId="28126530" w14:textId="77777777" w:rsidR="00D34961" w:rsidRPr="00D34961" w:rsidRDefault="00D34961" w:rsidP="002E4CE4">
            <w:pPr>
              <w:spacing w:before="60" w:after="60"/>
              <w:jc w:val="center"/>
              <w:rPr>
                <w:rFonts w:cs="Arial"/>
                <w:sz w:val="20"/>
              </w:rPr>
            </w:pPr>
            <w:r w:rsidRPr="00D34961">
              <w:rPr>
                <w:rFonts w:cs="Arial"/>
                <w:sz w:val="20"/>
              </w:rPr>
              <w:t>2014</w:t>
            </w:r>
          </w:p>
        </w:tc>
        <w:tc>
          <w:tcPr>
            <w:tcW w:w="2340" w:type="dxa"/>
            <w:vAlign w:val="center"/>
          </w:tcPr>
          <w:p w14:paraId="64C0A92B" w14:textId="77777777" w:rsidR="00D34961" w:rsidRPr="00D34961" w:rsidRDefault="00D34961" w:rsidP="002E4CE4">
            <w:pPr>
              <w:spacing w:before="60" w:after="60"/>
              <w:jc w:val="center"/>
              <w:rPr>
                <w:rFonts w:cs="Arial"/>
                <w:sz w:val="20"/>
                <w:szCs w:val="18"/>
              </w:rPr>
            </w:pPr>
            <w:r w:rsidRPr="00D34961">
              <w:rPr>
                <w:rFonts w:cs="Arial"/>
                <w:sz w:val="20"/>
                <w:szCs w:val="18"/>
              </w:rPr>
              <w:t>13,484</w:t>
            </w:r>
          </w:p>
        </w:tc>
      </w:tr>
      <w:tr w:rsidR="00D34961" w:rsidRPr="00D34961" w14:paraId="27980E92" w14:textId="77777777" w:rsidTr="002E4CE4">
        <w:trPr>
          <w:cantSplit/>
        </w:trPr>
        <w:tc>
          <w:tcPr>
            <w:tcW w:w="1620" w:type="dxa"/>
          </w:tcPr>
          <w:p w14:paraId="3FFE5180" w14:textId="77777777" w:rsidR="00D34961" w:rsidRPr="00D34961" w:rsidRDefault="00D34961" w:rsidP="002E4CE4">
            <w:pPr>
              <w:spacing w:before="60" w:after="60"/>
              <w:jc w:val="center"/>
              <w:rPr>
                <w:rFonts w:cs="Arial"/>
                <w:sz w:val="20"/>
              </w:rPr>
            </w:pPr>
            <w:r w:rsidRPr="00D34961">
              <w:rPr>
                <w:rFonts w:cs="Arial"/>
                <w:sz w:val="20"/>
              </w:rPr>
              <w:t>2015</w:t>
            </w:r>
          </w:p>
        </w:tc>
        <w:tc>
          <w:tcPr>
            <w:tcW w:w="2340" w:type="dxa"/>
            <w:vAlign w:val="center"/>
          </w:tcPr>
          <w:p w14:paraId="1A897D49" w14:textId="77777777" w:rsidR="00D34961" w:rsidRPr="00D34961" w:rsidRDefault="00D34961" w:rsidP="002E4CE4">
            <w:pPr>
              <w:spacing w:before="60" w:after="60"/>
              <w:jc w:val="center"/>
              <w:rPr>
                <w:rFonts w:cs="Arial"/>
                <w:sz w:val="20"/>
                <w:szCs w:val="18"/>
              </w:rPr>
            </w:pPr>
            <w:r w:rsidRPr="00D34961">
              <w:rPr>
                <w:rFonts w:cs="Arial"/>
                <w:sz w:val="20"/>
                <w:szCs w:val="18"/>
              </w:rPr>
              <w:t>12,829</w:t>
            </w:r>
          </w:p>
        </w:tc>
      </w:tr>
      <w:tr w:rsidR="00060E41" w:rsidRPr="00D34961" w14:paraId="73A46BF8" w14:textId="77777777" w:rsidTr="002E4CE4">
        <w:trPr>
          <w:cantSplit/>
        </w:trPr>
        <w:tc>
          <w:tcPr>
            <w:tcW w:w="1620" w:type="dxa"/>
          </w:tcPr>
          <w:p w14:paraId="462DAB20" w14:textId="353B44EB" w:rsidR="00060E41" w:rsidRPr="00D34961" w:rsidRDefault="00060E41" w:rsidP="002E4CE4">
            <w:pPr>
              <w:spacing w:before="60" w:after="60"/>
              <w:jc w:val="center"/>
              <w:rPr>
                <w:rFonts w:cs="Arial"/>
                <w:sz w:val="20"/>
              </w:rPr>
            </w:pPr>
            <w:r>
              <w:rPr>
                <w:rFonts w:cs="Arial"/>
                <w:sz w:val="20"/>
              </w:rPr>
              <w:t>2016</w:t>
            </w:r>
          </w:p>
        </w:tc>
        <w:tc>
          <w:tcPr>
            <w:tcW w:w="2340" w:type="dxa"/>
            <w:vAlign w:val="center"/>
          </w:tcPr>
          <w:p w14:paraId="610ABA92" w14:textId="3C83F73D" w:rsidR="00060E41" w:rsidRPr="00D34961" w:rsidRDefault="00952E93" w:rsidP="002E4CE4">
            <w:pPr>
              <w:spacing w:before="60" w:after="60"/>
              <w:jc w:val="center"/>
              <w:rPr>
                <w:rFonts w:cs="Arial"/>
                <w:sz w:val="20"/>
                <w:szCs w:val="18"/>
              </w:rPr>
            </w:pPr>
            <w:r>
              <w:rPr>
                <w:rFonts w:cs="Arial"/>
                <w:sz w:val="20"/>
                <w:szCs w:val="18"/>
              </w:rPr>
              <w:t>14,760</w:t>
            </w:r>
          </w:p>
        </w:tc>
      </w:tr>
      <w:tr w:rsidR="00060E41" w:rsidRPr="00D34961" w14:paraId="369E6804" w14:textId="77777777" w:rsidTr="002E4CE4">
        <w:trPr>
          <w:cantSplit/>
        </w:trPr>
        <w:tc>
          <w:tcPr>
            <w:tcW w:w="1620" w:type="dxa"/>
          </w:tcPr>
          <w:p w14:paraId="05CF0FBE" w14:textId="041DC3DA" w:rsidR="00060E41" w:rsidRPr="00D34961" w:rsidRDefault="00060E41" w:rsidP="002E4CE4">
            <w:pPr>
              <w:spacing w:before="60" w:after="60"/>
              <w:jc w:val="center"/>
              <w:rPr>
                <w:rFonts w:cs="Arial"/>
                <w:sz w:val="20"/>
              </w:rPr>
            </w:pPr>
            <w:r>
              <w:rPr>
                <w:rFonts w:cs="Arial"/>
                <w:sz w:val="20"/>
              </w:rPr>
              <w:t>2017</w:t>
            </w:r>
          </w:p>
        </w:tc>
        <w:tc>
          <w:tcPr>
            <w:tcW w:w="2340" w:type="dxa"/>
            <w:vAlign w:val="center"/>
          </w:tcPr>
          <w:p w14:paraId="739BAF3B" w14:textId="2AF67047" w:rsidR="00060E41" w:rsidRPr="00D34961" w:rsidRDefault="00BC7762" w:rsidP="002E4CE4">
            <w:pPr>
              <w:spacing w:before="60" w:after="60"/>
              <w:jc w:val="center"/>
              <w:rPr>
                <w:rFonts w:cs="Arial"/>
                <w:sz w:val="20"/>
                <w:szCs w:val="18"/>
              </w:rPr>
            </w:pPr>
            <w:r>
              <w:rPr>
                <w:rFonts w:cs="Arial"/>
                <w:sz w:val="20"/>
                <w:szCs w:val="18"/>
              </w:rPr>
              <w:t>10,286</w:t>
            </w:r>
          </w:p>
        </w:tc>
      </w:tr>
    </w:tbl>
    <w:p w14:paraId="0F73C199" w14:textId="77777777" w:rsidR="00D34961" w:rsidRPr="00D34961" w:rsidRDefault="00D34961" w:rsidP="00D34961">
      <w:pPr>
        <w:jc w:val="both"/>
        <w:rPr>
          <w:rFonts w:cs="Arial"/>
          <w:sz w:val="18"/>
          <w:szCs w:val="20"/>
        </w:rPr>
      </w:pPr>
    </w:p>
    <w:p w14:paraId="66D6B3CA" w14:textId="77777777" w:rsidR="00D34961" w:rsidRPr="00D34961" w:rsidRDefault="00D34961" w:rsidP="00D34961">
      <w:pPr>
        <w:jc w:val="both"/>
        <w:rPr>
          <w:rFonts w:cs="Arial"/>
          <w:sz w:val="18"/>
          <w:szCs w:val="20"/>
        </w:rPr>
      </w:pPr>
      <w:r w:rsidRPr="00D34961">
        <w:rPr>
          <w:rFonts w:cs="Arial"/>
          <w:sz w:val="18"/>
          <w:szCs w:val="20"/>
        </w:rPr>
        <w:t>Source:  Citation data provided by the Department</w:t>
      </w:r>
    </w:p>
    <w:p w14:paraId="55BC48D6" w14:textId="77777777" w:rsidR="00D34961" w:rsidRPr="00D34961" w:rsidRDefault="00D34961" w:rsidP="00D34961">
      <w:pPr>
        <w:jc w:val="both"/>
        <w:rPr>
          <w:rFonts w:cs="Arial"/>
          <w:sz w:val="18"/>
          <w:szCs w:val="20"/>
        </w:rPr>
      </w:pPr>
    </w:p>
    <w:p w14:paraId="33432EA2" w14:textId="7EF001C5" w:rsidR="00D34961" w:rsidRPr="00D34961" w:rsidRDefault="00D34961" w:rsidP="00D34961">
      <w:pPr>
        <w:spacing w:before="0" w:after="0"/>
        <w:jc w:val="both"/>
        <w:rPr>
          <w:rFonts w:cs="Arial"/>
        </w:rPr>
      </w:pPr>
      <w:r w:rsidRPr="00D34961">
        <w:rPr>
          <w:rFonts w:cs="Arial"/>
        </w:rPr>
        <w:t xml:space="preserve">Table 4.1 shows that the number of citations requiring a plan of correction was at its highest point in Calendar Year </w:t>
      </w:r>
      <w:r w:rsidRPr="0052491B">
        <w:rPr>
          <w:rFonts w:cs="Arial"/>
        </w:rPr>
        <w:t>2011</w:t>
      </w:r>
      <w:r w:rsidR="003164A1">
        <w:rPr>
          <w:rFonts w:cs="Arial"/>
        </w:rPr>
        <w:t>,</w:t>
      </w:r>
      <w:r w:rsidRPr="00D34961">
        <w:rPr>
          <w:rFonts w:cs="Arial"/>
        </w:rPr>
        <w:t xml:space="preserve"> and that </w:t>
      </w:r>
      <w:r w:rsidR="003164A1">
        <w:rPr>
          <w:rFonts w:cs="Arial"/>
        </w:rPr>
        <w:t>between</w:t>
      </w:r>
      <w:r w:rsidRPr="00D34961">
        <w:rPr>
          <w:rFonts w:cs="Arial"/>
        </w:rPr>
        <w:t xml:space="preserve"> Calendar Year</w:t>
      </w:r>
      <w:r w:rsidR="003164A1">
        <w:rPr>
          <w:rFonts w:cs="Arial"/>
        </w:rPr>
        <w:t>s</w:t>
      </w:r>
      <w:r w:rsidRPr="00D34961">
        <w:rPr>
          <w:rFonts w:cs="Arial"/>
        </w:rPr>
        <w:t xml:space="preserve"> </w:t>
      </w:r>
      <w:r w:rsidR="00BC7762">
        <w:rPr>
          <w:rFonts w:cs="Arial"/>
        </w:rPr>
        <w:t>2011</w:t>
      </w:r>
      <w:r w:rsidR="003164A1">
        <w:rPr>
          <w:rFonts w:cs="Arial"/>
        </w:rPr>
        <w:t xml:space="preserve"> and </w:t>
      </w:r>
      <w:r w:rsidRPr="0052491B">
        <w:rPr>
          <w:rFonts w:cs="Arial"/>
        </w:rPr>
        <w:t>201</w:t>
      </w:r>
      <w:r w:rsidR="0052491B">
        <w:rPr>
          <w:rFonts w:cs="Arial"/>
        </w:rPr>
        <w:t>6</w:t>
      </w:r>
      <w:r w:rsidRPr="00D34961">
        <w:rPr>
          <w:rFonts w:cs="Arial"/>
        </w:rPr>
        <w:t xml:space="preserve">, </w:t>
      </w:r>
      <w:r w:rsidR="003164A1">
        <w:rPr>
          <w:rFonts w:cs="Arial"/>
        </w:rPr>
        <w:t xml:space="preserve">total citations </w:t>
      </w:r>
      <w:r w:rsidRPr="00D34961">
        <w:rPr>
          <w:rFonts w:cs="Arial"/>
        </w:rPr>
        <w:t xml:space="preserve">decreased by approximately </w:t>
      </w:r>
      <w:r w:rsidR="00BC7762">
        <w:rPr>
          <w:rFonts w:cs="Arial"/>
        </w:rPr>
        <w:t>4</w:t>
      </w:r>
      <w:r w:rsidRPr="00D34961">
        <w:rPr>
          <w:rFonts w:cs="Arial"/>
        </w:rPr>
        <w:t xml:space="preserve"> percent.</w:t>
      </w:r>
      <w:r w:rsidR="0052491B">
        <w:rPr>
          <w:rFonts w:cs="Arial"/>
        </w:rPr>
        <w:t xml:space="preserve">  It should be noted that total citations for 2017 were available through August 31, 2017</w:t>
      </w:r>
      <w:r w:rsidR="003164A1">
        <w:rPr>
          <w:rFonts w:cs="Arial"/>
        </w:rPr>
        <w:t xml:space="preserve"> at the time this report was completed</w:t>
      </w:r>
      <w:r w:rsidR="0052491B">
        <w:rPr>
          <w:rFonts w:cs="Arial"/>
        </w:rPr>
        <w:t xml:space="preserve">.  </w:t>
      </w:r>
      <w:bookmarkStart w:id="5" w:name="_Hlk507165388"/>
      <w:r w:rsidR="00976807" w:rsidRPr="00976807">
        <w:rPr>
          <w:rFonts w:cs="Arial"/>
        </w:rPr>
        <w:t>The 2017 citations in Table 4.1 represent actual citations through August 31, 2017</w:t>
      </w:r>
      <w:r w:rsidR="00FC7C0C">
        <w:rPr>
          <w:rFonts w:cs="Arial"/>
        </w:rPr>
        <w:t>,</w:t>
      </w:r>
      <w:r w:rsidR="00976807" w:rsidRPr="00976807">
        <w:rPr>
          <w:rFonts w:cs="Arial"/>
        </w:rPr>
        <w:t xml:space="preserve"> and we have not attempted to make adjustments </w:t>
      </w:r>
      <w:r w:rsidR="00FC7C0C">
        <w:rPr>
          <w:rFonts w:cs="Arial"/>
        </w:rPr>
        <w:t xml:space="preserve">to project the number of citations </w:t>
      </w:r>
      <w:r w:rsidR="00976807" w:rsidRPr="00976807">
        <w:rPr>
          <w:rFonts w:cs="Arial"/>
        </w:rPr>
        <w:t xml:space="preserve">for the remaining four months of the year.  </w:t>
      </w:r>
      <w:r w:rsidR="00FC7C0C">
        <w:rPr>
          <w:rFonts w:cs="Arial"/>
        </w:rPr>
        <w:t xml:space="preserve">Further, we did not rely on this partial year of information in drawing conclusions regarding quality.  </w:t>
      </w:r>
      <w:bookmarkEnd w:id="5"/>
    </w:p>
    <w:p w14:paraId="216A4065" w14:textId="79317D15" w:rsidR="00D34961" w:rsidRPr="00D34961" w:rsidRDefault="00D34961" w:rsidP="00D34961">
      <w:pPr>
        <w:spacing w:before="0" w:after="0"/>
        <w:rPr>
          <w:rFonts w:cs="Arial"/>
        </w:rPr>
      </w:pPr>
      <w:r w:rsidRPr="00D34961">
        <w:rPr>
          <w:rFonts w:cs="Arial"/>
        </w:rPr>
        <w:lastRenderedPageBreak/>
        <w:t xml:space="preserve">In addition to the inspection process, there are other safeguards in place for Adult Family Home residents. </w:t>
      </w:r>
      <w:r w:rsidR="00C97C30">
        <w:rPr>
          <w:rFonts w:cs="Arial"/>
        </w:rPr>
        <w:t xml:space="preserve"> </w:t>
      </w:r>
      <w:r w:rsidRPr="00D34961">
        <w:rPr>
          <w:rFonts w:cs="Arial"/>
        </w:rPr>
        <w:t xml:space="preserve">All Adult Family Home staff are required by law to report suspected abuse or neglect of a resident, which trigger the inspection process. </w:t>
      </w:r>
      <w:r w:rsidR="00C97C30">
        <w:rPr>
          <w:rFonts w:cs="Arial"/>
        </w:rPr>
        <w:t xml:space="preserve"> </w:t>
      </w:r>
      <w:r w:rsidRPr="00D34961">
        <w:rPr>
          <w:rFonts w:cs="Arial"/>
        </w:rPr>
        <w:t xml:space="preserve">There is also an established complaint investigation system that has the ability to quickly respond to public allegations of resident abuse and neglect. </w:t>
      </w:r>
      <w:r w:rsidR="00C97C30">
        <w:rPr>
          <w:rFonts w:cs="Arial"/>
        </w:rPr>
        <w:t xml:space="preserve"> </w:t>
      </w:r>
      <w:r w:rsidRPr="00D34961">
        <w:rPr>
          <w:rFonts w:cs="Arial"/>
        </w:rPr>
        <w:t xml:space="preserve">Under this system, all reports received from the public are assigned an on-site investigative priority.  </w:t>
      </w:r>
    </w:p>
    <w:p w14:paraId="04351EB7" w14:textId="77777777" w:rsidR="00D34961" w:rsidRPr="00D34961" w:rsidRDefault="00D34961" w:rsidP="00D34961">
      <w:pPr>
        <w:spacing w:before="0" w:after="0"/>
        <w:jc w:val="both"/>
        <w:rPr>
          <w:rFonts w:cs="Arial"/>
        </w:rPr>
      </w:pPr>
    </w:p>
    <w:p w14:paraId="04E7F28E" w14:textId="114C53DD" w:rsidR="00D34961" w:rsidRPr="00D34961" w:rsidRDefault="00D34961" w:rsidP="00D34961">
      <w:pPr>
        <w:spacing w:before="0" w:after="0"/>
        <w:jc w:val="both"/>
        <w:rPr>
          <w:rFonts w:cs="Arial"/>
        </w:rPr>
      </w:pPr>
      <w:r w:rsidRPr="00D34961">
        <w:rPr>
          <w:rFonts w:cs="Arial"/>
        </w:rPr>
        <w:t>According to the Department, the increase in the number of citations in CY 2011 and CY 2012 may be attributed to an increased focus on enforcement, regulation, and quality</w:t>
      </w:r>
      <w:r w:rsidR="00ED3263">
        <w:rPr>
          <w:rFonts w:cs="Arial"/>
        </w:rPr>
        <w:t xml:space="preserve"> control in Adult Family Homes.  </w:t>
      </w:r>
      <w:r w:rsidRPr="00D34961">
        <w:rPr>
          <w:rFonts w:cs="Arial"/>
        </w:rPr>
        <w:t xml:space="preserve">This focus on enforcement and quality control was reflected in the manner inspections were conducted and resulted in more citations during this period. </w:t>
      </w:r>
    </w:p>
    <w:p w14:paraId="5150DB2C" w14:textId="77777777" w:rsidR="00D34961" w:rsidRPr="00D34961" w:rsidRDefault="00D34961" w:rsidP="00D34961">
      <w:pPr>
        <w:spacing w:before="0" w:after="0"/>
        <w:jc w:val="both"/>
        <w:rPr>
          <w:rFonts w:cs="Arial"/>
        </w:rPr>
      </w:pPr>
      <w:r w:rsidRPr="00D34961">
        <w:rPr>
          <w:rFonts w:cs="Arial"/>
        </w:rPr>
        <w:t xml:space="preserve"> </w:t>
      </w:r>
    </w:p>
    <w:p w14:paraId="25F4F98F" w14:textId="0B6FB52E" w:rsidR="00D34961" w:rsidRPr="00D34961" w:rsidRDefault="00D34961" w:rsidP="00D34961">
      <w:pPr>
        <w:spacing w:before="0" w:after="0"/>
        <w:jc w:val="both"/>
        <w:rPr>
          <w:rFonts w:cs="Arial"/>
        </w:rPr>
      </w:pPr>
      <w:r w:rsidRPr="00D34961">
        <w:rPr>
          <w:rFonts w:cs="Arial"/>
        </w:rPr>
        <w:t xml:space="preserve">The significant decrease in the number of citations since CY 2012 may be attributed to several factors. </w:t>
      </w:r>
      <w:r w:rsidR="00C97C30">
        <w:rPr>
          <w:rFonts w:cs="Arial"/>
        </w:rPr>
        <w:t xml:space="preserve"> </w:t>
      </w:r>
      <w:r w:rsidRPr="00D34961">
        <w:rPr>
          <w:rFonts w:cs="Arial"/>
        </w:rPr>
        <w:t xml:space="preserve">According to the Department, the implementation of the Tracking Incidents among Vulnerable Adults (TIVA) system has allowed for better information collection on reported incidents. </w:t>
      </w:r>
      <w:r w:rsidR="00C97C30">
        <w:rPr>
          <w:rFonts w:cs="Arial"/>
        </w:rPr>
        <w:t xml:space="preserve"> </w:t>
      </w:r>
      <w:r w:rsidRPr="00D34961">
        <w:rPr>
          <w:rFonts w:cs="Arial"/>
        </w:rPr>
        <w:t xml:space="preserve">As a result, incidents which require field investigations are more accurately identified and issues can be addressed with the Adult Family Home provider therefore preventing some citations. </w:t>
      </w:r>
    </w:p>
    <w:p w14:paraId="42169CDE" w14:textId="77777777" w:rsidR="00D34961" w:rsidRPr="00D34961" w:rsidRDefault="00D34961" w:rsidP="00D34961">
      <w:pPr>
        <w:spacing w:before="0" w:after="0"/>
        <w:jc w:val="both"/>
        <w:rPr>
          <w:rFonts w:cs="Arial"/>
        </w:rPr>
      </w:pPr>
    </w:p>
    <w:p w14:paraId="04D056A4" w14:textId="2A38CABE" w:rsidR="00280386" w:rsidRDefault="00D34961" w:rsidP="00D34961">
      <w:pPr>
        <w:spacing w:before="0" w:after="0"/>
        <w:rPr>
          <w:rFonts w:cs="Arial"/>
        </w:rPr>
      </w:pPr>
      <w:r w:rsidRPr="00D34961">
        <w:rPr>
          <w:rFonts w:cs="Arial"/>
        </w:rPr>
        <w:t xml:space="preserve">Another factor which may have contributed to the decrease in citations is providers becoming increasingly familiar with new regulations and therefore better able to prevent citations. </w:t>
      </w:r>
      <w:r w:rsidR="00C97C30">
        <w:rPr>
          <w:rFonts w:cs="Arial"/>
        </w:rPr>
        <w:t xml:space="preserve"> </w:t>
      </w:r>
      <w:r w:rsidRPr="00D34961">
        <w:rPr>
          <w:rFonts w:cs="Arial"/>
        </w:rPr>
        <w:t xml:space="preserve">The decrease in the number of citations may also be attributed to the increase in licensing fees for Adult Family Homes. </w:t>
      </w:r>
      <w:r w:rsidR="00C97C30">
        <w:rPr>
          <w:rFonts w:cs="Arial"/>
        </w:rPr>
        <w:t xml:space="preserve"> </w:t>
      </w:r>
      <w:r w:rsidRPr="00D34961">
        <w:rPr>
          <w:rFonts w:cs="Arial"/>
        </w:rPr>
        <w:t>The increase in licensing fees may have discouraged providers who were not serious about providing care from providing services and further reduced the number of citations since CY 2012, according to the Department.</w:t>
      </w:r>
    </w:p>
    <w:p w14:paraId="14D9F158" w14:textId="77777777" w:rsidR="00D34961" w:rsidRDefault="00D34961" w:rsidP="00D34961">
      <w:pPr>
        <w:spacing w:before="0" w:after="0"/>
        <w:rPr>
          <w:rFonts w:cs="Arial"/>
        </w:rPr>
      </w:pPr>
    </w:p>
    <w:p w14:paraId="36DCACA1" w14:textId="77777777" w:rsidR="00D34961" w:rsidRPr="00D34961" w:rsidRDefault="00D34961" w:rsidP="00D34961">
      <w:pPr>
        <w:spacing w:before="0" w:after="0"/>
        <w:rPr>
          <w:rFonts w:cs="Arial"/>
        </w:rPr>
      </w:pPr>
    </w:p>
    <w:p w14:paraId="1CB62C29" w14:textId="37FBA4B7" w:rsidR="00DC7AA3" w:rsidRDefault="00A448C5" w:rsidP="001D03A8">
      <w:pPr>
        <w:pStyle w:val="Heading1"/>
        <w:tabs>
          <w:tab w:val="left" w:pos="2160"/>
        </w:tabs>
        <w:spacing w:before="360"/>
      </w:pPr>
      <w:bookmarkStart w:id="6" w:name="_Toc441841144"/>
      <w:r>
        <w:t>Sec</w:t>
      </w:r>
      <w:r w:rsidR="00280386">
        <w:t>tion V</w:t>
      </w:r>
      <w:r w:rsidR="002E4CE4">
        <w:t xml:space="preserve">:  </w:t>
      </w:r>
      <w:r w:rsidR="00D34961">
        <w:t>Comparison of the Costs of Adult Family Home Services to Current</w:t>
      </w:r>
      <w:r w:rsidR="00DC7AA3" w:rsidRPr="00DC7AA3">
        <w:t xml:space="preserve"> R</w:t>
      </w:r>
      <w:r w:rsidR="00D34961">
        <w:t>ates</w:t>
      </w:r>
      <w:bookmarkEnd w:id="6"/>
    </w:p>
    <w:p w14:paraId="4221F9ED" w14:textId="2C7DBFE8" w:rsidR="00DC7AA3" w:rsidRDefault="00DC7AA3" w:rsidP="00DC7AA3">
      <w:pPr>
        <w:spacing w:before="0" w:after="0"/>
      </w:pPr>
    </w:p>
    <w:p w14:paraId="1D68E5FA" w14:textId="5D69D61E" w:rsidR="00D34961" w:rsidRPr="00D34961" w:rsidRDefault="00D34961" w:rsidP="00D34961">
      <w:pPr>
        <w:spacing w:before="0" w:after="0"/>
        <w:rPr>
          <w:rFonts w:cs="Arial"/>
        </w:rPr>
      </w:pPr>
      <w:r w:rsidRPr="00D34961">
        <w:rPr>
          <w:rFonts w:cs="Arial"/>
        </w:rPr>
        <w:t xml:space="preserve">In the previous sections of this report, we analyzed whether Washington’s Medicaid payment methodology for Adult Family Home services supports sufficient access to care for Washington’s Medicaid beneficiaries and whether Washington’s Medicaid payment methodology supports provision of care at an acceptable level of quality. </w:t>
      </w:r>
      <w:r w:rsidR="00C97C30">
        <w:rPr>
          <w:rFonts w:cs="Arial"/>
        </w:rPr>
        <w:t xml:space="preserve"> </w:t>
      </w:r>
      <w:r w:rsidRPr="00D34961">
        <w:rPr>
          <w:rFonts w:cs="Arial"/>
        </w:rPr>
        <w:t xml:space="preserve">In this section of the report, we analyze the level of the current reimbursement rates compared to the costs of providing services. </w:t>
      </w:r>
    </w:p>
    <w:p w14:paraId="5C4B5FA4" w14:textId="77777777" w:rsidR="00D34961" w:rsidRPr="00D34961" w:rsidRDefault="00D34961" w:rsidP="00D34961">
      <w:pPr>
        <w:spacing w:before="0" w:after="0"/>
        <w:rPr>
          <w:rFonts w:cs="Arial"/>
        </w:rPr>
      </w:pPr>
      <w:r w:rsidRPr="00D34961">
        <w:rPr>
          <w:rFonts w:cs="Arial"/>
        </w:rPr>
        <w:t xml:space="preserve"> </w:t>
      </w:r>
    </w:p>
    <w:p w14:paraId="52A0FCC8" w14:textId="788C0BFF" w:rsidR="00D34961" w:rsidRPr="00D34961" w:rsidRDefault="00D34961" w:rsidP="00D34961">
      <w:pPr>
        <w:pStyle w:val="CommentText"/>
        <w:spacing w:before="0" w:after="0"/>
        <w:rPr>
          <w:rFonts w:cs="Arial"/>
          <w:sz w:val="22"/>
        </w:rPr>
      </w:pPr>
      <w:r w:rsidRPr="00D34961">
        <w:rPr>
          <w:rFonts w:cs="Arial"/>
          <w:sz w:val="22"/>
        </w:rPr>
        <w:t xml:space="preserve">Adult Family Home providers are not required to submit cost data to the Department, and as such, it is not possible to make comparisons of current rates to current cost data from the providers of Adult Family Home services.  However, it is possible to look back to historical data, using trending assumptions to take into consideration inflation over time, and make comparisons of rates to costs. </w:t>
      </w:r>
      <w:r w:rsidR="00ED3263">
        <w:rPr>
          <w:rFonts w:cs="Arial"/>
          <w:sz w:val="22"/>
        </w:rPr>
        <w:t xml:space="preserve"> </w:t>
      </w:r>
      <w:r w:rsidRPr="00D34961">
        <w:rPr>
          <w:rFonts w:cs="Arial"/>
          <w:sz w:val="22"/>
        </w:rPr>
        <w:t xml:space="preserve">The most recent and comprehensive study of the relationship between the costs of providing Adult Family Home services and rates was completed by DSHS in 2003. </w:t>
      </w:r>
    </w:p>
    <w:p w14:paraId="050E5535" w14:textId="77777777" w:rsidR="00D34961" w:rsidRPr="00D34961" w:rsidRDefault="00D34961" w:rsidP="00D34961">
      <w:pPr>
        <w:pStyle w:val="CommentText"/>
        <w:spacing w:before="0" w:after="0"/>
        <w:rPr>
          <w:rFonts w:cs="Arial"/>
          <w:sz w:val="22"/>
        </w:rPr>
      </w:pPr>
    </w:p>
    <w:p w14:paraId="11E78FD9" w14:textId="596F62EE" w:rsidR="00D34961" w:rsidRPr="00D34961" w:rsidRDefault="00D34961" w:rsidP="00D34961">
      <w:pPr>
        <w:pStyle w:val="CommentText"/>
        <w:spacing w:before="0" w:after="0"/>
        <w:rPr>
          <w:rFonts w:cs="Arial"/>
          <w:sz w:val="22"/>
        </w:rPr>
      </w:pPr>
      <w:r w:rsidRPr="00D34961">
        <w:rPr>
          <w:rFonts w:cs="Arial"/>
          <w:sz w:val="22"/>
        </w:rPr>
        <w:t>To determine the costs to providers of providing services and what an appropriate level of reimbursement would be, the Department staff and Home and Community residential care industry representatives, providers</w:t>
      </w:r>
      <w:r w:rsidR="00D90A60">
        <w:rPr>
          <w:rFonts w:cs="Arial"/>
          <w:sz w:val="22"/>
        </w:rPr>
        <w:t>,</w:t>
      </w:r>
      <w:r w:rsidRPr="00D34961">
        <w:rPr>
          <w:rFonts w:cs="Arial"/>
          <w:sz w:val="22"/>
        </w:rPr>
        <w:t xml:space="preserve"> and interested parties formed workgroups. </w:t>
      </w:r>
      <w:r w:rsidR="00C97C30">
        <w:rPr>
          <w:rFonts w:cs="Arial"/>
          <w:sz w:val="22"/>
        </w:rPr>
        <w:t xml:space="preserve"> </w:t>
      </w:r>
      <w:r w:rsidRPr="00D34961">
        <w:rPr>
          <w:rFonts w:cs="Arial"/>
          <w:sz w:val="22"/>
        </w:rPr>
        <w:t xml:space="preserve">Over a </w:t>
      </w:r>
      <w:proofErr w:type="gramStart"/>
      <w:r w:rsidRPr="00D34961">
        <w:rPr>
          <w:rFonts w:cs="Arial"/>
          <w:sz w:val="22"/>
        </w:rPr>
        <w:t>two year</w:t>
      </w:r>
      <w:proofErr w:type="gramEnd"/>
      <w:r w:rsidRPr="00D34961">
        <w:rPr>
          <w:rFonts w:cs="Arial"/>
          <w:sz w:val="22"/>
        </w:rPr>
        <w:t xml:space="preserve"> period, the workgroups conducted research and held monthly meetings to discuss their results, proposals and issues.  During this process, all cost components of providing Home and Community residential care and services were systematically identified and proxies or benchmarks were chosen to represent the market price for these components. </w:t>
      </w:r>
      <w:r w:rsidR="00C97C30">
        <w:rPr>
          <w:rFonts w:cs="Arial"/>
          <w:sz w:val="22"/>
        </w:rPr>
        <w:t xml:space="preserve"> </w:t>
      </w:r>
      <w:r w:rsidRPr="00D34961">
        <w:rPr>
          <w:rFonts w:cs="Arial"/>
          <w:sz w:val="22"/>
        </w:rPr>
        <w:t xml:space="preserve">The </w:t>
      </w:r>
      <w:r w:rsidRPr="00D34961">
        <w:rPr>
          <w:rFonts w:cs="Arial"/>
          <w:sz w:val="22"/>
        </w:rPr>
        <w:lastRenderedPageBreak/>
        <w:t xml:space="preserve">workgroups chose to use proxies and benchmarks for identified costs because of the prohibitive cost of collecting and updating actual cost data from the State’s Adult Family Home providers. </w:t>
      </w:r>
      <w:r w:rsidR="00C97C30">
        <w:rPr>
          <w:rFonts w:cs="Arial"/>
          <w:sz w:val="22"/>
        </w:rPr>
        <w:t xml:space="preserve"> </w:t>
      </w:r>
      <w:r w:rsidRPr="00D34961">
        <w:rPr>
          <w:rFonts w:cs="Arial"/>
          <w:sz w:val="22"/>
        </w:rPr>
        <w:t>The workgroups selected various industry benchmarks for wage and salary levels, supplies, insurance, food, utilities and capital costs.</w:t>
      </w:r>
    </w:p>
    <w:p w14:paraId="7B863725" w14:textId="77777777" w:rsidR="00D34961" w:rsidRPr="00D34961" w:rsidRDefault="00D34961" w:rsidP="00D34961">
      <w:pPr>
        <w:pStyle w:val="CommentText"/>
        <w:spacing w:before="0" w:after="0"/>
        <w:rPr>
          <w:rFonts w:cs="Arial"/>
          <w:sz w:val="22"/>
        </w:rPr>
      </w:pPr>
    </w:p>
    <w:p w14:paraId="66FE72EF" w14:textId="77777777" w:rsidR="00D34961" w:rsidRPr="00D34961" w:rsidRDefault="00D34961" w:rsidP="00D34961">
      <w:pPr>
        <w:pStyle w:val="CommentText"/>
        <w:spacing w:before="0" w:after="0"/>
        <w:rPr>
          <w:rFonts w:cs="Arial"/>
          <w:sz w:val="22"/>
        </w:rPr>
      </w:pPr>
      <w:r w:rsidRPr="00D34961">
        <w:rPr>
          <w:rFonts w:cs="Arial"/>
          <w:sz w:val="22"/>
        </w:rPr>
        <w:t xml:space="preserve">Using the product of these workgroups, the Department designed a pricing method to establish per resident day market rates for providing Adult Family Home services for each CARE Classification and for the three geographic regions described previously in this report.  </w:t>
      </w:r>
    </w:p>
    <w:p w14:paraId="4A8C3BA0" w14:textId="77777777" w:rsidR="00D34961" w:rsidRPr="00D34961" w:rsidRDefault="00D34961" w:rsidP="00D34961">
      <w:pPr>
        <w:pStyle w:val="CommentText"/>
        <w:spacing w:before="0" w:after="0"/>
        <w:rPr>
          <w:rFonts w:cs="Arial"/>
          <w:sz w:val="22"/>
        </w:rPr>
      </w:pPr>
    </w:p>
    <w:p w14:paraId="00D84C2F" w14:textId="77777777" w:rsidR="00D34961" w:rsidRPr="00D34961" w:rsidRDefault="00D34961" w:rsidP="00D34961">
      <w:pPr>
        <w:pStyle w:val="CommentText"/>
        <w:spacing w:before="0" w:after="0"/>
        <w:rPr>
          <w:rFonts w:cs="Arial"/>
          <w:sz w:val="22"/>
        </w:rPr>
      </w:pPr>
      <w:r w:rsidRPr="00D34961">
        <w:rPr>
          <w:rFonts w:cs="Arial"/>
          <w:sz w:val="22"/>
        </w:rPr>
        <w:t>The Department used benchmarks to represent the market price of:</w:t>
      </w:r>
    </w:p>
    <w:p w14:paraId="04EF5F80" w14:textId="77777777" w:rsidR="00D34961" w:rsidRPr="00D34961" w:rsidRDefault="00D34961" w:rsidP="00D34961">
      <w:pPr>
        <w:pStyle w:val="CommentText"/>
        <w:rPr>
          <w:rFonts w:cs="Arial"/>
          <w:sz w:val="22"/>
        </w:rPr>
      </w:pPr>
    </w:p>
    <w:p w14:paraId="6E2F5C5C" w14:textId="77777777" w:rsidR="00D34961" w:rsidRPr="00D34961" w:rsidRDefault="00D34961" w:rsidP="00D34961">
      <w:pPr>
        <w:pStyle w:val="CommentText"/>
        <w:widowControl/>
        <w:numPr>
          <w:ilvl w:val="0"/>
          <w:numId w:val="9"/>
        </w:numPr>
        <w:spacing w:before="0"/>
        <w:rPr>
          <w:rFonts w:cs="Arial"/>
          <w:sz w:val="22"/>
        </w:rPr>
      </w:pPr>
      <w:r w:rsidRPr="00D34961">
        <w:rPr>
          <w:rFonts w:cs="Arial"/>
          <w:b/>
          <w:sz w:val="22"/>
        </w:rPr>
        <w:t>Salaries and Wages</w:t>
      </w:r>
      <w:r w:rsidRPr="00D34961">
        <w:rPr>
          <w:rFonts w:cs="Arial"/>
          <w:sz w:val="22"/>
        </w:rPr>
        <w:t xml:space="preserve"> – based on wage rates extracted from the U.S. Bureau of Labor and Statistics in 2002.</w:t>
      </w:r>
    </w:p>
    <w:p w14:paraId="29F716DD" w14:textId="77777777" w:rsidR="00D34961" w:rsidRPr="00D34961" w:rsidRDefault="00D34961" w:rsidP="00D34961">
      <w:pPr>
        <w:pStyle w:val="CommentText"/>
        <w:widowControl/>
        <w:numPr>
          <w:ilvl w:val="0"/>
          <w:numId w:val="9"/>
        </w:numPr>
        <w:spacing w:before="0"/>
        <w:rPr>
          <w:rFonts w:cs="Arial"/>
          <w:sz w:val="22"/>
        </w:rPr>
      </w:pPr>
      <w:r w:rsidRPr="00D34961">
        <w:rPr>
          <w:rFonts w:cs="Arial"/>
          <w:b/>
          <w:sz w:val="22"/>
        </w:rPr>
        <w:t>Payroll Taxes and Fringe Benefits</w:t>
      </w:r>
      <w:r w:rsidRPr="00D34961">
        <w:rPr>
          <w:rFonts w:cs="Arial"/>
          <w:sz w:val="22"/>
        </w:rPr>
        <w:t xml:space="preserve"> – based on data extracted from nursing facility Medicaid cost reports from 1999, adjusted by a 2003 legislatively mandated inflation rate.</w:t>
      </w:r>
    </w:p>
    <w:p w14:paraId="0734E3FF" w14:textId="77777777" w:rsidR="00D34961" w:rsidRPr="00D34961" w:rsidRDefault="00D34961" w:rsidP="00D34961">
      <w:pPr>
        <w:pStyle w:val="CommentText"/>
        <w:widowControl/>
        <w:numPr>
          <w:ilvl w:val="0"/>
          <w:numId w:val="9"/>
        </w:numPr>
        <w:spacing w:before="0" w:after="0"/>
        <w:rPr>
          <w:rFonts w:cs="Arial"/>
          <w:sz w:val="22"/>
        </w:rPr>
      </w:pPr>
      <w:r w:rsidRPr="00D34961">
        <w:rPr>
          <w:rFonts w:cs="Arial"/>
          <w:b/>
          <w:sz w:val="22"/>
        </w:rPr>
        <w:t>Operation Costs (Supplies, Utilities, Food, Taxes, Insurance, etc.)</w:t>
      </w:r>
      <w:r w:rsidRPr="00D34961">
        <w:rPr>
          <w:rFonts w:cs="Arial"/>
          <w:sz w:val="22"/>
        </w:rPr>
        <w:t xml:space="preserve"> – based on data extracted from nursing facility Medicaid cost reports from 1999, adjusted by a 2003 legislatively mandated inflation rate.</w:t>
      </w:r>
    </w:p>
    <w:p w14:paraId="131B5A99" w14:textId="77777777" w:rsidR="00D34961" w:rsidRPr="00D34961" w:rsidRDefault="00D34961" w:rsidP="00D34961">
      <w:pPr>
        <w:pStyle w:val="CommentText"/>
        <w:spacing w:before="0" w:after="0"/>
        <w:rPr>
          <w:rFonts w:cs="Arial"/>
          <w:sz w:val="22"/>
        </w:rPr>
      </w:pPr>
    </w:p>
    <w:p w14:paraId="1B6F5276" w14:textId="77777777" w:rsidR="00D34961" w:rsidRPr="00D34961" w:rsidRDefault="00D34961" w:rsidP="00D34961">
      <w:pPr>
        <w:pStyle w:val="CommentText"/>
        <w:spacing w:before="0" w:after="0"/>
        <w:rPr>
          <w:rFonts w:cs="Arial"/>
          <w:sz w:val="22"/>
        </w:rPr>
      </w:pPr>
      <w:r w:rsidRPr="00D34961">
        <w:rPr>
          <w:rFonts w:cs="Arial"/>
          <w:sz w:val="22"/>
        </w:rPr>
        <w:t>The Department also used in the rate methodology:</w:t>
      </w:r>
    </w:p>
    <w:p w14:paraId="18BB3929" w14:textId="77777777" w:rsidR="00D34961" w:rsidRPr="00D34961" w:rsidRDefault="00D34961" w:rsidP="00D34961">
      <w:pPr>
        <w:pStyle w:val="CommentText"/>
        <w:spacing w:before="0" w:after="0"/>
        <w:rPr>
          <w:rFonts w:cs="Arial"/>
          <w:sz w:val="22"/>
        </w:rPr>
      </w:pPr>
    </w:p>
    <w:p w14:paraId="618C8786" w14:textId="1FA18EFF" w:rsidR="00D34961" w:rsidRPr="00D34961" w:rsidRDefault="00D34961" w:rsidP="00D34961">
      <w:pPr>
        <w:pStyle w:val="ListParagraph"/>
        <w:widowControl/>
        <w:numPr>
          <w:ilvl w:val="0"/>
          <w:numId w:val="12"/>
        </w:numPr>
        <w:spacing w:after="0"/>
        <w:ind w:left="1080"/>
        <w:rPr>
          <w:rFonts w:cs="Arial"/>
        </w:rPr>
      </w:pPr>
      <w:r w:rsidRPr="00D34961">
        <w:rPr>
          <w:rFonts w:cs="Arial"/>
          <w:b/>
        </w:rPr>
        <w:t xml:space="preserve">Staff Service Hours </w:t>
      </w:r>
      <w:r w:rsidRPr="00D34961">
        <w:rPr>
          <w:rFonts w:cs="Arial"/>
        </w:rPr>
        <w:t xml:space="preserve">– based on the results of a </w:t>
      </w:r>
      <w:proofErr w:type="gramStart"/>
      <w:r w:rsidRPr="00D34961">
        <w:rPr>
          <w:rFonts w:cs="Arial"/>
        </w:rPr>
        <w:t>2001/2002 time</w:t>
      </w:r>
      <w:proofErr w:type="gramEnd"/>
      <w:r w:rsidRPr="00D34961">
        <w:rPr>
          <w:rFonts w:cs="Arial"/>
        </w:rPr>
        <w:t xml:space="preserve"> study conducted to determine the number of hours actually used in the provision of care, the amount of time for each CARE Classification was established. </w:t>
      </w:r>
      <w:r w:rsidR="00C97C30">
        <w:rPr>
          <w:rFonts w:cs="Arial"/>
        </w:rPr>
        <w:t xml:space="preserve"> </w:t>
      </w:r>
      <w:r w:rsidRPr="00D34961">
        <w:rPr>
          <w:rFonts w:cs="Arial"/>
        </w:rPr>
        <w:t xml:space="preserve">The Department examined the amount of time staff spent caring for residents in 20 Boarding Homes and 83 Adult Family Homes.  </w:t>
      </w:r>
    </w:p>
    <w:p w14:paraId="67381145" w14:textId="77777777" w:rsidR="00D34961" w:rsidRPr="00D34961" w:rsidRDefault="00D34961" w:rsidP="00D34961">
      <w:pPr>
        <w:pStyle w:val="CommentText"/>
        <w:widowControl/>
        <w:numPr>
          <w:ilvl w:val="0"/>
          <w:numId w:val="10"/>
        </w:numPr>
        <w:rPr>
          <w:rFonts w:cs="Arial"/>
          <w:sz w:val="22"/>
        </w:rPr>
      </w:pPr>
      <w:r w:rsidRPr="00D34961">
        <w:rPr>
          <w:rFonts w:cs="Arial"/>
          <w:b/>
          <w:sz w:val="22"/>
        </w:rPr>
        <w:t>Size Standards</w:t>
      </w:r>
      <w:r w:rsidRPr="00D34961">
        <w:rPr>
          <w:rFonts w:cs="Arial"/>
          <w:sz w:val="22"/>
        </w:rPr>
        <w:t xml:space="preserve"> – based on the median number of licensed beds by service area.</w:t>
      </w:r>
    </w:p>
    <w:p w14:paraId="6CFB6BFD" w14:textId="77777777" w:rsidR="00D34961" w:rsidRPr="00D34961" w:rsidRDefault="00D34961" w:rsidP="00D34961">
      <w:pPr>
        <w:pStyle w:val="CommentText"/>
        <w:widowControl/>
        <w:numPr>
          <w:ilvl w:val="0"/>
          <w:numId w:val="10"/>
        </w:numPr>
        <w:rPr>
          <w:rFonts w:cs="Arial"/>
          <w:sz w:val="22"/>
        </w:rPr>
      </w:pPr>
      <w:r w:rsidRPr="00D34961">
        <w:rPr>
          <w:rFonts w:cs="Arial"/>
          <w:b/>
          <w:sz w:val="22"/>
        </w:rPr>
        <w:t>Occupancy Rate</w:t>
      </w:r>
      <w:r w:rsidRPr="00D34961">
        <w:rPr>
          <w:rFonts w:cs="Arial"/>
          <w:sz w:val="22"/>
        </w:rPr>
        <w:t xml:space="preserve"> – based on a blend of data collected from lenders, developers, appraisers and Adult Family Home operators.</w:t>
      </w:r>
    </w:p>
    <w:p w14:paraId="046AC6A5" w14:textId="77777777" w:rsidR="00D34961" w:rsidRPr="00D34961" w:rsidRDefault="00D34961" w:rsidP="00D34961">
      <w:pPr>
        <w:pStyle w:val="CommentText"/>
        <w:widowControl/>
        <w:numPr>
          <w:ilvl w:val="0"/>
          <w:numId w:val="10"/>
        </w:numPr>
        <w:spacing w:before="0"/>
        <w:rPr>
          <w:rFonts w:cs="Arial"/>
          <w:sz w:val="22"/>
        </w:rPr>
      </w:pPr>
      <w:r w:rsidRPr="00D34961">
        <w:rPr>
          <w:rFonts w:cs="Arial"/>
          <w:b/>
          <w:sz w:val="22"/>
        </w:rPr>
        <w:t>Capital Costs</w:t>
      </w:r>
      <w:r w:rsidRPr="00D34961">
        <w:rPr>
          <w:rFonts w:cs="Arial"/>
          <w:sz w:val="22"/>
        </w:rPr>
        <w:t xml:space="preserve"> – based on a combination of:</w:t>
      </w:r>
    </w:p>
    <w:p w14:paraId="0F5353A1" w14:textId="77777777" w:rsidR="00D34961" w:rsidRPr="00D34961" w:rsidRDefault="00D34961" w:rsidP="00D34961">
      <w:pPr>
        <w:pStyle w:val="CommentText"/>
        <w:widowControl/>
        <w:numPr>
          <w:ilvl w:val="1"/>
          <w:numId w:val="11"/>
        </w:numPr>
        <w:spacing w:before="0"/>
        <w:rPr>
          <w:rFonts w:cs="Arial"/>
          <w:sz w:val="22"/>
        </w:rPr>
      </w:pPr>
      <w:r w:rsidRPr="00D34961">
        <w:rPr>
          <w:rFonts w:cs="Arial"/>
          <w:sz w:val="22"/>
        </w:rPr>
        <w:t>Average price per square foot for new Adult Family Home facility construction in Washington State, based on information from the Marshall Valuation Service;</w:t>
      </w:r>
    </w:p>
    <w:p w14:paraId="0ABBF6FF" w14:textId="77777777" w:rsidR="00D34961" w:rsidRPr="00D34961" w:rsidRDefault="00D34961" w:rsidP="00D34961">
      <w:pPr>
        <w:pStyle w:val="CommentText"/>
        <w:widowControl/>
        <w:numPr>
          <w:ilvl w:val="1"/>
          <w:numId w:val="11"/>
        </w:numPr>
        <w:spacing w:before="0"/>
        <w:rPr>
          <w:rFonts w:cs="Arial"/>
          <w:sz w:val="22"/>
        </w:rPr>
      </w:pPr>
      <w:r w:rsidRPr="00D34961">
        <w:rPr>
          <w:rFonts w:cs="Arial"/>
          <w:sz w:val="22"/>
        </w:rPr>
        <w:t>Nursing facility Medicaid cost report data from 1999 (adjusted by 2003 legislatively mandated inflation rate) to determine the cost of moveable equipment; and,</w:t>
      </w:r>
    </w:p>
    <w:p w14:paraId="67FF4E41" w14:textId="77777777" w:rsidR="00D34961" w:rsidRPr="00D34961" w:rsidRDefault="00D34961" w:rsidP="00D34961">
      <w:pPr>
        <w:pStyle w:val="CommentText"/>
        <w:widowControl/>
        <w:numPr>
          <w:ilvl w:val="1"/>
          <w:numId w:val="11"/>
        </w:numPr>
        <w:spacing w:before="0"/>
        <w:rPr>
          <w:rFonts w:cs="Arial"/>
          <w:sz w:val="22"/>
        </w:rPr>
      </w:pPr>
      <w:r w:rsidRPr="00D34961">
        <w:rPr>
          <w:rFonts w:cs="Arial"/>
          <w:sz w:val="22"/>
        </w:rPr>
        <w:t>Adult Family Home facility assessed values to determine land values.</w:t>
      </w:r>
    </w:p>
    <w:p w14:paraId="486A079A" w14:textId="77777777" w:rsidR="00D34961" w:rsidRPr="00D34961" w:rsidRDefault="00D34961" w:rsidP="00D34961">
      <w:pPr>
        <w:pStyle w:val="CommentText"/>
        <w:widowControl/>
        <w:numPr>
          <w:ilvl w:val="0"/>
          <w:numId w:val="11"/>
        </w:numPr>
        <w:spacing w:before="0"/>
        <w:rPr>
          <w:rFonts w:cs="Arial"/>
          <w:sz w:val="22"/>
        </w:rPr>
      </w:pPr>
      <w:r w:rsidRPr="00D34961">
        <w:rPr>
          <w:rFonts w:cs="Arial"/>
          <w:b/>
          <w:sz w:val="22"/>
        </w:rPr>
        <w:t>Cost Lids at the 25</w:t>
      </w:r>
      <w:r w:rsidRPr="00D34961">
        <w:rPr>
          <w:rFonts w:cs="Arial"/>
          <w:b/>
          <w:sz w:val="22"/>
          <w:vertAlign w:val="superscript"/>
        </w:rPr>
        <w:t>th</w:t>
      </w:r>
      <w:r w:rsidRPr="00D34961">
        <w:rPr>
          <w:rFonts w:cs="Arial"/>
          <w:b/>
          <w:sz w:val="22"/>
        </w:rPr>
        <w:t xml:space="preserve"> Percentile </w:t>
      </w:r>
      <w:r w:rsidRPr="00D34961">
        <w:rPr>
          <w:rFonts w:cs="Arial"/>
          <w:sz w:val="22"/>
        </w:rPr>
        <w:t>– threshold assumption that Nursing Homes have higher costs</w:t>
      </w:r>
    </w:p>
    <w:p w14:paraId="26B27FAE" w14:textId="77777777" w:rsidR="00D34961" w:rsidRPr="00D34961" w:rsidRDefault="00D34961" w:rsidP="00D34961">
      <w:pPr>
        <w:pStyle w:val="CommentText"/>
        <w:spacing w:before="0" w:after="0"/>
        <w:rPr>
          <w:rFonts w:cs="Arial"/>
          <w:sz w:val="22"/>
        </w:rPr>
      </w:pPr>
      <w:r w:rsidRPr="00D34961">
        <w:rPr>
          <w:rFonts w:cs="Arial"/>
          <w:sz w:val="22"/>
        </w:rPr>
        <w:t>The Department determined that the rates established through this study for SFY 2004 were a reasonable proxy for the reasonable and necessary costs of providing Adult Family Home services to Medicaid residents.</w:t>
      </w:r>
    </w:p>
    <w:p w14:paraId="3285A2DD" w14:textId="6C1A42D0" w:rsidR="00C97C30" w:rsidRDefault="00C97C30" w:rsidP="00D34961">
      <w:pPr>
        <w:spacing w:before="0" w:after="0"/>
        <w:rPr>
          <w:rFonts w:cs="Arial"/>
          <w:b/>
        </w:rPr>
      </w:pPr>
    </w:p>
    <w:p w14:paraId="5DB4CA84" w14:textId="76A84FFF" w:rsidR="00C97C30" w:rsidRDefault="00C97C30" w:rsidP="00D34961">
      <w:pPr>
        <w:spacing w:before="0" w:after="0"/>
        <w:rPr>
          <w:rFonts w:cs="Arial"/>
          <w:b/>
        </w:rPr>
      </w:pPr>
    </w:p>
    <w:p w14:paraId="3211EA37" w14:textId="77777777" w:rsidR="005F0B05" w:rsidRDefault="005F0B05" w:rsidP="00D34961">
      <w:pPr>
        <w:spacing w:before="0" w:after="0"/>
        <w:rPr>
          <w:rFonts w:cs="Arial"/>
          <w:b/>
        </w:rPr>
      </w:pPr>
    </w:p>
    <w:p w14:paraId="186D0FE7" w14:textId="77777777" w:rsidR="00D50FE7" w:rsidRPr="00D34961" w:rsidRDefault="00D50FE7" w:rsidP="00D34961">
      <w:pPr>
        <w:spacing w:before="0" w:after="0"/>
        <w:rPr>
          <w:rFonts w:cs="Arial"/>
          <w:b/>
        </w:rPr>
      </w:pPr>
    </w:p>
    <w:p w14:paraId="2766D5A2" w14:textId="55BDCF1F" w:rsidR="00D34961" w:rsidRPr="00D34961" w:rsidRDefault="00D34961" w:rsidP="00D34961">
      <w:pPr>
        <w:spacing w:before="0" w:after="0"/>
        <w:rPr>
          <w:rFonts w:cs="Arial"/>
          <w:b/>
        </w:rPr>
      </w:pPr>
      <w:r w:rsidRPr="00D34961">
        <w:rPr>
          <w:rFonts w:cs="Arial"/>
          <w:b/>
        </w:rPr>
        <w:lastRenderedPageBreak/>
        <w:t>Analysis of Payment-to-Cost Coverage for SFY 201</w:t>
      </w:r>
      <w:r w:rsidR="00871C09">
        <w:rPr>
          <w:rFonts w:cs="Arial"/>
          <w:b/>
        </w:rPr>
        <w:t>9</w:t>
      </w:r>
    </w:p>
    <w:p w14:paraId="2F1E722F" w14:textId="77777777" w:rsidR="00D34961" w:rsidRPr="00D34961" w:rsidRDefault="00D34961" w:rsidP="00D34961">
      <w:pPr>
        <w:pStyle w:val="CommentText"/>
        <w:spacing w:before="0" w:after="0"/>
        <w:rPr>
          <w:rFonts w:cs="Arial"/>
          <w:sz w:val="22"/>
        </w:rPr>
      </w:pPr>
    </w:p>
    <w:p w14:paraId="6F71DCD3" w14:textId="29556DAB" w:rsidR="002E4CE4" w:rsidRDefault="00D34961" w:rsidP="00D34961">
      <w:pPr>
        <w:pStyle w:val="CommentText"/>
        <w:spacing w:before="0" w:after="0"/>
        <w:rPr>
          <w:rFonts w:cs="Arial"/>
          <w:sz w:val="22"/>
        </w:rPr>
      </w:pPr>
      <w:r w:rsidRPr="00D34961">
        <w:rPr>
          <w:rFonts w:cs="Arial"/>
          <w:sz w:val="22"/>
        </w:rPr>
        <w:t>Based on the assumption that the rates determined in SFY 2004, resulting from the Adult Family Home study completed in 2003, represent a proxy for the reasonable and necessary costs of providing Adult Family Home services to Medicaid residents</w:t>
      </w:r>
      <w:r w:rsidR="002E4CE4">
        <w:rPr>
          <w:rFonts w:cs="Arial"/>
          <w:sz w:val="22"/>
        </w:rPr>
        <w:t xml:space="preserve"> at that time</w:t>
      </w:r>
      <w:r w:rsidRPr="00D34961">
        <w:rPr>
          <w:rFonts w:cs="Arial"/>
          <w:sz w:val="22"/>
        </w:rPr>
        <w:t>, we can determine an estimate of the cost of providing Adult Family Home services in SFY 201</w:t>
      </w:r>
      <w:r w:rsidR="00871C09">
        <w:rPr>
          <w:rFonts w:cs="Arial"/>
          <w:sz w:val="22"/>
        </w:rPr>
        <w:t>9</w:t>
      </w:r>
      <w:r w:rsidRPr="00D34961">
        <w:rPr>
          <w:rFonts w:cs="Arial"/>
          <w:sz w:val="22"/>
        </w:rPr>
        <w:t xml:space="preserve"> by applying </w:t>
      </w:r>
      <w:r w:rsidR="002E4CE4">
        <w:rPr>
          <w:rFonts w:cs="Arial"/>
          <w:sz w:val="22"/>
        </w:rPr>
        <w:t xml:space="preserve">adjustments.  First, we can apply </w:t>
      </w:r>
      <w:r w:rsidRPr="00D34961">
        <w:rPr>
          <w:rFonts w:cs="Arial"/>
          <w:sz w:val="22"/>
        </w:rPr>
        <w:t>a trend factor to approximate inflation between SFY 2004 and SFY 201</w:t>
      </w:r>
      <w:r w:rsidR="00871C09">
        <w:rPr>
          <w:rFonts w:cs="Arial"/>
          <w:sz w:val="22"/>
        </w:rPr>
        <w:t>9</w:t>
      </w:r>
      <w:r w:rsidR="002E4CE4">
        <w:rPr>
          <w:rFonts w:cs="Arial"/>
          <w:sz w:val="22"/>
        </w:rPr>
        <w:t xml:space="preserve">.  Second, we can apply an adjustment to estimate the change in acuity for the same time period to take into account increases in the intensity of services and changing costs of resources for providing care.  </w:t>
      </w:r>
    </w:p>
    <w:p w14:paraId="4978959E" w14:textId="77777777" w:rsidR="002E4CE4" w:rsidRDefault="002E4CE4" w:rsidP="00D34961">
      <w:pPr>
        <w:pStyle w:val="CommentText"/>
        <w:spacing w:before="0" w:after="0"/>
        <w:rPr>
          <w:rFonts w:cs="Arial"/>
          <w:sz w:val="22"/>
        </w:rPr>
      </w:pPr>
    </w:p>
    <w:p w14:paraId="3E0F2FBE" w14:textId="3EA43487" w:rsidR="00D34961" w:rsidRPr="00D34961" w:rsidRDefault="00D34961" w:rsidP="00D34961">
      <w:pPr>
        <w:pStyle w:val="CommentText"/>
        <w:spacing w:before="0" w:after="0"/>
        <w:rPr>
          <w:rFonts w:cs="Arial"/>
          <w:sz w:val="22"/>
        </w:rPr>
      </w:pPr>
      <w:r w:rsidRPr="00D34961">
        <w:rPr>
          <w:rFonts w:cs="Arial"/>
          <w:sz w:val="22"/>
        </w:rPr>
        <w:t xml:space="preserve">To </w:t>
      </w:r>
      <w:r w:rsidR="002E4CE4">
        <w:rPr>
          <w:rFonts w:cs="Arial"/>
          <w:sz w:val="22"/>
        </w:rPr>
        <w:t>adjust</w:t>
      </w:r>
      <w:r w:rsidR="002E4CE4" w:rsidRPr="00D34961">
        <w:rPr>
          <w:rFonts w:cs="Arial"/>
          <w:sz w:val="22"/>
        </w:rPr>
        <w:t xml:space="preserve"> </w:t>
      </w:r>
      <w:r w:rsidRPr="00D34961">
        <w:rPr>
          <w:rFonts w:cs="Arial"/>
          <w:sz w:val="22"/>
        </w:rPr>
        <w:t>Adult Family Home providers’ costs</w:t>
      </w:r>
      <w:r w:rsidR="002E4CE4">
        <w:rPr>
          <w:rFonts w:cs="Arial"/>
          <w:sz w:val="22"/>
        </w:rPr>
        <w:t xml:space="preserve"> for inflation</w:t>
      </w:r>
      <w:r w:rsidRPr="00D34961">
        <w:rPr>
          <w:rFonts w:cs="Arial"/>
          <w:sz w:val="22"/>
        </w:rPr>
        <w:t>, we applied a trend factor to the SFY 2004 weighted average rate for Adult Family Home services to account for inflation between December 2003 to December 201</w:t>
      </w:r>
      <w:r w:rsidR="00871C09">
        <w:rPr>
          <w:rFonts w:cs="Arial"/>
          <w:sz w:val="22"/>
        </w:rPr>
        <w:t>8</w:t>
      </w:r>
      <w:r w:rsidRPr="00D34961">
        <w:rPr>
          <w:rFonts w:cs="Arial"/>
          <w:sz w:val="22"/>
        </w:rPr>
        <w:t>, the midpoints of SFY 2004 and SFY 201</w:t>
      </w:r>
      <w:r w:rsidR="00871C09">
        <w:rPr>
          <w:rFonts w:cs="Arial"/>
          <w:sz w:val="22"/>
        </w:rPr>
        <w:t>9</w:t>
      </w:r>
      <w:r w:rsidRPr="00D34961">
        <w:rPr>
          <w:rFonts w:cs="Arial"/>
          <w:sz w:val="22"/>
        </w:rPr>
        <w:t xml:space="preserve">, respectively.  The Department calculated a weighted average rate for Adult Family Home services for </w:t>
      </w:r>
      <w:r w:rsidR="00FE59D2">
        <w:rPr>
          <w:rFonts w:cs="Arial"/>
          <w:sz w:val="22"/>
        </w:rPr>
        <w:t xml:space="preserve">SFY 2004 </w:t>
      </w:r>
      <w:r w:rsidRPr="00D34961">
        <w:rPr>
          <w:rFonts w:cs="Arial"/>
          <w:sz w:val="22"/>
        </w:rPr>
        <w:t xml:space="preserve">based on the actual number of Medicaid residents in Adult Family Home facilities and their distribution among the various CARE Classifications, settings and geographic area groups.  </w:t>
      </w:r>
    </w:p>
    <w:p w14:paraId="67A76E7A" w14:textId="77777777" w:rsidR="00D34961" w:rsidRPr="00D34961" w:rsidRDefault="00D34961" w:rsidP="00D34961">
      <w:pPr>
        <w:pStyle w:val="CommentText"/>
        <w:spacing w:before="0" w:after="0"/>
        <w:rPr>
          <w:rFonts w:cs="Arial"/>
          <w:sz w:val="22"/>
        </w:rPr>
      </w:pPr>
    </w:p>
    <w:p w14:paraId="1D463216" w14:textId="4280B424" w:rsidR="00D34961" w:rsidRPr="00D34961" w:rsidRDefault="00D34961" w:rsidP="00D34961">
      <w:pPr>
        <w:pStyle w:val="CommentText"/>
        <w:spacing w:before="0" w:after="0"/>
        <w:rPr>
          <w:rFonts w:cs="Arial"/>
          <w:sz w:val="22"/>
        </w:rPr>
      </w:pPr>
      <w:r w:rsidRPr="00D34961">
        <w:rPr>
          <w:rFonts w:cs="Arial"/>
          <w:sz w:val="22"/>
        </w:rPr>
        <w:t>The weighted average rate for SFY 2004 represents the weighted average cost of Adult Family Home services provided to Medicaid residents in that year, and we inflated this cost to December 201</w:t>
      </w:r>
      <w:r w:rsidR="00871C09">
        <w:rPr>
          <w:rFonts w:cs="Arial"/>
          <w:sz w:val="22"/>
        </w:rPr>
        <w:t>6</w:t>
      </w:r>
      <w:r w:rsidRPr="00D34961">
        <w:rPr>
          <w:rFonts w:cs="Arial"/>
          <w:sz w:val="22"/>
        </w:rPr>
        <w:t xml:space="preserve"> using Consumer Price Index (CPI) data for the Western Region of the US and for the Seattle Metropolitan Area as published by the U.S. Bureau of Labor Statistics.</w:t>
      </w:r>
      <w:r w:rsidRPr="00D34961">
        <w:rPr>
          <w:rStyle w:val="FootnoteReference"/>
          <w:rFonts w:cs="Arial"/>
        </w:rPr>
        <w:t xml:space="preserve"> </w:t>
      </w:r>
      <w:r w:rsidRPr="00D34961">
        <w:rPr>
          <w:rStyle w:val="FootnoteReference"/>
          <w:rFonts w:cs="Arial"/>
        </w:rPr>
        <w:footnoteReference w:id="7"/>
      </w:r>
      <w:r w:rsidRPr="00D34961">
        <w:rPr>
          <w:rFonts w:cs="Arial"/>
          <w:sz w:val="22"/>
        </w:rPr>
        <w:t xml:space="preserve">  Then, because the CPI data are only available through </w:t>
      </w:r>
      <w:r w:rsidR="00D8219E">
        <w:rPr>
          <w:rFonts w:cs="Arial"/>
          <w:sz w:val="22"/>
        </w:rPr>
        <w:t>June</w:t>
      </w:r>
      <w:r w:rsidRPr="00D34961">
        <w:rPr>
          <w:rFonts w:cs="Arial"/>
          <w:sz w:val="22"/>
        </w:rPr>
        <w:t xml:space="preserve"> 201</w:t>
      </w:r>
      <w:r w:rsidR="00871C09">
        <w:rPr>
          <w:rFonts w:cs="Arial"/>
          <w:sz w:val="22"/>
        </w:rPr>
        <w:t>7</w:t>
      </w:r>
      <w:r w:rsidRPr="00D34961">
        <w:rPr>
          <w:rFonts w:cs="Arial"/>
          <w:sz w:val="22"/>
        </w:rPr>
        <w:t>, we had to extrapolate available CPI data to estimate inflation in subsequent periods.  To calculate the inflation factor necessary to inflate the weighted average cost to December of 201</w:t>
      </w:r>
      <w:r w:rsidR="00871C09">
        <w:rPr>
          <w:rFonts w:cs="Arial"/>
          <w:sz w:val="22"/>
        </w:rPr>
        <w:t>8</w:t>
      </w:r>
      <w:r w:rsidRPr="00D34961">
        <w:rPr>
          <w:rFonts w:cs="Arial"/>
          <w:sz w:val="22"/>
        </w:rPr>
        <w:t>, we determined the annual percentage change in the CPI between the midpoint of SFY 201</w:t>
      </w:r>
      <w:r w:rsidR="00871C09">
        <w:rPr>
          <w:rFonts w:cs="Arial"/>
          <w:sz w:val="22"/>
        </w:rPr>
        <w:t>6</w:t>
      </w:r>
      <w:r w:rsidRPr="00D34961">
        <w:rPr>
          <w:rFonts w:cs="Arial"/>
          <w:sz w:val="22"/>
        </w:rPr>
        <w:t xml:space="preserve"> and SFY 201</w:t>
      </w:r>
      <w:r w:rsidR="00871C09">
        <w:rPr>
          <w:rFonts w:cs="Arial"/>
          <w:sz w:val="22"/>
        </w:rPr>
        <w:t>7</w:t>
      </w:r>
      <w:r w:rsidRPr="00D34961">
        <w:rPr>
          <w:rFonts w:cs="Arial"/>
          <w:sz w:val="22"/>
        </w:rPr>
        <w:t>.  We then applied this percentage change to the index at the midpoint of SFY 201</w:t>
      </w:r>
      <w:r w:rsidR="00871C09">
        <w:rPr>
          <w:rFonts w:cs="Arial"/>
          <w:sz w:val="22"/>
        </w:rPr>
        <w:t>7</w:t>
      </w:r>
      <w:r w:rsidRPr="00D34961">
        <w:rPr>
          <w:rFonts w:cs="Arial"/>
          <w:sz w:val="22"/>
        </w:rPr>
        <w:t xml:space="preserve"> to estimate the index at the midpoint of SFY 201</w:t>
      </w:r>
      <w:r w:rsidR="00871C09">
        <w:rPr>
          <w:rFonts w:cs="Arial"/>
          <w:sz w:val="22"/>
        </w:rPr>
        <w:t>8</w:t>
      </w:r>
      <w:r w:rsidRPr="00D34961">
        <w:rPr>
          <w:rFonts w:cs="Arial"/>
          <w:sz w:val="22"/>
        </w:rPr>
        <w:t xml:space="preserve">.  </w:t>
      </w:r>
    </w:p>
    <w:p w14:paraId="28FC41D2" w14:textId="77777777" w:rsidR="00D34961" w:rsidRPr="00D34961" w:rsidRDefault="00D34961" w:rsidP="00D34961">
      <w:pPr>
        <w:pStyle w:val="CommentText"/>
        <w:spacing w:before="0" w:after="0"/>
        <w:rPr>
          <w:rFonts w:cs="Arial"/>
          <w:sz w:val="22"/>
        </w:rPr>
      </w:pPr>
    </w:p>
    <w:p w14:paraId="7075E83B" w14:textId="4772142F" w:rsidR="00D34961" w:rsidRPr="00D34961" w:rsidRDefault="00D34961" w:rsidP="00D34961">
      <w:pPr>
        <w:pStyle w:val="CommentText"/>
        <w:spacing w:before="0" w:after="0"/>
        <w:rPr>
          <w:rFonts w:cs="Arial"/>
          <w:sz w:val="22"/>
        </w:rPr>
      </w:pPr>
      <w:r w:rsidRPr="00D34961">
        <w:rPr>
          <w:rFonts w:cs="Arial"/>
          <w:sz w:val="22"/>
        </w:rPr>
        <w:t>Using the same approach, we applied the same calculated percentage change to calculate the index at the midpoint of SFY 201</w:t>
      </w:r>
      <w:r w:rsidR="00871C09">
        <w:rPr>
          <w:rFonts w:cs="Arial"/>
          <w:sz w:val="22"/>
        </w:rPr>
        <w:t>9</w:t>
      </w:r>
      <w:r w:rsidRPr="00D34961">
        <w:rPr>
          <w:rFonts w:cs="Arial"/>
          <w:sz w:val="22"/>
        </w:rPr>
        <w:t xml:space="preserve">.  </w:t>
      </w:r>
    </w:p>
    <w:p w14:paraId="765B228E" w14:textId="77777777" w:rsidR="00D34961" w:rsidRPr="00D34961" w:rsidRDefault="00D34961" w:rsidP="00D34961">
      <w:pPr>
        <w:pStyle w:val="CommentText"/>
        <w:spacing w:before="0" w:after="0"/>
        <w:rPr>
          <w:rFonts w:cs="Arial"/>
          <w:sz w:val="22"/>
        </w:rPr>
      </w:pPr>
    </w:p>
    <w:p w14:paraId="01FA4011" w14:textId="45DE5534" w:rsidR="00E62480" w:rsidRDefault="002506B4" w:rsidP="00D34961">
      <w:pPr>
        <w:pStyle w:val="CommentText"/>
        <w:spacing w:before="0" w:after="0"/>
        <w:rPr>
          <w:rFonts w:cs="Arial"/>
          <w:sz w:val="22"/>
        </w:rPr>
      </w:pPr>
      <w:r>
        <w:rPr>
          <w:rFonts w:cs="Arial"/>
          <w:sz w:val="22"/>
        </w:rPr>
        <w:t xml:space="preserve">The Department also provided us with caseload distribution data across CARE classifications from SFY </w:t>
      </w:r>
      <w:r w:rsidRPr="00D8219E">
        <w:rPr>
          <w:rFonts w:cs="Arial"/>
          <w:sz w:val="22"/>
        </w:rPr>
        <w:t>2005</w:t>
      </w:r>
      <w:r>
        <w:rPr>
          <w:rFonts w:cs="Arial"/>
          <w:sz w:val="22"/>
        </w:rPr>
        <w:t xml:space="preserve"> through SFY 201</w:t>
      </w:r>
      <w:r w:rsidR="001F05C1">
        <w:rPr>
          <w:rFonts w:cs="Arial"/>
          <w:sz w:val="22"/>
        </w:rPr>
        <w:t>8</w:t>
      </w:r>
      <w:r>
        <w:rPr>
          <w:rFonts w:cs="Arial"/>
          <w:sz w:val="22"/>
        </w:rPr>
        <w:t xml:space="preserve">.  We examined changes in caseload distribution to determine whether shifts in acuity have occurred during this time period.  We first analyzed changes in caseload distribution between SFY 2005 and SFY 2008, </w:t>
      </w:r>
      <w:r w:rsidR="00FE59D2">
        <w:rPr>
          <w:rFonts w:cs="Arial"/>
          <w:sz w:val="22"/>
        </w:rPr>
        <w:t xml:space="preserve">which is the period </w:t>
      </w:r>
      <w:r>
        <w:rPr>
          <w:rFonts w:cs="Arial"/>
          <w:sz w:val="22"/>
        </w:rPr>
        <w:t>prior to the implementation of the new</w:t>
      </w:r>
      <w:r w:rsidR="001436CD">
        <w:rPr>
          <w:rFonts w:cs="Arial"/>
          <w:sz w:val="22"/>
        </w:rPr>
        <w:t xml:space="preserve"> CARE classification system</w:t>
      </w:r>
      <w:r w:rsidR="00FE59D2">
        <w:rPr>
          <w:rFonts w:cs="Arial"/>
          <w:sz w:val="22"/>
        </w:rPr>
        <w:t xml:space="preserve"> expanding the classifications from 12 to 17 categories</w:t>
      </w:r>
      <w:r w:rsidR="00E62480">
        <w:rPr>
          <w:rFonts w:cs="Arial"/>
          <w:sz w:val="22"/>
        </w:rPr>
        <w:t xml:space="preserve">.  Based on our review of caseload distribution between SFY 2005 and SFY 2008, it appears there were no significant </w:t>
      </w:r>
      <w:r w:rsidR="001436CD">
        <w:rPr>
          <w:rFonts w:cs="Arial"/>
          <w:sz w:val="22"/>
        </w:rPr>
        <w:t xml:space="preserve">shifts </w:t>
      </w:r>
      <w:r w:rsidR="00E62480">
        <w:rPr>
          <w:rFonts w:cs="Arial"/>
          <w:sz w:val="22"/>
        </w:rPr>
        <w:t>among the CARE classifications</w:t>
      </w:r>
      <w:r w:rsidR="00FE59D2">
        <w:rPr>
          <w:rFonts w:cs="Arial"/>
          <w:sz w:val="22"/>
        </w:rPr>
        <w:t>,</w:t>
      </w:r>
      <w:r w:rsidR="00E62480">
        <w:rPr>
          <w:rFonts w:cs="Arial"/>
          <w:sz w:val="22"/>
        </w:rPr>
        <w:t xml:space="preserve"> and therefore we assume </w:t>
      </w:r>
      <w:r w:rsidR="00FE59D2">
        <w:rPr>
          <w:rFonts w:cs="Arial"/>
          <w:sz w:val="22"/>
        </w:rPr>
        <w:t>there were no significant increases or decreases</w:t>
      </w:r>
      <w:r w:rsidR="00E62480">
        <w:rPr>
          <w:rFonts w:cs="Arial"/>
          <w:sz w:val="22"/>
        </w:rPr>
        <w:t xml:space="preserve"> in acuity during this period.  We did not analyze changes in caseload distribution between SFY 2009 and SFY 2011 because the changes across the CARE classifications </w:t>
      </w:r>
      <w:r w:rsidR="00FE59D2">
        <w:rPr>
          <w:rFonts w:cs="Arial"/>
          <w:sz w:val="22"/>
        </w:rPr>
        <w:t>were likely to have been</w:t>
      </w:r>
      <w:r w:rsidR="00E62480">
        <w:rPr>
          <w:rFonts w:cs="Arial"/>
          <w:sz w:val="22"/>
        </w:rPr>
        <w:t xml:space="preserve"> impacted by the implementation of the new CARE classification system.  </w:t>
      </w:r>
    </w:p>
    <w:p w14:paraId="4280D2F0" w14:textId="77777777" w:rsidR="00E62480" w:rsidRDefault="00E62480" w:rsidP="00D34961">
      <w:pPr>
        <w:pStyle w:val="CommentText"/>
        <w:spacing w:before="0" w:after="0"/>
        <w:rPr>
          <w:rFonts w:cs="Arial"/>
          <w:sz w:val="22"/>
        </w:rPr>
      </w:pPr>
    </w:p>
    <w:p w14:paraId="21499CFF" w14:textId="764AB1DC" w:rsidR="00D34961" w:rsidRPr="00D34961" w:rsidRDefault="00E62480" w:rsidP="00D34961">
      <w:pPr>
        <w:pStyle w:val="CommentText"/>
        <w:spacing w:before="0" w:after="0"/>
        <w:rPr>
          <w:rFonts w:cs="Arial"/>
          <w:sz w:val="22"/>
        </w:rPr>
      </w:pPr>
      <w:r>
        <w:rPr>
          <w:rFonts w:cs="Arial"/>
          <w:sz w:val="22"/>
        </w:rPr>
        <w:t xml:space="preserve">The caseload distribution </w:t>
      </w:r>
      <w:r w:rsidR="00FE59D2">
        <w:rPr>
          <w:rFonts w:cs="Arial"/>
          <w:sz w:val="22"/>
        </w:rPr>
        <w:t>data provided by the Department</w:t>
      </w:r>
      <w:r>
        <w:rPr>
          <w:rFonts w:cs="Arial"/>
          <w:sz w:val="22"/>
        </w:rPr>
        <w:t xml:space="preserve"> indicates that between SFY 2011 and SFY 201</w:t>
      </w:r>
      <w:r w:rsidR="00D8219E">
        <w:rPr>
          <w:rFonts w:cs="Arial"/>
          <w:sz w:val="22"/>
        </w:rPr>
        <w:t>8</w:t>
      </w:r>
      <w:r>
        <w:rPr>
          <w:rFonts w:cs="Arial"/>
          <w:sz w:val="22"/>
        </w:rPr>
        <w:t xml:space="preserve">, shifts in caseload distribution </w:t>
      </w:r>
      <w:r w:rsidR="00FE59D2">
        <w:rPr>
          <w:rFonts w:cs="Arial"/>
          <w:sz w:val="22"/>
        </w:rPr>
        <w:t xml:space="preserve">did occur, </w:t>
      </w:r>
      <w:r>
        <w:rPr>
          <w:rFonts w:cs="Arial"/>
          <w:sz w:val="22"/>
        </w:rPr>
        <w:t xml:space="preserve">and we observed </w:t>
      </w:r>
      <w:r w:rsidR="001436CD">
        <w:rPr>
          <w:rFonts w:cs="Arial"/>
          <w:sz w:val="22"/>
        </w:rPr>
        <w:t>increases in the</w:t>
      </w:r>
      <w:r>
        <w:rPr>
          <w:rFonts w:cs="Arial"/>
          <w:sz w:val="22"/>
        </w:rPr>
        <w:t xml:space="preserve"> proportion of clients classified in CARE Levels 11 through 17.  </w:t>
      </w:r>
      <w:r w:rsidR="000550A0">
        <w:rPr>
          <w:rFonts w:cs="Arial"/>
          <w:sz w:val="22"/>
        </w:rPr>
        <w:t>We discussed changes in acuity with the Department</w:t>
      </w:r>
      <w:r w:rsidR="00FE59D2">
        <w:rPr>
          <w:rFonts w:cs="Arial"/>
          <w:sz w:val="22"/>
        </w:rPr>
        <w:t>,</w:t>
      </w:r>
      <w:r w:rsidR="000550A0">
        <w:rPr>
          <w:rFonts w:cs="Arial"/>
          <w:sz w:val="22"/>
        </w:rPr>
        <w:t xml:space="preserve"> and b</w:t>
      </w:r>
      <w:r w:rsidR="00E64C58">
        <w:rPr>
          <w:rFonts w:cs="Arial"/>
          <w:sz w:val="22"/>
        </w:rPr>
        <w:t xml:space="preserve">ased on </w:t>
      </w:r>
      <w:r w:rsidR="000550A0">
        <w:rPr>
          <w:rFonts w:cs="Arial"/>
          <w:sz w:val="22"/>
        </w:rPr>
        <w:t xml:space="preserve">those discussions </w:t>
      </w:r>
      <w:r w:rsidR="00E64C58">
        <w:rPr>
          <w:rFonts w:cs="Arial"/>
          <w:sz w:val="22"/>
        </w:rPr>
        <w:t xml:space="preserve">we understand acuity has increased by approximately </w:t>
      </w:r>
      <w:r w:rsidR="00BC7762">
        <w:rPr>
          <w:rFonts w:cs="Arial"/>
          <w:sz w:val="22"/>
        </w:rPr>
        <w:t>22.5</w:t>
      </w:r>
      <w:r w:rsidR="00E64C58">
        <w:rPr>
          <w:rFonts w:cs="Arial"/>
          <w:sz w:val="22"/>
        </w:rPr>
        <w:t xml:space="preserve"> percent since SFY 2011.  </w:t>
      </w:r>
      <w:r w:rsidR="00756A5B">
        <w:rPr>
          <w:rFonts w:cs="Arial"/>
          <w:sz w:val="22"/>
        </w:rPr>
        <w:t xml:space="preserve">For purposes of this analysis, </w:t>
      </w:r>
      <w:r w:rsidR="00FE59D2">
        <w:rPr>
          <w:rFonts w:cs="Arial"/>
          <w:sz w:val="22"/>
        </w:rPr>
        <w:t xml:space="preserve">based on what we observed between SFY 2005 to SFY 2008 before the change to the new </w:t>
      </w:r>
      <w:r w:rsidR="00FE59D2">
        <w:rPr>
          <w:rFonts w:cs="Arial"/>
          <w:sz w:val="22"/>
        </w:rPr>
        <w:lastRenderedPageBreak/>
        <w:t>classification system and information provided by the state after the implement</w:t>
      </w:r>
      <w:r w:rsidR="008C4F18">
        <w:rPr>
          <w:rFonts w:cs="Arial"/>
          <w:sz w:val="22"/>
        </w:rPr>
        <w:t>ation of the new classification system</w:t>
      </w:r>
      <w:r w:rsidR="00FE59D2">
        <w:rPr>
          <w:rFonts w:cs="Arial"/>
          <w:sz w:val="22"/>
        </w:rPr>
        <w:t>, we assume</w:t>
      </w:r>
      <w:r w:rsidR="008C4F18">
        <w:rPr>
          <w:rFonts w:cs="Arial"/>
          <w:sz w:val="22"/>
        </w:rPr>
        <w:t xml:space="preserve"> </w:t>
      </w:r>
      <w:r w:rsidR="00756A5B">
        <w:rPr>
          <w:rFonts w:cs="Arial"/>
          <w:sz w:val="22"/>
        </w:rPr>
        <w:t xml:space="preserve">that </w:t>
      </w:r>
      <w:r w:rsidR="00BC7762">
        <w:rPr>
          <w:rFonts w:cs="Arial"/>
          <w:sz w:val="22"/>
        </w:rPr>
        <w:t>22.5</w:t>
      </w:r>
      <w:r w:rsidR="00756A5B">
        <w:rPr>
          <w:rFonts w:cs="Arial"/>
          <w:sz w:val="22"/>
        </w:rPr>
        <w:t xml:space="preserve"> percent is a reasonable proxy for adjusting costs </w:t>
      </w:r>
      <w:r w:rsidR="00FE59D2">
        <w:rPr>
          <w:rFonts w:cs="Arial"/>
          <w:sz w:val="22"/>
        </w:rPr>
        <w:t xml:space="preserve">for acuity </w:t>
      </w:r>
      <w:r w:rsidR="00756A5B">
        <w:rPr>
          <w:rFonts w:cs="Arial"/>
          <w:sz w:val="22"/>
        </w:rPr>
        <w:t xml:space="preserve">for the period between SFYs 2004 and </w:t>
      </w:r>
      <w:r w:rsidR="001F05C1">
        <w:rPr>
          <w:rFonts w:cs="Arial"/>
          <w:sz w:val="22"/>
        </w:rPr>
        <w:t>2019</w:t>
      </w:r>
      <w:r w:rsidR="00756A5B">
        <w:rPr>
          <w:rFonts w:cs="Arial"/>
          <w:sz w:val="22"/>
        </w:rPr>
        <w:t>.</w:t>
      </w:r>
    </w:p>
    <w:p w14:paraId="20189C69" w14:textId="77777777" w:rsidR="00D34961" w:rsidRPr="00D34961" w:rsidRDefault="00D34961" w:rsidP="00D34961">
      <w:pPr>
        <w:pStyle w:val="CommentText"/>
        <w:spacing w:before="0" w:after="0"/>
        <w:rPr>
          <w:rFonts w:cs="Arial"/>
          <w:sz w:val="22"/>
        </w:rPr>
      </w:pPr>
    </w:p>
    <w:p w14:paraId="25AC5CD5" w14:textId="2D59108B" w:rsidR="00E64C58" w:rsidRDefault="00D34961" w:rsidP="00895B71">
      <w:pPr>
        <w:pStyle w:val="CommentText"/>
        <w:spacing w:before="0" w:after="0"/>
        <w:rPr>
          <w:rFonts w:cs="Arial"/>
          <w:sz w:val="22"/>
        </w:rPr>
      </w:pPr>
      <w:r w:rsidRPr="00D34961">
        <w:rPr>
          <w:rFonts w:cs="Arial"/>
          <w:sz w:val="22"/>
        </w:rPr>
        <w:t xml:space="preserve">The weighted average Adult Family Home services rate for SFY 2004 that the Department calculated was </w:t>
      </w:r>
      <w:r w:rsidRPr="0081681B">
        <w:rPr>
          <w:rFonts w:cs="Arial"/>
          <w:sz w:val="22"/>
        </w:rPr>
        <w:t>$61.81</w:t>
      </w:r>
      <w:r w:rsidRPr="00D34961">
        <w:rPr>
          <w:rFonts w:cs="Arial"/>
          <w:sz w:val="22"/>
        </w:rPr>
        <w:t xml:space="preserve">, which again, we assume for purposes of this analysis is a proxy for the actual costs that are necessary for providing Adult Family Home services to Medicaid residents in SFY 2004.  Since acuity has increased by approximately </w:t>
      </w:r>
      <w:r w:rsidR="00BC50FF">
        <w:rPr>
          <w:rFonts w:cs="Arial"/>
          <w:sz w:val="22"/>
        </w:rPr>
        <w:t>22.5</w:t>
      </w:r>
      <w:r w:rsidRPr="00D34961">
        <w:rPr>
          <w:rFonts w:cs="Arial"/>
          <w:sz w:val="22"/>
        </w:rPr>
        <w:t xml:space="preserve"> percent since SFY 2004, increasing the calculated weighted average rate of $61.81 by </w:t>
      </w:r>
      <w:r w:rsidR="00BC50FF">
        <w:rPr>
          <w:rFonts w:cs="Arial"/>
          <w:sz w:val="22"/>
        </w:rPr>
        <w:t>22.5</w:t>
      </w:r>
      <w:r w:rsidRPr="00D34961">
        <w:rPr>
          <w:rFonts w:cs="Arial"/>
          <w:sz w:val="22"/>
        </w:rPr>
        <w:t xml:space="preserve"> percent will result in a rate before inflation of $7</w:t>
      </w:r>
      <w:r w:rsidR="00BC50FF">
        <w:rPr>
          <w:rFonts w:cs="Arial"/>
          <w:sz w:val="22"/>
        </w:rPr>
        <w:t>5.72</w:t>
      </w:r>
      <w:r w:rsidRPr="00D34961">
        <w:rPr>
          <w:rFonts w:cs="Arial"/>
          <w:sz w:val="22"/>
        </w:rPr>
        <w:t xml:space="preserve"> per day.  Table 5.1 below shows that inflating this $7</w:t>
      </w:r>
      <w:r w:rsidR="00BC50FF">
        <w:rPr>
          <w:rFonts w:cs="Arial"/>
          <w:sz w:val="22"/>
        </w:rPr>
        <w:t>5.72</w:t>
      </w:r>
      <w:r w:rsidRPr="00D34961">
        <w:rPr>
          <w:rFonts w:cs="Arial"/>
          <w:sz w:val="22"/>
        </w:rPr>
        <w:t xml:space="preserve"> cost proxy in SFY 2004 to SFY 201</w:t>
      </w:r>
      <w:r w:rsidR="001F05C1">
        <w:rPr>
          <w:rFonts w:cs="Arial"/>
          <w:sz w:val="22"/>
        </w:rPr>
        <w:t>9</w:t>
      </w:r>
      <w:r w:rsidRPr="00D34961">
        <w:rPr>
          <w:rFonts w:cs="Arial"/>
          <w:sz w:val="22"/>
        </w:rPr>
        <w:t xml:space="preserve"> yields an estimated current cost of providing Adult Family Home services </w:t>
      </w:r>
      <w:r w:rsidRPr="006C078F">
        <w:rPr>
          <w:rFonts w:cs="Arial"/>
          <w:sz w:val="22"/>
        </w:rPr>
        <w:t>of $</w:t>
      </w:r>
      <w:r w:rsidR="00BC50FF">
        <w:rPr>
          <w:rFonts w:cs="Arial"/>
          <w:sz w:val="22"/>
        </w:rPr>
        <w:t>105.40</w:t>
      </w:r>
      <w:r w:rsidRPr="006C078F">
        <w:rPr>
          <w:rFonts w:cs="Arial"/>
          <w:sz w:val="22"/>
        </w:rPr>
        <w:t xml:space="preserve"> or $</w:t>
      </w:r>
      <w:r w:rsidR="00BC50FF">
        <w:rPr>
          <w:rFonts w:cs="Arial"/>
          <w:sz w:val="22"/>
        </w:rPr>
        <w:t>107.14</w:t>
      </w:r>
      <w:r w:rsidRPr="00D34961">
        <w:rPr>
          <w:rFonts w:cs="Arial"/>
          <w:sz w:val="22"/>
        </w:rPr>
        <w:t>, depending on which CPI inflation factor is selected.</w:t>
      </w:r>
    </w:p>
    <w:p w14:paraId="3BDB664D" w14:textId="77777777" w:rsidR="00D34961" w:rsidRPr="00D34961" w:rsidRDefault="00D34961" w:rsidP="00D34961">
      <w:pPr>
        <w:pStyle w:val="CommentText"/>
        <w:rPr>
          <w:rFonts w:cs="Arial"/>
          <w:sz w:val="22"/>
        </w:rPr>
      </w:pPr>
    </w:p>
    <w:p w14:paraId="6AF073E8" w14:textId="75029149" w:rsidR="00D34961" w:rsidRPr="00D34961" w:rsidRDefault="00D34961" w:rsidP="00D34961">
      <w:pPr>
        <w:pStyle w:val="CommentText"/>
        <w:rPr>
          <w:rFonts w:cs="Arial"/>
          <w:b/>
          <w:sz w:val="22"/>
        </w:rPr>
      </w:pPr>
      <w:r w:rsidRPr="00D34961">
        <w:rPr>
          <w:rFonts w:cs="Arial"/>
          <w:b/>
          <w:sz w:val="22"/>
        </w:rPr>
        <w:t>Table 5.</w:t>
      </w:r>
      <w:r w:rsidR="00E64C58">
        <w:rPr>
          <w:rFonts w:cs="Arial"/>
          <w:b/>
          <w:sz w:val="22"/>
        </w:rPr>
        <w:t>1</w:t>
      </w:r>
      <w:r w:rsidRPr="00D34961">
        <w:rPr>
          <w:rFonts w:cs="Arial"/>
          <w:b/>
          <w:sz w:val="22"/>
        </w:rPr>
        <w:t xml:space="preserve">: Estimated Cost of Providing Services in </w:t>
      </w:r>
      <w:r w:rsidR="00B217A5">
        <w:rPr>
          <w:rFonts w:cs="Arial"/>
          <w:b/>
          <w:sz w:val="22"/>
        </w:rPr>
        <w:t>S</w:t>
      </w:r>
      <w:r w:rsidRPr="00D34961">
        <w:rPr>
          <w:rFonts w:cs="Arial"/>
          <w:b/>
          <w:sz w:val="22"/>
        </w:rPr>
        <w:t>FY 201</w:t>
      </w:r>
      <w:r w:rsidR="004801FF">
        <w:rPr>
          <w:rFonts w:cs="Arial"/>
          <w:b/>
          <w:sz w:val="22"/>
        </w:rPr>
        <w:t>9</w:t>
      </w:r>
    </w:p>
    <w:p w14:paraId="259B869D" w14:textId="77777777" w:rsidR="00D34961" w:rsidRPr="00D34961" w:rsidRDefault="00D34961" w:rsidP="00D34961">
      <w:pPr>
        <w:pStyle w:val="CommentText"/>
        <w:rPr>
          <w:rFonts w:cs="Arial"/>
          <w:sz w:val="22"/>
        </w:rPr>
      </w:pPr>
    </w:p>
    <w:tbl>
      <w:tblPr>
        <w:tblStyle w:val="TableGrid"/>
        <w:tblW w:w="0" w:type="auto"/>
        <w:tblLook w:val="04A0" w:firstRow="1" w:lastRow="0" w:firstColumn="1" w:lastColumn="0" w:noHBand="0" w:noVBand="1"/>
      </w:tblPr>
      <w:tblGrid>
        <w:gridCol w:w="1998"/>
        <w:gridCol w:w="1080"/>
        <w:gridCol w:w="1080"/>
        <w:gridCol w:w="1260"/>
        <w:gridCol w:w="1530"/>
        <w:gridCol w:w="1530"/>
      </w:tblGrid>
      <w:tr w:rsidR="00D34961" w:rsidRPr="00D34961" w14:paraId="5E5DD89F" w14:textId="77777777" w:rsidTr="002E4CE4">
        <w:tc>
          <w:tcPr>
            <w:tcW w:w="1998" w:type="dxa"/>
            <w:vMerge w:val="restart"/>
          </w:tcPr>
          <w:p w14:paraId="5A880E46" w14:textId="77777777" w:rsidR="00D34961" w:rsidRPr="00D34961" w:rsidRDefault="00D34961" w:rsidP="002E4CE4">
            <w:pPr>
              <w:pStyle w:val="CommentText"/>
              <w:rPr>
                <w:rFonts w:cs="Arial"/>
              </w:rPr>
            </w:pPr>
          </w:p>
        </w:tc>
        <w:tc>
          <w:tcPr>
            <w:tcW w:w="1080" w:type="dxa"/>
            <w:vMerge w:val="restart"/>
            <w:vAlign w:val="bottom"/>
          </w:tcPr>
          <w:p w14:paraId="30987A15" w14:textId="77777777" w:rsidR="00D34961" w:rsidRPr="00D34961" w:rsidRDefault="00D34961" w:rsidP="002E4CE4">
            <w:pPr>
              <w:pStyle w:val="CommentText"/>
              <w:jc w:val="center"/>
              <w:rPr>
                <w:rFonts w:cs="Arial"/>
                <w:b/>
              </w:rPr>
            </w:pPr>
            <w:r w:rsidRPr="00D34961">
              <w:rPr>
                <w:rFonts w:cs="Arial"/>
                <w:b/>
              </w:rPr>
              <w:t>SFY 2004</w:t>
            </w:r>
          </w:p>
        </w:tc>
        <w:tc>
          <w:tcPr>
            <w:tcW w:w="2340" w:type="dxa"/>
            <w:gridSpan w:val="2"/>
            <w:vAlign w:val="bottom"/>
          </w:tcPr>
          <w:p w14:paraId="64904B9F" w14:textId="726DC5B2" w:rsidR="00D34961" w:rsidRPr="00D34961" w:rsidRDefault="00D34961" w:rsidP="002E4CE4">
            <w:pPr>
              <w:pStyle w:val="CommentText"/>
              <w:jc w:val="center"/>
              <w:rPr>
                <w:rFonts w:cs="Arial"/>
                <w:b/>
              </w:rPr>
            </w:pPr>
            <w:r w:rsidRPr="00D34961">
              <w:rPr>
                <w:rFonts w:cs="Arial"/>
                <w:b/>
              </w:rPr>
              <w:t>Inflation Factor between Midpoints of SFY 2004 and SFY 201</w:t>
            </w:r>
            <w:r w:rsidR="004801FF">
              <w:rPr>
                <w:rFonts w:cs="Arial"/>
                <w:b/>
              </w:rPr>
              <w:t>9</w:t>
            </w:r>
            <w:r w:rsidRPr="00D34961">
              <w:rPr>
                <w:rFonts w:cs="Arial"/>
                <w:b/>
              </w:rPr>
              <w:t xml:space="preserve"> (Dec. 2003 and Dec. 2016)</w:t>
            </w:r>
          </w:p>
        </w:tc>
        <w:tc>
          <w:tcPr>
            <w:tcW w:w="3060" w:type="dxa"/>
            <w:gridSpan w:val="2"/>
            <w:vAlign w:val="bottom"/>
          </w:tcPr>
          <w:p w14:paraId="0EB2045B" w14:textId="6532C23F" w:rsidR="00D34961" w:rsidRPr="00D34961" w:rsidRDefault="00D34961" w:rsidP="002E4CE4">
            <w:pPr>
              <w:pStyle w:val="CommentText"/>
              <w:jc w:val="center"/>
              <w:rPr>
                <w:rFonts w:cs="Arial"/>
                <w:b/>
              </w:rPr>
            </w:pPr>
            <w:r w:rsidRPr="00D34961">
              <w:rPr>
                <w:rFonts w:cs="Arial"/>
                <w:b/>
              </w:rPr>
              <w:t>Estimated Weighted Average Adult Family Home Cost for SFY 201</w:t>
            </w:r>
            <w:r w:rsidR="004801FF">
              <w:rPr>
                <w:rFonts w:cs="Arial"/>
                <w:b/>
              </w:rPr>
              <w:t>9</w:t>
            </w:r>
          </w:p>
        </w:tc>
      </w:tr>
      <w:tr w:rsidR="00D34961" w:rsidRPr="00D34961" w14:paraId="5E250F30" w14:textId="77777777" w:rsidTr="002E4CE4">
        <w:tc>
          <w:tcPr>
            <w:tcW w:w="1998" w:type="dxa"/>
            <w:vMerge/>
          </w:tcPr>
          <w:p w14:paraId="514C2321" w14:textId="77777777" w:rsidR="00D34961" w:rsidRPr="00D34961" w:rsidRDefault="00D34961" w:rsidP="002E4CE4">
            <w:pPr>
              <w:pStyle w:val="CommentText"/>
              <w:rPr>
                <w:rFonts w:cs="Arial"/>
              </w:rPr>
            </w:pPr>
          </w:p>
        </w:tc>
        <w:tc>
          <w:tcPr>
            <w:tcW w:w="1080" w:type="dxa"/>
            <w:vMerge/>
          </w:tcPr>
          <w:p w14:paraId="70EC7AE2" w14:textId="77777777" w:rsidR="00D34961" w:rsidRPr="00D34961" w:rsidRDefault="00D34961" w:rsidP="002E4CE4">
            <w:pPr>
              <w:pStyle w:val="CommentText"/>
              <w:rPr>
                <w:rFonts w:cs="Arial"/>
                <w:b/>
              </w:rPr>
            </w:pPr>
          </w:p>
        </w:tc>
        <w:tc>
          <w:tcPr>
            <w:tcW w:w="1080" w:type="dxa"/>
          </w:tcPr>
          <w:p w14:paraId="3B331E66" w14:textId="77777777" w:rsidR="00D34961" w:rsidRPr="00D34961" w:rsidRDefault="00D34961" w:rsidP="002E4CE4">
            <w:pPr>
              <w:pStyle w:val="CommentText"/>
              <w:jc w:val="center"/>
              <w:rPr>
                <w:rFonts w:cs="Arial"/>
                <w:b/>
              </w:rPr>
            </w:pPr>
            <w:r w:rsidRPr="00D34961">
              <w:rPr>
                <w:rFonts w:cs="Arial"/>
                <w:b/>
              </w:rPr>
              <w:t>CPI West Region</w:t>
            </w:r>
          </w:p>
        </w:tc>
        <w:tc>
          <w:tcPr>
            <w:tcW w:w="1260" w:type="dxa"/>
          </w:tcPr>
          <w:p w14:paraId="3321F0EB" w14:textId="77777777" w:rsidR="00D34961" w:rsidRPr="00D34961" w:rsidRDefault="00D34961" w:rsidP="002E4CE4">
            <w:pPr>
              <w:pStyle w:val="CommentText"/>
              <w:jc w:val="center"/>
              <w:rPr>
                <w:rFonts w:cs="Arial"/>
                <w:b/>
              </w:rPr>
            </w:pPr>
            <w:r w:rsidRPr="00D34961">
              <w:rPr>
                <w:rFonts w:cs="Arial"/>
                <w:b/>
              </w:rPr>
              <w:t>CPI Seattle Area</w:t>
            </w:r>
          </w:p>
        </w:tc>
        <w:tc>
          <w:tcPr>
            <w:tcW w:w="1530" w:type="dxa"/>
            <w:vAlign w:val="bottom"/>
          </w:tcPr>
          <w:p w14:paraId="38243440" w14:textId="77777777" w:rsidR="00D34961" w:rsidRPr="00D34961" w:rsidRDefault="00D34961" w:rsidP="002E4CE4">
            <w:pPr>
              <w:pStyle w:val="CommentText"/>
              <w:jc w:val="center"/>
              <w:rPr>
                <w:rFonts w:cs="Arial"/>
                <w:b/>
              </w:rPr>
            </w:pPr>
            <w:r w:rsidRPr="00D34961">
              <w:rPr>
                <w:rFonts w:cs="Arial"/>
                <w:b/>
              </w:rPr>
              <w:t>Using West Region CPI</w:t>
            </w:r>
          </w:p>
        </w:tc>
        <w:tc>
          <w:tcPr>
            <w:tcW w:w="1530" w:type="dxa"/>
            <w:vAlign w:val="bottom"/>
          </w:tcPr>
          <w:p w14:paraId="5FF53CA9" w14:textId="77777777" w:rsidR="00D34961" w:rsidRPr="00D34961" w:rsidRDefault="00D34961" w:rsidP="002E4CE4">
            <w:pPr>
              <w:pStyle w:val="CommentText"/>
              <w:jc w:val="center"/>
              <w:rPr>
                <w:rFonts w:cs="Arial"/>
                <w:b/>
              </w:rPr>
            </w:pPr>
            <w:r w:rsidRPr="00D34961">
              <w:rPr>
                <w:rFonts w:cs="Arial"/>
                <w:b/>
              </w:rPr>
              <w:t>Using Seattle Area CPI</w:t>
            </w:r>
          </w:p>
        </w:tc>
      </w:tr>
      <w:tr w:rsidR="00D34961" w:rsidRPr="00D34961" w14:paraId="1ED30DCD" w14:textId="77777777" w:rsidTr="002E4CE4">
        <w:tc>
          <w:tcPr>
            <w:tcW w:w="1998" w:type="dxa"/>
          </w:tcPr>
          <w:p w14:paraId="4EC47E93" w14:textId="77777777" w:rsidR="00D34961" w:rsidRPr="00D34961" w:rsidRDefault="00D34961" w:rsidP="002E4CE4">
            <w:pPr>
              <w:pStyle w:val="CommentText"/>
              <w:rPr>
                <w:rFonts w:cs="Arial"/>
              </w:rPr>
            </w:pPr>
            <w:r w:rsidRPr="00D34961">
              <w:rPr>
                <w:rFonts w:cs="Arial"/>
              </w:rPr>
              <w:t>Average Weighted Cost for Adult Family Home Services</w:t>
            </w:r>
          </w:p>
        </w:tc>
        <w:tc>
          <w:tcPr>
            <w:tcW w:w="1080" w:type="dxa"/>
            <w:vAlign w:val="center"/>
          </w:tcPr>
          <w:p w14:paraId="6338BAF2" w14:textId="69CBC0A0" w:rsidR="00D34961" w:rsidRPr="00D34961" w:rsidRDefault="00D34961" w:rsidP="002E4CE4">
            <w:pPr>
              <w:pStyle w:val="CommentText"/>
              <w:jc w:val="center"/>
              <w:rPr>
                <w:rFonts w:cs="Arial"/>
              </w:rPr>
            </w:pPr>
            <w:r w:rsidRPr="00D34961">
              <w:rPr>
                <w:rFonts w:cs="Arial"/>
              </w:rPr>
              <w:t>$7</w:t>
            </w:r>
            <w:r w:rsidR="00BC50FF">
              <w:rPr>
                <w:rFonts w:cs="Arial"/>
              </w:rPr>
              <w:t>5.72</w:t>
            </w:r>
          </w:p>
        </w:tc>
        <w:tc>
          <w:tcPr>
            <w:tcW w:w="1080" w:type="dxa"/>
            <w:vAlign w:val="center"/>
          </w:tcPr>
          <w:p w14:paraId="1268C530" w14:textId="3E4B7DD5" w:rsidR="00D34961" w:rsidRPr="00D34961" w:rsidRDefault="006C078F" w:rsidP="002E4CE4">
            <w:pPr>
              <w:pStyle w:val="CommentText"/>
              <w:jc w:val="center"/>
              <w:rPr>
                <w:rFonts w:cs="Arial"/>
              </w:rPr>
            </w:pPr>
            <w:r w:rsidRPr="006C078F">
              <w:rPr>
                <w:rFonts w:cs="Arial"/>
              </w:rPr>
              <w:t>1.392</w:t>
            </w:r>
          </w:p>
        </w:tc>
        <w:tc>
          <w:tcPr>
            <w:tcW w:w="1260" w:type="dxa"/>
            <w:vAlign w:val="center"/>
          </w:tcPr>
          <w:p w14:paraId="58616BCC" w14:textId="729AF293" w:rsidR="00D34961" w:rsidRPr="00D34961" w:rsidRDefault="00D73C17" w:rsidP="002E4CE4">
            <w:pPr>
              <w:pStyle w:val="CommentText"/>
              <w:jc w:val="center"/>
              <w:rPr>
                <w:rFonts w:cs="Arial"/>
              </w:rPr>
            </w:pPr>
            <w:r w:rsidRPr="00D73C17">
              <w:rPr>
                <w:rFonts w:cs="Arial"/>
              </w:rPr>
              <w:t>1.415</w:t>
            </w:r>
          </w:p>
        </w:tc>
        <w:tc>
          <w:tcPr>
            <w:tcW w:w="1530" w:type="dxa"/>
            <w:vAlign w:val="center"/>
          </w:tcPr>
          <w:p w14:paraId="2C715524" w14:textId="799AA9E4" w:rsidR="00D34961" w:rsidRPr="00D34961" w:rsidRDefault="00BC50FF" w:rsidP="002E4CE4">
            <w:pPr>
              <w:jc w:val="center"/>
              <w:rPr>
                <w:rFonts w:cs="Arial"/>
                <w:sz w:val="20"/>
                <w:szCs w:val="20"/>
              </w:rPr>
            </w:pPr>
            <w:r>
              <w:rPr>
                <w:rFonts w:cs="Arial"/>
                <w:sz w:val="20"/>
                <w:szCs w:val="20"/>
              </w:rPr>
              <w:t>$105.40</w:t>
            </w:r>
          </w:p>
        </w:tc>
        <w:tc>
          <w:tcPr>
            <w:tcW w:w="1530" w:type="dxa"/>
            <w:vAlign w:val="center"/>
          </w:tcPr>
          <w:p w14:paraId="12DC0C5D" w14:textId="5910C1D6" w:rsidR="00D34961" w:rsidRPr="00D34961" w:rsidRDefault="00BC50FF" w:rsidP="002E4CE4">
            <w:pPr>
              <w:jc w:val="center"/>
              <w:rPr>
                <w:rFonts w:cs="Arial"/>
                <w:sz w:val="20"/>
                <w:szCs w:val="20"/>
              </w:rPr>
            </w:pPr>
            <w:r>
              <w:rPr>
                <w:rFonts w:cs="Arial"/>
                <w:sz w:val="20"/>
                <w:szCs w:val="20"/>
              </w:rPr>
              <w:t>$107.14</w:t>
            </w:r>
          </w:p>
        </w:tc>
      </w:tr>
    </w:tbl>
    <w:p w14:paraId="21C525ED" w14:textId="77777777" w:rsidR="00D34961" w:rsidRPr="00D34961" w:rsidRDefault="00D34961" w:rsidP="00D34961">
      <w:pPr>
        <w:pStyle w:val="CommentText"/>
        <w:rPr>
          <w:rFonts w:cs="Arial"/>
          <w:sz w:val="22"/>
        </w:rPr>
      </w:pPr>
    </w:p>
    <w:p w14:paraId="5399B05E" w14:textId="52DEDF47" w:rsidR="00D34961" w:rsidRPr="00895B71" w:rsidRDefault="00D34961" w:rsidP="00895B71">
      <w:pPr>
        <w:pStyle w:val="CommentText"/>
        <w:rPr>
          <w:rFonts w:cs="Arial"/>
          <w:sz w:val="22"/>
        </w:rPr>
      </w:pPr>
      <w:r w:rsidRPr="00D34961">
        <w:rPr>
          <w:rFonts w:cs="Arial"/>
          <w:sz w:val="22"/>
        </w:rPr>
        <w:t>We compared the estimated weighted average cost of providing Adult Family Home services in SFY 201</w:t>
      </w:r>
      <w:r w:rsidR="001F05C1">
        <w:rPr>
          <w:rFonts w:cs="Arial"/>
          <w:sz w:val="22"/>
        </w:rPr>
        <w:t>9</w:t>
      </w:r>
      <w:r w:rsidRPr="00D34961">
        <w:rPr>
          <w:rFonts w:cs="Arial"/>
          <w:sz w:val="22"/>
        </w:rPr>
        <w:t xml:space="preserve"> with the estimated </w:t>
      </w:r>
      <w:r w:rsidR="00D50468">
        <w:rPr>
          <w:rFonts w:cs="Arial"/>
          <w:sz w:val="22"/>
        </w:rPr>
        <w:t xml:space="preserve">SFY </w:t>
      </w:r>
      <w:r w:rsidRPr="00D34961">
        <w:rPr>
          <w:rFonts w:cs="Arial"/>
          <w:sz w:val="22"/>
        </w:rPr>
        <w:t>201</w:t>
      </w:r>
      <w:r w:rsidR="001F05C1">
        <w:rPr>
          <w:rFonts w:cs="Arial"/>
          <w:sz w:val="22"/>
        </w:rPr>
        <w:t>9</w:t>
      </w:r>
      <w:r w:rsidRPr="00D34961">
        <w:rPr>
          <w:rFonts w:cs="Arial"/>
          <w:sz w:val="22"/>
        </w:rPr>
        <w:t xml:space="preserve"> weighted average Adult Family Home rate for Medicaid residents of </w:t>
      </w:r>
      <w:r w:rsidRPr="006F4F84">
        <w:rPr>
          <w:rFonts w:cs="Arial"/>
          <w:sz w:val="22"/>
        </w:rPr>
        <w:t>$</w:t>
      </w:r>
      <w:r w:rsidR="00E64C58" w:rsidRPr="006F4F84">
        <w:rPr>
          <w:rFonts w:cs="Arial"/>
          <w:sz w:val="22"/>
        </w:rPr>
        <w:t>1</w:t>
      </w:r>
      <w:r w:rsidR="006F4F84">
        <w:rPr>
          <w:rFonts w:cs="Arial"/>
          <w:sz w:val="22"/>
        </w:rPr>
        <w:t>12.7</w:t>
      </w:r>
      <w:r w:rsidR="007C7FE3">
        <w:rPr>
          <w:rFonts w:cs="Arial"/>
          <w:sz w:val="22"/>
        </w:rPr>
        <w:t>0</w:t>
      </w:r>
      <w:r w:rsidRPr="00D34961">
        <w:rPr>
          <w:rFonts w:cs="Arial"/>
          <w:sz w:val="22"/>
        </w:rPr>
        <w:t xml:space="preserve">, which was calculated by the Department. </w:t>
      </w:r>
      <w:r w:rsidR="00C97C30">
        <w:rPr>
          <w:rFonts w:cs="Arial"/>
          <w:sz w:val="22"/>
        </w:rPr>
        <w:t xml:space="preserve"> </w:t>
      </w:r>
      <w:r w:rsidRPr="00D34961">
        <w:rPr>
          <w:rFonts w:cs="Arial"/>
          <w:sz w:val="22"/>
        </w:rPr>
        <w:t>As Table 5.</w:t>
      </w:r>
      <w:r w:rsidR="00E64C58">
        <w:rPr>
          <w:rFonts w:cs="Arial"/>
          <w:sz w:val="22"/>
        </w:rPr>
        <w:t>2</w:t>
      </w:r>
      <w:r w:rsidRPr="00D34961">
        <w:rPr>
          <w:rFonts w:cs="Arial"/>
          <w:sz w:val="22"/>
        </w:rPr>
        <w:t xml:space="preserve"> below shows, we estimate that payment-to-cost coverage for SFY 201</w:t>
      </w:r>
      <w:r w:rsidR="001F05C1">
        <w:rPr>
          <w:rFonts w:cs="Arial"/>
          <w:sz w:val="22"/>
        </w:rPr>
        <w:t>9</w:t>
      </w:r>
      <w:r w:rsidRPr="00D34961">
        <w:rPr>
          <w:rFonts w:cs="Arial"/>
          <w:sz w:val="22"/>
        </w:rPr>
        <w:t xml:space="preserve"> is approximately </w:t>
      </w:r>
      <w:r w:rsidR="00BC50FF">
        <w:rPr>
          <w:rFonts w:cs="Arial"/>
          <w:sz w:val="22"/>
        </w:rPr>
        <w:t>106</w:t>
      </w:r>
      <w:r w:rsidRPr="00D34961">
        <w:rPr>
          <w:rFonts w:cs="Arial"/>
          <w:sz w:val="22"/>
        </w:rPr>
        <w:t xml:space="preserve"> percent, assuming the rates sho</w:t>
      </w:r>
      <w:r w:rsidR="000550A0">
        <w:rPr>
          <w:rFonts w:cs="Arial"/>
          <w:sz w:val="22"/>
        </w:rPr>
        <w:t>wn in Appendix A of this report.</w:t>
      </w:r>
    </w:p>
    <w:p w14:paraId="4F1D43BB" w14:textId="77777777" w:rsidR="00D34961" w:rsidRPr="00D34961" w:rsidRDefault="00D34961" w:rsidP="00D34961">
      <w:pPr>
        <w:rPr>
          <w:rFonts w:cs="Arial"/>
        </w:rPr>
      </w:pPr>
    </w:p>
    <w:p w14:paraId="30BC2BAF" w14:textId="7A799492" w:rsidR="00D34961" w:rsidRPr="00D34961" w:rsidRDefault="00D34961" w:rsidP="00D34961">
      <w:pPr>
        <w:rPr>
          <w:rFonts w:cs="Arial"/>
          <w:b/>
        </w:rPr>
      </w:pPr>
      <w:r w:rsidRPr="00D34961">
        <w:rPr>
          <w:rFonts w:cs="Arial"/>
          <w:b/>
        </w:rPr>
        <w:t>Table 5.</w:t>
      </w:r>
      <w:r w:rsidR="00E64C58">
        <w:rPr>
          <w:rFonts w:cs="Arial"/>
          <w:b/>
        </w:rPr>
        <w:t>2</w:t>
      </w:r>
      <w:r w:rsidRPr="00D34961">
        <w:rPr>
          <w:rFonts w:cs="Arial"/>
          <w:b/>
        </w:rPr>
        <w:t>:  Medicaid Payment-to-Cost Ratio SFY 201</w:t>
      </w:r>
      <w:r w:rsidR="009B132E">
        <w:rPr>
          <w:rFonts w:cs="Arial"/>
          <w:b/>
        </w:rPr>
        <w:t>9</w:t>
      </w:r>
    </w:p>
    <w:p w14:paraId="3DE4AEBE" w14:textId="77777777" w:rsidR="00D34961" w:rsidRPr="00D34961" w:rsidRDefault="00D34961" w:rsidP="00D34961">
      <w:pPr>
        <w:rPr>
          <w:rFonts w:cs="Arial"/>
          <w:b/>
        </w:rPr>
      </w:pPr>
    </w:p>
    <w:tbl>
      <w:tblPr>
        <w:tblStyle w:val="TableGrid"/>
        <w:tblW w:w="0" w:type="auto"/>
        <w:tblLook w:val="04A0" w:firstRow="1" w:lastRow="0" w:firstColumn="1" w:lastColumn="0" w:noHBand="0" w:noVBand="1"/>
      </w:tblPr>
      <w:tblGrid>
        <w:gridCol w:w="1843"/>
        <w:gridCol w:w="2225"/>
        <w:gridCol w:w="2430"/>
        <w:gridCol w:w="1620"/>
      </w:tblGrid>
      <w:tr w:rsidR="00D34961" w:rsidRPr="00D34961" w14:paraId="6F942AB8" w14:textId="77777777" w:rsidTr="002E4CE4">
        <w:tc>
          <w:tcPr>
            <w:tcW w:w="1843" w:type="dxa"/>
            <w:vAlign w:val="bottom"/>
          </w:tcPr>
          <w:p w14:paraId="09108485" w14:textId="77777777" w:rsidR="00D34961" w:rsidRPr="00D34961" w:rsidRDefault="00D34961" w:rsidP="002E4CE4">
            <w:pPr>
              <w:jc w:val="center"/>
              <w:rPr>
                <w:rFonts w:cs="Arial"/>
                <w:b/>
                <w:sz w:val="20"/>
                <w:szCs w:val="20"/>
              </w:rPr>
            </w:pPr>
            <w:r w:rsidRPr="00D34961">
              <w:rPr>
                <w:rFonts w:cs="Arial"/>
                <w:b/>
                <w:sz w:val="20"/>
                <w:szCs w:val="20"/>
              </w:rPr>
              <w:t>Inflating FY 2004 Average Weighted Cost by:</w:t>
            </w:r>
          </w:p>
        </w:tc>
        <w:tc>
          <w:tcPr>
            <w:tcW w:w="2225" w:type="dxa"/>
            <w:vAlign w:val="bottom"/>
          </w:tcPr>
          <w:p w14:paraId="59B89F75" w14:textId="4141E88D" w:rsidR="00D34961" w:rsidRPr="00D34961" w:rsidRDefault="00D34961" w:rsidP="002F68E1">
            <w:pPr>
              <w:jc w:val="center"/>
              <w:rPr>
                <w:rFonts w:cs="Arial"/>
                <w:b/>
                <w:sz w:val="20"/>
                <w:szCs w:val="20"/>
              </w:rPr>
            </w:pPr>
            <w:r w:rsidRPr="00D34961">
              <w:rPr>
                <w:rFonts w:cs="Arial"/>
                <w:b/>
                <w:sz w:val="20"/>
                <w:szCs w:val="20"/>
              </w:rPr>
              <w:t xml:space="preserve">Estimated Weighted Average Cost for </w:t>
            </w:r>
            <w:r w:rsidR="002F68E1">
              <w:rPr>
                <w:rFonts w:cs="Arial"/>
                <w:b/>
                <w:sz w:val="20"/>
                <w:szCs w:val="20"/>
              </w:rPr>
              <w:t>Adult Family Home</w:t>
            </w:r>
            <w:r w:rsidRPr="00D34961">
              <w:rPr>
                <w:rFonts w:cs="Arial"/>
                <w:b/>
                <w:sz w:val="20"/>
                <w:szCs w:val="20"/>
              </w:rPr>
              <w:t xml:space="preserve"> Services in </w:t>
            </w:r>
            <w:r w:rsidR="00B217A5">
              <w:rPr>
                <w:rFonts w:cs="Arial"/>
                <w:b/>
                <w:sz w:val="20"/>
                <w:szCs w:val="20"/>
              </w:rPr>
              <w:t>S</w:t>
            </w:r>
            <w:r w:rsidRPr="00D34961">
              <w:rPr>
                <w:rFonts w:cs="Arial"/>
                <w:b/>
                <w:sz w:val="20"/>
                <w:szCs w:val="20"/>
              </w:rPr>
              <w:t>FY 201</w:t>
            </w:r>
            <w:r w:rsidR="001F05C1">
              <w:rPr>
                <w:rFonts w:cs="Arial"/>
                <w:b/>
                <w:sz w:val="20"/>
                <w:szCs w:val="20"/>
              </w:rPr>
              <w:t>9</w:t>
            </w:r>
          </w:p>
        </w:tc>
        <w:tc>
          <w:tcPr>
            <w:tcW w:w="2430" w:type="dxa"/>
            <w:vAlign w:val="bottom"/>
          </w:tcPr>
          <w:p w14:paraId="1ACA2DBD" w14:textId="7363C44E" w:rsidR="00D34961" w:rsidRPr="00D34961" w:rsidRDefault="00D34961" w:rsidP="002E4CE4">
            <w:pPr>
              <w:jc w:val="center"/>
              <w:rPr>
                <w:rFonts w:cs="Arial"/>
                <w:b/>
                <w:sz w:val="20"/>
                <w:szCs w:val="20"/>
              </w:rPr>
            </w:pPr>
            <w:r w:rsidRPr="00D34961">
              <w:rPr>
                <w:rFonts w:cs="Arial"/>
                <w:b/>
                <w:sz w:val="20"/>
                <w:szCs w:val="20"/>
              </w:rPr>
              <w:t xml:space="preserve">Weighted Average Rate for Adult Family Home Services for </w:t>
            </w:r>
            <w:r w:rsidR="00B217A5">
              <w:rPr>
                <w:rFonts w:cs="Arial"/>
                <w:b/>
                <w:sz w:val="20"/>
                <w:szCs w:val="20"/>
              </w:rPr>
              <w:t>S</w:t>
            </w:r>
            <w:r w:rsidRPr="00D34961">
              <w:rPr>
                <w:rFonts w:cs="Arial"/>
                <w:b/>
                <w:sz w:val="20"/>
                <w:szCs w:val="20"/>
              </w:rPr>
              <w:t>FY 201</w:t>
            </w:r>
            <w:r w:rsidR="001F05C1">
              <w:rPr>
                <w:rFonts w:cs="Arial"/>
                <w:b/>
                <w:sz w:val="20"/>
                <w:szCs w:val="20"/>
              </w:rPr>
              <w:t>9</w:t>
            </w:r>
          </w:p>
        </w:tc>
        <w:tc>
          <w:tcPr>
            <w:tcW w:w="1620" w:type="dxa"/>
            <w:vAlign w:val="bottom"/>
          </w:tcPr>
          <w:p w14:paraId="59496428" w14:textId="77777777" w:rsidR="00D34961" w:rsidRPr="00D34961" w:rsidRDefault="00D34961" w:rsidP="002E4CE4">
            <w:pPr>
              <w:jc w:val="center"/>
              <w:rPr>
                <w:rFonts w:cs="Arial"/>
                <w:b/>
                <w:sz w:val="20"/>
                <w:szCs w:val="20"/>
              </w:rPr>
            </w:pPr>
            <w:r w:rsidRPr="00D34961">
              <w:rPr>
                <w:rFonts w:cs="Arial"/>
                <w:b/>
                <w:sz w:val="20"/>
                <w:szCs w:val="20"/>
              </w:rPr>
              <w:t>Payment-to-Cost Ratio</w:t>
            </w:r>
          </w:p>
        </w:tc>
      </w:tr>
      <w:tr w:rsidR="00D34961" w:rsidRPr="00D34961" w14:paraId="08E70D04" w14:textId="77777777" w:rsidTr="002E4CE4">
        <w:tc>
          <w:tcPr>
            <w:tcW w:w="1843" w:type="dxa"/>
            <w:vAlign w:val="center"/>
          </w:tcPr>
          <w:p w14:paraId="2237CD08" w14:textId="77777777" w:rsidR="00D34961" w:rsidRPr="00D34961" w:rsidRDefault="00D34961" w:rsidP="002E4CE4">
            <w:pPr>
              <w:jc w:val="center"/>
              <w:rPr>
                <w:rFonts w:cs="Arial"/>
                <w:sz w:val="20"/>
                <w:szCs w:val="20"/>
              </w:rPr>
            </w:pPr>
            <w:r w:rsidRPr="00D34961">
              <w:rPr>
                <w:rFonts w:cs="Arial"/>
                <w:sz w:val="20"/>
                <w:szCs w:val="20"/>
              </w:rPr>
              <w:t>CPI West Region</w:t>
            </w:r>
          </w:p>
        </w:tc>
        <w:tc>
          <w:tcPr>
            <w:tcW w:w="2225" w:type="dxa"/>
            <w:vAlign w:val="center"/>
          </w:tcPr>
          <w:p w14:paraId="51C16CDE" w14:textId="67515811" w:rsidR="00D34961" w:rsidRPr="00D34961" w:rsidRDefault="006F4F84" w:rsidP="002E4CE4">
            <w:pPr>
              <w:jc w:val="center"/>
              <w:rPr>
                <w:rFonts w:cs="Arial"/>
                <w:sz w:val="20"/>
                <w:szCs w:val="20"/>
              </w:rPr>
            </w:pPr>
            <w:r>
              <w:rPr>
                <w:rFonts w:cs="Arial"/>
                <w:sz w:val="20"/>
                <w:szCs w:val="20"/>
              </w:rPr>
              <w:t>$10</w:t>
            </w:r>
            <w:r w:rsidR="00BC50FF">
              <w:rPr>
                <w:rFonts w:cs="Arial"/>
                <w:sz w:val="20"/>
                <w:szCs w:val="20"/>
              </w:rPr>
              <w:t>5.40</w:t>
            </w:r>
          </w:p>
        </w:tc>
        <w:tc>
          <w:tcPr>
            <w:tcW w:w="2430" w:type="dxa"/>
            <w:vAlign w:val="center"/>
          </w:tcPr>
          <w:p w14:paraId="047A6D00" w14:textId="7547494A" w:rsidR="00D34961" w:rsidRPr="00D34961" w:rsidRDefault="006F4F84" w:rsidP="002E4CE4">
            <w:pPr>
              <w:jc w:val="center"/>
              <w:rPr>
                <w:rFonts w:cs="Arial"/>
                <w:sz w:val="20"/>
                <w:szCs w:val="20"/>
              </w:rPr>
            </w:pPr>
            <w:r>
              <w:rPr>
                <w:rFonts w:cs="Arial"/>
                <w:sz w:val="20"/>
                <w:szCs w:val="20"/>
              </w:rPr>
              <w:t>$112.7</w:t>
            </w:r>
            <w:r w:rsidR="007C7FE3">
              <w:rPr>
                <w:rFonts w:cs="Arial"/>
                <w:sz w:val="20"/>
                <w:szCs w:val="20"/>
              </w:rPr>
              <w:t>0</w:t>
            </w:r>
          </w:p>
        </w:tc>
        <w:tc>
          <w:tcPr>
            <w:tcW w:w="1620" w:type="dxa"/>
            <w:vAlign w:val="center"/>
          </w:tcPr>
          <w:p w14:paraId="67B43F23" w14:textId="2C11422F" w:rsidR="00D34961" w:rsidRPr="00D34961" w:rsidRDefault="00BC50FF" w:rsidP="002E4CE4">
            <w:pPr>
              <w:jc w:val="center"/>
              <w:rPr>
                <w:rFonts w:cs="Arial"/>
                <w:sz w:val="20"/>
                <w:szCs w:val="20"/>
              </w:rPr>
            </w:pPr>
            <w:r>
              <w:rPr>
                <w:rFonts w:cs="Arial"/>
                <w:sz w:val="20"/>
                <w:szCs w:val="20"/>
              </w:rPr>
              <w:t>10</w:t>
            </w:r>
            <w:r w:rsidR="007C7FE3">
              <w:rPr>
                <w:rFonts w:cs="Arial"/>
                <w:sz w:val="20"/>
                <w:szCs w:val="20"/>
              </w:rPr>
              <w:t>6.9</w:t>
            </w:r>
            <w:r w:rsidR="006F4F84">
              <w:rPr>
                <w:rFonts w:cs="Arial"/>
                <w:sz w:val="20"/>
                <w:szCs w:val="20"/>
              </w:rPr>
              <w:t>%</w:t>
            </w:r>
          </w:p>
        </w:tc>
      </w:tr>
      <w:tr w:rsidR="00D34961" w:rsidRPr="00D34961" w14:paraId="298604AB" w14:textId="77777777" w:rsidTr="002E4CE4">
        <w:tc>
          <w:tcPr>
            <w:tcW w:w="1843" w:type="dxa"/>
            <w:vAlign w:val="center"/>
          </w:tcPr>
          <w:p w14:paraId="22EB0A20" w14:textId="77777777" w:rsidR="00D34961" w:rsidRPr="00D34961" w:rsidRDefault="00D34961" w:rsidP="002E4CE4">
            <w:pPr>
              <w:jc w:val="center"/>
              <w:rPr>
                <w:rFonts w:cs="Arial"/>
                <w:sz w:val="20"/>
                <w:szCs w:val="20"/>
              </w:rPr>
            </w:pPr>
            <w:r w:rsidRPr="00D34961">
              <w:rPr>
                <w:rFonts w:cs="Arial"/>
                <w:sz w:val="20"/>
                <w:szCs w:val="20"/>
              </w:rPr>
              <w:t>CPI Seattle Area</w:t>
            </w:r>
          </w:p>
        </w:tc>
        <w:tc>
          <w:tcPr>
            <w:tcW w:w="2225" w:type="dxa"/>
            <w:vAlign w:val="center"/>
          </w:tcPr>
          <w:p w14:paraId="2DF045E4" w14:textId="4AB224B0" w:rsidR="00D34961" w:rsidRPr="00D34961" w:rsidRDefault="006F4F84" w:rsidP="002E4CE4">
            <w:pPr>
              <w:jc w:val="center"/>
              <w:rPr>
                <w:rFonts w:cs="Arial"/>
                <w:sz w:val="20"/>
                <w:szCs w:val="20"/>
              </w:rPr>
            </w:pPr>
            <w:r>
              <w:rPr>
                <w:rFonts w:cs="Arial"/>
                <w:sz w:val="20"/>
                <w:szCs w:val="20"/>
              </w:rPr>
              <w:t>$10</w:t>
            </w:r>
            <w:r w:rsidR="00BC50FF">
              <w:rPr>
                <w:rFonts w:cs="Arial"/>
                <w:sz w:val="20"/>
                <w:szCs w:val="20"/>
              </w:rPr>
              <w:t>7.14</w:t>
            </w:r>
          </w:p>
        </w:tc>
        <w:tc>
          <w:tcPr>
            <w:tcW w:w="2430" w:type="dxa"/>
            <w:vAlign w:val="center"/>
          </w:tcPr>
          <w:p w14:paraId="75B6149D" w14:textId="5CF05B13" w:rsidR="00D34961" w:rsidRPr="00D34961" w:rsidRDefault="006F4F84" w:rsidP="002E4CE4">
            <w:pPr>
              <w:jc w:val="center"/>
              <w:rPr>
                <w:rFonts w:cs="Arial"/>
                <w:sz w:val="20"/>
                <w:szCs w:val="20"/>
              </w:rPr>
            </w:pPr>
            <w:r>
              <w:rPr>
                <w:rFonts w:cs="Arial"/>
                <w:sz w:val="20"/>
                <w:szCs w:val="20"/>
              </w:rPr>
              <w:t>$112.7</w:t>
            </w:r>
            <w:r w:rsidR="007C7FE3">
              <w:rPr>
                <w:rFonts w:cs="Arial"/>
                <w:sz w:val="20"/>
                <w:szCs w:val="20"/>
              </w:rPr>
              <w:t>0</w:t>
            </w:r>
          </w:p>
        </w:tc>
        <w:tc>
          <w:tcPr>
            <w:tcW w:w="1620" w:type="dxa"/>
            <w:vAlign w:val="center"/>
          </w:tcPr>
          <w:p w14:paraId="6541D49A" w14:textId="46FE9380" w:rsidR="00D34961" w:rsidRPr="00D34961" w:rsidRDefault="00BC50FF" w:rsidP="002E4CE4">
            <w:pPr>
              <w:jc w:val="center"/>
              <w:rPr>
                <w:rFonts w:cs="Arial"/>
                <w:sz w:val="20"/>
                <w:szCs w:val="20"/>
              </w:rPr>
            </w:pPr>
            <w:r>
              <w:rPr>
                <w:rFonts w:cs="Arial"/>
                <w:sz w:val="20"/>
                <w:szCs w:val="20"/>
              </w:rPr>
              <w:t>105.</w:t>
            </w:r>
            <w:r w:rsidR="007C7FE3">
              <w:rPr>
                <w:rFonts w:cs="Arial"/>
                <w:sz w:val="20"/>
                <w:szCs w:val="20"/>
              </w:rPr>
              <w:t>2</w:t>
            </w:r>
            <w:r w:rsidR="006F4F84">
              <w:rPr>
                <w:rFonts w:cs="Arial"/>
                <w:sz w:val="20"/>
                <w:szCs w:val="20"/>
              </w:rPr>
              <w:t>%</w:t>
            </w:r>
          </w:p>
        </w:tc>
      </w:tr>
    </w:tbl>
    <w:p w14:paraId="156DDD1B" w14:textId="49149991" w:rsidR="00D34961" w:rsidRDefault="00D34961" w:rsidP="00D34961">
      <w:pPr>
        <w:rPr>
          <w:rFonts w:cs="Arial"/>
        </w:rPr>
      </w:pPr>
    </w:p>
    <w:p w14:paraId="36542279" w14:textId="77777777" w:rsidR="00D50FE7" w:rsidRPr="00D34961" w:rsidRDefault="00D50FE7" w:rsidP="00D34961">
      <w:pPr>
        <w:rPr>
          <w:rFonts w:cs="Arial"/>
        </w:rPr>
      </w:pPr>
    </w:p>
    <w:p w14:paraId="32C80523" w14:textId="15969E38" w:rsidR="00D34961" w:rsidRPr="00D34961" w:rsidRDefault="00D34961" w:rsidP="00D34961">
      <w:pPr>
        <w:spacing w:before="0" w:after="0"/>
        <w:rPr>
          <w:rFonts w:cs="Arial"/>
        </w:rPr>
      </w:pPr>
      <w:r w:rsidRPr="00D34961">
        <w:rPr>
          <w:rFonts w:cs="Arial"/>
        </w:rPr>
        <w:lastRenderedPageBreak/>
        <w:t>In SFY 201</w:t>
      </w:r>
      <w:r w:rsidR="009B132E">
        <w:rPr>
          <w:rFonts w:cs="Arial"/>
        </w:rPr>
        <w:t>7</w:t>
      </w:r>
      <w:r w:rsidRPr="00D34961">
        <w:rPr>
          <w:rFonts w:cs="Arial"/>
        </w:rPr>
        <w:t>, the payment</w:t>
      </w:r>
      <w:r w:rsidR="00C824F0">
        <w:rPr>
          <w:rFonts w:cs="Arial"/>
        </w:rPr>
        <w:t>-</w:t>
      </w:r>
      <w:r w:rsidRPr="00D34961">
        <w:rPr>
          <w:rFonts w:cs="Arial"/>
        </w:rPr>
        <w:t>to</w:t>
      </w:r>
      <w:r w:rsidR="00C824F0">
        <w:rPr>
          <w:rFonts w:cs="Arial"/>
        </w:rPr>
        <w:t>-</w:t>
      </w:r>
      <w:r w:rsidRPr="00D34961">
        <w:rPr>
          <w:rFonts w:cs="Arial"/>
        </w:rPr>
        <w:t xml:space="preserve">cost ratio for the CPI West Region and the CPI Seattle Area was </w:t>
      </w:r>
      <w:r w:rsidR="001F05C1">
        <w:rPr>
          <w:rFonts w:cs="Arial"/>
        </w:rPr>
        <w:t>106.0</w:t>
      </w:r>
      <w:r w:rsidRPr="00D34961">
        <w:rPr>
          <w:rFonts w:cs="Arial"/>
        </w:rPr>
        <w:t xml:space="preserve"> percent and </w:t>
      </w:r>
      <w:r w:rsidR="001F05C1">
        <w:rPr>
          <w:rFonts w:cs="Arial"/>
        </w:rPr>
        <w:t>104.0</w:t>
      </w:r>
      <w:r w:rsidRPr="00D34961">
        <w:rPr>
          <w:rFonts w:cs="Arial"/>
        </w:rPr>
        <w:t xml:space="preserve"> percent respectively.  As shown in Table 5.</w:t>
      </w:r>
      <w:r w:rsidR="00E64C58">
        <w:rPr>
          <w:rFonts w:cs="Arial"/>
        </w:rPr>
        <w:t>2</w:t>
      </w:r>
      <w:r w:rsidRPr="00D34961">
        <w:rPr>
          <w:rFonts w:cs="Arial"/>
        </w:rPr>
        <w:t>, in SFY 201</w:t>
      </w:r>
      <w:r w:rsidR="001F05C1">
        <w:rPr>
          <w:rFonts w:cs="Arial"/>
        </w:rPr>
        <w:t>9</w:t>
      </w:r>
      <w:r w:rsidRPr="00D34961">
        <w:rPr>
          <w:rFonts w:cs="Arial"/>
        </w:rPr>
        <w:t xml:space="preserve">, the payment-to-cost is </w:t>
      </w:r>
      <w:r w:rsidR="00E64C58">
        <w:rPr>
          <w:rFonts w:cs="Arial"/>
        </w:rPr>
        <w:t xml:space="preserve">slightly higher than </w:t>
      </w:r>
      <w:r w:rsidRPr="00D34961">
        <w:rPr>
          <w:rFonts w:cs="Arial"/>
        </w:rPr>
        <w:t>SFY 201</w:t>
      </w:r>
      <w:r w:rsidR="009B132E">
        <w:rPr>
          <w:rFonts w:cs="Arial"/>
        </w:rPr>
        <w:t>7</w:t>
      </w:r>
      <w:r w:rsidRPr="00D34961">
        <w:rPr>
          <w:rFonts w:cs="Arial"/>
        </w:rPr>
        <w:t xml:space="preserve"> levels. </w:t>
      </w:r>
      <w:r w:rsidR="00C97C30">
        <w:rPr>
          <w:rFonts w:cs="Arial"/>
        </w:rPr>
        <w:t xml:space="preserve"> </w:t>
      </w:r>
      <w:r w:rsidRPr="00D34961">
        <w:rPr>
          <w:rFonts w:cs="Arial"/>
        </w:rPr>
        <w:t>The payment-to-cost ratio for SFY 201</w:t>
      </w:r>
      <w:r w:rsidR="001F05C1">
        <w:rPr>
          <w:rFonts w:cs="Arial"/>
        </w:rPr>
        <w:t>9</w:t>
      </w:r>
      <w:r w:rsidRPr="00D34961">
        <w:rPr>
          <w:rFonts w:cs="Arial"/>
        </w:rPr>
        <w:t xml:space="preserve"> is </w:t>
      </w:r>
      <w:r w:rsidRPr="006F4F84">
        <w:rPr>
          <w:rFonts w:cs="Arial"/>
        </w:rPr>
        <w:t>1</w:t>
      </w:r>
      <w:r w:rsidR="00BC50FF">
        <w:rPr>
          <w:rFonts w:cs="Arial"/>
        </w:rPr>
        <w:t>0</w:t>
      </w:r>
      <w:r w:rsidR="007C7FE3">
        <w:rPr>
          <w:rFonts w:cs="Arial"/>
        </w:rPr>
        <w:t>6.9</w:t>
      </w:r>
      <w:r w:rsidRPr="00D34961">
        <w:rPr>
          <w:rFonts w:cs="Arial"/>
        </w:rPr>
        <w:t xml:space="preserve"> percent and </w:t>
      </w:r>
      <w:r w:rsidRPr="006F4F84">
        <w:rPr>
          <w:rFonts w:cs="Arial"/>
        </w:rPr>
        <w:t>10</w:t>
      </w:r>
      <w:r w:rsidR="00BC50FF">
        <w:rPr>
          <w:rFonts w:cs="Arial"/>
        </w:rPr>
        <w:t>5.</w:t>
      </w:r>
      <w:r w:rsidR="007C7FE3">
        <w:rPr>
          <w:rFonts w:cs="Arial"/>
        </w:rPr>
        <w:t>2</w:t>
      </w:r>
      <w:r w:rsidRPr="00D34961">
        <w:rPr>
          <w:rFonts w:cs="Arial"/>
        </w:rPr>
        <w:t xml:space="preserve"> percent for the CPI West Region and the CPI Seattle area respectively.  </w:t>
      </w:r>
    </w:p>
    <w:p w14:paraId="3E79EFA0" w14:textId="77777777" w:rsidR="00D34961" w:rsidRPr="00D34961" w:rsidRDefault="00D34961" w:rsidP="00D34961">
      <w:pPr>
        <w:spacing w:before="0" w:after="0"/>
        <w:rPr>
          <w:rFonts w:cs="Arial"/>
        </w:rPr>
      </w:pPr>
    </w:p>
    <w:p w14:paraId="66EA93C8" w14:textId="49BE95CA" w:rsidR="00D34961" w:rsidRDefault="00D34961" w:rsidP="00CD3562">
      <w:pPr>
        <w:spacing w:before="0" w:after="0"/>
        <w:rPr>
          <w:rFonts w:cs="Arial"/>
        </w:rPr>
      </w:pPr>
      <w:r w:rsidRPr="00D34961">
        <w:rPr>
          <w:rFonts w:cs="Arial"/>
        </w:rPr>
        <w:t>The weighted average rate in SFY 201</w:t>
      </w:r>
      <w:r w:rsidR="009B132E">
        <w:rPr>
          <w:rFonts w:cs="Arial"/>
        </w:rPr>
        <w:t>9</w:t>
      </w:r>
      <w:r w:rsidRPr="00D34961">
        <w:rPr>
          <w:rFonts w:cs="Arial"/>
        </w:rPr>
        <w:t xml:space="preserve"> is approximately </w:t>
      </w:r>
      <w:r w:rsidRPr="006F4F84">
        <w:rPr>
          <w:rFonts w:cs="Arial"/>
        </w:rPr>
        <w:t>1</w:t>
      </w:r>
      <w:r w:rsidR="006F4F84">
        <w:rPr>
          <w:rFonts w:cs="Arial"/>
        </w:rPr>
        <w:t>2.0</w:t>
      </w:r>
      <w:r w:rsidRPr="00D34961">
        <w:rPr>
          <w:rFonts w:cs="Arial"/>
        </w:rPr>
        <w:t xml:space="preserve"> percent higher than the SFY 201</w:t>
      </w:r>
      <w:r w:rsidR="009B132E">
        <w:rPr>
          <w:rFonts w:cs="Arial"/>
        </w:rPr>
        <w:t>7</w:t>
      </w:r>
      <w:r w:rsidRPr="00D34961">
        <w:rPr>
          <w:rFonts w:cs="Arial"/>
        </w:rPr>
        <w:t xml:space="preserve"> weighted average rate. </w:t>
      </w:r>
    </w:p>
    <w:p w14:paraId="156A5FD3" w14:textId="5B93347E" w:rsidR="00CD3562" w:rsidRDefault="00CD3562" w:rsidP="00CD3562">
      <w:pPr>
        <w:spacing w:before="0" w:after="0"/>
        <w:rPr>
          <w:rFonts w:cs="Arial"/>
        </w:rPr>
      </w:pPr>
    </w:p>
    <w:p w14:paraId="2BD39B3E" w14:textId="77777777" w:rsidR="002B724D" w:rsidRPr="00DC7AA3" w:rsidRDefault="002B724D" w:rsidP="002B724D">
      <w:pPr>
        <w:spacing w:before="0" w:after="0"/>
        <w:rPr>
          <w:rFonts w:cs="Arial"/>
          <w:b/>
        </w:rPr>
      </w:pPr>
      <w:r>
        <w:rPr>
          <w:rFonts w:cs="Arial"/>
          <w:b/>
        </w:rPr>
        <w:t>Comparison of Medicaid Reimbursement to Other Payers</w:t>
      </w:r>
    </w:p>
    <w:p w14:paraId="6FF75F5B" w14:textId="77777777" w:rsidR="002B724D" w:rsidRDefault="002B724D" w:rsidP="002B724D">
      <w:pPr>
        <w:spacing w:before="0" w:after="0"/>
        <w:rPr>
          <w:rFonts w:cs="Arial"/>
        </w:rPr>
      </w:pPr>
    </w:p>
    <w:p w14:paraId="00120AFE" w14:textId="0739EEFF" w:rsidR="002B724D" w:rsidRDefault="002B724D" w:rsidP="002B724D">
      <w:pPr>
        <w:spacing w:before="0" w:after="0"/>
        <w:rPr>
          <w:rFonts w:cs="Arial"/>
        </w:rPr>
      </w:pPr>
      <w:r w:rsidRPr="003A09B0">
        <w:rPr>
          <w:rFonts w:cs="Arial"/>
        </w:rPr>
        <w:t xml:space="preserve">In addition to examining the payment-to-cost ratios for Medicaid’s reimbursement, we also compared Medicaid reimbursement rates </w:t>
      </w:r>
      <w:r>
        <w:rPr>
          <w:rFonts w:cs="Arial"/>
        </w:rPr>
        <w:t xml:space="preserve">to </w:t>
      </w:r>
      <w:r w:rsidRPr="003A09B0">
        <w:rPr>
          <w:rFonts w:cs="Arial"/>
        </w:rPr>
        <w:t>commercial</w:t>
      </w:r>
      <w:r>
        <w:rPr>
          <w:rFonts w:cs="Arial"/>
        </w:rPr>
        <w:t xml:space="preserve"> </w:t>
      </w:r>
      <w:r w:rsidRPr="003A09B0">
        <w:rPr>
          <w:rFonts w:cs="Arial"/>
        </w:rPr>
        <w:t>reimbursement</w:t>
      </w:r>
      <w:r>
        <w:rPr>
          <w:rFonts w:cs="Arial"/>
        </w:rPr>
        <w:t xml:space="preserve"> data</w:t>
      </w:r>
      <w:r w:rsidRPr="003A09B0">
        <w:rPr>
          <w:rFonts w:cs="Arial"/>
        </w:rPr>
        <w:t xml:space="preserve">.  The purpose of this comparison is to determine how Medicaid’s reimbursement for </w:t>
      </w:r>
      <w:r>
        <w:rPr>
          <w:rFonts w:cs="Arial"/>
        </w:rPr>
        <w:t>A</w:t>
      </w:r>
      <w:r w:rsidRPr="003A09B0">
        <w:rPr>
          <w:rFonts w:cs="Arial"/>
        </w:rPr>
        <w:t xml:space="preserve">ssisted </w:t>
      </w:r>
      <w:r>
        <w:rPr>
          <w:rFonts w:cs="Arial"/>
        </w:rPr>
        <w:t xml:space="preserve">Living services compares to reimbursement by </w:t>
      </w:r>
      <w:r w:rsidR="00536EDD">
        <w:rPr>
          <w:rFonts w:cs="Arial"/>
        </w:rPr>
        <w:t>non-public</w:t>
      </w:r>
      <w:r>
        <w:rPr>
          <w:rFonts w:cs="Arial"/>
        </w:rPr>
        <w:t xml:space="preserve"> payers.  </w:t>
      </w:r>
    </w:p>
    <w:p w14:paraId="4F3C5929" w14:textId="77777777" w:rsidR="002B724D" w:rsidRDefault="002B724D" w:rsidP="002B724D">
      <w:pPr>
        <w:spacing w:before="0" w:after="0"/>
        <w:rPr>
          <w:rFonts w:cs="Arial"/>
        </w:rPr>
      </w:pPr>
    </w:p>
    <w:p w14:paraId="23227C80" w14:textId="35DB7B56" w:rsidR="002B724D" w:rsidRDefault="00536EDD" w:rsidP="002B724D">
      <w:pPr>
        <w:spacing w:before="0" w:after="0"/>
        <w:rPr>
          <w:rFonts w:cs="Arial"/>
        </w:rPr>
      </w:pPr>
      <w:r>
        <w:rPr>
          <w:rFonts w:cs="Arial"/>
        </w:rPr>
        <w:t xml:space="preserve">The </w:t>
      </w:r>
      <w:r w:rsidR="002B724D">
        <w:rPr>
          <w:rFonts w:cs="Arial"/>
        </w:rPr>
        <w:t xml:space="preserve">information </w:t>
      </w:r>
      <w:r>
        <w:rPr>
          <w:rFonts w:cs="Arial"/>
        </w:rPr>
        <w:t xml:space="preserve">below was </w:t>
      </w:r>
      <w:r w:rsidR="002B724D">
        <w:rPr>
          <w:rFonts w:cs="Arial"/>
        </w:rPr>
        <w:t>published in the 2017 Genworth Cost of Care Survey for the purposes of this comparison.  The Genworth Cost of Care Survey is a comprehensive survey of private pay rates for long</w:t>
      </w:r>
      <w:r>
        <w:rPr>
          <w:rFonts w:cs="Arial"/>
        </w:rPr>
        <w:t>-</w:t>
      </w:r>
      <w:r w:rsidR="002B724D">
        <w:rPr>
          <w:rFonts w:cs="Arial"/>
        </w:rPr>
        <w:t>term care providers across the U.S.  Assisted Living facilities are included as part of this survey</w:t>
      </w:r>
      <w:r>
        <w:rPr>
          <w:rFonts w:cs="Arial"/>
        </w:rPr>
        <w:t>,</w:t>
      </w:r>
      <w:r w:rsidR="002B724D">
        <w:rPr>
          <w:rFonts w:cs="Arial"/>
        </w:rPr>
        <w:t xml:space="preserve"> and in 2017</w:t>
      </w:r>
      <w:r>
        <w:rPr>
          <w:rFonts w:cs="Arial"/>
        </w:rPr>
        <w:t>,</w:t>
      </w:r>
      <w:r w:rsidR="002B724D">
        <w:rPr>
          <w:rFonts w:cs="Arial"/>
        </w:rPr>
        <w:t xml:space="preserve"> a total of 6,300 agencies completed the survey.  Since licensing standards across states for Assisted Living facilities vary, the Genworth study included both small homes and large multi-service facilities as part of the study.  We therefore believe the surveyed facilities include </w:t>
      </w:r>
      <w:r w:rsidR="00FF3EB5">
        <w:rPr>
          <w:rFonts w:cs="Arial"/>
        </w:rPr>
        <w:t>homes</w:t>
      </w:r>
      <w:r w:rsidR="002B724D">
        <w:rPr>
          <w:rFonts w:cs="Arial"/>
        </w:rPr>
        <w:t xml:space="preserve"> with licensed beds </w:t>
      </w:r>
      <w:r w:rsidR="00CE6668">
        <w:rPr>
          <w:rFonts w:cs="Arial"/>
        </w:rPr>
        <w:t xml:space="preserve">that </w:t>
      </w:r>
      <w:r w:rsidR="00FF3EB5">
        <w:rPr>
          <w:rFonts w:cs="Arial"/>
        </w:rPr>
        <w:t>are different</w:t>
      </w:r>
      <w:r w:rsidR="00CE6668">
        <w:rPr>
          <w:rFonts w:cs="Arial"/>
        </w:rPr>
        <w:t xml:space="preserve"> in size to</w:t>
      </w:r>
      <w:r w:rsidR="002B724D">
        <w:rPr>
          <w:rFonts w:cs="Arial"/>
        </w:rPr>
        <w:t xml:space="preserve"> Adult Family homes in Washington.  </w:t>
      </w:r>
    </w:p>
    <w:p w14:paraId="6C944214" w14:textId="77777777" w:rsidR="002B724D" w:rsidRDefault="002B724D" w:rsidP="002B724D">
      <w:pPr>
        <w:spacing w:before="0" w:after="0"/>
        <w:rPr>
          <w:rFonts w:cs="Arial"/>
        </w:rPr>
      </w:pPr>
    </w:p>
    <w:p w14:paraId="59355E26" w14:textId="01155BF3" w:rsidR="002B724D" w:rsidRDefault="002B724D" w:rsidP="002B724D">
      <w:pPr>
        <w:spacing w:before="0" w:after="0"/>
        <w:rPr>
          <w:rFonts w:cs="Arial"/>
        </w:rPr>
      </w:pPr>
      <w:r>
        <w:rPr>
          <w:rFonts w:cs="Arial"/>
        </w:rPr>
        <w:t xml:space="preserve">Genworth publishes the results from the private pay rate surveys and determines national average rates as well as rate minimums, medians and maximums for each state.  The </w:t>
      </w:r>
      <w:r w:rsidR="00536EDD">
        <w:rPr>
          <w:rFonts w:cs="Arial"/>
        </w:rPr>
        <w:t xml:space="preserve">table below shows the </w:t>
      </w:r>
      <w:r>
        <w:rPr>
          <w:rFonts w:cs="Arial"/>
        </w:rPr>
        <w:t>2017</w:t>
      </w:r>
      <w:r w:rsidR="00536EDD">
        <w:rPr>
          <w:rFonts w:cs="Arial"/>
        </w:rPr>
        <w:t xml:space="preserve"> Genworth survey</w:t>
      </w:r>
      <w:r>
        <w:rPr>
          <w:rFonts w:cs="Arial"/>
        </w:rPr>
        <w:t xml:space="preserve"> results </w:t>
      </w:r>
      <w:r w:rsidR="00536EDD">
        <w:rPr>
          <w:rFonts w:cs="Arial"/>
        </w:rPr>
        <w:t>for</w:t>
      </w:r>
      <w:r>
        <w:rPr>
          <w:rFonts w:cs="Arial"/>
        </w:rPr>
        <w:t xml:space="preserve"> the daily private pay cost </w:t>
      </w:r>
      <w:r w:rsidR="00A73D3D">
        <w:rPr>
          <w:rFonts w:cs="Arial"/>
        </w:rPr>
        <w:t>for</w:t>
      </w:r>
      <w:r>
        <w:rPr>
          <w:rFonts w:cs="Arial"/>
        </w:rPr>
        <w:t xml:space="preserve"> a private bedroom in an Assisted Living facility in Washington.  </w:t>
      </w:r>
    </w:p>
    <w:p w14:paraId="6F69C0A0" w14:textId="77777777" w:rsidR="002B724D" w:rsidRDefault="002B724D" w:rsidP="002B724D">
      <w:pPr>
        <w:spacing w:before="0" w:after="0"/>
        <w:rPr>
          <w:rFonts w:cs="Arial"/>
        </w:rPr>
      </w:pPr>
    </w:p>
    <w:p w14:paraId="470FBEBF" w14:textId="77777777" w:rsidR="002B724D" w:rsidRPr="00FE550C" w:rsidRDefault="002B724D" w:rsidP="002B724D">
      <w:pPr>
        <w:rPr>
          <w:rFonts w:cs="Arial"/>
          <w:b/>
        </w:rPr>
      </w:pPr>
      <w:r w:rsidRPr="00FE550C">
        <w:rPr>
          <w:rFonts w:cs="Arial"/>
          <w:b/>
        </w:rPr>
        <w:t>Table 5.</w:t>
      </w:r>
      <w:r>
        <w:rPr>
          <w:rFonts w:cs="Arial"/>
          <w:b/>
        </w:rPr>
        <w:t>3</w:t>
      </w:r>
      <w:r w:rsidRPr="00FE550C">
        <w:rPr>
          <w:rFonts w:cs="Arial"/>
          <w:b/>
        </w:rPr>
        <w:t xml:space="preserve">:  </w:t>
      </w:r>
      <w:r>
        <w:rPr>
          <w:rFonts w:cs="Arial"/>
          <w:b/>
        </w:rPr>
        <w:t>Washington Genworth Survey Results</w:t>
      </w:r>
    </w:p>
    <w:p w14:paraId="421592B5" w14:textId="77777777" w:rsidR="002B724D" w:rsidRDefault="002B724D" w:rsidP="002B724D">
      <w:pPr>
        <w:spacing w:before="0" w:after="0"/>
        <w:rPr>
          <w:rFonts w:cs="Arial"/>
        </w:rPr>
      </w:pPr>
    </w:p>
    <w:tbl>
      <w:tblPr>
        <w:tblStyle w:val="TableGrid"/>
        <w:tblW w:w="0" w:type="auto"/>
        <w:tblLook w:val="04A0" w:firstRow="1" w:lastRow="0" w:firstColumn="1" w:lastColumn="0" w:noHBand="0" w:noVBand="1"/>
      </w:tblPr>
      <w:tblGrid>
        <w:gridCol w:w="3005"/>
        <w:gridCol w:w="3006"/>
        <w:gridCol w:w="3006"/>
      </w:tblGrid>
      <w:tr w:rsidR="002B724D" w:rsidRPr="00BE0C96" w14:paraId="69AC3EFC" w14:textId="77777777" w:rsidTr="002B724D">
        <w:tc>
          <w:tcPr>
            <w:tcW w:w="3005" w:type="dxa"/>
          </w:tcPr>
          <w:p w14:paraId="50AA041E" w14:textId="77777777" w:rsidR="002B724D" w:rsidRPr="00BE0C96" w:rsidRDefault="002B724D" w:rsidP="002B724D">
            <w:pPr>
              <w:spacing w:before="0" w:after="0"/>
              <w:jc w:val="center"/>
              <w:rPr>
                <w:rFonts w:cs="Arial"/>
                <w:b/>
              </w:rPr>
            </w:pPr>
            <w:r w:rsidRPr="00BE0C96">
              <w:rPr>
                <w:rFonts w:cs="Arial"/>
                <w:b/>
              </w:rPr>
              <w:t>Minimum</w:t>
            </w:r>
          </w:p>
        </w:tc>
        <w:tc>
          <w:tcPr>
            <w:tcW w:w="3006" w:type="dxa"/>
          </w:tcPr>
          <w:p w14:paraId="256CCEFD" w14:textId="77777777" w:rsidR="002B724D" w:rsidRPr="00BE0C96" w:rsidRDefault="002B724D" w:rsidP="002B724D">
            <w:pPr>
              <w:spacing w:before="0" w:after="0"/>
              <w:jc w:val="center"/>
              <w:rPr>
                <w:rFonts w:cs="Arial"/>
                <w:b/>
              </w:rPr>
            </w:pPr>
            <w:r w:rsidRPr="00BE0C96">
              <w:rPr>
                <w:rFonts w:cs="Arial"/>
                <w:b/>
              </w:rPr>
              <w:t>Median</w:t>
            </w:r>
          </w:p>
        </w:tc>
        <w:tc>
          <w:tcPr>
            <w:tcW w:w="3006" w:type="dxa"/>
          </w:tcPr>
          <w:p w14:paraId="5A4D7C73" w14:textId="77777777" w:rsidR="002B724D" w:rsidRPr="00BE0C96" w:rsidRDefault="002B724D" w:rsidP="002B724D">
            <w:pPr>
              <w:spacing w:before="0" w:after="0"/>
              <w:jc w:val="center"/>
              <w:rPr>
                <w:rFonts w:cs="Arial"/>
                <w:b/>
              </w:rPr>
            </w:pPr>
            <w:r w:rsidRPr="00BE0C96">
              <w:rPr>
                <w:rFonts w:cs="Arial"/>
                <w:b/>
              </w:rPr>
              <w:t>Maximum</w:t>
            </w:r>
          </w:p>
        </w:tc>
      </w:tr>
      <w:tr w:rsidR="002B724D" w14:paraId="206C1B57" w14:textId="77777777" w:rsidTr="002B724D">
        <w:tc>
          <w:tcPr>
            <w:tcW w:w="3005" w:type="dxa"/>
          </w:tcPr>
          <w:p w14:paraId="0FF94961" w14:textId="77777777" w:rsidR="002B724D" w:rsidRDefault="002B724D" w:rsidP="002B724D">
            <w:pPr>
              <w:spacing w:before="0" w:after="0"/>
              <w:jc w:val="center"/>
              <w:rPr>
                <w:rFonts w:cs="Arial"/>
              </w:rPr>
            </w:pPr>
            <w:r>
              <w:rPr>
                <w:rFonts w:cs="Arial"/>
              </w:rPr>
              <w:t>$21</w:t>
            </w:r>
          </w:p>
        </w:tc>
        <w:tc>
          <w:tcPr>
            <w:tcW w:w="3006" w:type="dxa"/>
          </w:tcPr>
          <w:p w14:paraId="6980BD11" w14:textId="77777777" w:rsidR="002B724D" w:rsidRDefault="002B724D" w:rsidP="002B724D">
            <w:pPr>
              <w:spacing w:before="0" w:after="0"/>
              <w:jc w:val="center"/>
              <w:rPr>
                <w:rFonts w:cs="Arial"/>
              </w:rPr>
            </w:pPr>
            <w:r>
              <w:rPr>
                <w:rFonts w:cs="Arial"/>
              </w:rPr>
              <w:t>$153</w:t>
            </w:r>
          </w:p>
        </w:tc>
        <w:tc>
          <w:tcPr>
            <w:tcW w:w="3006" w:type="dxa"/>
          </w:tcPr>
          <w:p w14:paraId="0AE2232D" w14:textId="77777777" w:rsidR="002B724D" w:rsidRDefault="002B724D" w:rsidP="002B724D">
            <w:pPr>
              <w:spacing w:before="0" w:after="0"/>
              <w:jc w:val="center"/>
              <w:rPr>
                <w:rFonts w:cs="Arial"/>
              </w:rPr>
            </w:pPr>
            <w:r>
              <w:rPr>
                <w:rFonts w:cs="Arial"/>
              </w:rPr>
              <w:t>$345</w:t>
            </w:r>
          </w:p>
        </w:tc>
      </w:tr>
    </w:tbl>
    <w:p w14:paraId="6E618F9A" w14:textId="77777777" w:rsidR="002B724D" w:rsidRDefault="002B724D" w:rsidP="002B724D">
      <w:pPr>
        <w:spacing w:before="0" w:after="0"/>
        <w:rPr>
          <w:rFonts w:cs="Arial"/>
        </w:rPr>
      </w:pPr>
    </w:p>
    <w:p w14:paraId="2FCEED39" w14:textId="77777777" w:rsidR="002B724D" w:rsidRDefault="002B724D" w:rsidP="002B724D">
      <w:pPr>
        <w:spacing w:before="0" w:after="0"/>
        <w:rPr>
          <w:rFonts w:cs="Arial"/>
        </w:rPr>
      </w:pPr>
    </w:p>
    <w:p w14:paraId="0DEF40AB" w14:textId="77777777" w:rsidR="001859FD" w:rsidRDefault="002B724D" w:rsidP="002B724D">
      <w:pPr>
        <w:spacing w:before="0" w:after="0"/>
        <w:rPr>
          <w:rFonts w:cs="Arial"/>
        </w:rPr>
      </w:pPr>
      <w:r>
        <w:rPr>
          <w:rFonts w:cs="Arial"/>
        </w:rPr>
        <w:t xml:space="preserve">The daily private pay rates reported in the Genworth survey vary significantly.  More detailed information to determine if the minimum and maximum reported rates are outliers is not available.  Therefore, </w:t>
      </w:r>
      <w:r w:rsidR="00A73D3D">
        <w:rPr>
          <w:rFonts w:cs="Arial"/>
        </w:rPr>
        <w:t>it is more reasonable to compare</w:t>
      </w:r>
      <w:r>
        <w:rPr>
          <w:rFonts w:cs="Arial"/>
        </w:rPr>
        <w:t xml:space="preserve"> Washington’s daily weighted average </w:t>
      </w:r>
      <w:r w:rsidR="00A73D3D">
        <w:rPr>
          <w:rFonts w:cs="Arial"/>
        </w:rPr>
        <w:t xml:space="preserve">rate </w:t>
      </w:r>
      <w:r>
        <w:rPr>
          <w:rFonts w:cs="Arial"/>
        </w:rPr>
        <w:t>for Adult Family home services of $112.70 to the median private pay reported in the survey.  Washington’s weighted average rate re</w:t>
      </w:r>
      <w:r w:rsidR="008960D1">
        <w:rPr>
          <w:rFonts w:cs="Arial"/>
        </w:rPr>
        <w:t>ported in the survey is somewhat</w:t>
      </w:r>
      <w:r>
        <w:rPr>
          <w:rFonts w:cs="Arial"/>
        </w:rPr>
        <w:t xml:space="preserve"> higher than the Medicaid rate</w:t>
      </w:r>
      <w:r w:rsidR="00A73D3D">
        <w:rPr>
          <w:rFonts w:cs="Arial"/>
        </w:rPr>
        <w:t xml:space="preserve">, showing a </w:t>
      </w:r>
      <w:r w:rsidR="008960D1">
        <w:rPr>
          <w:rFonts w:cs="Arial"/>
        </w:rPr>
        <w:t>difference in the rates</w:t>
      </w:r>
      <w:r w:rsidR="00A73D3D">
        <w:rPr>
          <w:rFonts w:cs="Arial"/>
        </w:rPr>
        <w:t xml:space="preserve"> of approximately</w:t>
      </w:r>
      <w:r w:rsidR="008960D1">
        <w:rPr>
          <w:rFonts w:cs="Arial"/>
        </w:rPr>
        <w:t xml:space="preserve"> $40 per day.  </w:t>
      </w:r>
    </w:p>
    <w:p w14:paraId="7A2F29BD" w14:textId="77777777" w:rsidR="001859FD" w:rsidRDefault="001859FD" w:rsidP="002B724D">
      <w:pPr>
        <w:spacing w:before="0" w:after="0"/>
        <w:rPr>
          <w:rFonts w:cs="Arial"/>
        </w:rPr>
      </w:pPr>
    </w:p>
    <w:p w14:paraId="4FC28C49" w14:textId="59F1B3E2" w:rsidR="001464A7" w:rsidRDefault="001464A7" w:rsidP="002B724D">
      <w:pPr>
        <w:spacing w:before="0" w:after="0"/>
        <w:rPr>
          <w:rFonts w:cs="Arial"/>
        </w:rPr>
      </w:pPr>
      <w:r w:rsidRPr="001464A7">
        <w:rPr>
          <w:rFonts w:cs="Arial"/>
        </w:rPr>
        <w:t>It is difficult to draw meaningful conclusions from a comparison of Medicaid reimbursement rates to reimbursement rates for commercial payers.  In general, commercial payment rates tend to be higher than Medicaid rates and we would expect that the commercial rates would be driven to some extent by prevailing market conditions at any given time.  In other words, rates would vary depending on variables such as the amenities</w:t>
      </w:r>
      <w:r>
        <w:rPr>
          <w:rFonts w:cs="Arial"/>
        </w:rPr>
        <w:t xml:space="preserve"> provided by the Adult Family Home</w:t>
      </w:r>
      <w:r w:rsidRPr="001464A7">
        <w:rPr>
          <w:rFonts w:cs="Arial"/>
        </w:rPr>
        <w:t xml:space="preserve"> provider, the location of the facility relative to other facilities, and commercial demand</w:t>
      </w:r>
      <w:r>
        <w:rPr>
          <w:rFonts w:cs="Arial"/>
        </w:rPr>
        <w:t xml:space="preserve"> for Adult Family Home services.  </w:t>
      </w:r>
    </w:p>
    <w:p w14:paraId="39519C9E" w14:textId="7AD3FB98" w:rsidR="002B724D" w:rsidRDefault="002B724D" w:rsidP="00CD3562">
      <w:pPr>
        <w:spacing w:before="0" w:after="0"/>
        <w:rPr>
          <w:rFonts w:cs="Arial"/>
        </w:rPr>
      </w:pPr>
    </w:p>
    <w:p w14:paraId="3167FD04" w14:textId="31306097" w:rsidR="00976807" w:rsidRDefault="00976807" w:rsidP="00CD3562">
      <w:pPr>
        <w:spacing w:before="0" w:after="0"/>
        <w:rPr>
          <w:rFonts w:cs="Arial"/>
        </w:rPr>
      </w:pPr>
    </w:p>
    <w:p w14:paraId="27F65514" w14:textId="77777777" w:rsidR="00976807" w:rsidRDefault="00976807" w:rsidP="00CD3562">
      <w:pPr>
        <w:spacing w:before="0" w:after="0"/>
        <w:rPr>
          <w:rFonts w:cs="Arial"/>
        </w:rPr>
      </w:pPr>
    </w:p>
    <w:p w14:paraId="2F24E526" w14:textId="77777777" w:rsidR="00CD3562" w:rsidRPr="00D34961" w:rsidRDefault="00CD3562" w:rsidP="00CD3562">
      <w:pPr>
        <w:spacing w:before="0" w:after="0"/>
        <w:rPr>
          <w:rFonts w:cs="Arial"/>
        </w:rPr>
      </w:pPr>
    </w:p>
    <w:p w14:paraId="24D61318" w14:textId="3758D335" w:rsidR="00DC7AA3" w:rsidRDefault="00DC7AA3" w:rsidP="00CD3562">
      <w:pPr>
        <w:pStyle w:val="Heading1"/>
        <w:tabs>
          <w:tab w:val="left" w:pos="2160"/>
        </w:tabs>
        <w:spacing w:before="0" w:after="0"/>
      </w:pPr>
      <w:bookmarkStart w:id="7" w:name="_Toc441841145"/>
      <w:r>
        <w:lastRenderedPageBreak/>
        <w:t>Section VI</w:t>
      </w:r>
      <w:r w:rsidR="002E4CE4">
        <w:t xml:space="preserve">:  </w:t>
      </w:r>
      <w:r>
        <w:t>Conclusion</w:t>
      </w:r>
      <w:bookmarkEnd w:id="7"/>
    </w:p>
    <w:p w14:paraId="56503CC6" w14:textId="77777777" w:rsidR="00DC7AA3" w:rsidRDefault="00DC7AA3" w:rsidP="00CD3562">
      <w:pPr>
        <w:spacing w:before="0" w:after="0"/>
        <w:rPr>
          <w:rFonts w:cs="Arial"/>
        </w:rPr>
      </w:pPr>
    </w:p>
    <w:p w14:paraId="4E2738EC" w14:textId="540AEA1E" w:rsidR="00D34961" w:rsidRDefault="00D34961" w:rsidP="00CD3562">
      <w:pPr>
        <w:spacing w:before="0" w:after="0"/>
      </w:pPr>
      <w:r>
        <w:t>Based on the analyses described in this report, it appears that there is sufficient access to Adult Family Home beds in Washington State for Medicaid residents at an acceptable level of quality.  The number of beds occupied by Medicaid residents has increased over the past five years and there have been no waiting lists for Adult Family Home placement generally.</w:t>
      </w:r>
      <w:r w:rsidR="00F7658F">
        <w:t xml:space="preserve">  There </w:t>
      </w:r>
      <w:r w:rsidR="005D271F">
        <w:t>are waiting lists</w:t>
      </w:r>
      <w:r w:rsidR="00F7658F">
        <w:t xml:space="preserve"> if a client </w:t>
      </w:r>
      <w:r w:rsidR="005D271F">
        <w:t>limits a request to</w:t>
      </w:r>
      <w:r w:rsidR="00F7658F">
        <w:t xml:space="preserve"> a specific Adult Family Home, as </w:t>
      </w:r>
      <w:r w:rsidR="005D271F">
        <w:t>all homes have a specific capacity, and may be full at the time of a specific request.</w:t>
      </w:r>
      <w:r w:rsidR="00C97C30">
        <w:t xml:space="preserve"> </w:t>
      </w:r>
      <w:r>
        <w:t xml:space="preserve"> Adult Family Home quality</w:t>
      </w:r>
      <w:r w:rsidR="008226F1">
        <w:t xml:space="preserve"> does not appear to be declining</w:t>
      </w:r>
      <w:r>
        <w:t xml:space="preserve">, as measured by the number of inspection citations requiring correction plans in recent years. </w:t>
      </w:r>
      <w:r w:rsidR="000D580A">
        <w:t xml:space="preserve"> </w:t>
      </w:r>
      <w:r>
        <w:t xml:space="preserve">Since 2011, the number of citations requiring a corrective action has decreased by </w:t>
      </w:r>
      <w:r w:rsidR="00BC50FF">
        <w:t>4.2</w:t>
      </w:r>
      <w:r>
        <w:t xml:space="preserve"> percent while the number of facilities from state fiscal year 2011 through state fiscal year 201</w:t>
      </w:r>
      <w:r w:rsidR="009B132E">
        <w:t>8</w:t>
      </w:r>
      <w:r>
        <w:t xml:space="preserve"> has decreased by </w:t>
      </w:r>
      <w:r w:rsidR="00DA55D1">
        <w:t>2.8</w:t>
      </w:r>
      <w:r>
        <w:t xml:space="preserve"> percent. </w:t>
      </w:r>
      <w:r w:rsidR="00C97C30">
        <w:t xml:space="preserve"> </w:t>
      </w:r>
      <w:r>
        <w:t xml:space="preserve">During this same period the number of licensed beds decreased by </w:t>
      </w:r>
      <w:r w:rsidR="0036017F">
        <w:t>1.1</w:t>
      </w:r>
      <w:r>
        <w:t xml:space="preserve"> percent. </w:t>
      </w:r>
      <w:r w:rsidR="00ED3263">
        <w:t xml:space="preserve"> </w:t>
      </w:r>
      <w:r>
        <w:t>To reiterate, the decrease in citations</w:t>
      </w:r>
      <w:r w:rsidR="00115B97">
        <w:t xml:space="preserve"> from the 2011 levels</w:t>
      </w:r>
      <w:r>
        <w:t xml:space="preserve">, according to the Department, may be attributed to the implementation of the TIVA incident tracking system, Adult Family Home providers becoming better familiar with new regulations, and the increase in licensing fees for Adult Family Home providers. </w:t>
      </w:r>
      <w:r w:rsidR="00C97C30">
        <w:t xml:space="preserve"> </w:t>
      </w:r>
      <w:r>
        <w:t xml:space="preserve">The decrease in the number of Adult Family Home providers may also be attributed to the increased licensing fees. </w:t>
      </w:r>
    </w:p>
    <w:p w14:paraId="51BF81DC" w14:textId="77777777" w:rsidR="00D34961" w:rsidRDefault="00D34961" w:rsidP="00D34961">
      <w:pPr>
        <w:spacing w:before="0" w:after="0"/>
      </w:pPr>
    </w:p>
    <w:p w14:paraId="37251652" w14:textId="5A0F7D8E" w:rsidR="00DC7AA3" w:rsidRDefault="00D34961" w:rsidP="00D34961">
      <w:pPr>
        <w:spacing w:before="0" w:after="0"/>
      </w:pPr>
      <w:r>
        <w:t xml:space="preserve">In addition, the rates that Washington State pays for Medicaid-contracted Adult Family Home services are consistent with federal requirements for efficiency and economy, to the extent that they are based on what the State has determined to be reflective of the market-based prices for the various components used to calculate rates. </w:t>
      </w:r>
      <w:r w:rsidR="00C97C30">
        <w:t xml:space="preserve"> </w:t>
      </w:r>
      <w:r>
        <w:t xml:space="preserve">Moreover, the Adult Family Home rates are prospective and standardized – that is, rates are the same for all providers for each CARE Classification (with some geographic adjustment). </w:t>
      </w:r>
      <w:r w:rsidR="00C97C30">
        <w:t xml:space="preserve"> </w:t>
      </w:r>
      <w:r>
        <w:t xml:space="preserve">As such, providers know the rates in advance of contracting with the Department and accepting Medicaid residents. </w:t>
      </w:r>
      <w:r w:rsidR="00C97C30">
        <w:t xml:space="preserve"> </w:t>
      </w:r>
      <w:r>
        <w:t>Because the rates are standardized and prospective without a retrospective cost settlement component, the payment methodology provides additional incentives for providers to prudently manage the costs associated with providing services.</w:t>
      </w:r>
    </w:p>
    <w:p w14:paraId="371F5F4E" w14:textId="77777777" w:rsidR="0037082B" w:rsidRDefault="0037082B" w:rsidP="00D34961">
      <w:pPr>
        <w:spacing w:before="0" w:after="0"/>
      </w:pPr>
    </w:p>
    <w:p w14:paraId="79ED249C" w14:textId="68D43502" w:rsidR="00C824F0" w:rsidRDefault="0037082B" w:rsidP="00D34961">
      <w:pPr>
        <w:spacing w:before="0" w:after="0"/>
        <w:rPr>
          <w:rFonts w:cs="Arial"/>
        </w:rPr>
      </w:pPr>
      <w:r>
        <w:t>Even with</w:t>
      </w:r>
      <w:r w:rsidR="00C824F0">
        <w:rPr>
          <w:rFonts w:cs="Arial"/>
        </w:rPr>
        <w:t xml:space="preserve"> the increase in estimated pay-to-cost ratios from SFY 201</w:t>
      </w:r>
      <w:r w:rsidR="00391907">
        <w:rPr>
          <w:rFonts w:cs="Arial"/>
        </w:rPr>
        <w:t>7</w:t>
      </w:r>
      <w:r w:rsidR="00C824F0">
        <w:rPr>
          <w:rFonts w:cs="Arial"/>
        </w:rPr>
        <w:t xml:space="preserve"> levels to SFY 201</w:t>
      </w:r>
      <w:r w:rsidR="00391907">
        <w:rPr>
          <w:rFonts w:cs="Arial"/>
        </w:rPr>
        <w:t>9</w:t>
      </w:r>
      <w:r w:rsidR="00C824F0">
        <w:rPr>
          <w:rFonts w:cs="Arial"/>
        </w:rPr>
        <w:t xml:space="preserve"> levels, we recommend that the Department continue to monitor provider access and the quality of care provided.</w:t>
      </w:r>
    </w:p>
    <w:p w14:paraId="10C883E5" w14:textId="77777777" w:rsidR="00CD3562" w:rsidRPr="00DC7AA3" w:rsidRDefault="00CD3562" w:rsidP="00D34961">
      <w:pPr>
        <w:spacing w:before="0" w:after="0"/>
      </w:pPr>
    </w:p>
    <w:sectPr w:rsidR="00CD3562" w:rsidRPr="00DC7AA3" w:rsidSect="00EF302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AB6F" w14:textId="77777777" w:rsidR="007505A2" w:rsidRDefault="007505A2" w:rsidP="00162203">
      <w:pPr>
        <w:spacing w:before="0" w:after="0"/>
      </w:pPr>
      <w:r>
        <w:separator/>
      </w:r>
    </w:p>
  </w:endnote>
  <w:endnote w:type="continuationSeparator" w:id="0">
    <w:p w14:paraId="70BB19E9" w14:textId="77777777" w:rsidR="007505A2" w:rsidRDefault="007505A2" w:rsidP="001622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EAB7B" w14:textId="6EA8114C" w:rsidR="007505A2" w:rsidRDefault="007505A2" w:rsidP="00EF3028">
    <w:pPr>
      <w:pStyle w:val="Footer"/>
      <w:tabs>
        <w:tab w:val="right" w:pos="9360"/>
      </w:tabs>
    </w:pPr>
    <w:r>
      <w:t>Final Report</w:t>
    </w:r>
    <w:r>
      <w:tab/>
      <w:t xml:space="preserve">Page </w:t>
    </w:r>
    <w:sdt>
      <w:sdtPr>
        <w:id w:val="-9065278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90A60">
          <w:rPr>
            <w:noProof/>
          </w:rPr>
          <w:t>6</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10CB" w14:textId="65804ABA" w:rsidR="007505A2" w:rsidRDefault="007505A2" w:rsidP="00EF3028">
    <w:pPr>
      <w:pStyle w:val="Footer"/>
      <w:tabs>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04046" w14:textId="0834FC92" w:rsidR="007505A2" w:rsidRDefault="007505A2" w:rsidP="00027066">
    <w:pPr>
      <w:pStyle w:val="Footer"/>
      <w:tabs>
        <w:tab w:val="left" w:pos="0"/>
        <w:tab w:val="right" w:pos="9027"/>
      </w:tabs>
    </w:pPr>
    <w:r>
      <w:t>Final Report</w:t>
    </w:r>
    <w:r>
      <w:tab/>
      <w:t xml:space="preserve">Page </w:t>
    </w:r>
    <w:sdt>
      <w:sdtPr>
        <w:id w:val="-1424313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90A60">
          <w:rPr>
            <w:noProof/>
          </w:rPr>
          <w:t>19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DD85A" w14:textId="77777777" w:rsidR="007505A2" w:rsidRDefault="007505A2" w:rsidP="00162203">
      <w:pPr>
        <w:spacing w:before="0" w:after="0"/>
      </w:pPr>
      <w:r>
        <w:separator/>
      </w:r>
    </w:p>
  </w:footnote>
  <w:footnote w:type="continuationSeparator" w:id="0">
    <w:p w14:paraId="7F94C5BD" w14:textId="77777777" w:rsidR="007505A2" w:rsidRDefault="007505A2" w:rsidP="00162203">
      <w:pPr>
        <w:spacing w:before="0" w:after="0"/>
      </w:pPr>
      <w:r>
        <w:continuationSeparator/>
      </w:r>
    </w:p>
  </w:footnote>
  <w:footnote w:id="1">
    <w:p w14:paraId="4FAC099D" w14:textId="7F513DA5" w:rsidR="007505A2" w:rsidRPr="005E6835" w:rsidRDefault="007505A2" w:rsidP="005E6835">
      <w:pPr>
        <w:pStyle w:val="FootnoteText"/>
        <w:rPr>
          <w:rFonts w:ascii="Arial" w:hAnsi="Arial" w:cs="Arial"/>
          <w:sz w:val="18"/>
          <w:szCs w:val="18"/>
        </w:rPr>
      </w:pPr>
      <w:r w:rsidRPr="005E6835">
        <w:rPr>
          <w:rStyle w:val="FootnoteReference"/>
          <w:rFonts w:ascii="Arial" w:hAnsi="Arial" w:cs="Arial"/>
          <w:color w:val="555759" w:themeColor="text2"/>
          <w:sz w:val="18"/>
          <w:szCs w:val="18"/>
        </w:rPr>
        <w:footnoteRef/>
      </w:r>
      <w:r w:rsidRPr="005E6835">
        <w:rPr>
          <w:rFonts w:ascii="Arial" w:hAnsi="Arial" w:cs="Arial"/>
          <w:color w:val="555759" w:themeColor="text2"/>
          <w:sz w:val="18"/>
          <w:szCs w:val="18"/>
        </w:rPr>
        <w:t xml:space="preserve"> Note that the service component of the Adult Family Home service is generally the same as the care provided to clients who receive personal care services, the difference being that Adult Family Home services include a room and board component. </w:t>
      </w:r>
      <w:r>
        <w:rPr>
          <w:rFonts w:ascii="Arial" w:hAnsi="Arial" w:cs="Arial"/>
          <w:color w:val="555759" w:themeColor="text2"/>
          <w:sz w:val="18"/>
          <w:szCs w:val="18"/>
        </w:rPr>
        <w:t xml:space="preserve"> </w:t>
      </w:r>
      <w:r w:rsidRPr="005E6835">
        <w:rPr>
          <w:rFonts w:ascii="Arial" w:hAnsi="Arial" w:cs="Arial"/>
          <w:color w:val="555759" w:themeColor="text2"/>
          <w:sz w:val="18"/>
          <w:szCs w:val="18"/>
        </w:rPr>
        <w:t xml:space="preserve">The cost associated with the room and board component is largely borne by the client. </w:t>
      </w:r>
    </w:p>
  </w:footnote>
  <w:footnote w:id="2">
    <w:p w14:paraId="02298FC7" w14:textId="77777777" w:rsidR="007505A2" w:rsidRPr="005E6835" w:rsidRDefault="007505A2" w:rsidP="005E6835">
      <w:pPr>
        <w:pStyle w:val="FootnoteText"/>
        <w:rPr>
          <w:rFonts w:ascii="Arial" w:hAnsi="Arial" w:cs="Arial"/>
          <w:sz w:val="18"/>
          <w:szCs w:val="18"/>
        </w:rPr>
      </w:pPr>
      <w:r w:rsidRPr="005E6835">
        <w:rPr>
          <w:rStyle w:val="FootnoteReference"/>
          <w:rFonts w:ascii="Arial" w:hAnsi="Arial" w:cs="Arial"/>
          <w:color w:val="555759" w:themeColor="text2"/>
          <w:sz w:val="18"/>
          <w:szCs w:val="18"/>
        </w:rPr>
        <w:footnoteRef/>
      </w:r>
      <w:r w:rsidRPr="005E6835">
        <w:rPr>
          <w:rFonts w:ascii="Arial" w:hAnsi="Arial" w:cs="Arial"/>
          <w:color w:val="555759" w:themeColor="text2"/>
          <w:sz w:val="18"/>
          <w:szCs w:val="18"/>
        </w:rPr>
        <w:t xml:space="preserve"> The Comprehensive Assessment Reporting Evaluation (CARE) is the standard client assessment tool used by case managers in Washington State to document a client’s functional ability, determine eligibility for long-term care services, evaluate what and how much assistance a client will receive, and develop a plan of care.</w:t>
      </w:r>
    </w:p>
  </w:footnote>
  <w:footnote w:id="3">
    <w:p w14:paraId="12E427F4" w14:textId="10010D4D" w:rsidR="007505A2" w:rsidRPr="00466D19" w:rsidRDefault="007505A2" w:rsidP="00EE6AA8">
      <w:pPr>
        <w:pStyle w:val="FootnoteText"/>
        <w:rPr>
          <w:rFonts w:ascii="Palatino Linotype" w:hAnsi="Palatino Linotype"/>
          <w:sz w:val="18"/>
          <w:szCs w:val="18"/>
        </w:rPr>
      </w:pPr>
      <w:r w:rsidRPr="005E6835">
        <w:rPr>
          <w:rStyle w:val="FootnoteReference"/>
          <w:rFonts w:ascii="Arial" w:hAnsi="Arial" w:cs="Arial"/>
          <w:color w:val="555759" w:themeColor="text2"/>
          <w:sz w:val="18"/>
          <w:szCs w:val="18"/>
        </w:rPr>
        <w:footnoteRef/>
      </w:r>
      <w:r>
        <w:rPr>
          <w:rFonts w:ascii="Arial" w:hAnsi="Arial" w:cs="Arial"/>
          <w:color w:val="555759" w:themeColor="text2"/>
          <w:sz w:val="18"/>
          <w:szCs w:val="18"/>
        </w:rPr>
        <w:t xml:space="preserve">Washington’s current reimbursement rates are published on the DSHS website and can be found here: </w:t>
      </w:r>
      <w:hyperlink r:id="rId1" w:history="1">
        <w:r w:rsidRPr="005C09AD">
          <w:rPr>
            <w:rStyle w:val="Hyperlink"/>
            <w:rFonts w:ascii="Arial" w:hAnsi="Arial" w:cs="Arial"/>
            <w:sz w:val="18"/>
            <w:szCs w:val="18"/>
          </w:rPr>
          <w:t>https://www.dshs.wa.gov/sites/default/files/ALTSA/msd/documents/All_HCS_Rates.xls</w:t>
        </w:r>
      </w:hyperlink>
      <w:r>
        <w:rPr>
          <w:rFonts w:ascii="Arial" w:hAnsi="Arial" w:cs="Arial"/>
          <w:color w:val="555759" w:themeColor="text2"/>
          <w:sz w:val="18"/>
          <w:szCs w:val="18"/>
        </w:rPr>
        <w:t xml:space="preserve"> </w:t>
      </w:r>
    </w:p>
  </w:footnote>
  <w:footnote w:id="4">
    <w:p w14:paraId="6311FFCC" w14:textId="77777777" w:rsidR="007505A2" w:rsidRPr="005E6835" w:rsidRDefault="007505A2" w:rsidP="00EB1758">
      <w:pPr>
        <w:pStyle w:val="FootnoteText"/>
        <w:rPr>
          <w:rFonts w:ascii="Arial" w:hAnsi="Arial" w:cs="Arial"/>
          <w:color w:val="555759" w:themeColor="text2"/>
          <w:sz w:val="18"/>
          <w:szCs w:val="18"/>
        </w:rPr>
      </w:pPr>
      <w:r w:rsidRPr="005E6835">
        <w:rPr>
          <w:rStyle w:val="FootnoteReference"/>
          <w:rFonts w:ascii="Arial" w:hAnsi="Arial" w:cs="Arial"/>
          <w:color w:val="555759" w:themeColor="text2"/>
          <w:sz w:val="18"/>
          <w:szCs w:val="18"/>
        </w:rPr>
        <w:footnoteRef/>
      </w:r>
      <w:r w:rsidRPr="005E6835">
        <w:rPr>
          <w:rFonts w:ascii="Arial" w:hAnsi="Arial" w:cs="Arial"/>
          <w:color w:val="555759" w:themeColor="text2"/>
          <w:sz w:val="18"/>
          <w:szCs w:val="18"/>
        </w:rPr>
        <w:t xml:space="preserve"> Metropolitan Counties are those counties that are in one of the national Metropolitan Statistical Areas, and comprise Benton, Clark, Franklin, Island, Kitsap, Pierce, Snohomish, Spokane, Thurston, Whatcom, and Yakima counties.</w:t>
      </w:r>
    </w:p>
  </w:footnote>
  <w:footnote w:id="5">
    <w:p w14:paraId="634C61A7" w14:textId="77777777" w:rsidR="007505A2" w:rsidRPr="00466D19" w:rsidRDefault="007505A2" w:rsidP="00EB1758">
      <w:pPr>
        <w:pStyle w:val="FootnoteText"/>
        <w:rPr>
          <w:rFonts w:ascii="Palatino Linotype" w:hAnsi="Palatino Linotype"/>
          <w:sz w:val="18"/>
          <w:szCs w:val="18"/>
        </w:rPr>
      </w:pPr>
      <w:r w:rsidRPr="005E6835">
        <w:rPr>
          <w:rStyle w:val="FootnoteReference"/>
          <w:rFonts w:ascii="Arial" w:hAnsi="Arial" w:cs="Arial"/>
          <w:color w:val="555759" w:themeColor="text2"/>
          <w:sz w:val="18"/>
          <w:szCs w:val="18"/>
        </w:rPr>
        <w:footnoteRef/>
      </w:r>
      <w:r w:rsidRPr="005E6835">
        <w:rPr>
          <w:rFonts w:ascii="Arial" w:hAnsi="Arial" w:cs="Arial"/>
          <w:color w:val="555759" w:themeColor="text2"/>
          <w:sz w:val="18"/>
          <w:szCs w:val="18"/>
        </w:rPr>
        <w:t xml:space="preserve"> Nonmetropolitan Counties are those counties that are outside of one of the national Metropolitan Statistical Areas, and comprise Adams, Asotin, Chelan, Clallam, Columbia, Cowlitz, Douglas, Ferry, Garfield, Grant, Grays Harbor, Jefferson, Kittitas, Klickitat, Lewis, Lincoln, Mason, Okanogan, Pacific, Pend </w:t>
      </w:r>
      <w:proofErr w:type="spellStart"/>
      <w:r w:rsidRPr="005E6835">
        <w:rPr>
          <w:rFonts w:ascii="Arial" w:hAnsi="Arial" w:cs="Arial"/>
          <w:color w:val="555759" w:themeColor="text2"/>
          <w:sz w:val="18"/>
          <w:szCs w:val="18"/>
        </w:rPr>
        <w:t>Orielle</w:t>
      </w:r>
      <w:proofErr w:type="spellEnd"/>
      <w:r w:rsidRPr="005E6835">
        <w:rPr>
          <w:rFonts w:ascii="Arial" w:hAnsi="Arial" w:cs="Arial"/>
          <w:color w:val="555759" w:themeColor="text2"/>
          <w:sz w:val="18"/>
          <w:szCs w:val="18"/>
        </w:rPr>
        <w:t>, San Juan, Skagit, Skamania, Stevens, Wahkiakum, Walla Walla and Whitman counties.</w:t>
      </w:r>
    </w:p>
  </w:footnote>
  <w:footnote w:id="6">
    <w:p w14:paraId="5936BB0B" w14:textId="0170F2FC" w:rsidR="007505A2" w:rsidRPr="005E6835" w:rsidRDefault="007505A2" w:rsidP="005E6835">
      <w:pPr>
        <w:pStyle w:val="FootnoteText"/>
        <w:rPr>
          <w:rFonts w:ascii="Arial" w:hAnsi="Arial" w:cs="Arial"/>
          <w:sz w:val="18"/>
          <w:szCs w:val="18"/>
        </w:rPr>
      </w:pPr>
      <w:r w:rsidRPr="005E6835">
        <w:rPr>
          <w:rStyle w:val="FootnoteReference"/>
          <w:rFonts w:ascii="Arial" w:hAnsi="Arial" w:cs="Arial"/>
          <w:color w:val="555759" w:themeColor="text2"/>
          <w:sz w:val="18"/>
          <w:szCs w:val="18"/>
        </w:rPr>
        <w:footnoteRef/>
      </w:r>
      <w:r w:rsidRPr="005E6835">
        <w:rPr>
          <w:rFonts w:ascii="Arial" w:hAnsi="Arial" w:cs="Arial"/>
          <w:color w:val="555759" w:themeColor="text2"/>
          <w:sz w:val="18"/>
          <w:szCs w:val="18"/>
        </w:rPr>
        <w:t xml:space="preserve"> Based on 365 days in the calendar year for 2009, 2010, 2011, 2013, 2014, </w:t>
      </w:r>
      <w:r>
        <w:rPr>
          <w:rFonts w:ascii="Arial" w:hAnsi="Arial" w:cs="Arial"/>
          <w:color w:val="555759" w:themeColor="text2"/>
          <w:sz w:val="18"/>
          <w:szCs w:val="18"/>
        </w:rPr>
        <w:t xml:space="preserve">2017, and 2018, </w:t>
      </w:r>
      <w:r w:rsidRPr="005E6835">
        <w:rPr>
          <w:rFonts w:ascii="Arial" w:hAnsi="Arial" w:cs="Arial"/>
          <w:color w:val="555759" w:themeColor="text2"/>
          <w:sz w:val="18"/>
          <w:szCs w:val="18"/>
        </w:rPr>
        <w:t>and 366 days in the calendar year for 2008, 2012, and 2016.</w:t>
      </w:r>
    </w:p>
  </w:footnote>
  <w:footnote w:id="7">
    <w:p w14:paraId="50344482" w14:textId="77777777" w:rsidR="007505A2" w:rsidRPr="00D34961" w:rsidRDefault="007505A2" w:rsidP="00D34961">
      <w:pPr>
        <w:pStyle w:val="FootnoteText"/>
        <w:rPr>
          <w:rFonts w:ascii="Arial" w:hAnsi="Arial" w:cs="Arial"/>
          <w:color w:val="555759" w:themeColor="text2"/>
        </w:rPr>
      </w:pPr>
      <w:r w:rsidRPr="00D34961">
        <w:rPr>
          <w:rStyle w:val="FootnoteReference"/>
          <w:rFonts w:ascii="Arial" w:hAnsi="Arial" w:cs="Arial"/>
          <w:color w:val="555759" w:themeColor="text2"/>
        </w:rPr>
        <w:footnoteRef/>
      </w:r>
      <w:r w:rsidRPr="00D34961">
        <w:rPr>
          <w:rFonts w:ascii="Arial" w:hAnsi="Arial" w:cs="Arial"/>
          <w:color w:val="555759" w:themeColor="text2"/>
        </w:rPr>
        <w:t xml:space="preserve"> Consumer Price Index – All Urban Consumers, All items and CPI – All Urban Consumers, Seattle-Tacoma-Bremerton, All items.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7ACA3" w14:textId="77777777" w:rsidR="007505A2" w:rsidRDefault="007505A2">
    <w:pPr>
      <w:pStyle w:val="Header"/>
    </w:pPr>
    <w:r>
      <w:rPr>
        <w:noProof/>
      </w:rPr>
      <w:drawing>
        <wp:anchor distT="0" distB="0" distL="114300" distR="114300" simplePos="0" relativeHeight="251679744" behindDoc="0" locked="0" layoutInCell="1" allowOverlap="1" wp14:anchorId="6D621D76" wp14:editId="68113419">
          <wp:simplePos x="0" y="0"/>
          <wp:positionH relativeFrom="margin">
            <wp:align>left</wp:align>
          </wp:positionH>
          <wp:positionV relativeFrom="paragraph">
            <wp:posOffset>166082</wp:posOffset>
          </wp:positionV>
          <wp:extent cx="1935678" cy="332509"/>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5678" cy="332509"/>
                  </a:xfrm>
                  <a:prstGeom prst="rect">
                    <a:avLst/>
                  </a:prstGeom>
                  <a:noFill/>
                </pic:spPr>
              </pic:pic>
            </a:graphicData>
          </a:graphic>
          <wp14:sizeRelH relativeFrom="page">
            <wp14:pctWidth>0</wp14:pctWidth>
          </wp14:sizeRelH>
          <wp14:sizeRelV relativeFrom="page">
            <wp14:pctHeight>0</wp14:pctHeight>
          </wp14:sizeRelV>
        </wp:anchor>
      </w:drawing>
    </w:r>
  </w:p>
  <w:p w14:paraId="1436DD48" w14:textId="77777777" w:rsidR="007505A2" w:rsidRDefault="007505A2">
    <w:pPr>
      <w:pStyle w:val="Header"/>
    </w:pPr>
  </w:p>
  <w:p w14:paraId="17D3D492" w14:textId="77777777" w:rsidR="007505A2" w:rsidRDefault="007505A2">
    <w:pPr>
      <w:pStyle w:val="Header"/>
    </w:pPr>
    <w:r w:rsidRPr="0014023D">
      <w:rPr>
        <w:rFonts w:eastAsia="Times New Roman" w:cs="Times New Roman"/>
        <w:noProof/>
        <w:color w:val="545759"/>
        <w:sz w:val="20"/>
        <w:szCs w:val="20"/>
      </w:rPr>
      <w:drawing>
        <wp:anchor distT="0" distB="0" distL="114300" distR="114300" simplePos="0" relativeHeight="251659264" behindDoc="0" locked="1" layoutInCell="1" allowOverlap="1" wp14:anchorId="77088336" wp14:editId="1C9EB08C">
          <wp:simplePos x="0" y="0"/>
          <wp:positionH relativeFrom="page">
            <wp:posOffset>6104255</wp:posOffset>
          </wp:positionH>
          <wp:positionV relativeFrom="page">
            <wp:posOffset>-8255</wp:posOffset>
          </wp:positionV>
          <wp:extent cx="1661160" cy="4030980"/>
          <wp:effectExtent l="0" t="0" r="0" b="762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2">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26DA8" w14:textId="2D0D32C5" w:rsidR="007505A2" w:rsidRDefault="007505A2">
    <w:pPr>
      <w:pStyle w:val="Header"/>
    </w:pPr>
    <w:r w:rsidRPr="0014023D">
      <w:rPr>
        <w:rFonts w:eastAsia="Times New Roman" w:cs="Times New Roman"/>
        <w:noProof/>
        <w:color w:val="545759"/>
        <w:sz w:val="20"/>
        <w:szCs w:val="20"/>
      </w:rPr>
      <w:drawing>
        <wp:anchor distT="0" distB="0" distL="114300" distR="114300" simplePos="0" relativeHeight="251702272" behindDoc="0" locked="1" layoutInCell="1" allowOverlap="1" wp14:anchorId="6E6186C8" wp14:editId="19EBAFA6">
          <wp:simplePos x="0" y="0"/>
          <wp:positionH relativeFrom="page">
            <wp:posOffset>6134100</wp:posOffset>
          </wp:positionH>
          <wp:positionV relativeFrom="page">
            <wp:posOffset>9525</wp:posOffset>
          </wp:positionV>
          <wp:extent cx="1661160" cy="40309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46FDE22F" wp14:editId="27E94581">
          <wp:simplePos x="0" y="0"/>
          <wp:positionH relativeFrom="column">
            <wp:posOffset>0</wp:posOffset>
          </wp:positionH>
          <wp:positionV relativeFrom="paragraph">
            <wp:posOffset>0</wp:posOffset>
          </wp:positionV>
          <wp:extent cx="1490345" cy="25590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8A3FD" w14:textId="6E4AE18A" w:rsidR="007505A2" w:rsidRPr="002E7C2C" w:rsidRDefault="007505A2" w:rsidP="00B42F2B">
    <w:pPr>
      <w:pStyle w:val="Header"/>
      <w:rPr>
        <w:rFonts w:ascii="Palatino Linotype" w:hAnsi="Palatino Linotype"/>
        <w:b w:val="0"/>
        <w:sz w:val="22"/>
      </w:rPr>
    </w:pPr>
    <w:r>
      <w:rPr>
        <w:rFonts w:ascii="Palatino Linotype" w:hAnsi="Palatino Linotype"/>
        <w:b w:val="0"/>
        <w:sz w:val="22"/>
      </w:rPr>
      <w:t xml:space="preserve">DSHS </w:t>
    </w:r>
    <w:r w:rsidRPr="00B73E85">
      <w:rPr>
        <w:rFonts w:ascii="Palatino Linotype" w:hAnsi="Palatino Linotype"/>
        <w:b w:val="0"/>
        <w:sz w:val="22"/>
      </w:rPr>
      <w:t>Analysis of</w:t>
    </w:r>
    <w:r>
      <w:rPr>
        <w:noProof/>
      </w:rPr>
      <w:drawing>
        <wp:anchor distT="0" distB="0" distL="114300" distR="114300" simplePos="0" relativeHeight="251692032" behindDoc="0" locked="0" layoutInCell="1" allowOverlap="1" wp14:anchorId="49BB62CB" wp14:editId="34C9E2BC">
          <wp:simplePos x="0" y="0"/>
          <wp:positionH relativeFrom="column">
            <wp:posOffset>0</wp:posOffset>
          </wp:positionH>
          <wp:positionV relativeFrom="paragraph">
            <wp:posOffset>0</wp:posOffset>
          </wp:positionV>
          <wp:extent cx="1490345" cy="2559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r w:rsidRPr="00B73E85">
      <w:rPr>
        <w:rFonts w:ascii="Palatino Linotype" w:hAnsi="Palatino Linotype"/>
        <w:b w:val="0"/>
        <w:sz w:val="22"/>
      </w:rPr>
      <w:t xml:space="preserve"> The </w:t>
    </w:r>
    <w:r>
      <w:rPr>
        <w:rFonts w:ascii="Palatino Linotype" w:hAnsi="Palatino Linotype"/>
        <w:b w:val="0"/>
        <w:sz w:val="22"/>
      </w:rPr>
      <w:t>Washington</w:t>
    </w:r>
    <w:r w:rsidRPr="00B73E85">
      <w:rPr>
        <w:rFonts w:ascii="Palatino Linotype" w:hAnsi="Palatino Linotype"/>
        <w:b w:val="0"/>
        <w:sz w:val="22"/>
      </w:rPr>
      <w:t xml:space="preserve"> Nursing Facility </w:t>
    </w:r>
    <w:r>
      <w:rPr>
        <w:rFonts w:ascii="Palatino Linotype" w:hAnsi="Palatino Linotype"/>
        <w:b w:val="0"/>
        <w:sz w:val="22"/>
      </w:rPr>
      <w:t>Medicaid Payment Methodology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46AD" w14:textId="77777777" w:rsidR="007505A2" w:rsidRDefault="007505A2" w:rsidP="004F3BD6">
    <w:pPr>
      <w:pStyle w:val="NoSpacing"/>
    </w:pPr>
    <w:r>
      <w:rPr>
        <w:noProof/>
      </w:rPr>
      <w:drawing>
        <wp:anchor distT="0" distB="0" distL="114300" distR="114300" simplePos="0" relativeHeight="251687936" behindDoc="0" locked="0" layoutInCell="1" allowOverlap="1" wp14:anchorId="2DFCA501" wp14:editId="5052DE8B">
          <wp:simplePos x="0" y="0"/>
          <wp:positionH relativeFrom="column">
            <wp:posOffset>0</wp:posOffset>
          </wp:positionH>
          <wp:positionV relativeFrom="paragraph">
            <wp:posOffset>0</wp:posOffset>
          </wp:positionV>
          <wp:extent cx="1490345" cy="2559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p w14:paraId="182E3D75" w14:textId="77777777" w:rsidR="007505A2" w:rsidRDefault="007505A2" w:rsidP="004F3BD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7BF"/>
    <w:multiLevelType w:val="hybridMultilevel"/>
    <w:tmpl w:val="793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56A25"/>
    <w:multiLevelType w:val="hybridMultilevel"/>
    <w:tmpl w:val="D76490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693731"/>
    <w:multiLevelType w:val="hybridMultilevel"/>
    <w:tmpl w:val="35DA5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D91BCF"/>
    <w:multiLevelType w:val="hybridMultilevel"/>
    <w:tmpl w:val="FDEE3B62"/>
    <w:lvl w:ilvl="0" w:tplc="04090001">
      <w:start w:val="1"/>
      <w:numFmt w:val="bullet"/>
      <w:lvlText w:val=""/>
      <w:lvlJc w:val="left"/>
      <w:pPr>
        <w:ind w:left="824" w:hanging="360"/>
      </w:pPr>
      <w:rPr>
        <w:rFonts w:ascii="Symbol" w:hAnsi="Symbol" w:hint="default"/>
      </w:rPr>
    </w:lvl>
    <w:lvl w:ilvl="1" w:tplc="0409000B">
      <w:start w:val="1"/>
      <w:numFmt w:val="bullet"/>
      <w:lvlText w:val=""/>
      <w:lvlJc w:val="left"/>
      <w:pPr>
        <w:ind w:left="1544" w:hanging="360"/>
      </w:pPr>
      <w:rPr>
        <w:rFonts w:ascii="Wingdings" w:hAnsi="Wingdings"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 w15:restartNumberingAfterBreak="0">
    <w:nsid w:val="28D93D2B"/>
    <w:multiLevelType w:val="hybridMultilevel"/>
    <w:tmpl w:val="C5F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07849"/>
    <w:multiLevelType w:val="hybridMultilevel"/>
    <w:tmpl w:val="67189E4A"/>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6" w15:restartNumberingAfterBreak="0">
    <w:nsid w:val="482875F3"/>
    <w:multiLevelType w:val="hybridMultilevel"/>
    <w:tmpl w:val="9E220C72"/>
    <w:lvl w:ilvl="0" w:tplc="FD88E428">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486F39"/>
    <w:multiLevelType w:val="hybridMultilevel"/>
    <w:tmpl w:val="4BC66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420175"/>
    <w:multiLevelType w:val="hybridMultilevel"/>
    <w:tmpl w:val="08340D6C"/>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B54C25"/>
    <w:multiLevelType w:val="hybridMultilevel"/>
    <w:tmpl w:val="EDA2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923E1"/>
    <w:multiLevelType w:val="hybridMultilevel"/>
    <w:tmpl w:val="2B76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E3C4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6"/>
  </w:num>
  <w:num w:numId="2">
    <w:abstractNumId w:val="11"/>
  </w:num>
  <w:num w:numId="3">
    <w:abstractNumId w:val="0"/>
  </w:num>
  <w:num w:numId="4">
    <w:abstractNumId w:val="4"/>
  </w:num>
  <w:num w:numId="5">
    <w:abstractNumId w:val="9"/>
  </w:num>
  <w:num w:numId="6">
    <w:abstractNumId w:val="5"/>
  </w:num>
  <w:num w:numId="7">
    <w:abstractNumId w:val="3"/>
  </w:num>
  <w:num w:numId="8">
    <w:abstractNumId w:val="7"/>
  </w:num>
  <w:num w:numId="9">
    <w:abstractNumId w:val="2"/>
  </w:num>
  <w:num w:numId="10">
    <w:abstractNumId w:val="1"/>
  </w:num>
  <w:num w:numId="11">
    <w:abstractNumId w:val="8"/>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1E"/>
    <w:rsid w:val="000068A9"/>
    <w:rsid w:val="00027066"/>
    <w:rsid w:val="000550A0"/>
    <w:rsid w:val="00060E41"/>
    <w:rsid w:val="00081B78"/>
    <w:rsid w:val="000874A3"/>
    <w:rsid w:val="000927E8"/>
    <w:rsid w:val="000B16C3"/>
    <w:rsid w:val="000D00DB"/>
    <w:rsid w:val="000D580A"/>
    <w:rsid w:val="000F5B63"/>
    <w:rsid w:val="00114F25"/>
    <w:rsid w:val="00115B97"/>
    <w:rsid w:val="001223AC"/>
    <w:rsid w:val="001436CD"/>
    <w:rsid w:val="001464A7"/>
    <w:rsid w:val="00147BA6"/>
    <w:rsid w:val="00153BF6"/>
    <w:rsid w:val="00162203"/>
    <w:rsid w:val="00165CE1"/>
    <w:rsid w:val="00177361"/>
    <w:rsid w:val="001859FD"/>
    <w:rsid w:val="00190D22"/>
    <w:rsid w:val="00193490"/>
    <w:rsid w:val="001B0E59"/>
    <w:rsid w:val="001B6CA0"/>
    <w:rsid w:val="001D03A8"/>
    <w:rsid w:val="001E74ED"/>
    <w:rsid w:val="001F05C1"/>
    <w:rsid w:val="001F5F60"/>
    <w:rsid w:val="001F7802"/>
    <w:rsid w:val="0020761D"/>
    <w:rsid w:val="00236A53"/>
    <w:rsid w:val="00241D05"/>
    <w:rsid w:val="002506B4"/>
    <w:rsid w:val="00277E61"/>
    <w:rsid w:val="00280386"/>
    <w:rsid w:val="002A0747"/>
    <w:rsid w:val="002B724D"/>
    <w:rsid w:val="002C27A5"/>
    <w:rsid w:val="002D6009"/>
    <w:rsid w:val="002E4CE4"/>
    <w:rsid w:val="002F0570"/>
    <w:rsid w:val="002F68E1"/>
    <w:rsid w:val="003052BD"/>
    <w:rsid w:val="003164A1"/>
    <w:rsid w:val="0036017F"/>
    <w:rsid w:val="0037082B"/>
    <w:rsid w:val="00372AF2"/>
    <w:rsid w:val="00374947"/>
    <w:rsid w:val="003759EF"/>
    <w:rsid w:val="00382B9E"/>
    <w:rsid w:val="00391907"/>
    <w:rsid w:val="00393E79"/>
    <w:rsid w:val="0039488C"/>
    <w:rsid w:val="003B5AC4"/>
    <w:rsid w:val="003C471A"/>
    <w:rsid w:val="003F2A84"/>
    <w:rsid w:val="00423B1E"/>
    <w:rsid w:val="00430AFB"/>
    <w:rsid w:val="00433763"/>
    <w:rsid w:val="00440B66"/>
    <w:rsid w:val="00442AD7"/>
    <w:rsid w:val="00444F91"/>
    <w:rsid w:val="004547AD"/>
    <w:rsid w:val="004673BA"/>
    <w:rsid w:val="00476621"/>
    <w:rsid w:val="004801FF"/>
    <w:rsid w:val="004825C3"/>
    <w:rsid w:val="004A73B2"/>
    <w:rsid w:val="004B31EA"/>
    <w:rsid w:val="004B4213"/>
    <w:rsid w:val="004D128A"/>
    <w:rsid w:val="004D4915"/>
    <w:rsid w:val="004E426A"/>
    <w:rsid w:val="004F23B0"/>
    <w:rsid w:val="004F3BD6"/>
    <w:rsid w:val="00513C7C"/>
    <w:rsid w:val="0052491B"/>
    <w:rsid w:val="00535300"/>
    <w:rsid w:val="00535593"/>
    <w:rsid w:val="00536EDD"/>
    <w:rsid w:val="00554515"/>
    <w:rsid w:val="005547AA"/>
    <w:rsid w:val="005608FE"/>
    <w:rsid w:val="00577218"/>
    <w:rsid w:val="00577818"/>
    <w:rsid w:val="00586F95"/>
    <w:rsid w:val="005A3582"/>
    <w:rsid w:val="005B206E"/>
    <w:rsid w:val="005B7D9F"/>
    <w:rsid w:val="005D02B8"/>
    <w:rsid w:val="005D271F"/>
    <w:rsid w:val="005D28A7"/>
    <w:rsid w:val="005E6835"/>
    <w:rsid w:val="005F0B05"/>
    <w:rsid w:val="005F41EB"/>
    <w:rsid w:val="00603FEB"/>
    <w:rsid w:val="0062648C"/>
    <w:rsid w:val="00640162"/>
    <w:rsid w:val="00641ED9"/>
    <w:rsid w:val="00651A12"/>
    <w:rsid w:val="0066093E"/>
    <w:rsid w:val="00682392"/>
    <w:rsid w:val="00684003"/>
    <w:rsid w:val="00690403"/>
    <w:rsid w:val="006C078F"/>
    <w:rsid w:val="006D3422"/>
    <w:rsid w:val="006E16D8"/>
    <w:rsid w:val="006E575E"/>
    <w:rsid w:val="006F0C70"/>
    <w:rsid w:val="006F1C9B"/>
    <w:rsid w:val="006F4F84"/>
    <w:rsid w:val="00702560"/>
    <w:rsid w:val="007505A2"/>
    <w:rsid w:val="00756A5B"/>
    <w:rsid w:val="007C7FE3"/>
    <w:rsid w:val="007E4F75"/>
    <w:rsid w:val="007E78D6"/>
    <w:rsid w:val="007F314F"/>
    <w:rsid w:val="00803DAB"/>
    <w:rsid w:val="0081681B"/>
    <w:rsid w:val="008226F1"/>
    <w:rsid w:val="0083433E"/>
    <w:rsid w:val="00843ECE"/>
    <w:rsid w:val="008520CA"/>
    <w:rsid w:val="00860598"/>
    <w:rsid w:val="00860A36"/>
    <w:rsid w:val="00862C7E"/>
    <w:rsid w:val="00871C09"/>
    <w:rsid w:val="008819B2"/>
    <w:rsid w:val="00883480"/>
    <w:rsid w:val="00895B71"/>
    <w:rsid w:val="008960D1"/>
    <w:rsid w:val="008A037D"/>
    <w:rsid w:val="008B253D"/>
    <w:rsid w:val="008C4F18"/>
    <w:rsid w:val="008D7E80"/>
    <w:rsid w:val="008E1BBE"/>
    <w:rsid w:val="008E331C"/>
    <w:rsid w:val="008E6DF8"/>
    <w:rsid w:val="00904085"/>
    <w:rsid w:val="00904835"/>
    <w:rsid w:val="00923A22"/>
    <w:rsid w:val="00927B87"/>
    <w:rsid w:val="00930524"/>
    <w:rsid w:val="00930DA3"/>
    <w:rsid w:val="00941AB5"/>
    <w:rsid w:val="00952E93"/>
    <w:rsid w:val="00976807"/>
    <w:rsid w:val="00985787"/>
    <w:rsid w:val="0099045B"/>
    <w:rsid w:val="00992FC3"/>
    <w:rsid w:val="009B132E"/>
    <w:rsid w:val="009B34F0"/>
    <w:rsid w:val="009C2B7C"/>
    <w:rsid w:val="009D7E58"/>
    <w:rsid w:val="00A00352"/>
    <w:rsid w:val="00A03782"/>
    <w:rsid w:val="00A130F1"/>
    <w:rsid w:val="00A145AC"/>
    <w:rsid w:val="00A17A8E"/>
    <w:rsid w:val="00A242B3"/>
    <w:rsid w:val="00A448C5"/>
    <w:rsid w:val="00A469B4"/>
    <w:rsid w:val="00A5081B"/>
    <w:rsid w:val="00A66BD5"/>
    <w:rsid w:val="00A67063"/>
    <w:rsid w:val="00A729C6"/>
    <w:rsid w:val="00A73D3D"/>
    <w:rsid w:val="00A84DDF"/>
    <w:rsid w:val="00AB6A47"/>
    <w:rsid w:val="00AC6EC3"/>
    <w:rsid w:val="00AE400A"/>
    <w:rsid w:val="00AE4E3B"/>
    <w:rsid w:val="00AF2753"/>
    <w:rsid w:val="00B12249"/>
    <w:rsid w:val="00B14DA4"/>
    <w:rsid w:val="00B15428"/>
    <w:rsid w:val="00B217A5"/>
    <w:rsid w:val="00B42F2B"/>
    <w:rsid w:val="00B43C1E"/>
    <w:rsid w:val="00B52783"/>
    <w:rsid w:val="00B60779"/>
    <w:rsid w:val="00B740ED"/>
    <w:rsid w:val="00B7767D"/>
    <w:rsid w:val="00B907B5"/>
    <w:rsid w:val="00B9590F"/>
    <w:rsid w:val="00BB4AFB"/>
    <w:rsid w:val="00BC2578"/>
    <w:rsid w:val="00BC50FF"/>
    <w:rsid w:val="00BC7762"/>
    <w:rsid w:val="00BD3336"/>
    <w:rsid w:val="00BE6A2D"/>
    <w:rsid w:val="00BF0611"/>
    <w:rsid w:val="00BF18C3"/>
    <w:rsid w:val="00C04135"/>
    <w:rsid w:val="00C21586"/>
    <w:rsid w:val="00C21740"/>
    <w:rsid w:val="00C30203"/>
    <w:rsid w:val="00C3330E"/>
    <w:rsid w:val="00C42A05"/>
    <w:rsid w:val="00C453C4"/>
    <w:rsid w:val="00C51BEC"/>
    <w:rsid w:val="00C6631C"/>
    <w:rsid w:val="00C80B86"/>
    <w:rsid w:val="00C824F0"/>
    <w:rsid w:val="00C85684"/>
    <w:rsid w:val="00C85ABB"/>
    <w:rsid w:val="00C901D1"/>
    <w:rsid w:val="00C92261"/>
    <w:rsid w:val="00C94347"/>
    <w:rsid w:val="00C97C30"/>
    <w:rsid w:val="00CC3F7A"/>
    <w:rsid w:val="00CD3562"/>
    <w:rsid w:val="00CE54BB"/>
    <w:rsid w:val="00CE6668"/>
    <w:rsid w:val="00D1754A"/>
    <w:rsid w:val="00D2009E"/>
    <w:rsid w:val="00D3183A"/>
    <w:rsid w:val="00D3385E"/>
    <w:rsid w:val="00D34961"/>
    <w:rsid w:val="00D35FEC"/>
    <w:rsid w:val="00D50468"/>
    <w:rsid w:val="00D50FE7"/>
    <w:rsid w:val="00D73C17"/>
    <w:rsid w:val="00D7645A"/>
    <w:rsid w:val="00D8219E"/>
    <w:rsid w:val="00D90A60"/>
    <w:rsid w:val="00D91805"/>
    <w:rsid w:val="00DA55D1"/>
    <w:rsid w:val="00DC7AA3"/>
    <w:rsid w:val="00DD4874"/>
    <w:rsid w:val="00DE25DD"/>
    <w:rsid w:val="00E01BE7"/>
    <w:rsid w:val="00E04A42"/>
    <w:rsid w:val="00E1732B"/>
    <w:rsid w:val="00E5143B"/>
    <w:rsid w:val="00E54FE7"/>
    <w:rsid w:val="00E62480"/>
    <w:rsid w:val="00E64C58"/>
    <w:rsid w:val="00E809C2"/>
    <w:rsid w:val="00EA376E"/>
    <w:rsid w:val="00EB1758"/>
    <w:rsid w:val="00ED3263"/>
    <w:rsid w:val="00ED63AE"/>
    <w:rsid w:val="00EE0F1C"/>
    <w:rsid w:val="00EE6AA8"/>
    <w:rsid w:val="00EF3028"/>
    <w:rsid w:val="00EF5EC2"/>
    <w:rsid w:val="00F04317"/>
    <w:rsid w:val="00F20378"/>
    <w:rsid w:val="00F34A10"/>
    <w:rsid w:val="00F446F9"/>
    <w:rsid w:val="00F539E1"/>
    <w:rsid w:val="00F7658F"/>
    <w:rsid w:val="00F83994"/>
    <w:rsid w:val="00F8733C"/>
    <w:rsid w:val="00F97873"/>
    <w:rsid w:val="00FC4583"/>
    <w:rsid w:val="00FC4882"/>
    <w:rsid w:val="00FC7C0C"/>
    <w:rsid w:val="00FD1AD5"/>
    <w:rsid w:val="00FE59D2"/>
    <w:rsid w:val="00FF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E951A4"/>
  <w15:chartTrackingRefBased/>
  <w15:docId w15:val="{8A09922B-1C31-4B3A-97D7-1F576E34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B86"/>
    <w:pPr>
      <w:widowControl w:val="0"/>
      <w:spacing w:before="120" w:after="120" w:line="240" w:lineRule="auto"/>
    </w:pPr>
    <w:rPr>
      <w:rFonts w:ascii="Arial" w:hAnsi="Arial"/>
      <w:color w:val="555759" w:themeColor="text2"/>
    </w:rPr>
  </w:style>
  <w:style w:type="paragraph" w:styleId="Heading1">
    <w:name w:val="heading 1"/>
    <w:basedOn w:val="Normal"/>
    <w:next w:val="Normal"/>
    <w:link w:val="Heading1Char"/>
    <w:qFormat/>
    <w:rsid w:val="00ED63AE"/>
    <w:pPr>
      <w:spacing w:before="480" w:after="240"/>
      <w:outlineLvl w:val="0"/>
    </w:pPr>
    <w:rPr>
      <w:b/>
      <w:color w:val="555759"/>
      <w:sz w:val="28"/>
    </w:rPr>
  </w:style>
  <w:style w:type="paragraph" w:styleId="Heading2">
    <w:name w:val="heading 2"/>
    <w:basedOn w:val="Normal"/>
    <w:next w:val="Normal"/>
    <w:link w:val="Heading2Char"/>
    <w:unhideWhenUsed/>
    <w:qFormat/>
    <w:rsid w:val="00C453C4"/>
    <w:pPr>
      <w:keepNext/>
      <w:keepLines/>
      <w:pBdr>
        <w:bottom w:val="single" w:sz="4" w:space="1" w:color="auto"/>
      </w:pBdr>
      <w:spacing w:before="360" w:after="240"/>
      <w:outlineLvl w:val="1"/>
    </w:pPr>
    <w:rPr>
      <w:rFonts w:eastAsiaTheme="majorEastAsia" w:cstheme="majorBidi"/>
      <w:b/>
      <w:color w:val="auto"/>
      <w:sz w:val="24"/>
      <w:szCs w:val="26"/>
    </w:rPr>
  </w:style>
  <w:style w:type="paragraph" w:styleId="Heading3">
    <w:name w:val="heading 3"/>
    <w:basedOn w:val="Normal"/>
    <w:next w:val="Normal"/>
    <w:link w:val="Heading3Char"/>
    <w:unhideWhenUsed/>
    <w:qFormat/>
    <w:rsid w:val="00277E61"/>
    <w:pPr>
      <w:keepNext/>
      <w:keepLines/>
      <w:spacing w:before="360" w:after="240"/>
      <w:outlineLvl w:val="2"/>
    </w:pPr>
    <w:rPr>
      <w:rFonts w:eastAsiaTheme="majorEastAsia" w:cstheme="majorBidi"/>
      <w:b/>
      <w:sz w:val="24"/>
      <w:szCs w:val="24"/>
    </w:rPr>
  </w:style>
  <w:style w:type="paragraph" w:styleId="Heading4">
    <w:name w:val="heading 4"/>
    <w:basedOn w:val="Normal"/>
    <w:next w:val="Normal"/>
    <w:link w:val="Heading4Char"/>
    <w:unhideWhenUsed/>
    <w:qFormat/>
    <w:rsid w:val="00D3183A"/>
    <w:pPr>
      <w:keepNext/>
      <w:keepLines/>
      <w:spacing w:before="40" w:after="0"/>
      <w:outlineLvl w:val="3"/>
    </w:pPr>
    <w:rPr>
      <w:rFonts w:asciiTheme="majorHAnsi" w:eastAsiaTheme="majorEastAsia" w:hAnsiTheme="majorHAnsi" w:cstheme="majorBidi"/>
      <w:i/>
      <w:iCs/>
      <w:color w:val="6FA000" w:themeColor="accent1" w:themeShade="BF"/>
    </w:rPr>
  </w:style>
  <w:style w:type="paragraph" w:styleId="Heading5">
    <w:name w:val="heading 5"/>
    <w:basedOn w:val="Normal"/>
    <w:next w:val="Normal"/>
    <w:link w:val="Heading5Char"/>
    <w:unhideWhenUsed/>
    <w:qFormat/>
    <w:rsid w:val="00D3183A"/>
    <w:pPr>
      <w:keepNext/>
      <w:keepLines/>
      <w:spacing w:before="40" w:after="0"/>
      <w:outlineLvl w:val="4"/>
    </w:pPr>
    <w:rPr>
      <w:rFonts w:asciiTheme="majorHAnsi" w:eastAsiaTheme="majorEastAsia" w:hAnsiTheme="majorHAnsi" w:cstheme="majorBidi"/>
      <w:color w:val="6FA000" w:themeColor="accent1" w:themeShade="BF"/>
    </w:rPr>
  </w:style>
  <w:style w:type="paragraph" w:styleId="Heading6">
    <w:name w:val="heading 6"/>
    <w:basedOn w:val="Normal"/>
    <w:next w:val="Normal"/>
    <w:link w:val="Heading6Char"/>
    <w:qFormat/>
    <w:rsid w:val="00B42F2B"/>
    <w:pPr>
      <w:widowControl/>
      <w:tabs>
        <w:tab w:val="num" w:pos="1152"/>
      </w:tabs>
      <w:spacing w:before="240" w:after="60"/>
      <w:ind w:left="1152" w:hanging="432"/>
      <w:outlineLvl w:val="5"/>
    </w:pPr>
    <w:rPr>
      <w:rFonts w:ascii="Times New Roman" w:eastAsia="Times New Roman" w:hAnsi="Times New Roman" w:cs="Times New Roman"/>
      <w:b/>
      <w:bCs/>
      <w:color w:val="auto"/>
    </w:rPr>
  </w:style>
  <w:style w:type="paragraph" w:styleId="Heading7">
    <w:name w:val="heading 7"/>
    <w:basedOn w:val="Normal"/>
    <w:next w:val="Normal"/>
    <w:link w:val="Heading7Char"/>
    <w:qFormat/>
    <w:rsid w:val="00B42F2B"/>
    <w:pPr>
      <w:widowControl/>
      <w:tabs>
        <w:tab w:val="num" w:pos="1296"/>
      </w:tabs>
      <w:spacing w:before="240" w:after="60"/>
      <w:ind w:left="1296" w:hanging="288"/>
      <w:outlineLvl w:val="6"/>
    </w:pPr>
    <w:rPr>
      <w:rFonts w:ascii="Times New Roman" w:eastAsia="Times New Roman" w:hAnsi="Times New Roman" w:cs="Times New Roman"/>
      <w:color w:val="auto"/>
      <w:sz w:val="24"/>
      <w:szCs w:val="24"/>
    </w:rPr>
  </w:style>
  <w:style w:type="paragraph" w:styleId="Heading8">
    <w:name w:val="heading 8"/>
    <w:basedOn w:val="Normal"/>
    <w:next w:val="Normal"/>
    <w:link w:val="Heading8Char"/>
    <w:qFormat/>
    <w:rsid w:val="00B42F2B"/>
    <w:pPr>
      <w:widowControl/>
      <w:tabs>
        <w:tab w:val="num" w:pos="1440"/>
      </w:tabs>
      <w:spacing w:before="240" w:after="60"/>
      <w:ind w:left="1440" w:hanging="432"/>
      <w:outlineLvl w:val="7"/>
    </w:pPr>
    <w:rPr>
      <w:rFonts w:ascii="Times New Roman" w:eastAsia="Times New Roman" w:hAnsi="Times New Roman" w:cs="Times New Roman"/>
      <w:i/>
      <w:iCs/>
      <w:color w:val="auto"/>
      <w:sz w:val="24"/>
      <w:szCs w:val="24"/>
    </w:rPr>
  </w:style>
  <w:style w:type="paragraph" w:styleId="Heading9">
    <w:name w:val="heading 9"/>
    <w:basedOn w:val="Normal"/>
    <w:next w:val="Normal"/>
    <w:link w:val="Heading9Char"/>
    <w:qFormat/>
    <w:rsid w:val="00B42F2B"/>
    <w:pPr>
      <w:widowControl/>
      <w:tabs>
        <w:tab w:val="num" w:pos="1584"/>
      </w:tabs>
      <w:spacing w:before="240" w:after="60"/>
      <w:ind w:left="1584" w:hanging="144"/>
      <w:outlineLvl w:val="8"/>
    </w:pPr>
    <w:rPr>
      <w:rFonts w:eastAsia="Times New Roman"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3AE"/>
    <w:rPr>
      <w:rFonts w:ascii="Arial" w:hAnsi="Arial"/>
      <w:b/>
      <w:color w:val="555759"/>
      <w:sz w:val="28"/>
    </w:rPr>
  </w:style>
  <w:style w:type="character" w:customStyle="1" w:styleId="Heading2Char">
    <w:name w:val="Heading 2 Char"/>
    <w:basedOn w:val="DefaultParagraphFont"/>
    <w:link w:val="Heading2"/>
    <w:rsid w:val="00C453C4"/>
    <w:rPr>
      <w:rFonts w:ascii="Arial" w:eastAsiaTheme="majorEastAsia" w:hAnsi="Arial" w:cstheme="majorBidi"/>
      <w:b/>
      <w:sz w:val="24"/>
      <w:szCs w:val="26"/>
    </w:rPr>
  </w:style>
  <w:style w:type="character" w:customStyle="1" w:styleId="Heading3Char">
    <w:name w:val="Heading 3 Char"/>
    <w:basedOn w:val="DefaultParagraphFont"/>
    <w:link w:val="Heading3"/>
    <w:rsid w:val="00277E61"/>
    <w:rPr>
      <w:rFonts w:ascii="Arial" w:eastAsiaTheme="majorEastAsia" w:hAnsi="Arial" w:cstheme="majorBidi"/>
      <w:b/>
      <w:color w:val="555759" w:themeColor="text2"/>
      <w:sz w:val="24"/>
      <w:szCs w:val="24"/>
    </w:rPr>
  </w:style>
  <w:style w:type="paragraph" w:styleId="Header">
    <w:name w:val="header"/>
    <w:basedOn w:val="Normal"/>
    <w:link w:val="HeaderChar"/>
    <w:uiPriority w:val="99"/>
    <w:unhideWhenUsed/>
    <w:rsid w:val="008E1BBE"/>
    <w:pPr>
      <w:spacing w:before="240" w:after="240"/>
    </w:pPr>
    <w:rPr>
      <w:b/>
      <w:color w:val="FFFFFF" w:themeColor="background1"/>
      <w:sz w:val="24"/>
    </w:rPr>
  </w:style>
  <w:style w:type="character" w:customStyle="1" w:styleId="HeaderChar">
    <w:name w:val="Header Char"/>
    <w:basedOn w:val="DefaultParagraphFont"/>
    <w:link w:val="Header"/>
    <w:uiPriority w:val="99"/>
    <w:rsid w:val="008E1BBE"/>
    <w:rPr>
      <w:rFonts w:ascii="Arial" w:hAnsi="Arial"/>
      <w:b/>
      <w:color w:val="FFFFFF" w:themeColor="background1"/>
      <w:sz w:val="24"/>
    </w:rPr>
  </w:style>
  <w:style w:type="paragraph" w:styleId="Footer">
    <w:name w:val="footer"/>
    <w:basedOn w:val="Normal"/>
    <w:link w:val="FooterChar"/>
    <w:uiPriority w:val="99"/>
    <w:unhideWhenUsed/>
    <w:rsid w:val="00A448C5"/>
    <w:pPr>
      <w:spacing w:before="360"/>
    </w:pPr>
  </w:style>
  <w:style w:type="character" w:customStyle="1" w:styleId="FooterChar">
    <w:name w:val="Footer Char"/>
    <w:basedOn w:val="DefaultParagraphFont"/>
    <w:link w:val="Footer"/>
    <w:uiPriority w:val="99"/>
    <w:rsid w:val="00A448C5"/>
    <w:rPr>
      <w:rFonts w:ascii="Arial" w:hAnsi="Arial"/>
      <w:color w:val="555759" w:themeColor="text2"/>
    </w:rPr>
  </w:style>
  <w:style w:type="paragraph" w:styleId="Title">
    <w:name w:val="Title"/>
    <w:aliases w:val="Proposal Title"/>
    <w:basedOn w:val="Normal"/>
    <w:next w:val="Normal"/>
    <w:link w:val="TitleChar"/>
    <w:qFormat/>
    <w:rsid w:val="00ED63AE"/>
    <w:rPr>
      <w:rFonts w:eastAsiaTheme="majorEastAsia" w:cstheme="majorBidi"/>
      <w:b/>
      <w:color w:val="95D600" w:themeColor="accent1"/>
      <w:spacing w:val="-10"/>
      <w:kern w:val="28"/>
      <w:sz w:val="48"/>
      <w:szCs w:val="56"/>
    </w:rPr>
  </w:style>
  <w:style w:type="character" w:customStyle="1" w:styleId="TitleChar">
    <w:name w:val="Title Char"/>
    <w:aliases w:val="Proposal Title Char"/>
    <w:basedOn w:val="DefaultParagraphFont"/>
    <w:link w:val="Title"/>
    <w:uiPriority w:val="10"/>
    <w:rsid w:val="00ED63AE"/>
    <w:rPr>
      <w:rFonts w:ascii="Arial" w:eastAsiaTheme="majorEastAsia" w:hAnsi="Arial" w:cstheme="majorBidi"/>
      <w:b/>
      <w:color w:val="95D600" w:themeColor="accent1"/>
      <w:spacing w:val="-10"/>
      <w:kern w:val="28"/>
      <w:sz w:val="48"/>
      <w:szCs w:val="56"/>
    </w:rPr>
  </w:style>
  <w:style w:type="paragraph" w:styleId="Subtitle">
    <w:name w:val="Subtitle"/>
    <w:aliases w:val="Proposal Subtitle"/>
    <w:basedOn w:val="Normal"/>
    <w:next w:val="Normal"/>
    <w:link w:val="SubtitleChar"/>
    <w:qFormat/>
    <w:rsid w:val="00ED63AE"/>
    <w:pPr>
      <w:numPr>
        <w:ilvl w:val="1"/>
      </w:numPr>
      <w:spacing w:before="240" w:after="0"/>
    </w:pPr>
    <w:rPr>
      <w:rFonts w:eastAsiaTheme="minorEastAsia"/>
      <w:b/>
      <w:color w:val="5A5A5A" w:themeColor="text1" w:themeTint="A5"/>
      <w:spacing w:val="15"/>
      <w:sz w:val="28"/>
    </w:rPr>
  </w:style>
  <w:style w:type="character" w:customStyle="1" w:styleId="SubtitleChar">
    <w:name w:val="Subtitle Char"/>
    <w:aliases w:val="Proposal Subtitle Char"/>
    <w:basedOn w:val="DefaultParagraphFont"/>
    <w:link w:val="Subtitle"/>
    <w:uiPriority w:val="11"/>
    <w:rsid w:val="00ED63AE"/>
    <w:rPr>
      <w:rFonts w:ascii="Arial" w:eastAsiaTheme="minorEastAsia" w:hAnsi="Arial"/>
      <w:b/>
      <w:color w:val="5A5A5A" w:themeColor="text1" w:themeTint="A5"/>
      <w:spacing w:val="15"/>
      <w:sz w:val="28"/>
    </w:rPr>
  </w:style>
  <w:style w:type="character" w:customStyle="1" w:styleId="ProposalBodyHeading">
    <w:name w:val="Proposal Body Heading"/>
    <w:basedOn w:val="DefaultParagraphFont"/>
    <w:uiPriority w:val="1"/>
    <w:qFormat/>
    <w:rsid w:val="004A73B2"/>
    <w:rPr>
      <w:rFonts w:ascii="Arial" w:hAnsi="Arial"/>
      <w:b/>
      <w:color w:val="555759"/>
      <w:sz w:val="22"/>
    </w:rPr>
  </w:style>
  <w:style w:type="character" w:customStyle="1" w:styleId="ProposalItalics">
    <w:name w:val="Proposal Italics"/>
    <w:basedOn w:val="DefaultParagraphFont"/>
    <w:uiPriority w:val="1"/>
    <w:qFormat/>
    <w:rsid w:val="008520CA"/>
    <w:rPr>
      <w:rFonts w:ascii="Arial" w:hAnsi="Arial"/>
      <w:i/>
      <w:color w:val="555759"/>
      <w:sz w:val="22"/>
    </w:rPr>
  </w:style>
  <w:style w:type="paragraph" w:styleId="TOCHeading">
    <w:name w:val="TOC Heading"/>
    <w:basedOn w:val="Heading1"/>
    <w:next w:val="Normal"/>
    <w:uiPriority w:val="39"/>
    <w:unhideWhenUsed/>
    <w:qFormat/>
    <w:rsid w:val="00147BA6"/>
    <w:pPr>
      <w:outlineLvl w:val="9"/>
    </w:pPr>
  </w:style>
  <w:style w:type="character" w:customStyle="1" w:styleId="BoldItalics">
    <w:name w:val="Bold + Italics"/>
    <w:basedOn w:val="DefaultParagraphFont"/>
    <w:uiPriority w:val="1"/>
    <w:qFormat/>
    <w:rsid w:val="00682392"/>
    <w:rPr>
      <w:b/>
      <w:i/>
    </w:rPr>
  </w:style>
  <w:style w:type="character" w:styleId="CommentReference">
    <w:name w:val="annotation reference"/>
    <w:basedOn w:val="DefaultParagraphFont"/>
    <w:semiHidden/>
    <w:unhideWhenUsed/>
    <w:rsid w:val="000F5B63"/>
    <w:rPr>
      <w:sz w:val="16"/>
      <w:szCs w:val="16"/>
    </w:rPr>
  </w:style>
  <w:style w:type="paragraph" w:styleId="CommentText">
    <w:name w:val="annotation text"/>
    <w:basedOn w:val="Normal"/>
    <w:link w:val="CommentTextChar"/>
    <w:unhideWhenUsed/>
    <w:rsid w:val="000F5B63"/>
    <w:rPr>
      <w:sz w:val="20"/>
      <w:szCs w:val="20"/>
    </w:rPr>
  </w:style>
  <w:style w:type="table" w:styleId="TableGrid">
    <w:name w:val="Table Grid"/>
    <w:basedOn w:val="TableNormal"/>
    <w:uiPriority w:val="59"/>
    <w:rsid w:val="00D7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0F5B63"/>
    <w:rPr>
      <w:rFonts w:ascii="Arial" w:hAnsi="Arial"/>
      <w:color w:val="555759" w:themeColor="text2"/>
      <w:sz w:val="20"/>
      <w:szCs w:val="20"/>
    </w:rPr>
  </w:style>
  <w:style w:type="paragraph" w:styleId="CommentSubject">
    <w:name w:val="annotation subject"/>
    <w:basedOn w:val="CommentText"/>
    <w:next w:val="CommentText"/>
    <w:link w:val="CommentSubjectChar"/>
    <w:semiHidden/>
    <w:unhideWhenUsed/>
    <w:rsid w:val="000F5B63"/>
    <w:rPr>
      <w:b/>
      <w:bCs/>
    </w:rPr>
  </w:style>
  <w:style w:type="character" w:customStyle="1" w:styleId="CommentSubjectChar">
    <w:name w:val="Comment Subject Char"/>
    <w:basedOn w:val="CommentTextChar"/>
    <w:link w:val="CommentSubject"/>
    <w:semiHidden/>
    <w:rsid w:val="000F5B63"/>
    <w:rPr>
      <w:rFonts w:ascii="Arial" w:hAnsi="Arial"/>
      <w:b/>
      <w:bCs/>
      <w:color w:val="555759" w:themeColor="text2"/>
      <w:sz w:val="20"/>
      <w:szCs w:val="20"/>
    </w:rPr>
  </w:style>
  <w:style w:type="paragraph" w:styleId="BalloonText">
    <w:name w:val="Balloon Text"/>
    <w:basedOn w:val="Normal"/>
    <w:link w:val="BalloonTextChar"/>
    <w:semiHidden/>
    <w:unhideWhenUsed/>
    <w:rsid w:val="000F5B63"/>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F5B63"/>
    <w:rPr>
      <w:rFonts w:ascii="Segoe UI" w:hAnsi="Segoe UI" w:cs="Segoe UI"/>
      <w:color w:val="555759" w:themeColor="text2"/>
      <w:sz w:val="18"/>
      <w:szCs w:val="18"/>
    </w:rPr>
  </w:style>
  <w:style w:type="paragraph" w:styleId="TOC1">
    <w:name w:val="toc 1"/>
    <w:basedOn w:val="Normal"/>
    <w:next w:val="Normal"/>
    <w:link w:val="TOC1Char"/>
    <w:autoRedefine/>
    <w:uiPriority w:val="39"/>
    <w:unhideWhenUsed/>
    <w:rsid w:val="00CC3F7A"/>
    <w:pPr>
      <w:tabs>
        <w:tab w:val="left" w:pos="1800"/>
        <w:tab w:val="right" w:leader="dot" w:pos="9350"/>
      </w:tabs>
    </w:pPr>
    <w:rPr>
      <w:b/>
      <w:sz w:val="28"/>
    </w:rPr>
  </w:style>
  <w:style w:type="paragraph" w:styleId="TOC2">
    <w:name w:val="toc 2"/>
    <w:basedOn w:val="Normal"/>
    <w:next w:val="Normal"/>
    <w:autoRedefine/>
    <w:unhideWhenUsed/>
    <w:rsid w:val="00D7645A"/>
    <w:pPr>
      <w:ind w:left="216"/>
    </w:pPr>
    <w:rPr>
      <w:sz w:val="28"/>
    </w:rPr>
  </w:style>
  <w:style w:type="paragraph" w:styleId="TOC3">
    <w:name w:val="toc 3"/>
    <w:basedOn w:val="Normal"/>
    <w:next w:val="Normal"/>
    <w:autoRedefine/>
    <w:unhideWhenUsed/>
    <w:rsid w:val="00D7645A"/>
    <w:pPr>
      <w:ind w:left="446"/>
    </w:pPr>
    <w:rPr>
      <w:sz w:val="28"/>
    </w:rPr>
  </w:style>
  <w:style w:type="character" w:styleId="Hyperlink">
    <w:name w:val="Hyperlink"/>
    <w:basedOn w:val="DefaultParagraphFont"/>
    <w:uiPriority w:val="99"/>
    <w:unhideWhenUsed/>
    <w:rsid w:val="00D7645A"/>
    <w:rPr>
      <w:color w:val="006579" w:themeColor="hyperlink"/>
      <w:u w:val="single"/>
    </w:rPr>
  </w:style>
  <w:style w:type="character" w:styleId="Strong">
    <w:name w:val="Strong"/>
    <w:basedOn w:val="DefaultParagraphFont"/>
    <w:uiPriority w:val="22"/>
    <w:qFormat/>
    <w:rsid w:val="00D1754A"/>
    <w:rPr>
      <w:b/>
      <w:bCs/>
    </w:rPr>
  </w:style>
  <w:style w:type="paragraph" w:styleId="NoSpacing">
    <w:name w:val="No Spacing"/>
    <w:uiPriority w:val="1"/>
    <w:qFormat/>
    <w:rsid w:val="004F3BD6"/>
    <w:pPr>
      <w:widowControl w:val="0"/>
      <w:spacing w:after="0" w:line="240" w:lineRule="auto"/>
    </w:pPr>
    <w:rPr>
      <w:rFonts w:ascii="Arial" w:hAnsi="Arial"/>
      <w:color w:val="555759" w:themeColor="text2"/>
    </w:rPr>
  </w:style>
  <w:style w:type="paragraph" w:styleId="ListParagraph">
    <w:name w:val="List Paragraph"/>
    <w:aliases w:val="Proposal List Paragraph"/>
    <w:basedOn w:val="Normal"/>
    <w:uiPriority w:val="34"/>
    <w:qFormat/>
    <w:rsid w:val="00147BA6"/>
    <w:pPr>
      <w:numPr>
        <w:numId w:val="1"/>
      </w:numPr>
    </w:pPr>
  </w:style>
  <w:style w:type="paragraph" w:styleId="Revision">
    <w:name w:val="Revision"/>
    <w:hidden/>
    <w:uiPriority w:val="99"/>
    <w:semiHidden/>
    <w:rsid w:val="007F314F"/>
    <w:pPr>
      <w:spacing w:after="0" w:line="240" w:lineRule="auto"/>
    </w:pPr>
    <w:rPr>
      <w:rFonts w:ascii="Arial" w:hAnsi="Arial"/>
      <w:color w:val="555759" w:themeColor="text2"/>
    </w:rPr>
  </w:style>
  <w:style w:type="character" w:customStyle="1" w:styleId="Heading4Char">
    <w:name w:val="Heading 4 Char"/>
    <w:basedOn w:val="DefaultParagraphFont"/>
    <w:link w:val="Heading4"/>
    <w:rsid w:val="00D3183A"/>
    <w:rPr>
      <w:rFonts w:asciiTheme="majorHAnsi" w:eastAsiaTheme="majorEastAsia" w:hAnsiTheme="majorHAnsi" w:cstheme="majorBidi"/>
      <w:i/>
      <w:iCs/>
      <w:color w:val="6FA000" w:themeColor="accent1" w:themeShade="BF"/>
    </w:rPr>
  </w:style>
  <w:style w:type="character" w:customStyle="1" w:styleId="Heading5Char">
    <w:name w:val="Heading 5 Char"/>
    <w:basedOn w:val="DefaultParagraphFont"/>
    <w:link w:val="Heading5"/>
    <w:rsid w:val="00D3183A"/>
    <w:rPr>
      <w:rFonts w:asciiTheme="majorHAnsi" w:eastAsiaTheme="majorEastAsia" w:hAnsiTheme="majorHAnsi" w:cstheme="majorBidi"/>
      <w:color w:val="6FA000" w:themeColor="accent1" w:themeShade="BF"/>
    </w:rPr>
  </w:style>
  <w:style w:type="paragraph" w:customStyle="1" w:styleId="ProposalBody">
    <w:name w:val="Proposal Body"/>
    <w:basedOn w:val="Normal"/>
    <w:link w:val="ProposalBodyChar"/>
    <w:qFormat/>
    <w:rsid w:val="00B740ED"/>
    <w:pPr>
      <w:spacing w:line="280" w:lineRule="exact"/>
    </w:pPr>
  </w:style>
  <w:style w:type="paragraph" w:customStyle="1" w:styleId="ProposalTOCContent">
    <w:name w:val="Proposal TOC Content"/>
    <w:basedOn w:val="TOC1"/>
    <w:link w:val="ProposalTOCContentChar"/>
    <w:qFormat/>
    <w:rsid w:val="00ED63AE"/>
    <w:rPr>
      <w:b w:val="0"/>
      <w:szCs w:val="24"/>
    </w:rPr>
  </w:style>
  <w:style w:type="character" w:customStyle="1" w:styleId="ProposalBodyChar">
    <w:name w:val="Proposal Body Char"/>
    <w:basedOn w:val="DefaultParagraphFont"/>
    <w:link w:val="ProposalBody"/>
    <w:rsid w:val="00B740ED"/>
    <w:rPr>
      <w:rFonts w:ascii="Arial" w:hAnsi="Arial"/>
      <w:color w:val="555759" w:themeColor="text2"/>
    </w:rPr>
  </w:style>
  <w:style w:type="character" w:customStyle="1" w:styleId="TOC1Char">
    <w:name w:val="TOC 1 Char"/>
    <w:basedOn w:val="DefaultParagraphFont"/>
    <w:link w:val="TOC1"/>
    <w:uiPriority w:val="39"/>
    <w:rsid w:val="00ED63AE"/>
    <w:rPr>
      <w:rFonts w:ascii="Arial" w:hAnsi="Arial"/>
      <w:b/>
      <w:color w:val="555759" w:themeColor="text2"/>
      <w:sz w:val="28"/>
    </w:rPr>
  </w:style>
  <w:style w:type="character" w:customStyle="1" w:styleId="ProposalTOCContentChar">
    <w:name w:val="Proposal TOC Content Char"/>
    <w:basedOn w:val="TOC1Char"/>
    <w:link w:val="ProposalTOCContent"/>
    <w:rsid w:val="00ED63AE"/>
    <w:rPr>
      <w:rFonts w:ascii="Arial" w:hAnsi="Arial"/>
      <w:b w:val="0"/>
      <w:color w:val="555759" w:themeColor="text2"/>
      <w:sz w:val="28"/>
      <w:szCs w:val="24"/>
    </w:rPr>
  </w:style>
  <w:style w:type="paragraph" w:customStyle="1" w:styleId="ProposalTitleGreen">
    <w:name w:val="Proposal Title Green"/>
    <w:basedOn w:val="Header"/>
    <w:link w:val="ProposalTitleGreenChar"/>
    <w:qFormat/>
    <w:rsid w:val="00B43C1E"/>
    <w:rPr>
      <w:color w:val="95D600"/>
    </w:rPr>
  </w:style>
  <w:style w:type="character" w:customStyle="1" w:styleId="ProposalTitleGreenChar">
    <w:name w:val="Proposal Title Green Char"/>
    <w:basedOn w:val="HeaderChar"/>
    <w:link w:val="ProposalTitleGreen"/>
    <w:rsid w:val="00B43C1E"/>
    <w:rPr>
      <w:rFonts w:ascii="Arial" w:hAnsi="Arial"/>
      <w:b/>
      <w:color w:val="95D600"/>
      <w:sz w:val="24"/>
    </w:rPr>
  </w:style>
  <w:style w:type="character" w:customStyle="1" w:styleId="CoverText">
    <w:name w:val="Cover Text"/>
    <w:basedOn w:val="DefaultParagraphFont"/>
    <w:rsid w:val="00535593"/>
    <w:rPr>
      <w:rFonts w:ascii="Arial" w:hAnsi="Arial"/>
      <w:color w:val="545759"/>
      <w:sz w:val="20"/>
    </w:rPr>
  </w:style>
  <w:style w:type="character" w:customStyle="1" w:styleId="Heading6Char">
    <w:name w:val="Heading 6 Char"/>
    <w:basedOn w:val="DefaultParagraphFont"/>
    <w:link w:val="Heading6"/>
    <w:rsid w:val="00B42F2B"/>
    <w:rPr>
      <w:rFonts w:ascii="Times New Roman" w:eastAsia="Times New Roman" w:hAnsi="Times New Roman" w:cs="Times New Roman"/>
      <w:b/>
      <w:bCs/>
    </w:rPr>
  </w:style>
  <w:style w:type="character" w:customStyle="1" w:styleId="Heading7Char">
    <w:name w:val="Heading 7 Char"/>
    <w:basedOn w:val="DefaultParagraphFont"/>
    <w:link w:val="Heading7"/>
    <w:rsid w:val="00B42F2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42F2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42F2B"/>
    <w:rPr>
      <w:rFonts w:ascii="Arial" w:eastAsia="Times New Roman" w:hAnsi="Arial" w:cs="Arial"/>
    </w:rPr>
  </w:style>
  <w:style w:type="character" w:styleId="PageNumber">
    <w:name w:val="page number"/>
    <w:basedOn w:val="DefaultParagraphFont"/>
    <w:rsid w:val="00B42F2B"/>
  </w:style>
  <w:style w:type="numbering" w:styleId="ArticleSection">
    <w:name w:val="Outline List 3"/>
    <w:basedOn w:val="NoList"/>
    <w:rsid w:val="00B42F2B"/>
    <w:pPr>
      <w:numPr>
        <w:numId w:val="2"/>
      </w:numPr>
    </w:pPr>
  </w:style>
  <w:style w:type="paragraph" w:styleId="EndnoteText">
    <w:name w:val="endnote text"/>
    <w:basedOn w:val="Normal"/>
    <w:link w:val="EndnoteTextChar"/>
    <w:semiHidden/>
    <w:rsid w:val="00B42F2B"/>
    <w:pPr>
      <w:widowControl/>
      <w:spacing w:before="0" w:after="0"/>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semiHidden/>
    <w:rsid w:val="00B42F2B"/>
    <w:rPr>
      <w:rFonts w:ascii="Times New Roman" w:eastAsia="Times New Roman" w:hAnsi="Times New Roman" w:cs="Times New Roman"/>
      <w:sz w:val="20"/>
      <w:szCs w:val="20"/>
    </w:rPr>
  </w:style>
  <w:style w:type="character" w:styleId="EndnoteReference">
    <w:name w:val="endnote reference"/>
    <w:basedOn w:val="DefaultParagraphFont"/>
    <w:semiHidden/>
    <w:rsid w:val="00B42F2B"/>
    <w:rPr>
      <w:vertAlign w:val="superscript"/>
    </w:rPr>
  </w:style>
  <w:style w:type="paragraph" w:styleId="Caption">
    <w:name w:val="caption"/>
    <w:basedOn w:val="Normal"/>
    <w:next w:val="Normal"/>
    <w:qFormat/>
    <w:rsid w:val="00B42F2B"/>
    <w:pPr>
      <w:widowControl/>
      <w:spacing w:before="0" w:after="0"/>
    </w:pPr>
    <w:rPr>
      <w:rFonts w:ascii="Times New Roman" w:eastAsia="Times New Roman" w:hAnsi="Times New Roman" w:cs="Times New Roman"/>
      <w:b/>
      <w:bCs/>
      <w:color w:val="auto"/>
      <w:sz w:val="20"/>
      <w:szCs w:val="20"/>
    </w:rPr>
  </w:style>
  <w:style w:type="paragraph" w:styleId="FootnoteText">
    <w:name w:val="footnote text"/>
    <w:basedOn w:val="Normal"/>
    <w:link w:val="FootnoteTextChar"/>
    <w:uiPriority w:val="99"/>
    <w:semiHidden/>
    <w:rsid w:val="00B42F2B"/>
    <w:pPr>
      <w:widowControl/>
      <w:spacing w:before="0" w:after="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B42F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42F2B"/>
    <w:rPr>
      <w:vertAlign w:val="superscript"/>
    </w:rPr>
  </w:style>
  <w:style w:type="paragraph" w:styleId="TOC4">
    <w:name w:val="toc 4"/>
    <w:basedOn w:val="Normal"/>
    <w:next w:val="Normal"/>
    <w:autoRedefine/>
    <w:semiHidden/>
    <w:rsid w:val="00B42F2B"/>
    <w:pPr>
      <w:widowControl/>
      <w:spacing w:before="0" w:after="0"/>
      <w:ind w:left="720"/>
    </w:pPr>
    <w:rPr>
      <w:rFonts w:ascii="Times New Roman" w:eastAsia="Times New Roman" w:hAnsi="Times New Roman" w:cs="Times New Roman"/>
      <w:color w:val="auto"/>
      <w:sz w:val="18"/>
      <w:szCs w:val="18"/>
    </w:rPr>
  </w:style>
  <w:style w:type="paragraph" w:styleId="TOC5">
    <w:name w:val="toc 5"/>
    <w:basedOn w:val="Normal"/>
    <w:next w:val="Normal"/>
    <w:autoRedefine/>
    <w:semiHidden/>
    <w:rsid w:val="00B42F2B"/>
    <w:pPr>
      <w:widowControl/>
      <w:spacing w:before="0" w:after="0"/>
      <w:ind w:left="960"/>
    </w:pPr>
    <w:rPr>
      <w:rFonts w:ascii="Times New Roman" w:eastAsia="Times New Roman" w:hAnsi="Times New Roman" w:cs="Times New Roman"/>
      <w:color w:val="auto"/>
      <w:sz w:val="18"/>
      <w:szCs w:val="18"/>
    </w:rPr>
  </w:style>
  <w:style w:type="paragraph" w:styleId="TOC6">
    <w:name w:val="toc 6"/>
    <w:basedOn w:val="Normal"/>
    <w:next w:val="Normal"/>
    <w:autoRedefine/>
    <w:semiHidden/>
    <w:rsid w:val="00B42F2B"/>
    <w:pPr>
      <w:widowControl/>
      <w:spacing w:before="0" w:after="0"/>
      <w:ind w:left="1200"/>
    </w:pPr>
    <w:rPr>
      <w:rFonts w:ascii="Times New Roman" w:eastAsia="Times New Roman" w:hAnsi="Times New Roman" w:cs="Times New Roman"/>
      <w:color w:val="auto"/>
      <w:sz w:val="18"/>
      <w:szCs w:val="18"/>
    </w:rPr>
  </w:style>
  <w:style w:type="paragraph" w:styleId="TOC7">
    <w:name w:val="toc 7"/>
    <w:basedOn w:val="Normal"/>
    <w:next w:val="Normal"/>
    <w:autoRedefine/>
    <w:semiHidden/>
    <w:rsid w:val="00B42F2B"/>
    <w:pPr>
      <w:widowControl/>
      <w:spacing w:before="0" w:after="0"/>
      <w:ind w:left="1440"/>
    </w:pPr>
    <w:rPr>
      <w:rFonts w:ascii="Times New Roman" w:eastAsia="Times New Roman" w:hAnsi="Times New Roman" w:cs="Times New Roman"/>
      <w:color w:val="auto"/>
      <w:sz w:val="18"/>
      <w:szCs w:val="18"/>
    </w:rPr>
  </w:style>
  <w:style w:type="paragraph" w:styleId="TOC8">
    <w:name w:val="toc 8"/>
    <w:basedOn w:val="Normal"/>
    <w:next w:val="Normal"/>
    <w:autoRedefine/>
    <w:semiHidden/>
    <w:rsid w:val="00B42F2B"/>
    <w:pPr>
      <w:widowControl/>
      <w:spacing w:before="0" w:after="0"/>
      <w:ind w:left="1680"/>
    </w:pPr>
    <w:rPr>
      <w:rFonts w:ascii="Times New Roman" w:eastAsia="Times New Roman" w:hAnsi="Times New Roman" w:cs="Times New Roman"/>
      <w:color w:val="auto"/>
      <w:sz w:val="18"/>
      <w:szCs w:val="18"/>
    </w:rPr>
  </w:style>
  <w:style w:type="paragraph" w:styleId="TOC9">
    <w:name w:val="toc 9"/>
    <w:basedOn w:val="Normal"/>
    <w:next w:val="Normal"/>
    <w:autoRedefine/>
    <w:semiHidden/>
    <w:rsid w:val="00B42F2B"/>
    <w:pPr>
      <w:widowControl/>
      <w:spacing w:before="0" w:after="0"/>
      <w:ind w:left="1920"/>
    </w:pPr>
    <w:rPr>
      <w:rFonts w:ascii="Times New Roman" w:eastAsia="Times New Roman" w:hAnsi="Times New Roman" w:cs="Times New Roman"/>
      <w:color w:val="auto"/>
      <w:sz w:val="18"/>
      <w:szCs w:val="18"/>
    </w:rPr>
  </w:style>
  <w:style w:type="paragraph" w:styleId="BodyTextIndent2">
    <w:name w:val="Body Text Indent 2"/>
    <w:basedOn w:val="Normal"/>
    <w:link w:val="BodyTextIndent2Char"/>
    <w:rsid w:val="00B42F2B"/>
    <w:pPr>
      <w:widowControl/>
      <w:tabs>
        <w:tab w:val="num" w:pos="360"/>
      </w:tabs>
      <w:spacing w:before="0" w:after="0"/>
      <w:ind w:left="720"/>
    </w:pPr>
    <w:rPr>
      <w:rFonts w:eastAsia="Times New Roman" w:cs="Times New Roman"/>
      <w:color w:val="auto"/>
      <w:sz w:val="24"/>
      <w:szCs w:val="24"/>
    </w:rPr>
  </w:style>
  <w:style w:type="character" w:customStyle="1" w:styleId="BodyTextIndent2Char">
    <w:name w:val="Body Text Indent 2 Char"/>
    <w:basedOn w:val="DefaultParagraphFont"/>
    <w:link w:val="BodyTextIndent2"/>
    <w:rsid w:val="00B42F2B"/>
    <w:rPr>
      <w:rFonts w:ascii="Arial" w:eastAsia="Times New Roman" w:hAnsi="Arial" w:cs="Times New Roman"/>
      <w:sz w:val="24"/>
      <w:szCs w:val="24"/>
    </w:rPr>
  </w:style>
  <w:style w:type="paragraph" w:styleId="BodyText">
    <w:name w:val="Body Text"/>
    <w:basedOn w:val="Normal"/>
    <w:link w:val="BodyTextChar"/>
    <w:rsid w:val="00B42F2B"/>
    <w:pPr>
      <w:widowControl/>
      <w:spacing w:before="0"/>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B42F2B"/>
    <w:rPr>
      <w:rFonts w:ascii="Times New Roman" w:eastAsia="Times New Roman" w:hAnsi="Times New Roman" w:cs="Times New Roman"/>
      <w:sz w:val="24"/>
      <w:szCs w:val="24"/>
    </w:rPr>
  </w:style>
  <w:style w:type="paragraph" w:styleId="NormalWeb">
    <w:name w:val="Normal (Web)"/>
    <w:basedOn w:val="Normal"/>
    <w:uiPriority w:val="99"/>
    <w:unhideWhenUsed/>
    <w:rsid w:val="00B42F2B"/>
    <w:pPr>
      <w:widowControl/>
      <w:spacing w:before="100" w:beforeAutospacing="1" w:after="100" w:afterAutospacing="1"/>
    </w:pPr>
    <w:rPr>
      <w:rFonts w:ascii="Times New Roman" w:eastAsiaTheme="minorEastAsia" w:hAnsi="Times New Roman" w:cs="Times New Roman"/>
      <w:color w:val="auto"/>
      <w:sz w:val="24"/>
      <w:szCs w:val="24"/>
    </w:rPr>
  </w:style>
  <w:style w:type="character" w:styleId="FollowedHyperlink">
    <w:name w:val="FollowedHyperlink"/>
    <w:basedOn w:val="DefaultParagraphFont"/>
    <w:rsid w:val="00B42F2B"/>
    <w:rPr>
      <w:color w:val="954F72" w:themeColor="followedHyperlink"/>
      <w:u w:val="single"/>
    </w:rPr>
  </w:style>
  <w:style w:type="character" w:styleId="UnresolvedMention">
    <w:name w:val="Unresolved Mention"/>
    <w:basedOn w:val="DefaultParagraphFont"/>
    <w:uiPriority w:val="99"/>
    <w:semiHidden/>
    <w:unhideWhenUsed/>
    <w:rsid w:val="00EE6A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245255">
      <w:bodyDiv w:val="1"/>
      <w:marLeft w:val="0"/>
      <w:marRight w:val="0"/>
      <w:marTop w:val="0"/>
      <w:marBottom w:val="0"/>
      <w:divBdr>
        <w:top w:val="none" w:sz="0" w:space="0" w:color="auto"/>
        <w:left w:val="none" w:sz="0" w:space="0" w:color="auto"/>
        <w:bottom w:val="none" w:sz="0" w:space="0" w:color="auto"/>
        <w:right w:val="none" w:sz="0" w:space="0" w:color="auto"/>
      </w:divBdr>
    </w:div>
    <w:div w:id="126530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dshs.wa.gov/sites/default/files/ALTSA/msd/documents/All_HCS_Rates.x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avigant 2016 Brand">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BD33A-D676-4BA3-B48D-ED86A5D6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5625</Words>
  <Characters>32064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37614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Navigant</dc:creator>
  <cp:keywords/>
  <dc:description/>
  <cp:lastModifiedBy>Nina Nikolova</cp:lastModifiedBy>
  <cp:revision>8</cp:revision>
  <cp:lastPrinted>2017-11-30T20:10:00Z</cp:lastPrinted>
  <dcterms:created xsi:type="dcterms:W3CDTF">2018-02-23T22:29:00Z</dcterms:created>
  <dcterms:modified xsi:type="dcterms:W3CDTF">2018-02-24T00:21:00Z</dcterms:modified>
</cp:coreProperties>
</file>