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7FE93" w14:textId="7084BA07" w:rsidR="00162203" w:rsidRDefault="00905074" w:rsidP="00BE6A2D">
      <w:r>
        <w:t xml:space="preserve">   </w:t>
      </w:r>
    </w:p>
    <w:p w14:paraId="47EE30FB" w14:textId="77777777" w:rsidR="00162203" w:rsidRPr="00682392" w:rsidRDefault="00162203" w:rsidP="00ED63AE">
      <w:pPr>
        <w:pStyle w:val="ProposalBody"/>
      </w:pPr>
    </w:p>
    <w:p w14:paraId="17D9F663" w14:textId="77777777" w:rsidR="00535593" w:rsidRPr="00D92AA8" w:rsidRDefault="00535593" w:rsidP="00535593">
      <w:pPr>
        <w:pStyle w:val="Title"/>
      </w:pPr>
      <w:r>
        <w:t>Analysis of the Washington Nursing Facility Medicaid Payment Methodology</w:t>
      </w:r>
    </w:p>
    <w:p w14:paraId="1FCDE858" w14:textId="770430D4" w:rsidR="00535593" w:rsidRPr="00927139" w:rsidRDefault="00430AFB" w:rsidP="008B16B3">
      <w:pPr>
        <w:tabs>
          <w:tab w:val="left" w:pos="4860"/>
          <w:tab w:val="left" w:pos="6030"/>
        </w:tabs>
      </w:pPr>
      <w:r>
        <w:tab/>
      </w:r>
      <w:r w:rsidR="008B16B3">
        <w:tab/>
      </w:r>
    </w:p>
    <w:p w14:paraId="5FF9A848" w14:textId="5DB9300C" w:rsidR="00535593" w:rsidRPr="00282EEC" w:rsidRDefault="00282EEC" w:rsidP="00535593">
      <w:pPr>
        <w:rPr>
          <w:color w:val="648C1A" w:themeColor="accent2"/>
          <w:sz w:val="30"/>
          <w:szCs w:val="30"/>
        </w:rPr>
      </w:pPr>
      <w:r w:rsidRPr="00282EEC">
        <w:rPr>
          <w:color w:val="648C1A" w:themeColor="accent2"/>
          <w:sz w:val="30"/>
          <w:szCs w:val="30"/>
        </w:rPr>
        <w:t>April 2017</w:t>
      </w:r>
    </w:p>
    <w:p w14:paraId="0793E395" w14:textId="77777777" w:rsidR="006E2D58" w:rsidRDefault="006E2D58" w:rsidP="00535593">
      <w:pPr>
        <w:rPr>
          <w:color w:val="648C1A" w:themeColor="accent2"/>
        </w:rPr>
      </w:pPr>
    </w:p>
    <w:p w14:paraId="07B9CB3E" w14:textId="77777777" w:rsidR="000927E8" w:rsidRDefault="000927E8" w:rsidP="00535593">
      <w:pPr>
        <w:rPr>
          <w:color w:val="648C1A" w:themeColor="accent2"/>
        </w:rPr>
      </w:pPr>
    </w:p>
    <w:p w14:paraId="7DB6D160" w14:textId="77777777" w:rsidR="000927E8" w:rsidRPr="006E11D3" w:rsidRDefault="000927E8" w:rsidP="00535593">
      <w:pPr>
        <w:rPr>
          <w:color w:val="648C1A" w:themeColor="accent2"/>
        </w:rPr>
      </w:pPr>
    </w:p>
    <w:p w14:paraId="698B577E" w14:textId="77777777" w:rsidR="00535593" w:rsidRPr="006E11D3" w:rsidRDefault="00535593" w:rsidP="00535593">
      <w:pPr>
        <w:pStyle w:val="Subtitle"/>
        <w:rPr>
          <w:color w:val="648C1A" w:themeColor="accent2"/>
        </w:rPr>
      </w:pPr>
      <w:r w:rsidRPr="006E11D3">
        <w:rPr>
          <w:color w:val="648C1A" w:themeColor="accent2"/>
        </w:rPr>
        <w:t>Prepared for:</w:t>
      </w:r>
      <w:bookmarkStart w:id="0" w:name="_GoBack"/>
      <w:bookmarkEnd w:id="0"/>
    </w:p>
    <w:p w14:paraId="21A87449"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5681E37E" w14:textId="77777777" w:rsidR="00535593" w:rsidRPr="00D92AA8" w:rsidRDefault="00535593" w:rsidP="00535593">
      <w:pPr>
        <w:rPr>
          <w:b/>
          <w:bCs/>
          <w:color w:val="6F6754"/>
        </w:rPr>
      </w:pPr>
    </w:p>
    <w:p w14:paraId="500143D8" w14:textId="77777777" w:rsidR="00535593" w:rsidRPr="00D92AA8" w:rsidRDefault="00535593" w:rsidP="00535593">
      <w:pPr>
        <w:rPr>
          <w:b/>
          <w:bCs/>
          <w:color w:val="6F6754"/>
        </w:rPr>
      </w:pPr>
    </w:p>
    <w:p w14:paraId="5B94A4F6" w14:textId="77777777" w:rsidR="00535593" w:rsidRPr="00D92AA8" w:rsidRDefault="00535593" w:rsidP="00535593">
      <w:pPr>
        <w:rPr>
          <w:b/>
          <w:bCs/>
          <w:color w:val="6F6754"/>
        </w:rPr>
      </w:pPr>
    </w:p>
    <w:p w14:paraId="708955FE" w14:textId="77777777" w:rsidR="00535593" w:rsidRPr="00D92AA8" w:rsidRDefault="00535593" w:rsidP="00535593">
      <w:pPr>
        <w:rPr>
          <w:b/>
          <w:bCs/>
          <w:color w:val="6F6754"/>
        </w:rPr>
      </w:pPr>
    </w:p>
    <w:p w14:paraId="5FB4EF4D" w14:textId="77777777" w:rsidR="00535593" w:rsidRPr="00D92AA8" w:rsidRDefault="00535593" w:rsidP="00535593">
      <w:pPr>
        <w:rPr>
          <w:b/>
          <w:bCs/>
          <w:color w:val="6F6754"/>
        </w:rPr>
      </w:pPr>
    </w:p>
    <w:p w14:paraId="3B4D4AE5" w14:textId="77777777" w:rsidR="00535593" w:rsidRPr="00D92AA8" w:rsidRDefault="00535593" w:rsidP="00535593">
      <w:pPr>
        <w:rPr>
          <w:b/>
          <w:bCs/>
          <w:color w:val="6F6754"/>
        </w:rPr>
      </w:pPr>
    </w:p>
    <w:p w14:paraId="1F3EF894" w14:textId="77777777" w:rsidR="00535593" w:rsidRPr="00D92AA8" w:rsidRDefault="00535593" w:rsidP="00535593">
      <w:pPr>
        <w:rPr>
          <w:b/>
          <w:bCs/>
          <w:color w:val="6F6754"/>
        </w:rPr>
      </w:pPr>
    </w:p>
    <w:p w14:paraId="4DD300E2" w14:textId="28CA7BFB"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32D5C401"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4DCD3567"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54867E7E" w14:textId="77777777" w:rsidR="00535593" w:rsidRPr="006E11D3" w:rsidRDefault="00535593" w:rsidP="00535593">
      <w:pPr>
        <w:rPr>
          <w:rStyle w:val="CoverText"/>
          <w:color w:val="648C1A" w:themeColor="accent2"/>
        </w:rPr>
      </w:pPr>
      <w:r>
        <w:rPr>
          <w:rStyle w:val="CoverText"/>
          <w:color w:val="648C1A" w:themeColor="accent2"/>
        </w:rPr>
        <w:t>Suite 3320</w:t>
      </w:r>
    </w:p>
    <w:p w14:paraId="46AF8BF4"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5798E3DC" w14:textId="77777777" w:rsidR="00535593" w:rsidRPr="006E11D3" w:rsidRDefault="00535593" w:rsidP="00535593">
      <w:pPr>
        <w:rPr>
          <w:rStyle w:val="CoverText"/>
          <w:color w:val="648C1A" w:themeColor="accent2"/>
        </w:rPr>
      </w:pPr>
    </w:p>
    <w:p w14:paraId="1F6A4F0F" w14:textId="77777777" w:rsidR="00535593" w:rsidRPr="006E11D3" w:rsidRDefault="00535593" w:rsidP="00535593">
      <w:pPr>
        <w:rPr>
          <w:rStyle w:val="CoverText"/>
          <w:color w:val="648C1A" w:themeColor="accent2"/>
        </w:rPr>
      </w:pPr>
    </w:p>
    <w:p w14:paraId="4C67A7A6" w14:textId="77777777" w:rsidR="004F3BD6" w:rsidRPr="00535593" w:rsidRDefault="00535593" w:rsidP="00535593">
      <w:pPr>
        <w:rPr>
          <w:color w:val="648C1A" w:themeColor="accent2"/>
          <w:sz w:val="20"/>
        </w:rPr>
        <w:sectPr w:rsidR="004F3BD6"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Style w:val="CoverText"/>
          <w:color w:val="648C1A" w:themeColor="accent2"/>
        </w:rPr>
        <w:t>navigant.com</w:t>
      </w: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3F9763CC" w14:textId="77777777" w:rsidR="007E78D6" w:rsidRPr="00BC2578" w:rsidRDefault="007E78D6" w:rsidP="002F0570">
          <w:pPr>
            <w:pStyle w:val="TOCHeading"/>
            <w:spacing w:after="360"/>
            <w:rPr>
              <w:szCs w:val="28"/>
            </w:rPr>
          </w:pPr>
          <w:r w:rsidRPr="00BC2578">
            <w:rPr>
              <w:szCs w:val="28"/>
            </w:rPr>
            <w:t>Table of Contents</w:t>
          </w:r>
        </w:p>
        <w:p w14:paraId="417F7E4A" w14:textId="77777777" w:rsidR="00ED44AE"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43652680" w:history="1">
            <w:r w:rsidR="00ED44AE" w:rsidRPr="0057202E">
              <w:rPr>
                <w:rStyle w:val="Hyperlink"/>
                <w:noProof/>
              </w:rPr>
              <w:t>Section I:  Overview of Current Medicaid Payment Methodology</w:t>
            </w:r>
            <w:r w:rsidR="00ED44AE">
              <w:rPr>
                <w:noProof/>
                <w:webHidden/>
              </w:rPr>
              <w:tab/>
            </w:r>
            <w:r w:rsidR="00ED44AE">
              <w:rPr>
                <w:noProof/>
                <w:webHidden/>
              </w:rPr>
              <w:fldChar w:fldCharType="begin"/>
            </w:r>
            <w:r w:rsidR="00ED44AE">
              <w:rPr>
                <w:noProof/>
                <w:webHidden/>
              </w:rPr>
              <w:instrText xml:space="preserve"> PAGEREF _Toc443652680 \h </w:instrText>
            </w:r>
            <w:r w:rsidR="00ED44AE">
              <w:rPr>
                <w:noProof/>
                <w:webHidden/>
              </w:rPr>
            </w:r>
            <w:r w:rsidR="00ED44AE">
              <w:rPr>
                <w:noProof/>
                <w:webHidden/>
              </w:rPr>
              <w:fldChar w:fldCharType="separate"/>
            </w:r>
            <w:r w:rsidR="00616311">
              <w:rPr>
                <w:noProof/>
                <w:webHidden/>
              </w:rPr>
              <w:t>3</w:t>
            </w:r>
            <w:r w:rsidR="00ED44AE">
              <w:rPr>
                <w:noProof/>
                <w:webHidden/>
              </w:rPr>
              <w:fldChar w:fldCharType="end"/>
            </w:r>
          </w:hyperlink>
        </w:p>
        <w:p w14:paraId="531CAB42" w14:textId="77777777" w:rsidR="00ED44AE" w:rsidRDefault="006C268C">
          <w:pPr>
            <w:pStyle w:val="TOC1"/>
            <w:rPr>
              <w:rFonts w:asciiTheme="minorHAnsi" w:eastAsiaTheme="minorEastAsia" w:hAnsiTheme="minorHAnsi"/>
              <w:b w:val="0"/>
              <w:noProof/>
              <w:color w:val="auto"/>
              <w:sz w:val="22"/>
            </w:rPr>
          </w:pPr>
          <w:hyperlink w:anchor="_Toc443652681" w:history="1">
            <w:r w:rsidR="00ED44AE" w:rsidRPr="0057202E">
              <w:rPr>
                <w:rStyle w:val="Hyperlink"/>
                <w:noProof/>
              </w:rPr>
              <w:t>Section II:  Access to Care</w:t>
            </w:r>
            <w:r w:rsidR="00ED44AE">
              <w:rPr>
                <w:noProof/>
                <w:webHidden/>
              </w:rPr>
              <w:tab/>
            </w:r>
            <w:r w:rsidR="00ED44AE">
              <w:rPr>
                <w:noProof/>
                <w:webHidden/>
              </w:rPr>
              <w:fldChar w:fldCharType="begin"/>
            </w:r>
            <w:r w:rsidR="00ED44AE">
              <w:rPr>
                <w:noProof/>
                <w:webHidden/>
              </w:rPr>
              <w:instrText xml:space="preserve"> PAGEREF _Toc443652681 \h </w:instrText>
            </w:r>
            <w:r w:rsidR="00ED44AE">
              <w:rPr>
                <w:noProof/>
                <w:webHidden/>
              </w:rPr>
            </w:r>
            <w:r w:rsidR="00ED44AE">
              <w:rPr>
                <w:noProof/>
                <w:webHidden/>
              </w:rPr>
              <w:fldChar w:fldCharType="separate"/>
            </w:r>
            <w:r w:rsidR="00616311">
              <w:rPr>
                <w:noProof/>
                <w:webHidden/>
              </w:rPr>
              <w:t>4</w:t>
            </w:r>
            <w:r w:rsidR="00ED44AE">
              <w:rPr>
                <w:noProof/>
                <w:webHidden/>
              </w:rPr>
              <w:fldChar w:fldCharType="end"/>
            </w:r>
          </w:hyperlink>
        </w:p>
        <w:p w14:paraId="0DE2DCAB" w14:textId="31673D15" w:rsidR="00ED44AE" w:rsidRDefault="006C268C">
          <w:pPr>
            <w:pStyle w:val="TOC1"/>
            <w:rPr>
              <w:rFonts w:asciiTheme="minorHAnsi" w:eastAsiaTheme="minorEastAsia" w:hAnsiTheme="minorHAnsi"/>
              <w:b w:val="0"/>
              <w:noProof/>
              <w:color w:val="auto"/>
              <w:sz w:val="22"/>
            </w:rPr>
          </w:pPr>
          <w:hyperlink w:anchor="_Toc443652682" w:history="1">
            <w:r w:rsidR="00ED44AE" w:rsidRPr="0057202E">
              <w:rPr>
                <w:rStyle w:val="Hyperlink"/>
                <w:noProof/>
              </w:rPr>
              <w:t>Section III:  Quality</w:t>
            </w:r>
            <w:r w:rsidR="00ED44AE">
              <w:rPr>
                <w:noProof/>
                <w:webHidden/>
              </w:rPr>
              <w:tab/>
            </w:r>
            <w:r w:rsidR="00ED44AE">
              <w:rPr>
                <w:noProof/>
                <w:webHidden/>
              </w:rPr>
              <w:fldChar w:fldCharType="begin"/>
            </w:r>
            <w:r w:rsidR="00ED44AE">
              <w:rPr>
                <w:noProof/>
                <w:webHidden/>
              </w:rPr>
              <w:instrText xml:space="preserve"> PAGEREF _Toc443652682 \h </w:instrText>
            </w:r>
            <w:r w:rsidR="00ED44AE">
              <w:rPr>
                <w:noProof/>
                <w:webHidden/>
              </w:rPr>
            </w:r>
            <w:r w:rsidR="00ED44AE">
              <w:rPr>
                <w:noProof/>
                <w:webHidden/>
              </w:rPr>
              <w:fldChar w:fldCharType="separate"/>
            </w:r>
            <w:r w:rsidR="00616311">
              <w:rPr>
                <w:noProof/>
                <w:webHidden/>
              </w:rPr>
              <w:t>22</w:t>
            </w:r>
            <w:r w:rsidR="00ED44AE">
              <w:rPr>
                <w:noProof/>
                <w:webHidden/>
              </w:rPr>
              <w:fldChar w:fldCharType="end"/>
            </w:r>
          </w:hyperlink>
        </w:p>
        <w:p w14:paraId="53384FDB" w14:textId="609F234C" w:rsidR="00ED44AE" w:rsidRDefault="006C268C">
          <w:pPr>
            <w:pStyle w:val="TOC1"/>
            <w:rPr>
              <w:rFonts w:asciiTheme="minorHAnsi" w:eastAsiaTheme="minorEastAsia" w:hAnsiTheme="minorHAnsi"/>
              <w:b w:val="0"/>
              <w:noProof/>
              <w:color w:val="auto"/>
              <w:sz w:val="22"/>
            </w:rPr>
          </w:pPr>
          <w:hyperlink w:anchor="_Toc443652683" w:history="1">
            <w:r w:rsidR="00ED44AE" w:rsidRPr="0057202E">
              <w:rPr>
                <w:rStyle w:val="Hyperlink"/>
                <w:noProof/>
              </w:rPr>
              <w:t>Section IV: Payment-to-Cost Analysis</w:t>
            </w:r>
            <w:r w:rsidR="00ED44AE">
              <w:rPr>
                <w:noProof/>
                <w:webHidden/>
              </w:rPr>
              <w:tab/>
            </w:r>
            <w:r w:rsidR="00ED44AE">
              <w:rPr>
                <w:noProof/>
                <w:webHidden/>
              </w:rPr>
              <w:fldChar w:fldCharType="begin"/>
            </w:r>
            <w:r w:rsidR="00ED44AE">
              <w:rPr>
                <w:noProof/>
                <w:webHidden/>
              </w:rPr>
              <w:instrText xml:space="preserve"> PAGEREF _Toc443652683 \h </w:instrText>
            </w:r>
            <w:r w:rsidR="00ED44AE">
              <w:rPr>
                <w:noProof/>
                <w:webHidden/>
              </w:rPr>
            </w:r>
            <w:r w:rsidR="00ED44AE">
              <w:rPr>
                <w:noProof/>
                <w:webHidden/>
              </w:rPr>
              <w:fldChar w:fldCharType="separate"/>
            </w:r>
            <w:r w:rsidR="00616311">
              <w:rPr>
                <w:noProof/>
                <w:webHidden/>
              </w:rPr>
              <w:t>29</w:t>
            </w:r>
            <w:r w:rsidR="00ED44AE">
              <w:rPr>
                <w:noProof/>
                <w:webHidden/>
              </w:rPr>
              <w:fldChar w:fldCharType="end"/>
            </w:r>
          </w:hyperlink>
        </w:p>
        <w:p w14:paraId="77C6CFAE" w14:textId="77777777" w:rsidR="00535593" w:rsidRDefault="007E78D6" w:rsidP="00423B1E">
          <w:pPr>
            <w:pStyle w:val="ProposalTOCContent"/>
          </w:pPr>
          <w:r w:rsidRPr="00BC2578">
            <w:rPr>
              <w:b/>
              <w:bCs/>
              <w:noProof/>
              <w:szCs w:val="28"/>
            </w:rPr>
            <w:fldChar w:fldCharType="end"/>
          </w:r>
        </w:p>
      </w:sdtContent>
    </w:sdt>
    <w:p w14:paraId="211A49DD" w14:textId="77777777" w:rsidR="00535593" w:rsidRDefault="00535593" w:rsidP="00535593"/>
    <w:p w14:paraId="08905C4F" w14:textId="77777777" w:rsidR="00535593" w:rsidRDefault="00535593" w:rsidP="00535593">
      <w:pPr>
        <w:tabs>
          <w:tab w:val="left" w:pos="2925"/>
        </w:tabs>
      </w:pPr>
      <w:r>
        <w:tab/>
      </w:r>
    </w:p>
    <w:p w14:paraId="2531FEF2" w14:textId="77777777" w:rsidR="001D03A8" w:rsidRPr="001D03A8" w:rsidRDefault="001D03A8" w:rsidP="001D03A8">
      <w:pPr>
        <w:spacing w:before="0" w:after="0"/>
        <w:rPr>
          <w:b/>
          <w:sz w:val="24"/>
        </w:rPr>
      </w:pPr>
      <w:r w:rsidRPr="001D03A8">
        <w:rPr>
          <w:b/>
          <w:sz w:val="24"/>
        </w:rPr>
        <w:t xml:space="preserve">APPENDICES: </w:t>
      </w:r>
    </w:p>
    <w:p w14:paraId="0A0E3EE4" w14:textId="77777777" w:rsidR="001D03A8" w:rsidRPr="001D03A8" w:rsidRDefault="001D03A8" w:rsidP="001D03A8">
      <w:pPr>
        <w:spacing w:before="0" w:after="0"/>
        <w:rPr>
          <w:b/>
          <w:sz w:val="24"/>
        </w:rPr>
      </w:pPr>
    </w:p>
    <w:p w14:paraId="5F8F7469" w14:textId="77777777" w:rsidR="001D03A8" w:rsidRPr="001D03A8" w:rsidRDefault="001D03A8" w:rsidP="001D03A8">
      <w:pPr>
        <w:spacing w:before="0" w:after="0"/>
        <w:rPr>
          <w:b/>
          <w:sz w:val="24"/>
        </w:rPr>
      </w:pPr>
      <w:r w:rsidRPr="001D03A8">
        <w:rPr>
          <w:b/>
          <w:sz w:val="24"/>
        </w:rPr>
        <w:t>APPENDIX A: Overview Of Medicaid Rate Setting For Nursing Facilities In Washington SFY 2017</w:t>
      </w:r>
    </w:p>
    <w:p w14:paraId="1D71DA35" w14:textId="77777777" w:rsidR="001D03A8" w:rsidRPr="001D03A8" w:rsidRDefault="001D03A8" w:rsidP="001D03A8">
      <w:pPr>
        <w:spacing w:before="0" w:after="0"/>
        <w:rPr>
          <w:b/>
          <w:sz w:val="24"/>
        </w:rPr>
      </w:pPr>
    </w:p>
    <w:p w14:paraId="33CCD29C" w14:textId="3D0A2A1E" w:rsidR="001D03A8" w:rsidRDefault="001D03A8" w:rsidP="001D03A8">
      <w:pPr>
        <w:spacing w:before="0" w:after="0"/>
        <w:rPr>
          <w:b/>
          <w:sz w:val="24"/>
        </w:rPr>
      </w:pPr>
      <w:r w:rsidRPr="001D03A8">
        <w:rPr>
          <w:b/>
          <w:sz w:val="24"/>
        </w:rPr>
        <w:t>APPENDIX B: House Bill</w:t>
      </w:r>
      <w:r w:rsidR="00C66A7C">
        <w:rPr>
          <w:b/>
          <w:sz w:val="24"/>
        </w:rPr>
        <w:t xml:space="preserve"> 2678</w:t>
      </w:r>
    </w:p>
    <w:p w14:paraId="53B87CB8" w14:textId="77777777" w:rsidR="001D03A8" w:rsidRPr="001D03A8" w:rsidRDefault="001D03A8" w:rsidP="001D03A8">
      <w:pPr>
        <w:spacing w:before="0" w:after="0"/>
        <w:rPr>
          <w:b/>
          <w:sz w:val="24"/>
        </w:rPr>
      </w:pPr>
    </w:p>
    <w:p w14:paraId="679574B6" w14:textId="49FE9DBC" w:rsidR="00535593" w:rsidRDefault="001D03A8" w:rsidP="001D03A8">
      <w:pPr>
        <w:spacing w:before="0" w:after="0"/>
        <w:rPr>
          <w:b/>
          <w:sz w:val="24"/>
        </w:rPr>
      </w:pPr>
      <w:r w:rsidRPr="001D03A8">
        <w:rPr>
          <w:b/>
          <w:sz w:val="24"/>
        </w:rPr>
        <w:t xml:space="preserve">APPENDIX </w:t>
      </w:r>
      <w:r w:rsidR="00D97E2C">
        <w:rPr>
          <w:b/>
          <w:sz w:val="24"/>
        </w:rPr>
        <w:t>C</w:t>
      </w:r>
      <w:r w:rsidRPr="001D03A8">
        <w:rPr>
          <w:b/>
          <w:sz w:val="24"/>
        </w:rPr>
        <w:t>: Summary And Detail Of Payment-To-Cost By Quartile – SFY 201</w:t>
      </w:r>
      <w:r w:rsidR="005E6B7E">
        <w:rPr>
          <w:b/>
          <w:sz w:val="24"/>
        </w:rPr>
        <w:t>8</w:t>
      </w:r>
    </w:p>
    <w:p w14:paraId="73A93A82" w14:textId="77777777" w:rsidR="005E6B7E" w:rsidRDefault="005E6B7E" w:rsidP="001D03A8">
      <w:pPr>
        <w:spacing w:before="0" w:after="0"/>
        <w:rPr>
          <w:b/>
          <w:sz w:val="24"/>
        </w:rPr>
      </w:pPr>
    </w:p>
    <w:p w14:paraId="3E367DB2" w14:textId="25E0AC38" w:rsidR="005E6B7E" w:rsidRPr="001D03A8" w:rsidRDefault="005E6B7E" w:rsidP="001D03A8">
      <w:pPr>
        <w:spacing w:before="0" w:after="0"/>
        <w:rPr>
          <w:b/>
        </w:rPr>
      </w:pPr>
      <w:r>
        <w:rPr>
          <w:b/>
          <w:sz w:val="24"/>
        </w:rPr>
        <w:t xml:space="preserve">APPENDIX D: Summary and Detail Of Payment-To-Cost by Quartile – SFY 2019 </w:t>
      </w:r>
    </w:p>
    <w:p w14:paraId="6BAB4A19" w14:textId="77777777" w:rsidR="00535593" w:rsidRDefault="00535593" w:rsidP="00535593"/>
    <w:p w14:paraId="25469513" w14:textId="77777777" w:rsidR="00535593" w:rsidRPr="00535593" w:rsidRDefault="00535593" w:rsidP="00535593"/>
    <w:p w14:paraId="1FD1B446" w14:textId="77777777" w:rsidR="00535593" w:rsidRPr="00535593" w:rsidRDefault="00535593" w:rsidP="00535593"/>
    <w:p w14:paraId="4AFDA803" w14:textId="77777777" w:rsidR="00535593" w:rsidRPr="00535593" w:rsidRDefault="00535593" w:rsidP="00535593"/>
    <w:p w14:paraId="002358FB" w14:textId="77777777" w:rsidR="00535593" w:rsidRPr="00535593" w:rsidRDefault="00535593" w:rsidP="00535593"/>
    <w:p w14:paraId="67193926" w14:textId="77777777" w:rsidR="00535593" w:rsidRPr="00535593" w:rsidRDefault="00535593" w:rsidP="00535593"/>
    <w:p w14:paraId="4DB247D6" w14:textId="77777777" w:rsidR="00535593" w:rsidRPr="00535593" w:rsidRDefault="00535593" w:rsidP="00535593"/>
    <w:p w14:paraId="4B7ACD95" w14:textId="77777777" w:rsidR="00535593" w:rsidRPr="00535593" w:rsidRDefault="00535593" w:rsidP="00535593"/>
    <w:p w14:paraId="412DBC19" w14:textId="77777777" w:rsidR="00535593" w:rsidRDefault="00535593" w:rsidP="00535593">
      <w:pPr>
        <w:tabs>
          <w:tab w:val="left" w:pos="4125"/>
        </w:tabs>
      </w:pPr>
      <w:r>
        <w:tab/>
      </w:r>
    </w:p>
    <w:p w14:paraId="1295E54C" w14:textId="77777777" w:rsidR="00535593" w:rsidRDefault="00535593" w:rsidP="00535593">
      <w:pPr>
        <w:tabs>
          <w:tab w:val="left" w:pos="4125"/>
        </w:tabs>
      </w:pPr>
    </w:p>
    <w:p w14:paraId="1B8A62C3" w14:textId="77777777" w:rsidR="00535593" w:rsidRDefault="00535593" w:rsidP="00535593">
      <w:pPr>
        <w:tabs>
          <w:tab w:val="left" w:pos="4125"/>
        </w:tabs>
      </w:pPr>
    </w:p>
    <w:p w14:paraId="26FB97A0" w14:textId="77777777" w:rsidR="00535593" w:rsidRDefault="00535593" w:rsidP="00535593">
      <w:pPr>
        <w:tabs>
          <w:tab w:val="left" w:pos="4125"/>
        </w:tabs>
      </w:pPr>
    </w:p>
    <w:p w14:paraId="1CF4A53A" w14:textId="77777777" w:rsidR="00535593" w:rsidRDefault="00535593" w:rsidP="00535593">
      <w:pPr>
        <w:tabs>
          <w:tab w:val="left" w:pos="4125"/>
        </w:tabs>
      </w:pPr>
    </w:p>
    <w:p w14:paraId="23927082" w14:textId="77777777" w:rsidR="00EF3028" w:rsidRDefault="00EF3028" w:rsidP="00535593">
      <w:pPr>
        <w:tabs>
          <w:tab w:val="left" w:pos="4125"/>
        </w:tabs>
      </w:pPr>
    </w:p>
    <w:p w14:paraId="57C96BE3" w14:textId="77777777" w:rsidR="00EF3028" w:rsidRDefault="00EF3028" w:rsidP="00535593">
      <w:pPr>
        <w:tabs>
          <w:tab w:val="left" w:pos="4125"/>
        </w:tabs>
      </w:pPr>
    </w:p>
    <w:p w14:paraId="373BA0DC" w14:textId="77777777" w:rsidR="005E6B7E" w:rsidRDefault="005E6B7E" w:rsidP="00535593">
      <w:pPr>
        <w:tabs>
          <w:tab w:val="left" w:pos="4125"/>
        </w:tabs>
      </w:pPr>
    </w:p>
    <w:p w14:paraId="2C79E424" w14:textId="77777777" w:rsidR="00535593" w:rsidRDefault="00535593" w:rsidP="00535593">
      <w:pPr>
        <w:tabs>
          <w:tab w:val="left" w:pos="4125"/>
        </w:tabs>
        <w:rPr>
          <w:b/>
          <w:sz w:val="28"/>
          <w:szCs w:val="28"/>
        </w:rPr>
      </w:pPr>
      <w:r>
        <w:rPr>
          <w:b/>
          <w:sz w:val="28"/>
          <w:szCs w:val="28"/>
        </w:rPr>
        <w:lastRenderedPageBreak/>
        <w:t>Introduction</w:t>
      </w:r>
    </w:p>
    <w:p w14:paraId="5B320940" w14:textId="77777777" w:rsidR="00535593" w:rsidRDefault="00535593" w:rsidP="00B42F2B">
      <w:pPr>
        <w:tabs>
          <w:tab w:val="left" w:pos="4125"/>
        </w:tabs>
        <w:spacing w:before="0" w:after="0"/>
        <w:rPr>
          <w:b/>
          <w:sz w:val="28"/>
          <w:szCs w:val="28"/>
        </w:rPr>
      </w:pPr>
    </w:p>
    <w:p w14:paraId="2999C3BA" w14:textId="77777777" w:rsidR="00B42F2B" w:rsidRDefault="00535593" w:rsidP="00B42F2B">
      <w:pPr>
        <w:tabs>
          <w:tab w:val="left" w:pos="4125"/>
        </w:tabs>
        <w:spacing w:before="0" w:after="0"/>
      </w:pPr>
      <w:r w:rsidRPr="00535593">
        <w:t>Navigant Consulting, Inc. was engaged by the Washington State Department of Social and Health Services (DSHS), also referred to as “the Department”, to conduct an analysis of the current Medicaid payment methodology and rates paid for nursing facility services relative to the efficiency, accessibility and the quality of care standards established under Federal requirements.  The Federal requirements that apply to the methods states employ to pay for Medicaid services, which are described in U.S.C. § 1396a (a)(30)(A), specify that a 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and to assure that payments are consistent with efficiency, economy, and quality of care and are sufficient to enlist enough providers so that care and services are available under the plan at least to the extent that such care and services are available to the general popul</w:t>
      </w:r>
      <w:r w:rsidR="00B42F2B">
        <w:t xml:space="preserve">ation in the geographic area.  </w:t>
      </w:r>
    </w:p>
    <w:p w14:paraId="0AF68A7E" w14:textId="77777777" w:rsidR="00B42F2B" w:rsidRPr="00535593" w:rsidRDefault="00B42F2B" w:rsidP="00B42F2B">
      <w:pPr>
        <w:tabs>
          <w:tab w:val="left" w:pos="4125"/>
        </w:tabs>
        <w:spacing w:before="0" w:after="0"/>
      </w:pPr>
    </w:p>
    <w:p w14:paraId="2F2BC809" w14:textId="5124763C" w:rsidR="00535593" w:rsidRDefault="00535593" w:rsidP="00B42F2B">
      <w:pPr>
        <w:tabs>
          <w:tab w:val="left" w:pos="4125"/>
        </w:tabs>
        <w:spacing w:before="0" w:after="0"/>
        <w:rPr>
          <w:sz w:val="28"/>
          <w:szCs w:val="28"/>
        </w:rPr>
      </w:pPr>
      <w:r w:rsidRPr="00535593">
        <w:t>As such, our analysis focused on an evaluation of the current Washington Medicaid payment methodology and related rates for nursing facilities relative to consistency with efficiency and economy, and access to care and quality of care in Washington State.</w:t>
      </w:r>
      <w:r w:rsidR="00B51CFE">
        <w:t xml:space="preserve">  The rates analyzed in this report are for State Fiscal Years (SFYs) 2018 and 2019. </w:t>
      </w:r>
    </w:p>
    <w:p w14:paraId="3DA5C6F4" w14:textId="35DA4B1D" w:rsidR="00162203" w:rsidRDefault="008E1BBE" w:rsidP="002F0570">
      <w:pPr>
        <w:pStyle w:val="Heading1"/>
        <w:tabs>
          <w:tab w:val="left" w:pos="2160"/>
        </w:tabs>
        <w:spacing w:before="360"/>
      </w:pPr>
      <w:bookmarkStart w:id="1" w:name="_Toc443652680"/>
      <w:r>
        <w:t>Section I</w:t>
      </w:r>
      <w:r w:rsidR="008B33DD">
        <w:t xml:space="preserve">:  </w:t>
      </w:r>
      <w:r w:rsidR="00535593">
        <w:t xml:space="preserve">Overview of Current Medicaid </w:t>
      </w:r>
      <w:r w:rsidR="00535593" w:rsidRPr="00535593">
        <w:t>Payment Methodology</w:t>
      </w:r>
      <w:bookmarkEnd w:id="1"/>
    </w:p>
    <w:p w14:paraId="1BCE55A3" w14:textId="77777777" w:rsidR="00535593" w:rsidRDefault="00535593" w:rsidP="00B42F2B">
      <w:pPr>
        <w:pStyle w:val="ProposalBody"/>
        <w:spacing w:before="0" w:after="0" w:line="240" w:lineRule="auto"/>
      </w:pPr>
      <w:r>
        <w:t xml:space="preserve">This section describes the current Medicaid payment methodology for nursing facilities in Washington.  This description is intended to provide a high level overview of how payment rates are set for Medicaid residents in nursing facilities.  Medicaid rates are facility-specific in Washington and are related to the Medicaid costs of providing services, occupancy levels and the resource needs of individual residents.  </w:t>
      </w:r>
    </w:p>
    <w:p w14:paraId="55B7FD45" w14:textId="77777777" w:rsidR="00535593" w:rsidRDefault="00535593" w:rsidP="00B42F2B">
      <w:pPr>
        <w:pStyle w:val="ProposalBody"/>
        <w:spacing w:before="0" w:after="0" w:line="240" w:lineRule="auto"/>
      </w:pPr>
    </w:p>
    <w:p w14:paraId="0E7C1C9B" w14:textId="77777777" w:rsidR="00535593" w:rsidRPr="00B42F2B" w:rsidRDefault="00535593" w:rsidP="00B42F2B">
      <w:pPr>
        <w:pStyle w:val="ProposalBody"/>
        <w:spacing w:before="0" w:after="0" w:line="240" w:lineRule="auto"/>
        <w:rPr>
          <w:b/>
        </w:rPr>
      </w:pPr>
      <w:r w:rsidRPr="00B42F2B">
        <w:rPr>
          <w:b/>
        </w:rPr>
        <w:t>Current Methodology</w:t>
      </w:r>
    </w:p>
    <w:p w14:paraId="4A62264C" w14:textId="77777777" w:rsidR="00535593" w:rsidRDefault="00535593" w:rsidP="00B42F2B">
      <w:pPr>
        <w:pStyle w:val="ProposalBody"/>
        <w:spacing w:before="0" w:after="0" w:line="240" w:lineRule="auto"/>
      </w:pPr>
    </w:p>
    <w:p w14:paraId="32641018" w14:textId="5B8BF693" w:rsidR="00535593" w:rsidRDefault="00535593" w:rsidP="00B42F2B">
      <w:pPr>
        <w:pStyle w:val="ProposalBody"/>
        <w:spacing w:before="0" w:after="0" w:line="240" w:lineRule="auto"/>
      </w:pPr>
      <w:r>
        <w:t xml:space="preserve">In 2015, the Department proposed a significantly simplified reimbursement rate structure for nursing facilities for rates effective SFY 2017, and the simplified reimbursement rate structure was </w:t>
      </w:r>
      <w:r w:rsidR="00682DDD">
        <w:t xml:space="preserve">approved </w:t>
      </w:r>
      <w:r>
        <w:t xml:space="preserve">by Legislature through House Bill </w:t>
      </w:r>
      <w:r w:rsidR="0008703A">
        <w:t>2678</w:t>
      </w:r>
      <w:r w:rsidR="00682DDD">
        <w:t>.</w:t>
      </w:r>
      <w:r>
        <w:t xml:space="preserve">  This new reimbursement methodology, effective July 1, 201</w:t>
      </w:r>
      <w:r w:rsidR="0044559A">
        <w:t>6</w:t>
      </w:r>
      <w:r>
        <w:t xml:space="preserve">, is </w:t>
      </w:r>
      <w:r w:rsidR="00682DDD">
        <w:t xml:space="preserve">a price and measured payment structure </w:t>
      </w:r>
      <w:r>
        <w:t xml:space="preserve">with </w:t>
      </w:r>
      <w:r w:rsidR="00682DDD">
        <w:t xml:space="preserve">four </w:t>
      </w:r>
      <w:r>
        <w:t>components: direct care, indirect care, cap</w:t>
      </w:r>
      <w:r w:rsidR="00B42F2B">
        <w:t>ital</w:t>
      </w:r>
      <w:r w:rsidR="00682DDD">
        <w:t>, and quality-enhancement measures</w:t>
      </w:r>
      <w:r w:rsidR="00B42F2B">
        <w:t xml:space="preserve">.  </w:t>
      </w:r>
    </w:p>
    <w:p w14:paraId="43CA446E" w14:textId="77777777" w:rsidR="008819B2" w:rsidRDefault="008819B2" w:rsidP="00B42F2B">
      <w:pPr>
        <w:pStyle w:val="ProposalBody"/>
        <w:spacing w:before="0" w:after="0" w:line="240" w:lineRule="auto"/>
      </w:pPr>
    </w:p>
    <w:p w14:paraId="41B01663" w14:textId="410B5EEA" w:rsidR="00535593" w:rsidRDefault="00535593" w:rsidP="00B42F2B">
      <w:pPr>
        <w:pStyle w:val="ProposalBody"/>
        <w:spacing w:before="0" w:after="0" w:line="240" w:lineRule="auto"/>
      </w:pPr>
      <w:r>
        <w:t xml:space="preserve">The direct care component reflects costs associated with direct </w:t>
      </w:r>
      <w:r w:rsidR="00C2694C">
        <w:t xml:space="preserve">nursing </w:t>
      </w:r>
      <w:r>
        <w:t xml:space="preserve">care, therapy care, food, laundry, and dietary services.  This component is set at the </w:t>
      </w:r>
      <w:r w:rsidR="00C82C6E">
        <w:t>statewide</w:t>
      </w:r>
      <w:r>
        <w:t xml:space="preserve"> median costs based on calendar year 2014 cost report data and will be adjusted e</w:t>
      </w:r>
      <w:r w:rsidR="004E20EF">
        <w:t>very six months to reflect case-</w:t>
      </w:r>
      <w:r>
        <w:t xml:space="preserve">mix, and will subsequently be rebased every two years.  The direct care component is also adjusted regionally </w:t>
      </w:r>
      <w:r w:rsidR="00C00BC8">
        <w:t>based on county wage index data published by the Bureau of Labor Statistics (BLS).</w:t>
      </w:r>
    </w:p>
    <w:p w14:paraId="1B57B96C" w14:textId="77777777" w:rsidR="008819B2" w:rsidRDefault="008819B2" w:rsidP="00B42F2B">
      <w:pPr>
        <w:pStyle w:val="ProposalBody"/>
        <w:spacing w:before="0" w:after="0" w:line="240" w:lineRule="auto"/>
      </w:pPr>
    </w:p>
    <w:p w14:paraId="0F711577" w14:textId="52A8896C" w:rsidR="00535593" w:rsidRDefault="00535593" w:rsidP="00B42F2B">
      <w:pPr>
        <w:pStyle w:val="ProposalBody"/>
        <w:spacing w:before="0" w:after="0" w:line="240" w:lineRule="auto"/>
      </w:pPr>
      <w:r>
        <w:t xml:space="preserve">Under the new reimbursement methodology, the direct care component of the rate will be subject to a settlement process.  However, it should be noted that the Legislature will review the value of the settlement under the new payment methodology and may discontinue this process after the 2017 to 2019 fiscal biennium. </w:t>
      </w:r>
    </w:p>
    <w:p w14:paraId="005136AC" w14:textId="77777777" w:rsidR="00535593" w:rsidRDefault="00535593" w:rsidP="00B42F2B">
      <w:pPr>
        <w:pStyle w:val="ProposalBody"/>
        <w:spacing w:before="0" w:after="0" w:line="240" w:lineRule="auto"/>
      </w:pPr>
    </w:p>
    <w:p w14:paraId="46AB200D" w14:textId="4268A2C4" w:rsidR="00535593" w:rsidRDefault="00535593" w:rsidP="00B42F2B">
      <w:pPr>
        <w:pStyle w:val="ProposalBody"/>
        <w:spacing w:before="0" w:after="0" w:line="240" w:lineRule="auto"/>
      </w:pPr>
      <w:r>
        <w:t xml:space="preserve">The indirect component of the rate reflects costs associated with administrative, maintenance, </w:t>
      </w:r>
      <w:r>
        <w:lastRenderedPageBreak/>
        <w:t xml:space="preserve">and housekeeping services.  The indirect rate component is set at 90 percent of the </w:t>
      </w:r>
      <w:r w:rsidR="00C82C6E">
        <w:t>statewide</w:t>
      </w:r>
      <w:r>
        <w:t xml:space="preserve"> median costs based on calendar year 2014 cost report data and a minimum occupancy assumption of 90 percent </w:t>
      </w:r>
      <w:r w:rsidR="00ED44AE">
        <w:t xml:space="preserve">is applied.  </w:t>
      </w:r>
      <w:r w:rsidR="00ED44AE" w:rsidRPr="00ED44AE">
        <w:t>As with the direct care rate component, the indirect component will be rebased every two years.</w:t>
      </w:r>
    </w:p>
    <w:p w14:paraId="2DF97C13" w14:textId="77777777" w:rsidR="00535593" w:rsidRDefault="00535593" w:rsidP="00B42F2B">
      <w:pPr>
        <w:pStyle w:val="ProposalBody"/>
        <w:spacing w:before="0" w:after="0" w:line="240" w:lineRule="auto"/>
      </w:pPr>
    </w:p>
    <w:p w14:paraId="5719B599" w14:textId="43538A3E" w:rsidR="00535593" w:rsidRDefault="00535593" w:rsidP="00B42F2B">
      <w:pPr>
        <w:pStyle w:val="ProposalBody"/>
        <w:spacing w:before="0" w:after="0" w:line="240" w:lineRule="auto"/>
      </w:pPr>
      <w:r>
        <w:t>The capital component is based on a fair market rental system.  Under this system, a fair market price per bed is established that is adjusted for the age of the facility</w:t>
      </w:r>
      <w:r w:rsidR="00C2694C">
        <w:t xml:space="preserve">, and providers are then paid an amount that represents the rental value of the property.  In this case, the rental rate is </w:t>
      </w:r>
      <w:r w:rsidR="00740698">
        <w:t>7.5</w:t>
      </w:r>
      <w:r w:rsidR="00C2694C">
        <w:t>%</w:t>
      </w:r>
      <w:r>
        <w:t xml:space="preserve">.  The capital component is also adjusted for occupancy and assumes a minimum occupancy of 90 percent.  </w:t>
      </w:r>
    </w:p>
    <w:p w14:paraId="1058A07A" w14:textId="77777777" w:rsidR="00535593" w:rsidRDefault="00535593" w:rsidP="00B42F2B">
      <w:pPr>
        <w:pStyle w:val="ProposalBody"/>
        <w:spacing w:before="0" w:after="0" w:line="240" w:lineRule="auto"/>
      </w:pPr>
    </w:p>
    <w:p w14:paraId="33111F65" w14:textId="35F7F85C" w:rsidR="00535593" w:rsidRDefault="00535593" w:rsidP="00B42F2B">
      <w:pPr>
        <w:pStyle w:val="ProposalBody"/>
        <w:spacing w:before="0" w:after="0" w:line="240" w:lineRule="auto"/>
      </w:pPr>
      <w:r>
        <w:t xml:space="preserve">In addition to the rate components described above, a quality rate enhancement will be added for facilities that meet or exceed performance standards beginning on July 1, 2016.  More specifically, a quality standard, tied </w:t>
      </w:r>
      <w:r w:rsidR="00C2694C">
        <w:t xml:space="preserve">to </w:t>
      </w:r>
      <w:r>
        <w:t>performance based on the Federal 5-Star Quality Rating System, will be established.  Facilities will qualify for a rate enhancement</w:t>
      </w:r>
      <w:r w:rsidR="00B87748">
        <w:t xml:space="preserve"> based on how the facility scores </w:t>
      </w:r>
      <w:r w:rsidR="00C2694C">
        <w:t xml:space="preserve">based </w:t>
      </w:r>
      <w:r w:rsidR="00B87748">
        <w:t>on a set of specific quality measures.</w:t>
      </w:r>
      <w:r w:rsidR="0044215A">
        <w:t xml:space="preserve">  Facilities will then be assigned to </w:t>
      </w:r>
      <w:r w:rsidR="0099135B">
        <w:t>t</w:t>
      </w:r>
      <w:r w:rsidR="0044215A">
        <w:t xml:space="preserve">iers based on how many points they score in the identified quality measures.  The quality incentive </w:t>
      </w:r>
      <w:r w:rsidR="00C2694C">
        <w:t xml:space="preserve">payment </w:t>
      </w:r>
      <w:r w:rsidR="0044215A">
        <w:t xml:space="preserve">received by a facility will be determined based on the </w:t>
      </w:r>
      <w:r w:rsidR="0099135B">
        <w:t>t</w:t>
      </w:r>
      <w:r w:rsidR="0044215A">
        <w:t>ier the facility assigned to.</w:t>
      </w:r>
      <w:r>
        <w:t xml:space="preserve">  The quality enhancement must be no</w:t>
      </w:r>
      <w:r w:rsidR="00BC3867">
        <w:t xml:space="preserve"> less than one percent and no</w:t>
      </w:r>
      <w:r>
        <w:t xml:space="preserve"> larger than five percent of the statewide average daily rate reimbursed to facilities that meet or exceed the standard for receiving a quality incentive.</w:t>
      </w:r>
      <w:r w:rsidR="0044215A">
        <w:t xml:space="preserve">  This quality incentive will be adjusted semiannually on July 1 and January 1 of each year. </w:t>
      </w:r>
      <w:r>
        <w:t xml:space="preserve"> </w:t>
      </w:r>
    </w:p>
    <w:p w14:paraId="32EE2C93" w14:textId="77777777" w:rsidR="00535593" w:rsidRDefault="00535593" w:rsidP="00B42F2B">
      <w:pPr>
        <w:pStyle w:val="ProposalBody"/>
        <w:spacing w:before="0" w:after="0" w:line="240" w:lineRule="auto"/>
      </w:pPr>
    </w:p>
    <w:p w14:paraId="7630D6CB" w14:textId="055C16DB" w:rsidR="00A448C5" w:rsidRDefault="00535593" w:rsidP="00B42F2B">
      <w:pPr>
        <w:pStyle w:val="ProposalBody"/>
        <w:spacing w:before="0" w:after="0" w:line="240" w:lineRule="auto"/>
      </w:pPr>
      <w:r>
        <w:t>For more information on how the estimated SFY 201</w:t>
      </w:r>
      <w:r w:rsidR="007B5CDF">
        <w:t>8</w:t>
      </w:r>
      <w:r>
        <w:t xml:space="preserve"> </w:t>
      </w:r>
      <w:r w:rsidR="007B5CDF">
        <w:t xml:space="preserve">and SFY 2019 </w:t>
      </w:r>
      <w:r>
        <w:t>rates were calculated by DSHS for the purposes of this report, please refer to Appendix A</w:t>
      </w:r>
      <w:r w:rsidR="00D97E2C">
        <w:t xml:space="preserve"> and</w:t>
      </w:r>
      <w:r>
        <w:t xml:space="preserve"> B. </w:t>
      </w:r>
    </w:p>
    <w:p w14:paraId="4AAD3051" w14:textId="77777777" w:rsidR="008819B2" w:rsidRDefault="008819B2" w:rsidP="00B42F2B">
      <w:pPr>
        <w:pStyle w:val="ProposalBody"/>
        <w:spacing w:before="0" w:after="0" w:line="240" w:lineRule="auto"/>
      </w:pPr>
    </w:p>
    <w:p w14:paraId="6042B941" w14:textId="0F43A2BB" w:rsidR="002D6009" w:rsidRPr="008B33DD" w:rsidRDefault="002D6009" w:rsidP="000E3949">
      <w:pPr>
        <w:tabs>
          <w:tab w:val="left" w:pos="2579"/>
        </w:tabs>
      </w:pPr>
      <w:r w:rsidRPr="002D6009">
        <w:rPr>
          <w:u w:val="single"/>
        </w:rPr>
        <w:t>Budget Dial</w:t>
      </w:r>
    </w:p>
    <w:p w14:paraId="7AC9E0C1" w14:textId="77777777" w:rsidR="002D6009" w:rsidRDefault="002D6009" w:rsidP="002D6009">
      <w:pPr>
        <w:pStyle w:val="ProposalBody"/>
        <w:spacing w:before="0" w:after="0" w:line="240" w:lineRule="auto"/>
      </w:pPr>
    </w:p>
    <w:p w14:paraId="2DC04CC4" w14:textId="5320D527" w:rsidR="002D6009" w:rsidRDefault="002D6009" w:rsidP="002D6009">
      <w:pPr>
        <w:pStyle w:val="ProposalBody"/>
        <w:spacing w:before="0" w:after="0" w:line="240" w:lineRule="auto"/>
      </w:pPr>
      <w:r>
        <w:t xml:space="preserve">Over and above all the rate setting methodologies provided in both the statutes and regulations, there is the budget dial imposed by RCW 74.46.421.  In the biennial appropriations act, the Legislature sets a statewide weighted average maximum nursing facility payment rate for each state fiscal year.  By statute, DSHS is required to </w:t>
      </w:r>
      <w:r w:rsidR="00662BC6">
        <w:t xml:space="preserve">adjust </w:t>
      </w:r>
      <w:r>
        <w:t>rates for all Medicaid participating nursing facilities statewide by a uniform percentage, after notice and on a prospective basis only, if the statewide average facility total rate approaches these limits.  The budget dial ensures that total Medicaid nursing facility spending does not exceed the amount appropriated by the Legislature.  The state’s operating budget set the budget dial</w:t>
      </w:r>
      <w:r w:rsidR="00930524">
        <w:t xml:space="preserve"> rate for SFY 201</w:t>
      </w:r>
      <w:r w:rsidR="00165C52">
        <w:t>8</w:t>
      </w:r>
      <w:r w:rsidR="00930524">
        <w:t xml:space="preserve"> at $19</w:t>
      </w:r>
      <w:r w:rsidR="00165C52">
        <w:t>7.08 and at $204.94 for SFY 2019</w:t>
      </w:r>
      <w:r w:rsidR="00930524">
        <w:t>.</w:t>
      </w:r>
    </w:p>
    <w:p w14:paraId="454DD066" w14:textId="62EF340A" w:rsidR="00C453C4" w:rsidRPr="007F314F" w:rsidRDefault="00C453C4" w:rsidP="002F0570">
      <w:pPr>
        <w:pStyle w:val="Heading1"/>
        <w:tabs>
          <w:tab w:val="left" w:pos="2160"/>
        </w:tabs>
        <w:spacing w:before="360"/>
      </w:pPr>
      <w:bookmarkStart w:id="2" w:name="_Toc443652681"/>
      <w:r>
        <w:t>Section II</w:t>
      </w:r>
      <w:r w:rsidR="008B33DD">
        <w:t xml:space="preserve">:  </w:t>
      </w:r>
      <w:r w:rsidR="00B42F2B">
        <w:t>Access to Care</w:t>
      </w:r>
      <w:bookmarkEnd w:id="2"/>
    </w:p>
    <w:p w14:paraId="5540A0AF" w14:textId="77777777" w:rsidR="00B42F2B" w:rsidRPr="00B42F2B" w:rsidRDefault="00B42F2B" w:rsidP="00B42F2B">
      <w:pPr>
        <w:spacing w:before="0" w:after="0"/>
        <w:rPr>
          <w:rFonts w:cs="Arial"/>
        </w:rPr>
      </w:pPr>
      <w:r w:rsidRPr="00B42F2B">
        <w:rPr>
          <w:rFonts w:cs="Arial"/>
        </w:rPr>
        <w:t xml:space="preserve">In this section, we analyze the availability of nursing facility beds in Washington as a way to determine if barriers to access exist for Medicaid eligibles requiring nursing facility care.  We analyze access to care primarily using two measures:  nursing facility occupancy rates and the number of per capita nursing facility beds for the aged population.  We analyze these metrics looking at trends over time, and in comparison to other states.  </w:t>
      </w:r>
    </w:p>
    <w:p w14:paraId="2B614C4A" w14:textId="77777777" w:rsidR="00B42F2B" w:rsidRPr="00B42F2B" w:rsidRDefault="00B42F2B" w:rsidP="00B42F2B">
      <w:pPr>
        <w:spacing w:before="0" w:after="0"/>
        <w:rPr>
          <w:rFonts w:cs="Arial"/>
        </w:rPr>
      </w:pPr>
    </w:p>
    <w:p w14:paraId="4EB8903E" w14:textId="77777777" w:rsidR="00B42F2B" w:rsidRDefault="00B42F2B" w:rsidP="00B42F2B">
      <w:pPr>
        <w:spacing w:before="0" w:after="0"/>
        <w:rPr>
          <w:rFonts w:cs="Arial"/>
        </w:rPr>
      </w:pPr>
      <w:r w:rsidRPr="00B42F2B">
        <w:rPr>
          <w:rFonts w:cs="Arial"/>
        </w:rPr>
        <w:t xml:space="preserve">The analysis will suggest whether the current Medicaid payment methodology has resulted in access concerns for Medicaid beneficiaries and for Washington residents in general.  The analysis will also suggest whether there are sufficient numbers of nursing facilities willing to </w:t>
      </w:r>
      <w:r w:rsidRPr="00B42F2B">
        <w:rPr>
          <w:rFonts w:cs="Arial"/>
        </w:rPr>
        <w:lastRenderedPageBreak/>
        <w:t>provide services at the rates Washington pays to assure that Medicaid beneficiaries</w:t>
      </w:r>
      <w:r w:rsidR="001D03A8">
        <w:rPr>
          <w:rFonts w:cs="Arial"/>
        </w:rPr>
        <w:t xml:space="preserve"> have access to care. </w:t>
      </w:r>
    </w:p>
    <w:p w14:paraId="198280CE" w14:textId="77777777" w:rsidR="00B42F2B" w:rsidRDefault="00B42F2B" w:rsidP="00B42F2B">
      <w:pPr>
        <w:spacing w:before="0" w:after="0"/>
        <w:rPr>
          <w:rFonts w:cs="Arial"/>
        </w:rPr>
      </w:pPr>
    </w:p>
    <w:p w14:paraId="3E940FFD" w14:textId="77777777" w:rsidR="00B42F2B" w:rsidRPr="00B42F2B" w:rsidRDefault="00B42F2B" w:rsidP="00B42F2B">
      <w:pPr>
        <w:spacing w:before="0" w:after="0"/>
        <w:rPr>
          <w:rFonts w:cs="Arial"/>
        </w:rPr>
      </w:pPr>
    </w:p>
    <w:p w14:paraId="51363CBE" w14:textId="2D9E0B71" w:rsidR="00B42F2B" w:rsidRPr="00B42F2B" w:rsidRDefault="00B42F2B" w:rsidP="00B42F2B">
      <w:pPr>
        <w:spacing w:before="0" w:after="0"/>
        <w:rPr>
          <w:rFonts w:cs="Arial"/>
          <w:b/>
        </w:rPr>
      </w:pPr>
      <w:r w:rsidRPr="00B42F2B">
        <w:rPr>
          <w:rFonts w:cs="Arial"/>
          <w:b/>
        </w:rPr>
        <w:t>Washington Nursing Facility Capacity and Occupancy from 2006 to 201</w:t>
      </w:r>
      <w:r w:rsidR="003067BF">
        <w:rPr>
          <w:rFonts w:cs="Arial"/>
          <w:b/>
        </w:rPr>
        <w:t>5</w:t>
      </w:r>
    </w:p>
    <w:p w14:paraId="28C52B14" w14:textId="77777777" w:rsidR="00B42F2B" w:rsidRPr="00B42F2B" w:rsidRDefault="00B42F2B" w:rsidP="00B42F2B">
      <w:pPr>
        <w:spacing w:before="0" w:after="0"/>
        <w:rPr>
          <w:rFonts w:cs="Arial"/>
        </w:rPr>
      </w:pPr>
    </w:p>
    <w:p w14:paraId="2F1260E1" w14:textId="2EA78629" w:rsidR="00B42F2B" w:rsidRDefault="00B42F2B" w:rsidP="00B42F2B">
      <w:pPr>
        <w:spacing w:before="0" w:after="0"/>
        <w:rPr>
          <w:rFonts w:cs="Arial"/>
        </w:rPr>
      </w:pPr>
      <w:r w:rsidRPr="00B42F2B">
        <w:rPr>
          <w:rFonts w:cs="Arial"/>
        </w:rPr>
        <w:t>Nursing facility capacity can be measured by the number of beds days available.</w:t>
      </w:r>
      <w:r w:rsidRPr="00B42F2B">
        <w:rPr>
          <w:rStyle w:val="FootnoteReference"/>
          <w:rFonts w:cs="Arial"/>
        </w:rPr>
        <w:footnoteReference w:id="1"/>
      </w:r>
      <w:r w:rsidRPr="00B42F2B">
        <w:rPr>
          <w:rFonts w:cs="Arial"/>
        </w:rPr>
        <w:t xml:space="preserve">  Table 2.1 shows the number of nursing facilities in the state, the total number of nursing facility beds and total available bed days for the </w:t>
      </w:r>
      <w:r w:rsidR="003067BF">
        <w:rPr>
          <w:rFonts w:cs="Arial"/>
        </w:rPr>
        <w:t>ten</w:t>
      </w:r>
      <w:r w:rsidRPr="00B42F2B">
        <w:rPr>
          <w:rFonts w:cs="Arial"/>
        </w:rPr>
        <w:t xml:space="preserve"> years from 2006 to 201</w:t>
      </w:r>
      <w:r w:rsidR="003067BF">
        <w:rPr>
          <w:rFonts w:cs="Arial"/>
        </w:rPr>
        <w:t>5</w:t>
      </w:r>
      <w:r w:rsidRPr="00B42F2B">
        <w:rPr>
          <w:rFonts w:cs="Arial"/>
        </w:rPr>
        <w:t>.  This table shows that the number of beds and available bed days in recent years have decreased slightly.  The analysis in Table 2.1 excludes closed facilities and facilities that did not serve any Medicaid residents during 201</w:t>
      </w:r>
      <w:r w:rsidR="003067BF">
        <w:rPr>
          <w:rFonts w:cs="Arial"/>
        </w:rPr>
        <w:t>5</w:t>
      </w:r>
      <w:r w:rsidRPr="00B42F2B">
        <w:rPr>
          <w:rFonts w:cs="Arial"/>
        </w:rPr>
        <w:t>.</w:t>
      </w:r>
    </w:p>
    <w:p w14:paraId="4FA80B42" w14:textId="77777777" w:rsidR="008B33DD" w:rsidRDefault="008B33DD" w:rsidP="00B42F2B">
      <w:pPr>
        <w:spacing w:before="0" w:after="0"/>
        <w:rPr>
          <w:rFonts w:cs="Arial"/>
        </w:rPr>
      </w:pPr>
    </w:p>
    <w:p w14:paraId="07E18EF9" w14:textId="6BD2A90F" w:rsidR="00B42F2B" w:rsidRPr="00B42F2B" w:rsidRDefault="00B42F2B" w:rsidP="00B42F2B">
      <w:pPr>
        <w:rPr>
          <w:rFonts w:cs="Arial"/>
          <w:b/>
        </w:rPr>
      </w:pPr>
      <w:r w:rsidRPr="00B42F2B">
        <w:rPr>
          <w:rFonts w:cs="Arial"/>
          <w:b/>
        </w:rPr>
        <w:t>Table 2.1:  Nursing Facility Capacity in Washington 2006 – 201</w:t>
      </w:r>
      <w:r w:rsidR="000C123F">
        <w:rPr>
          <w:rFonts w:cs="Arial"/>
          <w:b/>
        </w:rPr>
        <w:t>5</w:t>
      </w:r>
    </w:p>
    <w:p w14:paraId="73368D58" w14:textId="77777777" w:rsidR="00B42F2B" w:rsidRPr="00B42F2B" w:rsidRDefault="00B42F2B" w:rsidP="00B42F2B">
      <w:pPr>
        <w:rPr>
          <w:rFonts w:cs="Arial"/>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271"/>
        <w:gridCol w:w="1827"/>
        <w:gridCol w:w="1760"/>
      </w:tblGrid>
      <w:tr w:rsidR="00B42F2B" w:rsidRPr="00B42F2B" w14:paraId="72E2B363" w14:textId="77777777" w:rsidTr="00B42F2B">
        <w:trPr>
          <w:cantSplit/>
        </w:trPr>
        <w:tc>
          <w:tcPr>
            <w:tcW w:w="1080" w:type="dxa"/>
            <w:vAlign w:val="bottom"/>
          </w:tcPr>
          <w:p w14:paraId="0ED94D3A" w14:textId="77777777" w:rsidR="00B42F2B" w:rsidRPr="00B42F2B" w:rsidRDefault="00B42F2B" w:rsidP="00B42F2B">
            <w:pPr>
              <w:jc w:val="center"/>
              <w:rPr>
                <w:rFonts w:cs="Arial"/>
                <w:b/>
              </w:rPr>
            </w:pPr>
            <w:r w:rsidRPr="00B42F2B">
              <w:rPr>
                <w:rFonts w:cs="Arial"/>
                <w:b/>
              </w:rPr>
              <w:t>Calendar Year</w:t>
            </w:r>
          </w:p>
        </w:tc>
        <w:tc>
          <w:tcPr>
            <w:tcW w:w="1271" w:type="dxa"/>
            <w:vAlign w:val="bottom"/>
          </w:tcPr>
          <w:p w14:paraId="41745F0B" w14:textId="77777777" w:rsidR="00B42F2B" w:rsidRPr="00B42F2B" w:rsidRDefault="00B42F2B" w:rsidP="00B42F2B">
            <w:pPr>
              <w:jc w:val="center"/>
              <w:rPr>
                <w:rFonts w:cs="Arial"/>
                <w:b/>
              </w:rPr>
            </w:pPr>
            <w:r w:rsidRPr="00B42F2B">
              <w:rPr>
                <w:rFonts w:cs="Arial"/>
                <w:b/>
              </w:rPr>
              <w:t>Number of Facilities</w:t>
            </w:r>
          </w:p>
        </w:tc>
        <w:tc>
          <w:tcPr>
            <w:tcW w:w="1827" w:type="dxa"/>
            <w:vAlign w:val="bottom"/>
          </w:tcPr>
          <w:p w14:paraId="286F12F2" w14:textId="77777777" w:rsidR="00B42F2B" w:rsidRPr="00B42F2B" w:rsidRDefault="00B42F2B" w:rsidP="00B42F2B">
            <w:pPr>
              <w:jc w:val="center"/>
              <w:rPr>
                <w:rFonts w:cs="Arial"/>
                <w:b/>
              </w:rPr>
            </w:pPr>
            <w:r w:rsidRPr="00B42F2B">
              <w:rPr>
                <w:rFonts w:cs="Arial"/>
                <w:b/>
              </w:rPr>
              <w:t>Number of Beds at Year End</w:t>
            </w:r>
          </w:p>
        </w:tc>
        <w:tc>
          <w:tcPr>
            <w:tcW w:w="1760" w:type="dxa"/>
            <w:vAlign w:val="bottom"/>
          </w:tcPr>
          <w:p w14:paraId="4836A19C" w14:textId="77777777" w:rsidR="00B42F2B" w:rsidRPr="00B42F2B" w:rsidRDefault="00B42F2B" w:rsidP="00B42F2B">
            <w:pPr>
              <w:jc w:val="center"/>
              <w:rPr>
                <w:rFonts w:cs="Arial"/>
                <w:b/>
              </w:rPr>
            </w:pPr>
            <w:r w:rsidRPr="00B42F2B">
              <w:rPr>
                <w:rFonts w:cs="Arial"/>
                <w:b/>
              </w:rPr>
              <w:t>Number of Bed Days Available</w:t>
            </w:r>
          </w:p>
        </w:tc>
      </w:tr>
      <w:tr w:rsidR="00B42F2B" w:rsidRPr="00B42F2B" w14:paraId="19A86786" w14:textId="77777777" w:rsidTr="00B42F2B">
        <w:trPr>
          <w:cantSplit/>
        </w:trPr>
        <w:tc>
          <w:tcPr>
            <w:tcW w:w="1080" w:type="dxa"/>
          </w:tcPr>
          <w:p w14:paraId="7E08D55F" w14:textId="77777777" w:rsidR="00B42F2B" w:rsidRPr="00B42F2B" w:rsidRDefault="00B42F2B" w:rsidP="00B42F2B">
            <w:pPr>
              <w:jc w:val="center"/>
              <w:rPr>
                <w:rFonts w:cs="Arial"/>
              </w:rPr>
            </w:pPr>
            <w:r w:rsidRPr="00B42F2B">
              <w:rPr>
                <w:rFonts w:cs="Arial"/>
              </w:rPr>
              <w:t>2006</w:t>
            </w:r>
          </w:p>
        </w:tc>
        <w:tc>
          <w:tcPr>
            <w:tcW w:w="1271" w:type="dxa"/>
          </w:tcPr>
          <w:p w14:paraId="33EE99D2" w14:textId="77777777" w:rsidR="00B42F2B" w:rsidRPr="00B42F2B" w:rsidRDefault="00B42F2B" w:rsidP="00B42F2B">
            <w:pPr>
              <w:jc w:val="center"/>
              <w:rPr>
                <w:rFonts w:cs="Arial"/>
              </w:rPr>
            </w:pPr>
            <w:r w:rsidRPr="00B42F2B">
              <w:rPr>
                <w:rFonts w:cs="Arial"/>
              </w:rPr>
              <w:t>234</w:t>
            </w:r>
          </w:p>
        </w:tc>
        <w:tc>
          <w:tcPr>
            <w:tcW w:w="1827" w:type="dxa"/>
          </w:tcPr>
          <w:p w14:paraId="638FCDF3" w14:textId="77777777" w:rsidR="00B42F2B" w:rsidRPr="00B42F2B" w:rsidRDefault="00B42F2B" w:rsidP="00B42F2B">
            <w:pPr>
              <w:jc w:val="center"/>
              <w:rPr>
                <w:rFonts w:cs="Arial"/>
              </w:rPr>
            </w:pPr>
            <w:r w:rsidRPr="00B42F2B">
              <w:rPr>
                <w:rFonts w:cs="Arial"/>
              </w:rPr>
              <w:t>21,577</w:t>
            </w:r>
          </w:p>
        </w:tc>
        <w:tc>
          <w:tcPr>
            <w:tcW w:w="1760" w:type="dxa"/>
          </w:tcPr>
          <w:p w14:paraId="1EDCDA1E" w14:textId="77777777" w:rsidR="00B42F2B" w:rsidRPr="00B42F2B" w:rsidRDefault="00B42F2B" w:rsidP="00B42F2B">
            <w:pPr>
              <w:jc w:val="center"/>
              <w:rPr>
                <w:rFonts w:cs="Arial"/>
              </w:rPr>
            </w:pPr>
            <w:r w:rsidRPr="00B42F2B">
              <w:rPr>
                <w:rFonts w:cs="Arial"/>
              </w:rPr>
              <w:t>7,843,865</w:t>
            </w:r>
          </w:p>
        </w:tc>
      </w:tr>
      <w:tr w:rsidR="00B42F2B" w:rsidRPr="00B42F2B" w14:paraId="3044C5D8" w14:textId="77777777" w:rsidTr="00B42F2B">
        <w:trPr>
          <w:cantSplit/>
        </w:trPr>
        <w:tc>
          <w:tcPr>
            <w:tcW w:w="1080" w:type="dxa"/>
          </w:tcPr>
          <w:p w14:paraId="6C98431D" w14:textId="77777777" w:rsidR="00B42F2B" w:rsidRPr="00B42F2B" w:rsidRDefault="00B42F2B" w:rsidP="00B42F2B">
            <w:pPr>
              <w:jc w:val="center"/>
              <w:rPr>
                <w:rFonts w:cs="Arial"/>
              </w:rPr>
            </w:pPr>
            <w:r w:rsidRPr="00B42F2B">
              <w:rPr>
                <w:rFonts w:cs="Arial"/>
              </w:rPr>
              <w:t>2007</w:t>
            </w:r>
          </w:p>
        </w:tc>
        <w:tc>
          <w:tcPr>
            <w:tcW w:w="1271" w:type="dxa"/>
          </w:tcPr>
          <w:p w14:paraId="28539BA9" w14:textId="77777777" w:rsidR="00B42F2B" w:rsidRPr="00B42F2B" w:rsidRDefault="00B42F2B" w:rsidP="00B42F2B">
            <w:pPr>
              <w:jc w:val="center"/>
              <w:rPr>
                <w:rFonts w:cs="Arial"/>
              </w:rPr>
            </w:pPr>
            <w:r w:rsidRPr="00B42F2B">
              <w:rPr>
                <w:rFonts w:cs="Arial"/>
              </w:rPr>
              <w:t>231</w:t>
            </w:r>
          </w:p>
        </w:tc>
        <w:tc>
          <w:tcPr>
            <w:tcW w:w="1827" w:type="dxa"/>
          </w:tcPr>
          <w:p w14:paraId="2A875A11" w14:textId="77777777" w:rsidR="00B42F2B" w:rsidRPr="00B42F2B" w:rsidRDefault="00B42F2B" w:rsidP="00B42F2B">
            <w:pPr>
              <w:jc w:val="center"/>
              <w:rPr>
                <w:rFonts w:cs="Arial"/>
              </w:rPr>
            </w:pPr>
            <w:r w:rsidRPr="00B42F2B">
              <w:rPr>
                <w:rFonts w:cs="Arial"/>
              </w:rPr>
              <w:t>21,329</w:t>
            </w:r>
          </w:p>
        </w:tc>
        <w:tc>
          <w:tcPr>
            <w:tcW w:w="1760" w:type="dxa"/>
          </w:tcPr>
          <w:p w14:paraId="25971671" w14:textId="77777777" w:rsidR="00B42F2B" w:rsidRPr="00B42F2B" w:rsidRDefault="00B42F2B" w:rsidP="00B42F2B">
            <w:pPr>
              <w:jc w:val="center"/>
              <w:rPr>
                <w:rFonts w:cs="Arial"/>
              </w:rPr>
            </w:pPr>
            <w:r w:rsidRPr="00B42F2B">
              <w:rPr>
                <w:rFonts w:cs="Arial"/>
              </w:rPr>
              <w:t>7,785,085</w:t>
            </w:r>
          </w:p>
        </w:tc>
      </w:tr>
      <w:tr w:rsidR="00B42F2B" w:rsidRPr="00B42F2B" w14:paraId="2C77DD78" w14:textId="77777777" w:rsidTr="00B42F2B">
        <w:trPr>
          <w:cantSplit/>
        </w:trPr>
        <w:tc>
          <w:tcPr>
            <w:tcW w:w="1080" w:type="dxa"/>
          </w:tcPr>
          <w:p w14:paraId="5966AC4F" w14:textId="77777777" w:rsidR="00B42F2B" w:rsidRPr="00B42F2B" w:rsidRDefault="00B42F2B" w:rsidP="00B42F2B">
            <w:pPr>
              <w:jc w:val="center"/>
              <w:rPr>
                <w:rFonts w:cs="Arial"/>
              </w:rPr>
            </w:pPr>
            <w:r w:rsidRPr="00B42F2B">
              <w:rPr>
                <w:rFonts w:cs="Arial"/>
              </w:rPr>
              <w:t>2008</w:t>
            </w:r>
          </w:p>
        </w:tc>
        <w:tc>
          <w:tcPr>
            <w:tcW w:w="1271" w:type="dxa"/>
          </w:tcPr>
          <w:p w14:paraId="52ED3F6B" w14:textId="77777777" w:rsidR="00B42F2B" w:rsidRPr="00B42F2B" w:rsidRDefault="00B42F2B" w:rsidP="00B42F2B">
            <w:pPr>
              <w:jc w:val="center"/>
              <w:rPr>
                <w:rFonts w:cs="Arial"/>
              </w:rPr>
            </w:pPr>
            <w:r w:rsidRPr="00B42F2B">
              <w:rPr>
                <w:rFonts w:cs="Arial"/>
              </w:rPr>
              <w:t>227</w:t>
            </w:r>
          </w:p>
        </w:tc>
        <w:tc>
          <w:tcPr>
            <w:tcW w:w="1827" w:type="dxa"/>
          </w:tcPr>
          <w:p w14:paraId="72A6DB36" w14:textId="77777777" w:rsidR="00B42F2B" w:rsidRPr="00B42F2B" w:rsidRDefault="00B42F2B" w:rsidP="00B42F2B">
            <w:pPr>
              <w:jc w:val="center"/>
              <w:rPr>
                <w:rFonts w:cs="Arial"/>
              </w:rPr>
            </w:pPr>
            <w:r w:rsidRPr="00B42F2B">
              <w:rPr>
                <w:rFonts w:cs="Arial"/>
              </w:rPr>
              <w:t>21,574</w:t>
            </w:r>
          </w:p>
        </w:tc>
        <w:tc>
          <w:tcPr>
            <w:tcW w:w="1760" w:type="dxa"/>
          </w:tcPr>
          <w:p w14:paraId="0634A3AD" w14:textId="77777777" w:rsidR="00B42F2B" w:rsidRPr="00B42F2B" w:rsidRDefault="00B42F2B" w:rsidP="00B42F2B">
            <w:pPr>
              <w:jc w:val="center"/>
              <w:rPr>
                <w:rFonts w:cs="Arial"/>
              </w:rPr>
            </w:pPr>
            <w:r w:rsidRPr="00B42F2B">
              <w:rPr>
                <w:rFonts w:cs="Arial"/>
              </w:rPr>
              <w:t>7,896,084</w:t>
            </w:r>
          </w:p>
        </w:tc>
      </w:tr>
      <w:tr w:rsidR="00B42F2B" w:rsidRPr="00B42F2B" w14:paraId="289AAF2D" w14:textId="77777777" w:rsidTr="00B42F2B">
        <w:trPr>
          <w:cantSplit/>
        </w:trPr>
        <w:tc>
          <w:tcPr>
            <w:tcW w:w="1080" w:type="dxa"/>
          </w:tcPr>
          <w:p w14:paraId="0D781239" w14:textId="77777777" w:rsidR="00B42F2B" w:rsidRPr="00B42F2B" w:rsidRDefault="00B42F2B" w:rsidP="00B42F2B">
            <w:pPr>
              <w:jc w:val="center"/>
              <w:rPr>
                <w:rFonts w:cs="Arial"/>
              </w:rPr>
            </w:pPr>
            <w:r w:rsidRPr="00B42F2B">
              <w:rPr>
                <w:rFonts w:cs="Arial"/>
              </w:rPr>
              <w:t>2009</w:t>
            </w:r>
          </w:p>
        </w:tc>
        <w:tc>
          <w:tcPr>
            <w:tcW w:w="1271" w:type="dxa"/>
          </w:tcPr>
          <w:p w14:paraId="525FCF13" w14:textId="77777777" w:rsidR="00B42F2B" w:rsidRPr="00B42F2B" w:rsidRDefault="00B42F2B" w:rsidP="00B42F2B">
            <w:pPr>
              <w:jc w:val="center"/>
              <w:rPr>
                <w:rFonts w:cs="Arial"/>
              </w:rPr>
            </w:pPr>
            <w:r w:rsidRPr="00B42F2B">
              <w:rPr>
                <w:rFonts w:cs="Arial"/>
              </w:rPr>
              <w:t>221</w:t>
            </w:r>
          </w:p>
        </w:tc>
        <w:tc>
          <w:tcPr>
            <w:tcW w:w="1827" w:type="dxa"/>
          </w:tcPr>
          <w:p w14:paraId="4097F8D9" w14:textId="77777777" w:rsidR="00B42F2B" w:rsidRPr="00B42F2B" w:rsidRDefault="00B42F2B" w:rsidP="00B42F2B">
            <w:pPr>
              <w:jc w:val="center"/>
              <w:rPr>
                <w:rFonts w:cs="Arial"/>
              </w:rPr>
            </w:pPr>
            <w:r w:rsidRPr="00B42F2B">
              <w:rPr>
                <w:rFonts w:cs="Arial"/>
              </w:rPr>
              <w:t>21,134</w:t>
            </w:r>
          </w:p>
        </w:tc>
        <w:tc>
          <w:tcPr>
            <w:tcW w:w="1760" w:type="dxa"/>
          </w:tcPr>
          <w:p w14:paraId="21327AB8" w14:textId="77777777" w:rsidR="00B42F2B" w:rsidRPr="00B42F2B" w:rsidRDefault="00B42F2B" w:rsidP="00B42F2B">
            <w:pPr>
              <w:jc w:val="center"/>
              <w:rPr>
                <w:rFonts w:cs="Arial"/>
              </w:rPr>
            </w:pPr>
            <w:r w:rsidRPr="00B42F2B">
              <w:rPr>
                <w:rFonts w:cs="Arial"/>
              </w:rPr>
              <w:t>7,611,452</w:t>
            </w:r>
          </w:p>
        </w:tc>
      </w:tr>
      <w:tr w:rsidR="00B42F2B" w:rsidRPr="00B42F2B" w14:paraId="17EBC742" w14:textId="77777777" w:rsidTr="00B42F2B">
        <w:trPr>
          <w:cantSplit/>
        </w:trPr>
        <w:tc>
          <w:tcPr>
            <w:tcW w:w="1080" w:type="dxa"/>
          </w:tcPr>
          <w:p w14:paraId="513F0C04" w14:textId="77777777" w:rsidR="00B42F2B" w:rsidRPr="00B42F2B" w:rsidRDefault="00B42F2B" w:rsidP="00B42F2B">
            <w:pPr>
              <w:jc w:val="center"/>
              <w:rPr>
                <w:rFonts w:cs="Arial"/>
              </w:rPr>
            </w:pPr>
            <w:r w:rsidRPr="00B42F2B">
              <w:rPr>
                <w:rFonts w:cs="Arial"/>
              </w:rPr>
              <w:t>2010</w:t>
            </w:r>
          </w:p>
        </w:tc>
        <w:tc>
          <w:tcPr>
            <w:tcW w:w="1271" w:type="dxa"/>
          </w:tcPr>
          <w:p w14:paraId="7ABCD7E8" w14:textId="77777777" w:rsidR="00B42F2B" w:rsidRPr="00B42F2B" w:rsidRDefault="00B42F2B" w:rsidP="00B42F2B">
            <w:pPr>
              <w:jc w:val="center"/>
              <w:rPr>
                <w:rFonts w:cs="Arial"/>
              </w:rPr>
            </w:pPr>
            <w:r w:rsidRPr="00B42F2B">
              <w:rPr>
                <w:rFonts w:cs="Arial"/>
              </w:rPr>
              <w:t>210</w:t>
            </w:r>
          </w:p>
        </w:tc>
        <w:tc>
          <w:tcPr>
            <w:tcW w:w="1827" w:type="dxa"/>
          </w:tcPr>
          <w:p w14:paraId="39B3D30C" w14:textId="77777777" w:rsidR="00B42F2B" w:rsidRPr="00B42F2B" w:rsidRDefault="00B42F2B" w:rsidP="00B42F2B">
            <w:pPr>
              <w:jc w:val="center"/>
              <w:rPr>
                <w:rFonts w:cs="Arial"/>
              </w:rPr>
            </w:pPr>
            <w:r w:rsidRPr="00B42F2B">
              <w:rPr>
                <w:rFonts w:cs="Arial"/>
              </w:rPr>
              <w:t>20,776</w:t>
            </w:r>
          </w:p>
        </w:tc>
        <w:tc>
          <w:tcPr>
            <w:tcW w:w="1760" w:type="dxa"/>
          </w:tcPr>
          <w:p w14:paraId="42B43F43" w14:textId="77777777" w:rsidR="00B42F2B" w:rsidRPr="00B42F2B" w:rsidRDefault="00B42F2B" w:rsidP="00B42F2B">
            <w:pPr>
              <w:jc w:val="center"/>
              <w:rPr>
                <w:rFonts w:cs="Arial"/>
              </w:rPr>
            </w:pPr>
            <w:r w:rsidRPr="00B42F2B">
              <w:rPr>
                <w:rFonts w:cs="Arial"/>
              </w:rPr>
              <w:t>7,583,240</w:t>
            </w:r>
          </w:p>
        </w:tc>
      </w:tr>
      <w:tr w:rsidR="00B42F2B" w:rsidRPr="00B42F2B" w14:paraId="00936580" w14:textId="77777777" w:rsidTr="00B42F2B">
        <w:trPr>
          <w:cantSplit/>
        </w:trPr>
        <w:tc>
          <w:tcPr>
            <w:tcW w:w="1080" w:type="dxa"/>
          </w:tcPr>
          <w:p w14:paraId="4B47E141" w14:textId="77777777" w:rsidR="00B42F2B" w:rsidRPr="00B42F2B" w:rsidRDefault="00B42F2B" w:rsidP="00B42F2B">
            <w:pPr>
              <w:jc w:val="center"/>
              <w:rPr>
                <w:rFonts w:cs="Arial"/>
              </w:rPr>
            </w:pPr>
            <w:r w:rsidRPr="00B42F2B">
              <w:rPr>
                <w:rFonts w:cs="Arial"/>
              </w:rPr>
              <w:t>2011</w:t>
            </w:r>
          </w:p>
        </w:tc>
        <w:tc>
          <w:tcPr>
            <w:tcW w:w="1271" w:type="dxa"/>
          </w:tcPr>
          <w:p w14:paraId="1F994FE2" w14:textId="77777777" w:rsidR="00B42F2B" w:rsidRPr="00B42F2B" w:rsidRDefault="00B42F2B" w:rsidP="00B42F2B">
            <w:pPr>
              <w:jc w:val="center"/>
              <w:rPr>
                <w:rFonts w:cs="Arial"/>
              </w:rPr>
            </w:pPr>
            <w:r w:rsidRPr="00B42F2B">
              <w:rPr>
                <w:rFonts w:cs="Arial"/>
              </w:rPr>
              <w:t>211</w:t>
            </w:r>
          </w:p>
        </w:tc>
        <w:tc>
          <w:tcPr>
            <w:tcW w:w="1827" w:type="dxa"/>
          </w:tcPr>
          <w:p w14:paraId="579A5FB3" w14:textId="77777777" w:rsidR="00B42F2B" w:rsidRPr="00B42F2B" w:rsidRDefault="00B42F2B" w:rsidP="00B42F2B">
            <w:pPr>
              <w:jc w:val="center"/>
              <w:rPr>
                <w:rFonts w:cs="Arial"/>
              </w:rPr>
            </w:pPr>
            <w:r w:rsidRPr="00B42F2B">
              <w:rPr>
                <w:rFonts w:cs="Arial"/>
              </w:rPr>
              <w:t>20,869</w:t>
            </w:r>
          </w:p>
        </w:tc>
        <w:tc>
          <w:tcPr>
            <w:tcW w:w="1760" w:type="dxa"/>
          </w:tcPr>
          <w:p w14:paraId="5856449F" w14:textId="77777777" w:rsidR="00B42F2B" w:rsidRPr="00B42F2B" w:rsidRDefault="00B42F2B" w:rsidP="00B42F2B">
            <w:pPr>
              <w:jc w:val="center"/>
              <w:rPr>
                <w:rFonts w:cs="Arial"/>
              </w:rPr>
            </w:pPr>
            <w:r w:rsidRPr="00B42F2B">
              <w:rPr>
                <w:rFonts w:cs="Arial"/>
              </w:rPr>
              <w:t>7,617,185</w:t>
            </w:r>
          </w:p>
        </w:tc>
      </w:tr>
      <w:tr w:rsidR="00B42F2B" w:rsidRPr="00B42F2B" w14:paraId="66230DFD" w14:textId="77777777" w:rsidTr="00B42F2B">
        <w:trPr>
          <w:cantSplit/>
        </w:trPr>
        <w:tc>
          <w:tcPr>
            <w:tcW w:w="1080" w:type="dxa"/>
          </w:tcPr>
          <w:p w14:paraId="31A99BE5" w14:textId="77777777" w:rsidR="00B42F2B" w:rsidRPr="00B42F2B" w:rsidRDefault="00B42F2B" w:rsidP="00B42F2B">
            <w:pPr>
              <w:jc w:val="center"/>
              <w:rPr>
                <w:rFonts w:cs="Arial"/>
              </w:rPr>
            </w:pPr>
            <w:r w:rsidRPr="00B42F2B">
              <w:rPr>
                <w:rFonts w:cs="Arial"/>
              </w:rPr>
              <w:t>2012</w:t>
            </w:r>
          </w:p>
        </w:tc>
        <w:tc>
          <w:tcPr>
            <w:tcW w:w="1271" w:type="dxa"/>
          </w:tcPr>
          <w:p w14:paraId="52CE631A" w14:textId="77777777" w:rsidR="00B42F2B" w:rsidRPr="00B42F2B" w:rsidRDefault="00B42F2B" w:rsidP="00B42F2B">
            <w:pPr>
              <w:jc w:val="center"/>
              <w:rPr>
                <w:rFonts w:cs="Arial"/>
              </w:rPr>
            </w:pPr>
            <w:r w:rsidRPr="00B42F2B">
              <w:rPr>
                <w:rFonts w:cs="Arial"/>
              </w:rPr>
              <w:t>213</w:t>
            </w:r>
          </w:p>
        </w:tc>
        <w:tc>
          <w:tcPr>
            <w:tcW w:w="1827" w:type="dxa"/>
          </w:tcPr>
          <w:p w14:paraId="52BCC9A7" w14:textId="77777777" w:rsidR="00B42F2B" w:rsidRPr="00B42F2B" w:rsidRDefault="00B42F2B" w:rsidP="00B42F2B">
            <w:pPr>
              <w:jc w:val="center"/>
              <w:rPr>
                <w:rFonts w:cs="Arial"/>
              </w:rPr>
            </w:pPr>
            <w:r w:rsidRPr="00B42F2B">
              <w:rPr>
                <w:rFonts w:cs="Arial"/>
              </w:rPr>
              <w:t>20,762</w:t>
            </w:r>
          </w:p>
        </w:tc>
        <w:tc>
          <w:tcPr>
            <w:tcW w:w="1760" w:type="dxa"/>
          </w:tcPr>
          <w:p w14:paraId="2F90EEB9" w14:textId="77777777" w:rsidR="00B42F2B" w:rsidRPr="00B42F2B" w:rsidRDefault="00B42F2B" w:rsidP="00B42F2B">
            <w:pPr>
              <w:jc w:val="center"/>
              <w:rPr>
                <w:rFonts w:cs="Arial"/>
              </w:rPr>
            </w:pPr>
            <w:r w:rsidRPr="00B42F2B">
              <w:rPr>
                <w:rFonts w:cs="Arial"/>
              </w:rPr>
              <w:t>7,578,130</w:t>
            </w:r>
          </w:p>
        </w:tc>
      </w:tr>
      <w:tr w:rsidR="00B42F2B" w:rsidRPr="00B42F2B" w14:paraId="02F564F1" w14:textId="77777777" w:rsidTr="00B42F2B">
        <w:trPr>
          <w:cantSplit/>
        </w:trPr>
        <w:tc>
          <w:tcPr>
            <w:tcW w:w="1080" w:type="dxa"/>
          </w:tcPr>
          <w:p w14:paraId="69DC9A7E" w14:textId="77777777" w:rsidR="00B42F2B" w:rsidRPr="00B42F2B" w:rsidRDefault="00B42F2B" w:rsidP="00B42F2B">
            <w:pPr>
              <w:jc w:val="center"/>
              <w:rPr>
                <w:rFonts w:cs="Arial"/>
              </w:rPr>
            </w:pPr>
            <w:r w:rsidRPr="00B42F2B">
              <w:rPr>
                <w:rFonts w:cs="Arial"/>
              </w:rPr>
              <w:t>2013</w:t>
            </w:r>
          </w:p>
        </w:tc>
        <w:tc>
          <w:tcPr>
            <w:tcW w:w="1271" w:type="dxa"/>
          </w:tcPr>
          <w:p w14:paraId="4F1FD014" w14:textId="77777777" w:rsidR="00B42F2B" w:rsidRPr="00B42F2B" w:rsidRDefault="00B42F2B" w:rsidP="00B42F2B">
            <w:pPr>
              <w:jc w:val="center"/>
              <w:rPr>
                <w:rFonts w:cs="Arial"/>
              </w:rPr>
            </w:pPr>
            <w:r w:rsidRPr="00B42F2B">
              <w:rPr>
                <w:rFonts w:cs="Arial"/>
              </w:rPr>
              <w:t>209</w:t>
            </w:r>
          </w:p>
        </w:tc>
        <w:tc>
          <w:tcPr>
            <w:tcW w:w="1827" w:type="dxa"/>
          </w:tcPr>
          <w:p w14:paraId="127E7638" w14:textId="77777777" w:rsidR="00B42F2B" w:rsidRPr="00B42F2B" w:rsidRDefault="00B42F2B" w:rsidP="00B42F2B">
            <w:pPr>
              <w:jc w:val="center"/>
              <w:rPr>
                <w:rFonts w:cs="Arial"/>
              </w:rPr>
            </w:pPr>
            <w:r w:rsidRPr="00B42F2B">
              <w:rPr>
                <w:rFonts w:cs="Arial"/>
              </w:rPr>
              <w:t>20,600</w:t>
            </w:r>
          </w:p>
        </w:tc>
        <w:tc>
          <w:tcPr>
            <w:tcW w:w="1760" w:type="dxa"/>
          </w:tcPr>
          <w:p w14:paraId="188A0BDA" w14:textId="77777777" w:rsidR="00B42F2B" w:rsidRPr="00B42F2B" w:rsidRDefault="00B42F2B" w:rsidP="00B42F2B">
            <w:pPr>
              <w:jc w:val="center"/>
              <w:rPr>
                <w:rFonts w:cs="Arial"/>
              </w:rPr>
            </w:pPr>
            <w:r w:rsidRPr="00B42F2B">
              <w:rPr>
                <w:rFonts w:cs="Arial"/>
              </w:rPr>
              <w:t>7,519,000</w:t>
            </w:r>
          </w:p>
        </w:tc>
      </w:tr>
      <w:tr w:rsidR="00B42F2B" w:rsidRPr="00B42F2B" w14:paraId="4F665399" w14:textId="77777777" w:rsidTr="00B42F2B">
        <w:trPr>
          <w:cantSplit/>
        </w:trPr>
        <w:tc>
          <w:tcPr>
            <w:tcW w:w="1080" w:type="dxa"/>
          </w:tcPr>
          <w:p w14:paraId="1B2E349D" w14:textId="77777777" w:rsidR="00B42F2B" w:rsidRPr="00B42F2B" w:rsidRDefault="00B42F2B" w:rsidP="00B42F2B">
            <w:pPr>
              <w:jc w:val="center"/>
              <w:rPr>
                <w:rFonts w:cs="Arial"/>
              </w:rPr>
            </w:pPr>
            <w:r w:rsidRPr="00B42F2B">
              <w:rPr>
                <w:rFonts w:cs="Arial"/>
              </w:rPr>
              <w:t>2014</w:t>
            </w:r>
          </w:p>
        </w:tc>
        <w:tc>
          <w:tcPr>
            <w:tcW w:w="1271" w:type="dxa"/>
            <w:vAlign w:val="bottom"/>
          </w:tcPr>
          <w:p w14:paraId="56A53451" w14:textId="77777777" w:rsidR="00B42F2B" w:rsidRPr="00B42F2B" w:rsidRDefault="00B42F2B" w:rsidP="00B42F2B">
            <w:pPr>
              <w:jc w:val="center"/>
              <w:rPr>
                <w:rFonts w:cs="Arial"/>
              </w:rPr>
            </w:pPr>
            <w:r w:rsidRPr="00B42F2B">
              <w:rPr>
                <w:rFonts w:cs="Arial"/>
              </w:rPr>
              <w:t>207</w:t>
            </w:r>
          </w:p>
        </w:tc>
        <w:tc>
          <w:tcPr>
            <w:tcW w:w="1827" w:type="dxa"/>
            <w:vAlign w:val="bottom"/>
          </w:tcPr>
          <w:p w14:paraId="1AD4EAA2" w14:textId="77777777" w:rsidR="00B42F2B" w:rsidRPr="00B42F2B" w:rsidRDefault="00B42F2B" w:rsidP="00B42F2B">
            <w:pPr>
              <w:jc w:val="center"/>
              <w:rPr>
                <w:rFonts w:cs="Arial"/>
              </w:rPr>
            </w:pPr>
            <w:r w:rsidRPr="00B42F2B">
              <w:rPr>
                <w:rFonts w:cs="Arial"/>
              </w:rPr>
              <w:t>20,297</w:t>
            </w:r>
          </w:p>
        </w:tc>
        <w:tc>
          <w:tcPr>
            <w:tcW w:w="1760" w:type="dxa"/>
            <w:vAlign w:val="bottom"/>
          </w:tcPr>
          <w:p w14:paraId="753A0F35" w14:textId="77777777" w:rsidR="00B42F2B" w:rsidRPr="00B42F2B" w:rsidRDefault="00B42F2B" w:rsidP="00B42F2B">
            <w:pPr>
              <w:jc w:val="center"/>
              <w:rPr>
                <w:rFonts w:cs="Arial"/>
              </w:rPr>
            </w:pPr>
            <w:r w:rsidRPr="00B42F2B">
              <w:rPr>
                <w:rFonts w:cs="Arial"/>
              </w:rPr>
              <w:t>7,408,405</w:t>
            </w:r>
          </w:p>
        </w:tc>
      </w:tr>
      <w:tr w:rsidR="003067BF" w:rsidRPr="00B42F2B" w14:paraId="5B5CA6BF" w14:textId="77777777" w:rsidTr="00B42F2B">
        <w:trPr>
          <w:cantSplit/>
        </w:trPr>
        <w:tc>
          <w:tcPr>
            <w:tcW w:w="1080" w:type="dxa"/>
          </w:tcPr>
          <w:p w14:paraId="6D751081" w14:textId="0C75E041" w:rsidR="003067BF" w:rsidRPr="00B42F2B" w:rsidRDefault="003067BF" w:rsidP="00B42F2B">
            <w:pPr>
              <w:jc w:val="center"/>
              <w:rPr>
                <w:rFonts w:cs="Arial"/>
              </w:rPr>
            </w:pPr>
            <w:r>
              <w:rPr>
                <w:rFonts w:cs="Arial"/>
              </w:rPr>
              <w:t>2015</w:t>
            </w:r>
          </w:p>
        </w:tc>
        <w:tc>
          <w:tcPr>
            <w:tcW w:w="1271" w:type="dxa"/>
            <w:vAlign w:val="bottom"/>
          </w:tcPr>
          <w:p w14:paraId="3F070D63" w14:textId="26CAC593" w:rsidR="003067BF" w:rsidRPr="00B42F2B" w:rsidRDefault="000C123F" w:rsidP="00B42F2B">
            <w:pPr>
              <w:jc w:val="center"/>
              <w:rPr>
                <w:rFonts w:cs="Arial"/>
              </w:rPr>
            </w:pPr>
            <w:r>
              <w:rPr>
                <w:rFonts w:cs="Arial"/>
              </w:rPr>
              <w:t>207</w:t>
            </w:r>
          </w:p>
        </w:tc>
        <w:tc>
          <w:tcPr>
            <w:tcW w:w="1827" w:type="dxa"/>
            <w:vAlign w:val="bottom"/>
          </w:tcPr>
          <w:p w14:paraId="0C9977CB" w14:textId="4C0A564B" w:rsidR="003067BF" w:rsidRPr="00B42F2B" w:rsidRDefault="000C123F" w:rsidP="00B42F2B">
            <w:pPr>
              <w:jc w:val="center"/>
              <w:rPr>
                <w:rFonts w:cs="Arial"/>
              </w:rPr>
            </w:pPr>
            <w:r>
              <w:rPr>
                <w:rFonts w:cs="Arial"/>
              </w:rPr>
              <w:t>20,061</w:t>
            </w:r>
          </w:p>
        </w:tc>
        <w:tc>
          <w:tcPr>
            <w:tcW w:w="1760" w:type="dxa"/>
            <w:vAlign w:val="bottom"/>
          </w:tcPr>
          <w:p w14:paraId="76955EA4" w14:textId="03CC4967" w:rsidR="003067BF" w:rsidRPr="00B42F2B" w:rsidRDefault="008E5B19" w:rsidP="00B42F2B">
            <w:pPr>
              <w:jc w:val="center"/>
              <w:rPr>
                <w:rFonts w:cs="Arial"/>
              </w:rPr>
            </w:pPr>
            <w:r>
              <w:rPr>
                <w:rFonts w:cs="Arial"/>
              </w:rPr>
              <w:t>7,</w:t>
            </w:r>
            <w:r w:rsidR="00A91BA3">
              <w:rPr>
                <w:rFonts w:cs="Arial"/>
              </w:rPr>
              <w:t>018,794</w:t>
            </w:r>
          </w:p>
        </w:tc>
      </w:tr>
    </w:tbl>
    <w:p w14:paraId="15D17C15" w14:textId="77777777" w:rsidR="00B42F2B" w:rsidRPr="00B42F2B" w:rsidRDefault="00B42F2B" w:rsidP="00B42F2B">
      <w:pPr>
        <w:rPr>
          <w:rFonts w:cs="Arial"/>
          <w:sz w:val="18"/>
        </w:rPr>
      </w:pPr>
      <w:r w:rsidRPr="00B42F2B">
        <w:rPr>
          <w:rFonts w:cs="Arial"/>
          <w:sz w:val="18"/>
        </w:rPr>
        <w:t xml:space="preserve">Source:  </w:t>
      </w:r>
    </w:p>
    <w:p w14:paraId="2091F00C" w14:textId="77777777" w:rsidR="00B42F2B" w:rsidRPr="00B42F2B" w:rsidRDefault="00B42F2B" w:rsidP="00B42F2B">
      <w:pPr>
        <w:rPr>
          <w:rFonts w:cs="Arial"/>
          <w:sz w:val="18"/>
        </w:rPr>
      </w:pPr>
      <w:r w:rsidRPr="00B42F2B">
        <w:rPr>
          <w:rFonts w:cs="Arial"/>
          <w:sz w:val="18"/>
        </w:rPr>
        <w:t>Number of Facilities, Number of Beds at Year End and Number of Bed Days Available were determined from data provided by the Department.</w:t>
      </w:r>
    </w:p>
    <w:p w14:paraId="78D3C21B" w14:textId="77777777" w:rsidR="00B42F2B" w:rsidRPr="00B42F2B" w:rsidRDefault="00B42F2B" w:rsidP="00B42F2B">
      <w:pPr>
        <w:spacing w:before="0" w:after="0"/>
        <w:rPr>
          <w:rFonts w:cs="Arial"/>
        </w:rPr>
      </w:pPr>
      <w:r w:rsidRPr="00B42F2B">
        <w:rPr>
          <w:rFonts w:cs="Arial"/>
        </w:rPr>
        <w:t xml:space="preserve">It is important to note that the number of beds available in Washington is affected by State law, as codified in the Washington Administrative Code (WAC).  The WAC describes the State’s </w:t>
      </w:r>
      <w:r w:rsidRPr="00B42F2B">
        <w:rPr>
          <w:rFonts w:cs="Arial"/>
        </w:rPr>
        <w:lastRenderedPageBreak/>
        <w:t xml:space="preserve">Certificate of Need (CON) policy that requires demonstration of a need for new beds before a nursing facility license can be approved.  For new licensed beds to be approved, a provider must demonstrate a need for new beds, with the criterion for comparison being 40 nursing facility beds per 1,000 population aged 70 and older.  This criterion, which was established effective October 6, 2008 (the previous criterion was 40 beds per 1,000 population aged 65 and older) was modified at the urging of the State’s nursing home industry.  The State, working jointly with the industry, determined that this standard would be sufficient to assure access to services in Washington. </w:t>
      </w:r>
    </w:p>
    <w:p w14:paraId="6ECA8ABB" w14:textId="77777777" w:rsidR="00B42F2B" w:rsidRPr="00B42F2B" w:rsidRDefault="00B42F2B" w:rsidP="00B42F2B">
      <w:pPr>
        <w:spacing w:before="0" w:after="0"/>
        <w:rPr>
          <w:rFonts w:cs="Arial"/>
        </w:rPr>
      </w:pPr>
    </w:p>
    <w:p w14:paraId="6B390AC3" w14:textId="66EA7B07" w:rsidR="00B42F2B" w:rsidRPr="00B42F2B" w:rsidRDefault="00B42F2B" w:rsidP="00B42F2B">
      <w:pPr>
        <w:spacing w:before="0" w:after="0"/>
        <w:rPr>
          <w:rFonts w:cs="Arial"/>
        </w:rPr>
      </w:pPr>
      <w:r w:rsidRPr="00B42F2B">
        <w:rPr>
          <w:rFonts w:cs="Arial"/>
        </w:rPr>
        <w:t>Table 2.2 shows nursing facilities’ total resident days, total Medicaid resident days and the average Medicaid utilization rate, that is, Medicaid’s share of total resident days for 2006 through 201</w:t>
      </w:r>
      <w:r w:rsidR="000C123F">
        <w:rPr>
          <w:rFonts w:cs="Arial"/>
        </w:rPr>
        <w:t>5</w:t>
      </w:r>
      <w:r w:rsidRPr="00B42F2B">
        <w:rPr>
          <w:rFonts w:cs="Arial"/>
        </w:rPr>
        <w:t>.  Total resident days decreased 1</w:t>
      </w:r>
      <w:r w:rsidR="000C123F">
        <w:rPr>
          <w:rFonts w:cs="Arial"/>
        </w:rPr>
        <w:t>7.32</w:t>
      </w:r>
      <w:r w:rsidRPr="00B42F2B">
        <w:rPr>
          <w:rFonts w:cs="Arial"/>
        </w:rPr>
        <w:t xml:space="preserve"> percent over this period.  The Medicaid utilization rate also decreased </w:t>
      </w:r>
      <w:r w:rsidR="00662BC6">
        <w:rPr>
          <w:rFonts w:cs="Arial"/>
        </w:rPr>
        <w:t xml:space="preserve">slightly </w:t>
      </w:r>
      <w:r w:rsidRPr="00B42F2B">
        <w:rPr>
          <w:rFonts w:cs="Arial"/>
        </w:rPr>
        <w:t>between 2006 and 201</w:t>
      </w:r>
      <w:r w:rsidR="000C123F">
        <w:rPr>
          <w:rFonts w:cs="Arial"/>
        </w:rPr>
        <w:t>5</w:t>
      </w:r>
      <w:r w:rsidRPr="00B42F2B">
        <w:rPr>
          <w:rFonts w:cs="Arial"/>
        </w:rPr>
        <w:t xml:space="preserve"> </w:t>
      </w:r>
      <w:r w:rsidR="00662BC6">
        <w:rPr>
          <w:rFonts w:cs="Arial"/>
        </w:rPr>
        <w:t>(</w:t>
      </w:r>
      <w:r w:rsidRPr="00B42F2B">
        <w:rPr>
          <w:rFonts w:cs="Arial"/>
        </w:rPr>
        <w:t xml:space="preserve">from 63.1 percent to </w:t>
      </w:r>
      <w:r w:rsidR="000C123F">
        <w:rPr>
          <w:rFonts w:cs="Arial"/>
        </w:rPr>
        <w:t>60.22</w:t>
      </w:r>
      <w:r w:rsidRPr="00B42F2B">
        <w:rPr>
          <w:rFonts w:cs="Arial"/>
        </w:rPr>
        <w:t xml:space="preserve"> percent</w:t>
      </w:r>
      <w:r w:rsidR="00662BC6">
        <w:rPr>
          <w:rFonts w:cs="Arial"/>
        </w:rPr>
        <w:t>)</w:t>
      </w:r>
      <w:r w:rsidRPr="00B42F2B">
        <w:rPr>
          <w:rFonts w:cs="Arial"/>
        </w:rPr>
        <w:t xml:space="preserve">, </w:t>
      </w:r>
      <w:r w:rsidR="00662BC6">
        <w:rPr>
          <w:rFonts w:cs="Arial"/>
        </w:rPr>
        <w:t>but has for the most part remained fairly constant over the years analyzed</w:t>
      </w:r>
      <w:r w:rsidRPr="00B42F2B">
        <w:rPr>
          <w:rFonts w:cs="Arial"/>
        </w:rPr>
        <w:t>.</w:t>
      </w:r>
      <w:r w:rsidR="005D7DDD">
        <w:rPr>
          <w:rFonts w:cs="Arial"/>
        </w:rPr>
        <w:t xml:space="preserve">  Washington’s continued effort to expand community long-term care options is an important reason for the decrease in nursing facility utilization.  </w:t>
      </w:r>
    </w:p>
    <w:p w14:paraId="332140EE" w14:textId="77777777" w:rsidR="008B33DD" w:rsidRDefault="008B33DD" w:rsidP="00B42F2B">
      <w:pPr>
        <w:spacing w:after="240"/>
        <w:rPr>
          <w:rFonts w:cs="Arial"/>
        </w:rPr>
      </w:pPr>
    </w:p>
    <w:p w14:paraId="2FEDD690" w14:textId="1B2B7472" w:rsidR="00B42F2B" w:rsidRPr="00B42F2B" w:rsidRDefault="00B42F2B" w:rsidP="00B42F2B">
      <w:pPr>
        <w:spacing w:after="240"/>
        <w:rPr>
          <w:rFonts w:cs="Arial"/>
        </w:rPr>
      </w:pPr>
      <w:r w:rsidRPr="00B42F2B">
        <w:rPr>
          <w:rFonts w:cs="Arial"/>
          <w:b/>
        </w:rPr>
        <w:t>Table 2.2:  Nursing Facility Medicaid Utilization in Washington 2006 – 201</w:t>
      </w:r>
      <w:r w:rsidR="000C123F">
        <w:rPr>
          <w:rFonts w:cs="Arial"/>
          <w:b/>
        </w:rPr>
        <w:t>5</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668"/>
        <w:gridCol w:w="1980"/>
        <w:gridCol w:w="1870"/>
      </w:tblGrid>
      <w:tr w:rsidR="00B42F2B" w:rsidRPr="00B42F2B" w14:paraId="4D2EA55F"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524D19DE" w14:textId="77777777" w:rsidR="00B42F2B" w:rsidRPr="00B42F2B" w:rsidRDefault="00B42F2B" w:rsidP="00B42F2B">
            <w:pPr>
              <w:jc w:val="center"/>
              <w:rPr>
                <w:rFonts w:cs="Arial"/>
                <w:b/>
              </w:rPr>
            </w:pPr>
            <w:r w:rsidRPr="00B42F2B">
              <w:rPr>
                <w:rFonts w:cs="Arial"/>
                <w:b/>
              </w:rPr>
              <w:t>Calendar Year</w:t>
            </w:r>
          </w:p>
        </w:tc>
        <w:tc>
          <w:tcPr>
            <w:tcW w:w="1668" w:type="dxa"/>
            <w:tcBorders>
              <w:top w:val="single" w:sz="4" w:space="0" w:color="auto"/>
              <w:left w:val="single" w:sz="4" w:space="0" w:color="auto"/>
              <w:bottom w:val="single" w:sz="4" w:space="0" w:color="auto"/>
              <w:right w:val="single" w:sz="4" w:space="0" w:color="auto"/>
            </w:tcBorders>
            <w:vAlign w:val="bottom"/>
          </w:tcPr>
          <w:p w14:paraId="72E64564" w14:textId="77777777" w:rsidR="00B42F2B" w:rsidRPr="00B42F2B" w:rsidRDefault="00B42F2B" w:rsidP="00B42F2B">
            <w:pPr>
              <w:jc w:val="center"/>
              <w:rPr>
                <w:rFonts w:cs="Arial"/>
                <w:b/>
              </w:rPr>
            </w:pPr>
            <w:r w:rsidRPr="00B42F2B">
              <w:rPr>
                <w:rFonts w:cs="Arial"/>
                <w:b/>
              </w:rPr>
              <w:t>Number of Total Resident Days</w:t>
            </w:r>
          </w:p>
        </w:tc>
        <w:tc>
          <w:tcPr>
            <w:tcW w:w="1980" w:type="dxa"/>
            <w:tcBorders>
              <w:top w:val="single" w:sz="4" w:space="0" w:color="auto"/>
              <w:left w:val="single" w:sz="4" w:space="0" w:color="auto"/>
              <w:bottom w:val="single" w:sz="4" w:space="0" w:color="auto"/>
              <w:right w:val="single" w:sz="4" w:space="0" w:color="auto"/>
            </w:tcBorders>
            <w:vAlign w:val="bottom"/>
          </w:tcPr>
          <w:p w14:paraId="0701152D" w14:textId="77777777" w:rsidR="00B42F2B" w:rsidRPr="00B42F2B" w:rsidRDefault="00B42F2B" w:rsidP="00B42F2B">
            <w:pPr>
              <w:jc w:val="center"/>
              <w:rPr>
                <w:rFonts w:cs="Arial"/>
                <w:b/>
              </w:rPr>
            </w:pPr>
            <w:r w:rsidRPr="00B42F2B">
              <w:rPr>
                <w:rFonts w:cs="Arial"/>
                <w:b/>
              </w:rPr>
              <w:t xml:space="preserve">Number of Medicaid Resident Days </w:t>
            </w:r>
          </w:p>
        </w:tc>
        <w:tc>
          <w:tcPr>
            <w:tcW w:w="1870" w:type="dxa"/>
            <w:tcBorders>
              <w:top w:val="single" w:sz="4" w:space="0" w:color="auto"/>
              <w:left w:val="single" w:sz="4" w:space="0" w:color="auto"/>
              <w:bottom w:val="single" w:sz="4" w:space="0" w:color="auto"/>
              <w:right w:val="single" w:sz="4" w:space="0" w:color="auto"/>
            </w:tcBorders>
            <w:vAlign w:val="bottom"/>
          </w:tcPr>
          <w:p w14:paraId="4F961EF6" w14:textId="77777777" w:rsidR="00B42F2B" w:rsidRPr="00B42F2B" w:rsidRDefault="00B42F2B" w:rsidP="00B42F2B">
            <w:pPr>
              <w:jc w:val="center"/>
              <w:rPr>
                <w:rFonts w:cs="Arial"/>
                <w:b/>
              </w:rPr>
            </w:pPr>
            <w:r w:rsidRPr="00B42F2B">
              <w:rPr>
                <w:rFonts w:cs="Arial"/>
                <w:b/>
              </w:rPr>
              <w:t>Average Medicaid Utilization Rate</w:t>
            </w:r>
          </w:p>
        </w:tc>
      </w:tr>
      <w:tr w:rsidR="00B42F2B" w:rsidRPr="00B42F2B" w14:paraId="2F86E7E0"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118B1DD5" w14:textId="77777777" w:rsidR="00B42F2B" w:rsidRPr="00B42F2B" w:rsidRDefault="00B42F2B" w:rsidP="00B42F2B">
            <w:pPr>
              <w:jc w:val="center"/>
              <w:rPr>
                <w:rFonts w:cs="Arial"/>
              </w:rPr>
            </w:pPr>
            <w:r w:rsidRPr="00B42F2B">
              <w:rPr>
                <w:rFonts w:cs="Arial"/>
              </w:rPr>
              <w:t>2006</w:t>
            </w:r>
          </w:p>
        </w:tc>
        <w:tc>
          <w:tcPr>
            <w:tcW w:w="1668" w:type="dxa"/>
            <w:tcBorders>
              <w:top w:val="single" w:sz="4" w:space="0" w:color="auto"/>
              <w:left w:val="single" w:sz="4" w:space="0" w:color="auto"/>
              <w:bottom w:val="single" w:sz="4" w:space="0" w:color="auto"/>
              <w:right w:val="single" w:sz="4" w:space="0" w:color="auto"/>
            </w:tcBorders>
            <w:vAlign w:val="bottom"/>
          </w:tcPr>
          <w:p w14:paraId="21043292" w14:textId="77777777" w:rsidR="00B42F2B" w:rsidRPr="00B42F2B" w:rsidRDefault="00B42F2B" w:rsidP="00B42F2B">
            <w:pPr>
              <w:jc w:val="center"/>
              <w:rPr>
                <w:rFonts w:cs="Arial"/>
              </w:rPr>
            </w:pPr>
            <w:r w:rsidRPr="00B42F2B">
              <w:rPr>
                <w:rFonts w:cs="Arial"/>
              </w:rPr>
              <w:t>6,866,473</w:t>
            </w:r>
          </w:p>
        </w:tc>
        <w:tc>
          <w:tcPr>
            <w:tcW w:w="1980" w:type="dxa"/>
            <w:tcBorders>
              <w:top w:val="single" w:sz="4" w:space="0" w:color="auto"/>
              <w:left w:val="single" w:sz="4" w:space="0" w:color="auto"/>
              <w:bottom w:val="single" w:sz="4" w:space="0" w:color="auto"/>
              <w:right w:val="single" w:sz="4" w:space="0" w:color="auto"/>
            </w:tcBorders>
            <w:vAlign w:val="bottom"/>
          </w:tcPr>
          <w:p w14:paraId="3914DBBD" w14:textId="77777777" w:rsidR="00B42F2B" w:rsidRPr="00B42F2B" w:rsidRDefault="00B42F2B" w:rsidP="00B42F2B">
            <w:pPr>
              <w:jc w:val="center"/>
              <w:rPr>
                <w:rFonts w:cs="Arial"/>
              </w:rPr>
            </w:pPr>
            <w:r w:rsidRPr="00B42F2B">
              <w:rPr>
                <w:rFonts w:cs="Arial"/>
              </w:rPr>
              <w:t>4,330,720</w:t>
            </w:r>
          </w:p>
        </w:tc>
        <w:tc>
          <w:tcPr>
            <w:tcW w:w="1870" w:type="dxa"/>
            <w:tcBorders>
              <w:top w:val="single" w:sz="4" w:space="0" w:color="auto"/>
              <w:left w:val="single" w:sz="4" w:space="0" w:color="auto"/>
              <w:bottom w:val="single" w:sz="4" w:space="0" w:color="auto"/>
              <w:right w:val="single" w:sz="4" w:space="0" w:color="auto"/>
            </w:tcBorders>
            <w:vAlign w:val="bottom"/>
          </w:tcPr>
          <w:p w14:paraId="703EAD2F" w14:textId="77777777" w:rsidR="00B42F2B" w:rsidRPr="00B42F2B" w:rsidRDefault="00B42F2B" w:rsidP="00B42F2B">
            <w:pPr>
              <w:jc w:val="center"/>
              <w:rPr>
                <w:rFonts w:cs="Arial"/>
              </w:rPr>
            </w:pPr>
            <w:r w:rsidRPr="00B42F2B">
              <w:rPr>
                <w:rFonts w:cs="Arial"/>
              </w:rPr>
              <w:t>63.1%</w:t>
            </w:r>
          </w:p>
        </w:tc>
      </w:tr>
      <w:tr w:rsidR="00B42F2B" w:rsidRPr="00B42F2B" w14:paraId="35F0D19D"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657A4355" w14:textId="77777777" w:rsidR="00B42F2B" w:rsidRPr="00B42F2B" w:rsidRDefault="00B42F2B" w:rsidP="00B42F2B">
            <w:pPr>
              <w:jc w:val="center"/>
              <w:rPr>
                <w:rFonts w:cs="Arial"/>
              </w:rPr>
            </w:pPr>
            <w:r w:rsidRPr="00B42F2B">
              <w:rPr>
                <w:rFonts w:cs="Arial"/>
              </w:rPr>
              <w:t>2007</w:t>
            </w:r>
          </w:p>
        </w:tc>
        <w:tc>
          <w:tcPr>
            <w:tcW w:w="1668" w:type="dxa"/>
            <w:tcBorders>
              <w:top w:val="single" w:sz="4" w:space="0" w:color="auto"/>
              <w:left w:val="single" w:sz="4" w:space="0" w:color="auto"/>
              <w:bottom w:val="single" w:sz="4" w:space="0" w:color="auto"/>
              <w:right w:val="single" w:sz="4" w:space="0" w:color="auto"/>
            </w:tcBorders>
            <w:vAlign w:val="bottom"/>
          </w:tcPr>
          <w:p w14:paraId="1E75EE3F" w14:textId="77777777" w:rsidR="00B42F2B" w:rsidRPr="00B42F2B" w:rsidRDefault="00B42F2B" w:rsidP="00B42F2B">
            <w:pPr>
              <w:jc w:val="center"/>
              <w:rPr>
                <w:rFonts w:cs="Arial"/>
              </w:rPr>
            </w:pPr>
            <w:r w:rsidRPr="00B42F2B">
              <w:rPr>
                <w:rFonts w:cs="Arial"/>
              </w:rPr>
              <w:t>6,755,338</w:t>
            </w:r>
          </w:p>
        </w:tc>
        <w:tc>
          <w:tcPr>
            <w:tcW w:w="1980" w:type="dxa"/>
            <w:tcBorders>
              <w:top w:val="single" w:sz="4" w:space="0" w:color="auto"/>
              <w:left w:val="single" w:sz="4" w:space="0" w:color="auto"/>
              <w:bottom w:val="single" w:sz="4" w:space="0" w:color="auto"/>
              <w:right w:val="single" w:sz="4" w:space="0" w:color="auto"/>
            </w:tcBorders>
            <w:vAlign w:val="bottom"/>
          </w:tcPr>
          <w:p w14:paraId="2D419C9D" w14:textId="77777777" w:rsidR="00B42F2B" w:rsidRPr="00B42F2B" w:rsidRDefault="00B42F2B" w:rsidP="00B42F2B">
            <w:pPr>
              <w:jc w:val="center"/>
              <w:rPr>
                <w:rFonts w:cs="Arial"/>
              </w:rPr>
            </w:pPr>
            <w:r w:rsidRPr="00B42F2B">
              <w:rPr>
                <w:rFonts w:cs="Arial"/>
              </w:rPr>
              <w:t>4,149,481</w:t>
            </w:r>
          </w:p>
        </w:tc>
        <w:tc>
          <w:tcPr>
            <w:tcW w:w="1870" w:type="dxa"/>
            <w:tcBorders>
              <w:top w:val="single" w:sz="4" w:space="0" w:color="auto"/>
              <w:left w:val="single" w:sz="4" w:space="0" w:color="auto"/>
              <w:bottom w:val="single" w:sz="4" w:space="0" w:color="auto"/>
              <w:right w:val="single" w:sz="4" w:space="0" w:color="auto"/>
            </w:tcBorders>
            <w:vAlign w:val="bottom"/>
          </w:tcPr>
          <w:p w14:paraId="4921EF94" w14:textId="77777777" w:rsidR="00B42F2B" w:rsidRPr="00B42F2B" w:rsidRDefault="00B42F2B" w:rsidP="00B42F2B">
            <w:pPr>
              <w:jc w:val="center"/>
              <w:rPr>
                <w:rFonts w:cs="Arial"/>
              </w:rPr>
            </w:pPr>
            <w:r w:rsidRPr="00B42F2B">
              <w:rPr>
                <w:rFonts w:cs="Arial"/>
              </w:rPr>
              <w:t>61.4%</w:t>
            </w:r>
          </w:p>
        </w:tc>
      </w:tr>
      <w:tr w:rsidR="00B42F2B" w:rsidRPr="00B42F2B" w14:paraId="1C941791"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72A64D7F" w14:textId="77777777" w:rsidR="00B42F2B" w:rsidRPr="00B42F2B" w:rsidRDefault="00B42F2B" w:rsidP="00B42F2B">
            <w:pPr>
              <w:jc w:val="center"/>
              <w:rPr>
                <w:rFonts w:cs="Arial"/>
              </w:rPr>
            </w:pPr>
            <w:r w:rsidRPr="00B42F2B">
              <w:rPr>
                <w:rFonts w:cs="Arial"/>
              </w:rPr>
              <w:t>2008</w:t>
            </w:r>
          </w:p>
        </w:tc>
        <w:tc>
          <w:tcPr>
            <w:tcW w:w="1668" w:type="dxa"/>
            <w:tcBorders>
              <w:top w:val="single" w:sz="4" w:space="0" w:color="auto"/>
              <w:left w:val="single" w:sz="4" w:space="0" w:color="auto"/>
              <w:bottom w:val="single" w:sz="4" w:space="0" w:color="auto"/>
              <w:right w:val="single" w:sz="4" w:space="0" w:color="auto"/>
            </w:tcBorders>
            <w:vAlign w:val="bottom"/>
          </w:tcPr>
          <w:p w14:paraId="70F7FCB1" w14:textId="77777777" w:rsidR="00B42F2B" w:rsidRPr="00B42F2B" w:rsidRDefault="00B42F2B" w:rsidP="00B42F2B">
            <w:pPr>
              <w:jc w:val="center"/>
              <w:rPr>
                <w:rFonts w:cs="Arial"/>
              </w:rPr>
            </w:pPr>
            <w:r w:rsidRPr="00B42F2B">
              <w:rPr>
                <w:rFonts w:cs="Arial"/>
              </w:rPr>
              <w:t>6,632,100</w:t>
            </w:r>
          </w:p>
        </w:tc>
        <w:tc>
          <w:tcPr>
            <w:tcW w:w="1980" w:type="dxa"/>
            <w:tcBorders>
              <w:top w:val="single" w:sz="4" w:space="0" w:color="auto"/>
              <w:left w:val="single" w:sz="4" w:space="0" w:color="auto"/>
              <w:bottom w:val="single" w:sz="4" w:space="0" w:color="auto"/>
              <w:right w:val="single" w:sz="4" w:space="0" w:color="auto"/>
            </w:tcBorders>
            <w:vAlign w:val="bottom"/>
          </w:tcPr>
          <w:p w14:paraId="74A6005E" w14:textId="77777777" w:rsidR="00B42F2B" w:rsidRPr="00B42F2B" w:rsidRDefault="00B42F2B" w:rsidP="00B42F2B">
            <w:pPr>
              <w:jc w:val="center"/>
              <w:rPr>
                <w:rFonts w:cs="Arial"/>
              </w:rPr>
            </w:pPr>
            <w:r w:rsidRPr="00B42F2B">
              <w:rPr>
                <w:rFonts w:cs="Arial"/>
              </w:rPr>
              <w:t>4,028,671</w:t>
            </w:r>
          </w:p>
        </w:tc>
        <w:tc>
          <w:tcPr>
            <w:tcW w:w="1870" w:type="dxa"/>
            <w:tcBorders>
              <w:top w:val="single" w:sz="4" w:space="0" w:color="auto"/>
              <w:left w:val="single" w:sz="4" w:space="0" w:color="auto"/>
              <w:bottom w:val="single" w:sz="4" w:space="0" w:color="auto"/>
              <w:right w:val="single" w:sz="4" w:space="0" w:color="auto"/>
            </w:tcBorders>
            <w:vAlign w:val="bottom"/>
          </w:tcPr>
          <w:p w14:paraId="1F690FE9" w14:textId="77777777" w:rsidR="00B42F2B" w:rsidRPr="00B42F2B" w:rsidRDefault="00B42F2B" w:rsidP="00B42F2B">
            <w:pPr>
              <w:jc w:val="center"/>
              <w:rPr>
                <w:rFonts w:cs="Arial"/>
              </w:rPr>
            </w:pPr>
            <w:r w:rsidRPr="00B42F2B">
              <w:rPr>
                <w:rFonts w:cs="Arial"/>
              </w:rPr>
              <w:t>60.7%</w:t>
            </w:r>
          </w:p>
        </w:tc>
      </w:tr>
      <w:tr w:rsidR="00B42F2B" w:rsidRPr="00B42F2B" w14:paraId="51B5768C"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7858D8CF" w14:textId="77777777" w:rsidR="00B42F2B" w:rsidRPr="00B42F2B" w:rsidRDefault="00B42F2B" w:rsidP="00B42F2B">
            <w:pPr>
              <w:jc w:val="center"/>
              <w:rPr>
                <w:rFonts w:cs="Arial"/>
              </w:rPr>
            </w:pPr>
            <w:r w:rsidRPr="00B42F2B">
              <w:rPr>
                <w:rFonts w:cs="Arial"/>
              </w:rPr>
              <w:t>2009</w:t>
            </w:r>
          </w:p>
        </w:tc>
        <w:tc>
          <w:tcPr>
            <w:tcW w:w="1668" w:type="dxa"/>
            <w:tcBorders>
              <w:top w:val="single" w:sz="4" w:space="0" w:color="auto"/>
              <w:left w:val="single" w:sz="4" w:space="0" w:color="auto"/>
              <w:bottom w:val="single" w:sz="4" w:space="0" w:color="auto"/>
              <w:right w:val="single" w:sz="4" w:space="0" w:color="auto"/>
            </w:tcBorders>
            <w:vAlign w:val="bottom"/>
          </w:tcPr>
          <w:p w14:paraId="038273D1" w14:textId="77777777" w:rsidR="00B42F2B" w:rsidRPr="00B42F2B" w:rsidRDefault="00B42F2B" w:rsidP="00B42F2B">
            <w:pPr>
              <w:jc w:val="center"/>
              <w:rPr>
                <w:rFonts w:cs="Arial"/>
              </w:rPr>
            </w:pPr>
            <w:r w:rsidRPr="00B42F2B">
              <w:rPr>
                <w:rFonts w:cs="Arial"/>
              </w:rPr>
              <w:t>6,369,275</w:t>
            </w:r>
          </w:p>
        </w:tc>
        <w:tc>
          <w:tcPr>
            <w:tcW w:w="1980" w:type="dxa"/>
            <w:tcBorders>
              <w:top w:val="single" w:sz="4" w:space="0" w:color="auto"/>
              <w:left w:val="single" w:sz="4" w:space="0" w:color="auto"/>
              <w:bottom w:val="single" w:sz="4" w:space="0" w:color="auto"/>
              <w:right w:val="single" w:sz="4" w:space="0" w:color="auto"/>
            </w:tcBorders>
            <w:vAlign w:val="bottom"/>
          </w:tcPr>
          <w:p w14:paraId="3EA1BAB8" w14:textId="77777777" w:rsidR="00B42F2B" w:rsidRPr="00B42F2B" w:rsidRDefault="00B42F2B" w:rsidP="00B42F2B">
            <w:pPr>
              <w:jc w:val="center"/>
              <w:rPr>
                <w:rFonts w:cs="Arial"/>
              </w:rPr>
            </w:pPr>
            <w:r w:rsidRPr="00B42F2B">
              <w:rPr>
                <w:rFonts w:cs="Arial"/>
              </w:rPr>
              <w:t>3,886,492</w:t>
            </w:r>
          </w:p>
        </w:tc>
        <w:tc>
          <w:tcPr>
            <w:tcW w:w="1870" w:type="dxa"/>
            <w:tcBorders>
              <w:top w:val="single" w:sz="4" w:space="0" w:color="auto"/>
              <w:left w:val="single" w:sz="4" w:space="0" w:color="auto"/>
              <w:bottom w:val="single" w:sz="4" w:space="0" w:color="auto"/>
              <w:right w:val="single" w:sz="4" w:space="0" w:color="auto"/>
            </w:tcBorders>
            <w:vAlign w:val="bottom"/>
          </w:tcPr>
          <w:p w14:paraId="5D84FB9C" w14:textId="77777777" w:rsidR="00B42F2B" w:rsidRPr="00B42F2B" w:rsidRDefault="00B42F2B" w:rsidP="00B42F2B">
            <w:pPr>
              <w:jc w:val="center"/>
              <w:rPr>
                <w:rFonts w:cs="Arial"/>
              </w:rPr>
            </w:pPr>
            <w:r w:rsidRPr="00B42F2B">
              <w:rPr>
                <w:rFonts w:cs="Arial"/>
              </w:rPr>
              <w:t>61.0%</w:t>
            </w:r>
          </w:p>
        </w:tc>
      </w:tr>
      <w:tr w:rsidR="00B42F2B" w:rsidRPr="00B42F2B" w14:paraId="6B565101"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3991C1C2" w14:textId="77777777" w:rsidR="00B42F2B" w:rsidRPr="00B42F2B" w:rsidRDefault="00B42F2B" w:rsidP="00B42F2B">
            <w:pPr>
              <w:jc w:val="center"/>
              <w:rPr>
                <w:rFonts w:cs="Arial"/>
              </w:rPr>
            </w:pPr>
            <w:r w:rsidRPr="00B42F2B">
              <w:rPr>
                <w:rFonts w:cs="Arial"/>
              </w:rPr>
              <w:t>2010</w:t>
            </w:r>
          </w:p>
        </w:tc>
        <w:tc>
          <w:tcPr>
            <w:tcW w:w="1668" w:type="dxa"/>
            <w:tcBorders>
              <w:top w:val="single" w:sz="4" w:space="0" w:color="auto"/>
              <w:left w:val="single" w:sz="4" w:space="0" w:color="auto"/>
              <w:bottom w:val="single" w:sz="4" w:space="0" w:color="auto"/>
              <w:right w:val="single" w:sz="4" w:space="0" w:color="auto"/>
            </w:tcBorders>
            <w:vAlign w:val="bottom"/>
          </w:tcPr>
          <w:p w14:paraId="27C314B5" w14:textId="77777777" w:rsidR="00B42F2B" w:rsidRPr="00B42F2B" w:rsidRDefault="00B42F2B" w:rsidP="00B42F2B">
            <w:pPr>
              <w:jc w:val="center"/>
              <w:rPr>
                <w:rFonts w:cs="Arial"/>
              </w:rPr>
            </w:pPr>
            <w:r w:rsidRPr="00B42F2B">
              <w:rPr>
                <w:rFonts w:cs="Arial"/>
              </w:rPr>
              <w:t>6,122,754</w:t>
            </w:r>
          </w:p>
        </w:tc>
        <w:tc>
          <w:tcPr>
            <w:tcW w:w="1980" w:type="dxa"/>
            <w:tcBorders>
              <w:top w:val="single" w:sz="4" w:space="0" w:color="auto"/>
              <w:left w:val="single" w:sz="4" w:space="0" w:color="auto"/>
              <w:bottom w:val="single" w:sz="4" w:space="0" w:color="auto"/>
              <w:right w:val="single" w:sz="4" w:space="0" w:color="auto"/>
            </w:tcBorders>
            <w:vAlign w:val="bottom"/>
          </w:tcPr>
          <w:p w14:paraId="01FE2672" w14:textId="77777777" w:rsidR="00B42F2B" w:rsidRPr="00B42F2B" w:rsidRDefault="00B42F2B" w:rsidP="00B42F2B">
            <w:pPr>
              <w:jc w:val="center"/>
              <w:rPr>
                <w:rFonts w:cs="Arial"/>
              </w:rPr>
            </w:pPr>
            <w:r w:rsidRPr="00B42F2B">
              <w:rPr>
                <w:rFonts w:cs="Arial"/>
              </w:rPr>
              <w:t>3,592,405</w:t>
            </w:r>
          </w:p>
        </w:tc>
        <w:tc>
          <w:tcPr>
            <w:tcW w:w="1870" w:type="dxa"/>
            <w:tcBorders>
              <w:top w:val="single" w:sz="4" w:space="0" w:color="auto"/>
              <w:left w:val="single" w:sz="4" w:space="0" w:color="auto"/>
              <w:bottom w:val="single" w:sz="4" w:space="0" w:color="auto"/>
              <w:right w:val="single" w:sz="4" w:space="0" w:color="auto"/>
            </w:tcBorders>
            <w:vAlign w:val="bottom"/>
          </w:tcPr>
          <w:p w14:paraId="0E1589DB" w14:textId="77777777" w:rsidR="00B42F2B" w:rsidRPr="00B42F2B" w:rsidRDefault="00B42F2B" w:rsidP="00B42F2B">
            <w:pPr>
              <w:jc w:val="center"/>
              <w:rPr>
                <w:rFonts w:cs="Arial"/>
              </w:rPr>
            </w:pPr>
            <w:r w:rsidRPr="00B42F2B">
              <w:rPr>
                <w:rFonts w:cs="Arial"/>
              </w:rPr>
              <w:t>58.7%</w:t>
            </w:r>
          </w:p>
        </w:tc>
      </w:tr>
      <w:tr w:rsidR="00B42F2B" w:rsidRPr="00B42F2B" w14:paraId="7C5C5052"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696E77EA" w14:textId="77777777" w:rsidR="00B42F2B" w:rsidRPr="00B42F2B" w:rsidRDefault="00B42F2B" w:rsidP="00B42F2B">
            <w:pPr>
              <w:jc w:val="center"/>
              <w:rPr>
                <w:rFonts w:cs="Arial"/>
              </w:rPr>
            </w:pPr>
            <w:r w:rsidRPr="00B42F2B">
              <w:rPr>
                <w:rFonts w:cs="Arial"/>
              </w:rPr>
              <w:t>2011</w:t>
            </w:r>
          </w:p>
        </w:tc>
        <w:tc>
          <w:tcPr>
            <w:tcW w:w="1668" w:type="dxa"/>
            <w:tcBorders>
              <w:top w:val="single" w:sz="4" w:space="0" w:color="auto"/>
              <w:left w:val="single" w:sz="4" w:space="0" w:color="auto"/>
              <w:bottom w:val="single" w:sz="4" w:space="0" w:color="auto"/>
              <w:right w:val="single" w:sz="4" w:space="0" w:color="auto"/>
            </w:tcBorders>
            <w:vAlign w:val="bottom"/>
          </w:tcPr>
          <w:p w14:paraId="4DFB4338" w14:textId="77777777" w:rsidR="00B42F2B" w:rsidRPr="00B42F2B" w:rsidRDefault="00B42F2B" w:rsidP="00B42F2B">
            <w:pPr>
              <w:jc w:val="center"/>
              <w:rPr>
                <w:rFonts w:cs="Arial"/>
              </w:rPr>
            </w:pPr>
            <w:r w:rsidRPr="00B42F2B">
              <w:rPr>
                <w:rFonts w:cs="Arial"/>
              </w:rPr>
              <w:t>6,120,296</w:t>
            </w:r>
          </w:p>
        </w:tc>
        <w:tc>
          <w:tcPr>
            <w:tcW w:w="1980" w:type="dxa"/>
            <w:tcBorders>
              <w:top w:val="single" w:sz="4" w:space="0" w:color="auto"/>
              <w:left w:val="single" w:sz="4" w:space="0" w:color="auto"/>
              <w:bottom w:val="single" w:sz="4" w:space="0" w:color="auto"/>
              <w:right w:val="single" w:sz="4" w:space="0" w:color="auto"/>
            </w:tcBorders>
            <w:vAlign w:val="bottom"/>
          </w:tcPr>
          <w:p w14:paraId="3B4E94CF" w14:textId="77777777" w:rsidR="00B42F2B" w:rsidRPr="00B42F2B" w:rsidRDefault="00B42F2B" w:rsidP="00B42F2B">
            <w:pPr>
              <w:jc w:val="center"/>
              <w:rPr>
                <w:rFonts w:cs="Arial"/>
              </w:rPr>
            </w:pPr>
            <w:r w:rsidRPr="00B42F2B">
              <w:rPr>
                <w:rFonts w:cs="Arial"/>
              </w:rPr>
              <w:t>3,685,180</w:t>
            </w:r>
          </w:p>
        </w:tc>
        <w:tc>
          <w:tcPr>
            <w:tcW w:w="1870" w:type="dxa"/>
            <w:tcBorders>
              <w:top w:val="single" w:sz="4" w:space="0" w:color="auto"/>
              <w:left w:val="single" w:sz="4" w:space="0" w:color="auto"/>
              <w:bottom w:val="single" w:sz="4" w:space="0" w:color="auto"/>
              <w:right w:val="single" w:sz="4" w:space="0" w:color="auto"/>
            </w:tcBorders>
            <w:vAlign w:val="bottom"/>
          </w:tcPr>
          <w:p w14:paraId="50AF9E64" w14:textId="77777777" w:rsidR="00B42F2B" w:rsidRPr="00B42F2B" w:rsidRDefault="00B42F2B" w:rsidP="00B42F2B">
            <w:pPr>
              <w:jc w:val="center"/>
              <w:rPr>
                <w:rFonts w:cs="Arial"/>
              </w:rPr>
            </w:pPr>
            <w:r w:rsidRPr="00B42F2B">
              <w:rPr>
                <w:rFonts w:cs="Arial"/>
              </w:rPr>
              <w:t>60.2%</w:t>
            </w:r>
          </w:p>
        </w:tc>
      </w:tr>
      <w:tr w:rsidR="00B42F2B" w:rsidRPr="00B42F2B" w14:paraId="103044BE"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7C824C80" w14:textId="77777777" w:rsidR="00B42F2B" w:rsidRPr="00B42F2B" w:rsidRDefault="00B42F2B" w:rsidP="00B42F2B">
            <w:pPr>
              <w:jc w:val="center"/>
              <w:rPr>
                <w:rFonts w:cs="Arial"/>
              </w:rPr>
            </w:pPr>
            <w:r w:rsidRPr="00B42F2B">
              <w:rPr>
                <w:rFonts w:cs="Arial"/>
              </w:rPr>
              <w:t>2012</w:t>
            </w:r>
          </w:p>
        </w:tc>
        <w:tc>
          <w:tcPr>
            <w:tcW w:w="1668" w:type="dxa"/>
            <w:tcBorders>
              <w:top w:val="single" w:sz="4" w:space="0" w:color="auto"/>
              <w:left w:val="single" w:sz="4" w:space="0" w:color="auto"/>
              <w:bottom w:val="single" w:sz="4" w:space="0" w:color="auto"/>
              <w:right w:val="single" w:sz="4" w:space="0" w:color="auto"/>
            </w:tcBorders>
            <w:vAlign w:val="bottom"/>
          </w:tcPr>
          <w:p w14:paraId="2DBDCE4D" w14:textId="77777777" w:rsidR="00B42F2B" w:rsidRPr="00B42F2B" w:rsidRDefault="00B42F2B" w:rsidP="00B42F2B">
            <w:pPr>
              <w:jc w:val="center"/>
              <w:rPr>
                <w:rFonts w:cs="Arial"/>
              </w:rPr>
            </w:pPr>
            <w:r w:rsidRPr="00B42F2B">
              <w:rPr>
                <w:rFonts w:cs="Arial"/>
              </w:rPr>
              <w:t>6,085,563</w:t>
            </w:r>
          </w:p>
        </w:tc>
        <w:tc>
          <w:tcPr>
            <w:tcW w:w="1980" w:type="dxa"/>
            <w:tcBorders>
              <w:top w:val="single" w:sz="4" w:space="0" w:color="auto"/>
              <w:left w:val="single" w:sz="4" w:space="0" w:color="auto"/>
              <w:bottom w:val="single" w:sz="4" w:space="0" w:color="auto"/>
              <w:right w:val="single" w:sz="4" w:space="0" w:color="auto"/>
            </w:tcBorders>
            <w:vAlign w:val="bottom"/>
          </w:tcPr>
          <w:p w14:paraId="65A026EE" w14:textId="77777777" w:rsidR="00B42F2B" w:rsidRPr="00B42F2B" w:rsidRDefault="00B42F2B" w:rsidP="00B42F2B">
            <w:pPr>
              <w:jc w:val="center"/>
              <w:rPr>
                <w:rFonts w:cs="Arial"/>
              </w:rPr>
            </w:pPr>
            <w:r w:rsidRPr="00B42F2B">
              <w:rPr>
                <w:rFonts w:cs="Arial"/>
              </w:rPr>
              <w:t>3,656,784</w:t>
            </w:r>
          </w:p>
        </w:tc>
        <w:tc>
          <w:tcPr>
            <w:tcW w:w="1870" w:type="dxa"/>
            <w:tcBorders>
              <w:top w:val="single" w:sz="4" w:space="0" w:color="auto"/>
              <w:left w:val="single" w:sz="4" w:space="0" w:color="auto"/>
              <w:bottom w:val="single" w:sz="4" w:space="0" w:color="auto"/>
              <w:right w:val="single" w:sz="4" w:space="0" w:color="auto"/>
            </w:tcBorders>
            <w:vAlign w:val="bottom"/>
          </w:tcPr>
          <w:p w14:paraId="4C0252D3" w14:textId="77777777" w:rsidR="00B42F2B" w:rsidRPr="00B42F2B" w:rsidRDefault="00B42F2B" w:rsidP="00B42F2B">
            <w:pPr>
              <w:jc w:val="center"/>
              <w:rPr>
                <w:rFonts w:cs="Arial"/>
              </w:rPr>
            </w:pPr>
            <w:r w:rsidRPr="00B42F2B">
              <w:rPr>
                <w:rFonts w:cs="Arial"/>
              </w:rPr>
              <w:t>60.1%</w:t>
            </w:r>
          </w:p>
        </w:tc>
      </w:tr>
      <w:tr w:rsidR="00B42F2B" w:rsidRPr="00B42F2B" w14:paraId="767DE2EB"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26C9E991" w14:textId="77777777" w:rsidR="00B42F2B" w:rsidRPr="00B42F2B" w:rsidRDefault="00B42F2B" w:rsidP="00B42F2B">
            <w:pPr>
              <w:jc w:val="center"/>
              <w:rPr>
                <w:rFonts w:cs="Arial"/>
              </w:rPr>
            </w:pPr>
            <w:r w:rsidRPr="00B42F2B">
              <w:rPr>
                <w:rFonts w:cs="Arial"/>
              </w:rPr>
              <w:t>2013</w:t>
            </w:r>
          </w:p>
        </w:tc>
        <w:tc>
          <w:tcPr>
            <w:tcW w:w="1668" w:type="dxa"/>
            <w:tcBorders>
              <w:top w:val="single" w:sz="4" w:space="0" w:color="auto"/>
              <w:left w:val="single" w:sz="4" w:space="0" w:color="auto"/>
              <w:bottom w:val="single" w:sz="4" w:space="0" w:color="auto"/>
              <w:right w:val="single" w:sz="4" w:space="0" w:color="auto"/>
            </w:tcBorders>
            <w:vAlign w:val="bottom"/>
          </w:tcPr>
          <w:p w14:paraId="2B123086" w14:textId="77777777" w:rsidR="00B42F2B" w:rsidRPr="00B42F2B" w:rsidRDefault="00B42F2B" w:rsidP="00B42F2B">
            <w:pPr>
              <w:jc w:val="center"/>
              <w:rPr>
                <w:rFonts w:cs="Arial"/>
              </w:rPr>
            </w:pPr>
            <w:r w:rsidRPr="00B42F2B">
              <w:rPr>
                <w:rFonts w:cs="Arial"/>
              </w:rPr>
              <w:t>5,956,826</w:t>
            </w:r>
          </w:p>
        </w:tc>
        <w:tc>
          <w:tcPr>
            <w:tcW w:w="1980" w:type="dxa"/>
            <w:tcBorders>
              <w:top w:val="single" w:sz="4" w:space="0" w:color="auto"/>
              <w:left w:val="single" w:sz="4" w:space="0" w:color="auto"/>
              <w:bottom w:val="single" w:sz="4" w:space="0" w:color="auto"/>
              <w:right w:val="single" w:sz="4" w:space="0" w:color="auto"/>
            </w:tcBorders>
            <w:vAlign w:val="bottom"/>
          </w:tcPr>
          <w:p w14:paraId="73DC5E24" w14:textId="77777777" w:rsidR="00B42F2B" w:rsidRPr="00B42F2B" w:rsidRDefault="00B42F2B" w:rsidP="00B42F2B">
            <w:pPr>
              <w:jc w:val="center"/>
              <w:rPr>
                <w:rFonts w:cs="Arial"/>
              </w:rPr>
            </w:pPr>
            <w:r w:rsidRPr="00B42F2B">
              <w:rPr>
                <w:rFonts w:cs="Arial"/>
              </w:rPr>
              <w:t>3,549,713</w:t>
            </w:r>
          </w:p>
        </w:tc>
        <w:tc>
          <w:tcPr>
            <w:tcW w:w="1870" w:type="dxa"/>
            <w:tcBorders>
              <w:top w:val="single" w:sz="4" w:space="0" w:color="auto"/>
              <w:left w:val="single" w:sz="4" w:space="0" w:color="auto"/>
              <w:bottom w:val="single" w:sz="4" w:space="0" w:color="auto"/>
              <w:right w:val="single" w:sz="4" w:space="0" w:color="auto"/>
            </w:tcBorders>
            <w:vAlign w:val="bottom"/>
          </w:tcPr>
          <w:p w14:paraId="681486A2" w14:textId="77777777" w:rsidR="00B42F2B" w:rsidRPr="00B42F2B" w:rsidRDefault="00B42F2B" w:rsidP="00B42F2B">
            <w:pPr>
              <w:jc w:val="center"/>
              <w:rPr>
                <w:rFonts w:cs="Arial"/>
              </w:rPr>
            </w:pPr>
            <w:r w:rsidRPr="00B42F2B">
              <w:rPr>
                <w:rFonts w:cs="Arial"/>
              </w:rPr>
              <w:t>59.6%</w:t>
            </w:r>
          </w:p>
        </w:tc>
      </w:tr>
      <w:tr w:rsidR="00B42F2B" w:rsidRPr="00B42F2B" w14:paraId="3CC6DB9C"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56774B0E" w14:textId="77777777" w:rsidR="00B42F2B" w:rsidRPr="00B42F2B" w:rsidRDefault="00B42F2B" w:rsidP="00B42F2B">
            <w:pPr>
              <w:jc w:val="center"/>
              <w:rPr>
                <w:rFonts w:cs="Arial"/>
              </w:rPr>
            </w:pPr>
            <w:r w:rsidRPr="00B42F2B">
              <w:rPr>
                <w:rFonts w:cs="Arial"/>
              </w:rPr>
              <w:t>2014</w:t>
            </w:r>
          </w:p>
        </w:tc>
        <w:tc>
          <w:tcPr>
            <w:tcW w:w="1668" w:type="dxa"/>
            <w:tcBorders>
              <w:top w:val="single" w:sz="4" w:space="0" w:color="auto"/>
              <w:left w:val="single" w:sz="4" w:space="0" w:color="auto"/>
              <w:bottom w:val="single" w:sz="4" w:space="0" w:color="auto"/>
              <w:right w:val="single" w:sz="4" w:space="0" w:color="auto"/>
            </w:tcBorders>
          </w:tcPr>
          <w:p w14:paraId="39873154" w14:textId="77777777" w:rsidR="00B42F2B" w:rsidRPr="00B42F2B" w:rsidRDefault="00B42F2B" w:rsidP="00B42F2B">
            <w:pPr>
              <w:jc w:val="center"/>
              <w:rPr>
                <w:rFonts w:cs="Arial"/>
              </w:rPr>
            </w:pPr>
            <w:r w:rsidRPr="00B42F2B">
              <w:rPr>
                <w:rFonts w:cs="Arial"/>
              </w:rPr>
              <w:t xml:space="preserve"> 5,986,227 </w:t>
            </w:r>
          </w:p>
        </w:tc>
        <w:tc>
          <w:tcPr>
            <w:tcW w:w="1980" w:type="dxa"/>
            <w:tcBorders>
              <w:top w:val="single" w:sz="4" w:space="0" w:color="auto"/>
              <w:left w:val="single" w:sz="4" w:space="0" w:color="auto"/>
              <w:bottom w:val="single" w:sz="4" w:space="0" w:color="auto"/>
              <w:right w:val="single" w:sz="4" w:space="0" w:color="auto"/>
            </w:tcBorders>
          </w:tcPr>
          <w:p w14:paraId="127C23CF" w14:textId="77777777" w:rsidR="00B42F2B" w:rsidRPr="00B42F2B" w:rsidRDefault="00B42F2B" w:rsidP="00B42F2B">
            <w:pPr>
              <w:jc w:val="center"/>
              <w:rPr>
                <w:rFonts w:cs="Arial"/>
              </w:rPr>
            </w:pPr>
            <w:r w:rsidRPr="00B42F2B">
              <w:rPr>
                <w:rFonts w:cs="Arial"/>
              </w:rPr>
              <w:t xml:space="preserve"> 3,515,615 </w:t>
            </w:r>
          </w:p>
        </w:tc>
        <w:tc>
          <w:tcPr>
            <w:tcW w:w="1870" w:type="dxa"/>
            <w:tcBorders>
              <w:top w:val="single" w:sz="4" w:space="0" w:color="auto"/>
              <w:left w:val="single" w:sz="4" w:space="0" w:color="auto"/>
              <w:bottom w:val="single" w:sz="4" w:space="0" w:color="auto"/>
              <w:right w:val="single" w:sz="4" w:space="0" w:color="auto"/>
            </w:tcBorders>
          </w:tcPr>
          <w:p w14:paraId="3F7669D5" w14:textId="77777777" w:rsidR="00B42F2B" w:rsidRPr="00B42F2B" w:rsidRDefault="00B42F2B" w:rsidP="00B42F2B">
            <w:pPr>
              <w:jc w:val="center"/>
              <w:rPr>
                <w:rFonts w:cs="Arial"/>
              </w:rPr>
            </w:pPr>
            <w:r w:rsidRPr="00B42F2B">
              <w:rPr>
                <w:rFonts w:cs="Arial"/>
              </w:rPr>
              <w:t>58.7%</w:t>
            </w:r>
          </w:p>
        </w:tc>
      </w:tr>
      <w:tr w:rsidR="000C123F" w:rsidRPr="00B42F2B" w14:paraId="01B087A6" w14:textId="77777777" w:rsidTr="00B42F2B">
        <w:tc>
          <w:tcPr>
            <w:tcW w:w="1080" w:type="dxa"/>
            <w:tcBorders>
              <w:top w:val="single" w:sz="4" w:space="0" w:color="auto"/>
              <w:left w:val="single" w:sz="4" w:space="0" w:color="auto"/>
              <w:bottom w:val="single" w:sz="4" w:space="0" w:color="auto"/>
              <w:right w:val="single" w:sz="4" w:space="0" w:color="auto"/>
            </w:tcBorders>
            <w:vAlign w:val="bottom"/>
          </w:tcPr>
          <w:p w14:paraId="397A84B8" w14:textId="6C50A2F9" w:rsidR="000C123F" w:rsidRPr="00B42F2B" w:rsidRDefault="000C123F" w:rsidP="00B42F2B">
            <w:pPr>
              <w:jc w:val="center"/>
              <w:rPr>
                <w:rFonts w:cs="Arial"/>
              </w:rPr>
            </w:pPr>
            <w:r>
              <w:rPr>
                <w:rFonts w:cs="Arial"/>
              </w:rPr>
              <w:t>2015</w:t>
            </w:r>
          </w:p>
        </w:tc>
        <w:tc>
          <w:tcPr>
            <w:tcW w:w="1668" w:type="dxa"/>
            <w:tcBorders>
              <w:top w:val="single" w:sz="4" w:space="0" w:color="auto"/>
              <w:left w:val="single" w:sz="4" w:space="0" w:color="auto"/>
              <w:bottom w:val="single" w:sz="4" w:space="0" w:color="auto"/>
              <w:right w:val="single" w:sz="4" w:space="0" w:color="auto"/>
            </w:tcBorders>
          </w:tcPr>
          <w:p w14:paraId="2C4266D4" w14:textId="6C892916" w:rsidR="000C123F" w:rsidRPr="00B42F2B" w:rsidRDefault="000C123F" w:rsidP="00B42F2B">
            <w:pPr>
              <w:jc w:val="center"/>
              <w:rPr>
                <w:rFonts w:cs="Arial"/>
              </w:rPr>
            </w:pPr>
            <w:r>
              <w:rPr>
                <w:rFonts w:cs="Arial"/>
              </w:rPr>
              <w:t>5,676,946</w:t>
            </w:r>
          </w:p>
        </w:tc>
        <w:tc>
          <w:tcPr>
            <w:tcW w:w="1980" w:type="dxa"/>
            <w:tcBorders>
              <w:top w:val="single" w:sz="4" w:space="0" w:color="auto"/>
              <w:left w:val="single" w:sz="4" w:space="0" w:color="auto"/>
              <w:bottom w:val="single" w:sz="4" w:space="0" w:color="auto"/>
              <w:right w:val="single" w:sz="4" w:space="0" w:color="auto"/>
            </w:tcBorders>
          </w:tcPr>
          <w:p w14:paraId="0A6FA0A5" w14:textId="64FA20DC" w:rsidR="000C123F" w:rsidRPr="00B42F2B" w:rsidRDefault="000C123F" w:rsidP="00B42F2B">
            <w:pPr>
              <w:jc w:val="center"/>
              <w:rPr>
                <w:rFonts w:cs="Arial"/>
              </w:rPr>
            </w:pPr>
            <w:r>
              <w:rPr>
                <w:rFonts w:cs="Arial"/>
              </w:rPr>
              <w:t>3,418,496</w:t>
            </w:r>
          </w:p>
        </w:tc>
        <w:tc>
          <w:tcPr>
            <w:tcW w:w="1870" w:type="dxa"/>
            <w:tcBorders>
              <w:top w:val="single" w:sz="4" w:space="0" w:color="auto"/>
              <w:left w:val="single" w:sz="4" w:space="0" w:color="auto"/>
              <w:bottom w:val="single" w:sz="4" w:space="0" w:color="auto"/>
              <w:right w:val="single" w:sz="4" w:space="0" w:color="auto"/>
            </w:tcBorders>
          </w:tcPr>
          <w:p w14:paraId="7772944F" w14:textId="2C068D2F" w:rsidR="000C123F" w:rsidRPr="00B42F2B" w:rsidRDefault="000C123F" w:rsidP="00B42F2B">
            <w:pPr>
              <w:jc w:val="center"/>
              <w:rPr>
                <w:rFonts w:cs="Arial"/>
              </w:rPr>
            </w:pPr>
            <w:r>
              <w:rPr>
                <w:rFonts w:cs="Arial"/>
              </w:rPr>
              <w:t>60.2%</w:t>
            </w:r>
          </w:p>
        </w:tc>
      </w:tr>
    </w:tbl>
    <w:p w14:paraId="4113222A" w14:textId="77777777" w:rsidR="00B42F2B" w:rsidRPr="00B42F2B" w:rsidRDefault="00B42F2B" w:rsidP="00B42F2B">
      <w:pPr>
        <w:rPr>
          <w:rFonts w:cs="Arial"/>
          <w:sz w:val="18"/>
        </w:rPr>
      </w:pPr>
      <w:r w:rsidRPr="00B42F2B">
        <w:rPr>
          <w:rFonts w:cs="Arial"/>
          <w:sz w:val="18"/>
        </w:rPr>
        <w:t xml:space="preserve">Source:  </w:t>
      </w:r>
    </w:p>
    <w:p w14:paraId="16127728" w14:textId="77777777" w:rsidR="00B42F2B" w:rsidRPr="00B42F2B" w:rsidRDefault="00B42F2B" w:rsidP="00B42F2B">
      <w:pPr>
        <w:rPr>
          <w:rFonts w:cs="Arial"/>
          <w:sz w:val="18"/>
        </w:rPr>
      </w:pPr>
      <w:r w:rsidRPr="00B42F2B">
        <w:rPr>
          <w:rFonts w:cs="Arial"/>
          <w:sz w:val="18"/>
        </w:rPr>
        <w:t>Number of Total Resident Days, Number of Medicaid Resident Days and Average Medicaid Utilization Rate were determined from data provided by the Department.</w:t>
      </w:r>
    </w:p>
    <w:p w14:paraId="0596DA76" w14:textId="77777777" w:rsidR="005E6B7E" w:rsidRDefault="005E6B7E" w:rsidP="00B42F2B">
      <w:pPr>
        <w:spacing w:before="0" w:after="0"/>
        <w:rPr>
          <w:rFonts w:cs="Arial"/>
        </w:rPr>
      </w:pPr>
    </w:p>
    <w:p w14:paraId="79AEF417" w14:textId="77777777" w:rsidR="00B42F2B" w:rsidRPr="00B42F2B" w:rsidRDefault="00B42F2B" w:rsidP="00B42F2B">
      <w:pPr>
        <w:spacing w:before="0" w:after="0"/>
        <w:rPr>
          <w:rFonts w:cs="Arial"/>
        </w:rPr>
      </w:pPr>
      <w:r w:rsidRPr="00B42F2B">
        <w:rPr>
          <w:rFonts w:cs="Arial"/>
        </w:rPr>
        <w:lastRenderedPageBreak/>
        <w:t>Nursing facility occupancy rates measure the extent to which existing beds are filled with patients.  Thus, occupancy rates are one of the metrics that can be used to measure the industry’s efficiency – how well physical plants are utilized.  Occupancy rates can also be indicators of whether there is sufficient nursing facility capacity to meet the population’s demand for services.  High occupancy rates may suggest potential access problems as people seeking nursing facility services may face difficulty in finding a bed.</w:t>
      </w:r>
    </w:p>
    <w:p w14:paraId="70B7CCF2" w14:textId="77777777" w:rsidR="0083433E" w:rsidRPr="00B42F2B" w:rsidRDefault="0083433E" w:rsidP="00B42F2B">
      <w:pPr>
        <w:spacing w:before="0" w:after="0"/>
        <w:rPr>
          <w:rFonts w:cs="Arial"/>
        </w:rPr>
      </w:pPr>
    </w:p>
    <w:p w14:paraId="023A174E" w14:textId="6D1EFA73" w:rsidR="001D03A8" w:rsidRDefault="00B42F2B" w:rsidP="0083433E">
      <w:pPr>
        <w:spacing w:before="0" w:after="0"/>
        <w:rPr>
          <w:rFonts w:cs="Arial"/>
        </w:rPr>
      </w:pPr>
      <w:r w:rsidRPr="00B42F2B">
        <w:rPr>
          <w:rFonts w:cs="Arial"/>
        </w:rPr>
        <w:t>Table 2.3 shows the average occupancy rates in Washington nursing facilities in 2006 through 201</w:t>
      </w:r>
      <w:r w:rsidR="000C123F">
        <w:rPr>
          <w:rFonts w:cs="Arial"/>
        </w:rPr>
        <w:t>5</w:t>
      </w:r>
      <w:r w:rsidRPr="00B42F2B">
        <w:rPr>
          <w:rFonts w:cs="Arial"/>
        </w:rPr>
        <w:t>, and the number of unfilled nursing facility beds on an annual and</w:t>
      </w:r>
      <w:r w:rsidR="0083433E">
        <w:rPr>
          <w:rFonts w:cs="Arial"/>
        </w:rPr>
        <w:t xml:space="preserve"> daily basis.</w:t>
      </w:r>
    </w:p>
    <w:p w14:paraId="1F20B4E3" w14:textId="77777777" w:rsidR="0083433E" w:rsidRDefault="0083433E" w:rsidP="0083433E">
      <w:pPr>
        <w:spacing w:before="0" w:after="0"/>
        <w:rPr>
          <w:rFonts w:cs="Arial"/>
        </w:rPr>
      </w:pPr>
    </w:p>
    <w:p w14:paraId="47A0B8E7" w14:textId="77777777" w:rsidR="00A130F1" w:rsidRDefault="00A130F1" w:rsidP="0083433E">
      <w:pPr>
        <w:spacing w:before="0" w:after="0"/>
        <w:rPr>
          <w:rFonts w:cs="Arial"/>
        </w:rPr>
      </w:pPr>
    </w:p>
    <w:p w14:paraId="099CCCC1" w14:textId="587B0117" w:rsidR="00B42F2B" w:rsidRPr="00B42F2B" w:rsidRDefault="00B42F2B" w:rsidP="00B42F2B">
      <w:pPr>
        <w:rPr>
          <w:rFonts w:cs="Arial"/>
          <w:b/>
        </w:rPr>
      </w:pPr>
      <w:r w:rsidRPr="00B42F2B">
        <w:rPr>
          <w:rFonts w:cs="Arial"/>
          <w:b/>
        </w:rPr>
        <w:t>Table 2.3:  Nursing Facility Occupancy Rates and Unfilled Beds in Washington 2006 - 201</w:t>
      </w:r>
      <w:r w:rsidR="000C123F">
        <w:rPr>
          <w:rFonts w:cs="Arial"/>
          <w:b/>
        </w:rPr>
        <w:t>5</w:t>
      </w:r>
    </w:p>
    <w:p w14:paraId="5F67AB2E" w14:textId="77777777" w:rsidR="00B42F2B" w:rsidRPr="00B42F2B" w:rsidRDefault="00B42F2B" w:rsidP="00B42F2B">
      <w:pPr>
        <w:rPr>
          <w:rFonts w:cs="Arial"/>
        </w:rPr>
      </w:pPr>
    </w:p>
    <w:tbl>
      <w:tblPr>
        <w:tblW w:w="659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1320"/>
        <w:gridCol w:w="2200"/>
        <w:gridCol w:w="1760"/>
      </w:tblGrid>
      <w:tr w:rsidR="00B42F2B" w:rsidRPr="001223AC" w14:paraId="671FD492" w14:textId="77777777" w:rsidTr="00B42F2B">
        <w:tc>
          <w:tcPr>
            <w:tcW w:w="1318" w:type="dxa"/>
            <w:vAlign w:val="bottom"/>
          </w:tcPr>
          <w:p w14:paraId="271EF4D8" w14:textId="77777777" w:rsidR="00B42F2B" w:rsidRPr="001223AC" w:rsidRDefault="00B42F2B" w:rsidP="00B42F2B">
            <w:pPr>
              <w:jc w:val="center"/>
              <w:rPr>
                <w:rFonts w:cs="Arial"/>
                <w:b/>
                <w:sz w:val="18"/>
              </w:rPr>
            </w:pPr>
            <w:r w:rsidRPr="001223AC">
              <w:rPr>
                <w:rFonts w:cs="Arial"/>
                <w:b/>
                <w:sz w:val="18"/>
              </w:rPr>
              <w:t>Calendar Year</w:t>
            </w:r>
          </w:p>
        </w:tc>
        <w:tc>
          <w:tcPr>
            <w:tcW w:w="1320" w:type="dxa"/>
            <w:vAlign w:val="bottom"/>
          </w:tcPr>
          <w:p w14:paraId="69A3D7A9" w14:textId="77777777" w:rsidR="00B42F2B" w:rsidRPr="001223AC" w:rsidRDefault="00B42F2B" w:rsidP="00B42F2B">
            <w:pPr>
              <w:jc w:val="center"/>
              <w:rPr>
                <w:rFonts w:cs="Arial"/>
                <w:b/>
                <w:sz w:val="18"/>
              </w:rPr>
            </w:pPr>
            <w:r w:rsidRPr="001223AC">
              <w:rPr>
                <w:rFonts w:cs="Arial"/>
                <w:b/>
                <w:sz w:val="18"/>
              </w:rPr>
              <w:t>Average Occupancy Rate</w:t>
            </w:r>
          </w:p>
        </w:tc>
        <w:tc>
          <w:tcPr>
            <w:tcW w:w="2200" w:type="dxa"/>
            <w:vAlign w:val="bottom"/>
          </w:tcPr>
          <w:p w14:paraId="4D955C64" w14:textId="77777777" w:rsidR="00B42F2B" w:rsidRPr="001223AC" w:rsidRDefault="00B42F2B" w:rsidP="00B42F2B">
            <w:pPr>
              <w:jc w:val="center"/>
              <w:rPr>
                <w:rFonts w:cs="Arial"/>
                <w:b/>
                <w:sz w:val="18"/>
              </w:rPr>
            </w:pPr>
            <w:r w:rsidRPr="001223AC">
              <w:rPr>
                <w:rFonts w:cs="Arial"/>
                <w:b/>
                <w:sz w:val="18"/>
              </w:rPr>
              <w:t>Number of Unfilled Beds Days</w:t>
            </w:r>
          </w:p>
        </w:tc>
        <w:tc>
          <w:tcPr>
            <w:tcW w:w="1760" w:type="dxa"/>
            <w:vAlign w:val="bottom"/>
          </w:tcPr>
          <w:p w14:paraId="760634AD" w14:textId="77777777" w:rsidR="00B42F2B" w:rsidRPr="001223AC" w:rsidRDefault="00B42F2B" w:rsidP="00B42F2B">
            <w:pPr>
              <w:jc w:val="center"/>
              <w:rPr>
                <w:rFonts w:cs="Arial"/>
                <w:b/>
                <w:sz w:val="18"/>
              </w:rPr>
            </w:pPr>
            <w:r w:rsidRPr="001223AC">
              <w:rPr>
                <w:rFonts w:cs="Arial"/>
                <w:b/>
                <w:sz w:val="18"/>
              </w:rPr>
              <w:t>Average Number of Unfilled Beds per Day</w:t>
            </w:r>
            <w:r w:rsidRPr="001223AC">
              <w:rPr>
                <w:rStyle w:val="FootnoteReference"/>
                <w:rFonts w:cs="Arial"/>
                <w:b/>
                <w:sz w:val="18"/>
              </w:rPr>
              <w:footnoteReference w:id="2"/>
            </w:r>
          </w:p>
        </w:tc>
      </w:tr>
      <w:tr w:rsidR="00B42F2B" w:rsidRPr="001223AC" w14:paraId="6F340161" w14:textId="77777777" w:rsidTr="00B42F2B">
        <w:tc>
          <w:tcPr>
            <w:tcW w:w="1318" w:type="dxa"/>
          </w:tcPr>
          <w:p w14:paraId="4B2ACB77" w14:textId="77777777" w:rsidR="00B42F2B" w:rsidRPr="001223AC" w:rsidRDefault="00B42F2B" w:rsidP="00B42F2B">
            <w:pPr>
              <w:jc w:val="center"/>
              <w:rPr>
                <w:rFonts w:cs="Arial"/>
                <w:sz w:val="18"/>
              </w:rPr>
            </w:pPr>
            <w:r w:rsidRPr="001223AC">
              <w:rPr>
                <w:rFonts w:cs="Arial"/>
                <w:sz w:val="18"/>
              </w:rPr>
              <w:t>2006</w:t>
            </w:r>
          </w:p>
        </w:tc>
        <w:tc>
          <w:tcPr>
            <w:tcW w:w="1320" w:type="dxa"/>
          </w:tcPr>
          <w:p w14:paraId="43CC79AF" w14:textId="77777777" w:rsidR="00B42F2B" w:rsidRPr="001223AC" w:rsidRDefault="00B42F2B" w:rsidP="00B42F2B">
            <w:pPr>
              <w:jc w:val="center"/>
              <w:rPr>
                <w:rFonts w:cs="Arial"/>
                <w:sz w:val="18"/>
              </w:rPr>
            </w:pPr>
            <w:r w:rsidRPr="001223AC">
              <w:rPr>
                <w:rFonts w:cs="Arial"/>
                <w:sz w:val="18"/>
              </w:rPr>
              <w:t>87.5%</w:t>
            </w:r>
          </w:p>
        </w:tc>
        <w:tc>
          <w:tcPr>
            <w:tcW w:w="2200" w:type="dxa"/>
          </w:tcPr>
          <w:p w14:paraId="1665062B" w14:textId="77777777" w:rsidR="00B42F2B" w:rsidRPr="001223AC" w:rsidRDefault="00B42F2B" w:rsidP="00B42F2B">
            <w:pPr>
              <w:jc w:val="center"/>
              <w:rPr>
                <w:rFonts w:cs="Arial"/>
                <w:sz w:val="18"/>
              </w:rPr>
            </w:pPr>
            <w:r w:rsidRPr="001223AC">
              <w:rPr>
                <w:rFonts w:cs="Arial"/>
                <w:sz w:val="18"/>
              </w:rPr>
              <w:t>977,392</w:t>
            </w:r>
          </w:p>
        </w:tc>
        <w:tc>
          <w:tcPr>
            <w:tcW w:w="1760" w:type="dxa"/>
          </w:tcPr>
          <w:p w14:paraId="3CAA600F" w14:textId="77777777" w:rsidR="00B42F2B" w:rsidRPr="001223AC" w:rsidRDefault="00B42F2B" w:rsidP="00B42F2B">
            <w:pPr>
              <w:jc w:val="center"/>
              <w:rPr>
                <w:rFonts w:cs="Arial"/>
                <w:sz w:val="18"/>
              </w:rPr>
            </w:pPr>
            <w:r w:rsidRPr="001223AC">
              <w:rPr>
                <w:rFonts w:cs="Arial"/>
                <w:sz w:val="18"/>
              </w:rPr>
              <w:t>2,678</w:t>
            </w:r>
          </w:p>
        </w:tc>
      </w:tr>
      <w:tr w:rsidR="00B42F2B" w:rsidRPr="001223AC" w14:paraId="479AB0A1" w14:textId="77777777" w:rsidTr="00B42F2B">
        <w:tc>
          <w:tcPr>
            <w:tcW w:w="1318" w:type="dxa"/>
          </w:tcPr>
          <w:p w14:paraId="3925CF97" w14:textId="77777777" w:rsidR="00B42F2B" w:rsidRPr="001223AC" w:rsidRDefault="00B42F2B" w:rsidP="00B42F2B">
            <w:pPr>
              <w:jc w:val="center"/>
              <w:rPr>
                <w:rFonts w:cs="Arial"/>
                <w:sz w:val="18"/>
              </w:rPr>
            </w:pPr>
            <w:r w:rsidRPr="001223AC">
              <w:rPr>
                <w:rFonts w:cs="Arial"/>
                <w:sz w:val="18"/>
              </w:rPr>
              <w:t>2007</w:t>
            </w:r>
          </w:p>
        </w:tc>
        <w:tc>
          <w:tcPr>
            <w:tcW w:w="1320" w:type="dxa"/>
          </w:tcPr>
          <w:p w14:paraId="7A999650" w14:textId="77777777" w:rsidR="00B42F2B" w:rsidRPr="001223AC" w:rsidRDefault="00B42F2B" w:rsidP="00B42F2B">
            <w:pPr>
              <w:jc w:val="center"/>
              <w:rPr>
                <w:rFonts w:cs="Arial"/>
                <w:sz w:val="18"/>
              </w:rPr>
            </w:pPr>
            <w:r w:rsidRPr="001223AC">
              <w:rPr>
                <w:rFonts w:cs="Arial"/>
                <w:sz w:val="18"/>
              </w:rPr>
              <w:t>86.8%</w:t>
            </w:r>
          </w:p>
        </w:tc>
        <w:tc>
          <w:tcPr>
            <w:tcW w:w="2200" w:type="dxa"/>
          </w:tcPr>
          <w:p w14:paraId="71287FAF" w14:textId="77777777" w:rsidR="00B42F2B" w:rsidRPr="001223AC" w:rsidRDefault="00B42F2B" w:rsidP="00B42F2B">
            <w:pPr>
              <w:jc w:val="center"/>
              <w:rPr>
                <w:rFonts w:cs="Arial"/>
                <w:sz w:val="18"/>
              </w:rPr>
            </w:pPr>
            <w:r w:rsidRPr="001223AC">
              <w:rPr>
                <w:rFonts w:cs="Arial"/>
                <w:sz w:val="18"/>
              </w:rPr>
              <w:t>1,029,747</w:t>
            </w:r>
          </w:p>
        </w:tc>
        <w:tc>
          <w:tcPr>
            <w:tcW w:w="1760" w:type="dxa"/>
          </w:tcPr>
          <w:p w14:paraId="39B749E5" w14:textId="77777777" w:rsidR="00B42F2B" w:rsidRPr="001223AC" w:rsidRDefault="00B42F2B" w:rsidP="00B42F2B">
            <w:pPr>
              <w:jc w:val="center"/>
              <w:rPr>
                <w:rFonts w:cs="Arial"/>
                <w:sz w:val="18"/>
              </w:rPr>
            </w:pPr>
            <w:r w:rsidRPr="001223AC">
              <w:rPr>
                <w:rFonts w:cs="Arial"/>
                <w:sz w:val="18"/>
              </w:rPr>
              <w:t>2,821</w:t>
            </w:r>
          </w:p>
        </w:tc>
      </w:tr>
      <w:tr w:rsidR="00B42F2B" w:rsidRPr="001223AC" w14:paraId="3178E3AA" w14:textId="77777777" w:rsidTr="00B42F2B">
        <w:tc>
          <w:tcPr>
            <w:tcW w:w="1318" w:type="dxa"/>
          </w:tcPr>
          <w:p w14:paraId="1476F38C" w14:textId="77777777" w:rsidR="00B42F2B" w:rsidRPr="001223AC" w:rsidRDefault="00B42F2B" w:rsidP="00B42F2B">
            <w:pPr>
              <w:jc w:val="center"/>
              <w:rPr>
                <w:rFonts w:cs="Arial"/>
                <w:sz w:val="18"/>
              </w:rPr>
            </w:pPr>
            <w:r w:rsidRPr="001223AC">
              <w:rPr>
                <w:rFonts w:cs="Arial"/>
                <w:sz w:val="18"/>
              </w:rPr>
              <w:t>2008</w:t>
            </w:r>
          </w:p>
        </w:tc>
        <w:tc>
          <w:tcPr>
            <w:tcW w:w="1320" w:type="dxa"/>
          </w:tcPr>
          <w:p w14:paraId="3269FA48" w14:textId="77777777" w:rsidR="00B42F2B" w:rsidRPr="001223AC" w:rsidRDefault="00B42F2B" w:rsidP="00B42F2B">
            <w:pPr>
              <w:jc w:val="center"/>
              <w:rPr>
                <w:rFonts w:cs="Arial"/>
                <w:sz w:val="18"/>
              </w:rPr>
            </w:pPr>
            <w:r w:rsidRPr="001223AC">
              <w:rPr>
                <w:rFonts w:cs="Arial"/>
                <w:sz w:val="18"/>
              </w:rPr>
              <w:t>84.0%</w:t>
            </w:r>
          </w:p>
        </w:tc>
        <w:tc>
          <w:tcPr>
            <w:tcW w:w="2200" w:type="dxa"/>
          </w:tcPr>
          <w:p w14:paraId="26B36D61" w14:textId="77777777" w:rsidR="00B42F2B" w:rsidRPr="001223AC" w:rsidRDefault="00B42F2B" w:rsidP="00B42F2B">
            <w:pPr>
              <w:jc w:val="center"/>
              <w:rPr>
                <w:rFonts w:cs="Arial"/>
                <w:sz w:val="18"/>
              </w:rPr>
            </w:pPr>
            <w:r w:rsidRPr="001223AC">
              <w:rPr>
                <w:rFonts w:cs="Arial"/>
                <w:sz w:val="18"/>
              </w:rPr>
              <w:t>1,263,984</w:t>
            </w:r>
          </w:p>
        </w:tc>
        <w:tc>
          <w:tcPr>
            <w:tcW w:w="1760" w:type="dxa"/>
          </w:tcPr>
          <w:p w14:paraId="4C77F82E" w14:textId="77777777" w:rsidR="00B42F2B" w:rsidRPr="001223AC" w:rsidRDefault="00B42F2B" w:rsidP="00B42F2B">
            <w:pPr>
              <w:jc w:val="center"/>
              <w:rPr>
                <w:rFonts w:cs="Arial"/>
                <w:sz w:val="18"/>
              </w:rPr>
            </w:pPr>
            <w:r w:rsidRPr="001223AC">
              <w:rPr>
                <w:rFonts w:cs="Arial"/>
                <w:sz w:val="18"/>
              </w:rPr>
              <w:t>3,454</w:t>
            </w:r>
          </w:p>
        </w:tc>
      </w:tr>
      <w:tr w:rsidR="00B42F2B" w:rsidRPr="001223AC" w14:paraId="0687DE2C" w14:textId="77777777" w:rsidTr="00B42F2B">
        <w:tc>
          <w:tcPr>
            <w:tcW w:w="1318" w:type="dxa"/>
          </w:tcPr>
          <w:p w14:paraId="05C2BA44" w14:textId="77777777" w:rsidR="00B42F2B" w:rsidRPr="001223AC" w:rsidRDefault="00B42F2B" w:rsidP="00B42F2B">
            <w:pPr>
              <w:jc w:val="center"/>
              <w:rPr>
                <w:rFonts w:cs="Arial"/>
                <w:sz w:val="18"/>
              </w:rPr>
            </w:pPr>
            <w:r w:rsidRPr="001223AC">
              <w:rPr>
                <w:rFonts w:cs="Arial"/>
                <w:sz w:val="18"/>
              </w:rPr>
              <w:t>2009</w:t>
            </w:r>
          </w:p>
        </w:tc>
        <w:tc>
          <w:tcPr>
            <w:tcW w:w="1320" w:type="dxa"/>
          </w:tcPr>
          <w:p w14:paraId="1A707D73" w14:textId="77777777" w:rsidR="00B42F2B" w:rsidRPr="001223AC" w:rsidRDefault="00B42F2B" w:rsidP="00B42F2B">
            <w:pPr>
              <w:jc w:val="center"/>
              <w:rPr>
                <w:rFonts w:cs="Arial"/>
                <w:sz w:val="18"/>
              </w:rPr>
            </w:pPr>
            <w:r w:rsidRPr="001223AC">
              <w:rPr>
                <w:rFonts w:cs="Arial"/>
                <w:sz w:val="18"/>
              </w:rPr>
              <w:t>83.7%</w:t>
            </w:r>
          </w:p>
        </w:tc>
        <w:tc>
          <w:tcPr>
            <w:tcW w:w="2200" w:type="dxa"/>
          </w:tcPr>
          <w:p w14:paraId="688967D6" w14:textId="77777777" w:rsidR="00B42F2B" w:rsidRPr="001223AC" w:rsidRDefault="00B42F2B" w:rsidP="00B42F2B">
            <w:pPr>
              <w:jc w:val="center"/>
              <w:rPr>
                <w:rFonts w:cs="Arial"/>
                <w:sz w:val="18"/>
              </w:rPr>
            </w:pPr>
            <w:r w:rsidRPr="001223AC">
              <w:rPr>
                <w:rFonts w:cs="Arial"/>
                <w:sz w:val="18"/>
              </w:rPr>
              <w:t>1,242,177</w:t>
            </w:r>
          </w:p>
        </w:tc>
        <w:tc>
          <w:tcPr>
            <w:tcW w:w="1760" w:type="dxa"/>
          </w:tcPr>
          <w:p w14:paraId="7A616C62" w14:textId="77777777" w:rsidR="00B42F2B" w:rsidRPr="001223AC" w:rsidRDefault="00B42F2B" w:rsidP="00B42F2B">
            <w:pPr>
              <w:jc w:val="center"/>
              <w:rPr>
                <w:rFonts w:cs="Arial"/>
                <w:sz w:val="18"/>
              </w:rPr>
            </w:pPr>
            <w:r w:rsidRPr="001223AC">
              <w:rPr>
                <w:rFonts w:cs="Arial"/>
                <w:sz w:val="18"/>
              </w:rPr>
              <w:t>3,403</w:t>
            </w:r>
          </w:p>
        </w:tc>
      </w:tr>
      <w:tr w:rsidR="00B42F2B" w:rsidRPr="001223AC" w14:paraId="5C4DD11C" w14:textId="77777777" w:rsidTr="00B42F2B">
        <w:tc>
          <w:tcPr>
            <w:tcW w:w="1318" w:type="dxa"/>
          </w:tcPr>
          <w:p w14:paraId="2562E71F" w14:textId="77777777" w:rsidR="00B42F2B" w:rsidRPr="001223AC" w:rsidRDefault="00B42F2B" w:rsidP="00B42F2B">
            <w:pPr>
              <w:jc w:val="center"/>
              <w:rPr>
                <w:rFonts w:cs="Arial"/>
                <w:sz w:val="18"/>
              </w:rPr>
            </w:pPr>
            <w:r w:rsidRPr="001223AC">
              <w:rPr>
                <w:rFonts w:cs="Arial"/>
                <w:sz w:val="18"/>
              </w:rPr>
              <w:t>2010</w:t>
            </w:r>
          </w:p>
        </w:tc>
        <w:tc>
          <w:tcPr>
            <w:tcW w:w="1320" w:type="dxa"/>
          </w:tcPr>
          <w:p w14:paraId="5E495F62" w14:textId="77777777" w:rsidR="00B42F2B" w:rsidRPr="001223AC" w:rsidRDefault="00B42F2B" w:rsidP="00B42F2B">
            <w:pPr>
              <w:jc w:val="center"/>
              <w:rPr>
                <w:rFonts w:cs="Arial"/>
                <w:sz w:val="18"/>
              </w:rPr>
            </w:pPr>
            <w:r w:rsidRPr="001223AC">
              <w:rPr>
                <w:rFonts w:cs="Arial"/>
                <w:sz w:val="18"/>
              </w:rPr>
              <w:t>80.7%</w:t>
            </w:r>
          </w:p>
        </w:tc>
        <w:tc>
          <w:tcPr>
            <w:tcW w:w="2200" w:type="dxa"/>
          </w:tcPr>
          <w:p w14:paraId="3FDD2B9C" w14:textId="77777777" w:rsidR="00B42F2B" w:rsidRPr="001223AC" w:rsidRDefault="00B42F2B" w:rsidP="00B42F2B">
            <w:pPr>
              <w:jc w:val="center"/>
              <w:rPr>
                <w:rFonts w:cs="Arial"/>
                <w:sz w:val="18"/>
              </w:rPr>
            </w:pPr>
            <w:r w:rsidRPr="001223AC">
              <w:rPr>
                <w:rFonts w:cs="Arial"/>
                <w:sz w:val="18"/>
              </w:rPr>
              <w:t>1,460,486</w:t>
            </w:r>
          </w:p>
        </w:tc>
        <w:tc>
          <w:tcPr>
            <w:tcW w:w="1760" w:type="dxa"/>
          </w:tcPr>
          <w:p w14:paraId="22DEE6ED" w14:textId="77777777" w:rsidR="00B42F2B" w:rsidRPr="001223AC" w:rsidRDefault="00B42F2B" w:rsidP="00B42F2B">
            <w:pPr>
              <w:jc w:val="center"/>
              <w:rPr>
                <w:rFonts w:cs="Arial"/>
                <w:sz w:val="18"/>
              </w:rPr>
            </w:pPr>
            <w:r w:rsidRPr="001223AC">
              <w:rPr>
                <w:rFonts w:cs="Arial"/>
                <w:sz w:val="18"/>
              </w:rPr>
              <w:t>4,001</w:t>
            </w:r>
          </w:p>
        </w:tc>
      </w:tr>
      <w:tr w:rsidR="00B42F2B" w:rsidRPr="001223AC" w14:paraId="18E211B0" w14:textId="77777777" w:rsidTr="00B42F2B">
        <w:tc>
          <w:tcPr>
            <w:tcW w:w="1318" w:type="dxa"/>
          </w:tcPr>
          <w:p w14:paraId="305C1629" w14:textId="77777777" w:rsidR="00B42F2B" w:rsidRPr="001223AC" w:rsidRDefault="00B42F2B" w:rsidP="00B42F2B">
            <w:pPr>
              <w:jc w:val="center"/>
              <w:rPr>
                <w:rFonts w:cs="Arial"/>
                <w:sz w:val="18"/>
              </w:rPr>
            </w:pPr>
            <w:r w:rsidRPr="001223AC">
              <w:rPr>
                <w:rFonts w:cs="Arial"/>
                <w:sz w:val="18"/>
              </w:rPr>
              <w:t>2011</w:t>
            </w:r>
          </w:p>
        </w:tc>
        <w:tc>
          <w:tcPr>
            <w:tcW w:w="1320" w:type="dxa"/>
          </w:tcPr>
          <w:p w14:paraId="57CAE774" w14:textId="77777777" w:rsidR="00B42F2B" w:rsidRPr="001223AC" w:rsidRDefault="00B42F2B" w:rsidP="00B42F2B">
            <w:pPr>
              <w:jc w:val="center"/>
              <w:rPr>
                <w:rFonts w:cs="Arial"/>
                <w:sz w:val="18"/>
              </w:rPr>
            </w:pPr>
            <w:r w:rsidRPr="001223AC">
              <w:rPr>
                <w:rFonts w:cs="Arial"/>
                <w:sz w:val="18"/>
              </w:rPr>
              <w:t>80.3%</w:t>
            </w:r>
          </w:p>
        </w:tc>
        <w:tc>
          <w:tcPr>
            <w:tcW w:w="2200" w:type="dxa"/>
          </w:tcPr>
          <w:p w14:paraId="1E1E2EB3" w14:textId="77777777" w:rsidR="00B42F2B" w:rsidRPr="001223AC" w:rsidRDefault="00B42F2B" w:rsidP="00B42F2B">
            <w:pPr>
              <w:jc w:val="center"/>
              <w:rPr>
                <w:rFonts w:cs="Arial"/>
                <w:sz w:val="18"/>
              </w:rPr>
            </w:pPr>
            <w:r w:rsidRPr="001223AC">
              <w:rPr>
                <w:rFonts w:cs="Arial"/>
                <w:sz w:val="18"/>
              </w:rPr>
              <w:t>1,496,889</w:t>
            </w:r>
          </w:p>
        </w:tc>
        <w:tc>
          <w:tcPr>
            <w:tcW w:w="1760" w:type="dxa"/>
          </w:tcPr>
          <w:p w14:paraId="06F24F8A" w14:textId="77777777" w:rsidR="00B42F2B" w:rsidRPr="001223AC" w:rsidRDefault="00B42F2B" w:rsidP="00B42F2B">
            <w:pPr>
              <w:jc w:val="center"/>
              <w:rPr>
                <w:rFonts w:cs="Arial"/>
                <w:sz w:val="18"/>
              </w:rPr>
            </w:pPr>
            <w:r w:rsidRPr="001223AC">
              <w:rPr>
                <w:rFonts w:cs="Arial"/>
                <w:sz w:val="18"/>
              </w:rPr>
              <w:t>4,101</w:t>
            </w:r>
          </w:p>
        </w:tc>
      </w:tr>
      <w:tr w:rsidR="00B42F2B" w:rsidRPr="001223AC" w14:paraId="043F6814" w14:textId="77777777" w:rsidTr="00B42F2B">
        <w:tc>
          <w:tcPr>
            <w:tcW w:w="1318" w:type="dxa"/>
          </w:tcPr>
          <w:p w14:paraId="33CD5B63" w14:textId="77777777" w:rsidR="00B42F2B" w:rsidRPr="001223AC" w:rsidRDefault="00B42F2B" w:rsidP="00B42F2B">
            <w:pPr>
              <w:jc w:val="center"/>
              <w:rPr>
                <w:rFonts w:cs="Arial"/>
                <w:sz w:val="18"/>
              </w:rPr>
            </w:pPr>
            <w:r w:rsidRPr="001223AC">
              <w:rPr>
                <w:rFonts w:cs="Arial"/>
                <w:sz w:val="18"/>
              </w:rPr>
              <w:t>2012</w:t>
            </w:r>
          </w:p>
        </w:tc>
        <w:tc>
          <w:tcPr>
            <w:tcW w:w="1320" w:type="dxa"/>
          </w:tcPr>
          <w:p w14:paraId="6837C59F" w14:textId="77777777" w:rsidR="00B42F2B" w:rsidRPr="001223AC" w:rsidRDefault="00B42F2B" w:rsidP="00B42F2B">
            <w:pPr>
              <w:jc w:val="center"/>
              <w:rPr>
                <w:rFonts w:cs="Arial"/>
                <w:sz w:val="18"/>
              </w:rPr>
            </w:pPr>
            <w:r w:rsidRPr="001223AC">
              <w:rPr>
                <w:rFonts w:cs="Arial"/>
                <w:sz w:val="18"/>
              </w:rPr>
              <w:t>80.3%</w:t>
            </w:r>
          </w:p>
        </w:tc>
        <w:tc>
          <w:tcPr>
            <w:tcW w:w="2200" w:type="dxa"/>
          </w:tcPr>
          <w:p w14:paraId="3EA54ABD" w14:textId="77777777" w:rsidR="00B42F2B" w:rsidRPr="001223AC" w:rsidRDefault="00B42F2B" w:rsidP="00B42F2B">
            <w:pPr>
              <w:jc w:val="center"/>
              <w:rPr>
                <w:rFonts w:cs="Arial"/>
                <w:sz w:val="18"/>
              </w:rPr>
            </w:pPr>
            <w:r w:rsidRPr="001223AC">
              <w:rPr>
                <w:rFonts w:cs="Arial"/>
                <w:sz w:val="18"/>
              </w:rPr>
              <w:t>1,492,567</w:t>
            </w:r>
          </w:p>
        </w:tc>
        <w:tc>
          <w:tcPr>
            <w:tcW w:w="1760" w:type="dxa"/>
          </w:tcPr>
          <w:p w14:paraId="663116AA" w14:textId="77777777" w:rsidR="00B42F2B" w:rsidRPr="001223AC" w:rsidRDefault="00B42F2B" w:rsidP="00B42F2B">
            <w:pPr>
              <w:jc w:val="center"/>
              <w:rPr>
                <w:rFonts w:cs="Arial"/>
                <w:sz w:val="18"/>
              </w:rPr>
            </w:pPr>
            <w:r w:rsidRPr="001223AC">
              <w:rPr>
                <w:rFonts w:cs="Arial"/>
                <w:sz w:val="18"/>
              </w:rPr>
              <w:t>4,089</w:t>
            </w:r>
          </w:p>
        </w:tc>
      </w:tr>
      <w:tr w:rsidR="00B42F2B" w:rsidRPr="001223AC" w14:paraId="72BB4394" w14:textId="77777777" w:rsidTr="00B42F2B">
        <w:tc>
          <w:tcPr>
            <w:tcW w:w="1318" w:type="dxa"/>
          </w:tcPr>
          <w:p w14:paraId="0F888576" w14:textId="77777777" w:rsidR="00B42F2B" w:rsidRPr="001223AC" w:rsidRDefault="00B42F2B" w:rsidP="00B42F2B">
            <w:pPr>
              <w:jc w:val="center"/>
              <w:rPr>
                <w:rFonts w:cs="Arial"/>
                <w:sz w:val="18"/>
              </w:rPr>
            </w:pPr>
            <w:r w:rsidRPr="001223AC">
              <w:rPr>
                <w:rFonts w:cs="Arial"/>
                <w:sz w:val="18"/>
              </w:rPr>
              <w:t>2013</w:t>
            </w:r>
          </w:p>
        </w:tc>
        <w:tc>
          <w:tcPr>
            <w:tcW w:w="1320" w:type="dxa"/>
          </w:tcPr>
          <w:p w14:paraId="0374AA35" w14:textId="77777777" w:rsidR="00B42F2B" w:rsidRPr="001223AC" w:rsidRDefault="00B42F2B" w:rsidP="00B42F2B">
            <w:pPr>
              <w:jc w:val="center"/>
              <w:rPr>
                <w:rFonts w:cs="Arial"/>
                <w:sz w:val="18"/>
              </w:rPr>
            </w:pPr>
            <w:r w:rsidRPr="001223AC">
              <w:rPr>
                <w:rFonts w:cs="Arial"/>
                <w:sz w:val="18"/>
              </w:rPr>
              <w:t>79.2%</w:t>
            </w:r>
          </w:p>
        </w:tc>
        <w:tc>
          <w:tcPr>
            <w:tcW w:w="2200" w:type="dxa"/>
          </w:tcPr>
          <w:p w14:paraId="2DB2586B" w14:textId="77777777" w:rsidR="00B42F2B" w:rsidRPr="001223AC" w:rsidRDefault="00B42F2B" w:rsidP="00B42F2B">
            <w:pPr>
              <w:jc w:val="center"/>
              <w:rPr>
                <w:rFonts w:cs="Arial"/>
                <w:sz w:val="18"/>
              </w:rPr>
            </w:pPr>
            <w:r w:rsidRPr="001223AC">
              <w:rPr>
                <w:rFonts w:cs="Arial"/>
                <w:sz w:val="18"/>
              </w:rPr>
              <w:t>1,562,174</w:t>
            </w:r>
          </w:p>
        </w:tc>
        <w:tc>
          <w:tcPr>
            <w:tcW w:w="1760" w:type="dxa"/>
          </w:tcPr>
          <w:p w14:paraId="2DF6DE4F" w14:textId="77777777" w:rsidR="00B42F2B" w:rsidRPr="001223AC" w:rsidRDefault="00B42F2B" w:rsidP="00B42F2B">
            <w:pPr>
              <w:jc w:val="center"/>
              <w:rPr>
                <w:rFonts w:cs="Arial"/>
                <w:sz w:val="18"/>
              </w:rPr>
            </w:pPr>
            <w:r w:rsidRPr="001223AC">
              <w:rPr>
                <w:rFonts w:cs="Arial"/>
                <w:sz w:val="18"/>
              </w:rPr>
              <w:t>4,280</w:t>
            </w:r>
          </w:p>
        </w:tc>
      </w:tr>
      <w:tr w:rsidR="00B42F2B" w:rsidRPr="001223AC" w14:paraId="7A60A73F" w14:textId="77777777" w:rsidTr="00B42F2B">
        <w:tc>
          <w:tcPr>
            <w:tcW w:w="1318" w:type="dxa"/>
          </w:tcPr>
          <w:p w14:paraId="151C7E87" w14:textId="77777777" w:rsidR="00B42F2B" w:rsidRPr="001223AC" w:rsidRDefault="00B42F2B" w:rsidP="00B42F2B">
            <w:pPr>
              <w:jc w:val="center"/>
              <w:rPr>
                <w:rFonts w:cs="Arial"/>
                <w:sz w:val="18"/>
              </w:rPr>
            </w:pPr>
            <w:r w:rsidRPr="001223AC">
              <w:rPr>
                <w:rFonts w:cs="Arial"/>
                <w:sz w:val="18"/>
              </w:rPr>
              <w:t>2014</w:t>
            </w:r>
          </w:p>
        </w:tc>
        <w:tc>
          <w:tcPr>
            <w:tcW w:w="1320" w:type="dxa"/>
          </w:tcPr>
          <w:p w14:paraId="012EBAF7" w14:textId="77777777" w:rsidR="00B42F2B" w:rsidRPr="001223AC" w:rsidRDefault="00B42F2B" w:rsidP="00B42F2B">
            <w:pPr>
              <w:jc w:val="center"/>
              <w:rPr>
                <w:rFonts w:cs="Arial"/>
                <w:sz w:val="18"/>
              </w:rPr>
            </w:pPr>
            <w:r w:rsidRPr="001223AC">
              <w:rPr>
                <w:rFonts w:cs="Arial"/>
                <w:sz w:val="18"/>
              </w:rPr>
              <w:t>80.8%</w:t>
            </w:r>
          </w:p>
        </w:tc>
        <w:tc>
          <w:tcPr>
            <w:tcW w:w="2200" w:type="dxa"/>
          </w:tcPr>
          <w:p w14:paraId="78C758DD" w14:textId="77777777" w:rsidR="00B42F2B" w:rsidRPr="001223AC" w:rsidRDefault="00B42F2B" w:rsidP="00B42F2B">
            <w:pPr>
              <w:jc w:val="center"/>
              <w:rPr>
                <w:rFonts w:cs="Arial"/>
                <w:sz w:val="18"/>
              </w:rPr>
            </w:pPr>
            <w:r w:rsidRPr="001223AC">
              <w:rPr>
                <w:rFonts w:cs="Arial"/>
                <w:sz w:val="18"/>
              </w:rPr>
              <w:t xml:space="preserve"> 1,422,178 </w:t>
            </w:r>
          </w:p>
        </w:tc>
        <w:tc>
          <w:tcPr>
            <w:tcW w:w="1760" w:type="dxa"/>
          </w:tcPr>
          <w:p w14:paraId="12A90CE7" w14:textId="77777777" w:rsidR="00B42F2B" w:rsidRPr="001223AC" w:rsidRDefault="00B42F2B" w:rsidP="00B42F2B">
            <w:pPr>
              <w:jc w:val="center"/>
              <w:rPr>
                <w:rFonts w:cs="Arial"/>
                <w:sz w:val="18"/>
              </w:rPr>
            </w:pPr>
            <w:r w:rsidRPr="001223AC">
              <w:rPr>
                <w:rFonts w:cs="Arial"/>
                <w:sz w:val="18"/>
              </w:rPr>
              <w:t xml:space="preserve"> 3,896 </w:t>
            </w:r>
          </w:p>
        </w:tc>
      </w:tr>
      <w:tr w:rsidR="000C123F" w:rsidRPr="001223AC" w14:paraId="01168D5B" w14:textId="77777777" w:rsidTr="00B42F2B">
        <w:tc>
          <w:tcPr>
            <w:tcW w:w="1318" w:type="dxa"/>
          </w:tcPr>
          <w:p w14:paraId="68102B35" w14:textId="593985A5" w:rsidR="000C123F" w:rsidRPr="001223AC" w:rsidRDefault="000C123F" w:rsidP="00B42F2B">
            <w:pPr>
              <w:jc w:val="center"/>
              <w:rPr>
                <w:rFonts w:cs="Arial"/>
                <w:sz w:val="18"/>
              </w:rPr>
            </w:pPr>
            <w:r>
              <w:rPr>
                <w:rFonts w:cs="Arial"/>
                <w:sz w:val="18"/>
              </w:rPr>
              <w:t>2015</w:t>
            </w:r>
          </w:p>
        </w:tc>
        <w:tc>
          <w:tcPr>
            <w:tcW w:w="1320" w:type="dxa"/>
          </w:tcPr>
          <w:p w14:paraId="4F568764" w14:textId="56B22106" w:rsidR="000C123F" w:rsidRPr="001223AC" w:rsidRDefault="0063226F" w:rsidP="00B42F2B">
            <w:pPr>
              <w:jc w:val="center"/>
              <w:rPr>
                <w:rFonts w:cs="Arial"/>
                <w:sz w:val="18"/>
              </w:rPr>
            </w:pPr>
            <w:r>
              <w:rPr>
                <w:rFonts w:cs="Arial"/>
                <w:sz w:val="18"/>
              </w:rPr>
              <w:t>80.9%</w:t>
            </w:r>
          </w:p>
        </w:tc>
        <w:tc>
          <w:tcPr>
            <w:tcW w:w="2200" w:type="dxa"/>
          </w:tcPr>
          <w:p w14:paraId="4594D9D3" w14:textId="01B0405F" w:rsidR="000C123F" w:rsidRPr="001223AC" w:rsidRDefault="0063226F" w:rsidP="00B42F2B">
            <w:pPr>
              <w:jc w:val="center"/>
              <w:rPr>
                <w:rFonts w:cs="Arial"/>
                <w:sz w:val="18"/>
              </w:rPr>
            </w:pPr>
            <w:r>
              <w:rPr>
                <w:rFonts w:cs="Arial"/>
                <w:sz w:val="18"/>
              </w:rPr>
              <w:t>1,341,848</w:t>
            </w:r>
          </w:p>
        </w:tc>
        <w:tc>
          <w:tcPr>
            <w:tcW w:w="1760" w:type="dxa"/>
          </w:tcPr>
          <w:p w14:paraId="7A754CF7" w14:textId="5BEE85D3" w:rsidR="000C123F" w:rsidRPr="001223AC" w:rsidRDefault="00A24043" w:rsidP="00B42F2B">
            <w:pPr>
              <w:jc w:val="center"/>
              <w:rPr>
                <w:rFonts w:cs="Arial"/>
                <w:sz w:val="18"/>
              </w:rPr>
            </w:pPr>
            <w:r>
              <w:rPr>
                <w:rFonts w:cs="Arial"/>
                <w:sz w:val="18"/>
              </w:rPr>
              <w:t>3,676</w:t>
            </w:r>
          </w:p>
        </w:tc>
      </w:tr>
    </w:tbl>
    <w:p w14:paraId="68FD17F7" w14:textId="77777777" w:rsidR="00B42F2B" w:rsidRPr="00B42F2B" w:rsidRDefault="00B42F2B" w:rsidP="00B42F2B">
      <w:pPr>
        <w:jc w:val="center"/>
        <w:rPr>
          <w:rFonts w:cs="Arial"/>
        </w:rPr>
      </w:pPr>
    </w:p>
    <w:p w14:paraId="508D5724" w14:textId="77777777" w:rsidR="00B42F2B" w:rsidRPr="00B42F2B" w:rsidRDefault="00B42F2B" w:rsidP="00B42F2B">
      <w:pPr>
        <w:rPr>
          <w:rFonts w:cs="Arial"/>
          <w:sz w:val="18"/>
        </w:rPr>
      </w:pPr>
      <w:r w:rsidRPr="00B42F2B">
        <w:rPr>
          <w:rFonts w:cs="Arial"/>
          <w:sz w:val="18"/>
        </w:rPr>
        <w:t xml:space="preserve">Source:  </w:t>
      </w:r>
    </w:p>
    <w:p w14:paraId="5954D5F2" w14:textId="77777777" w:rsidR="00B42F2B" w:rsidRPr="00B42F2B" w:rsidRDefault="00B42F2B" w:rsidP="00B42F2B">
      <w:pPr>
        <w:rPr>
          <w:rFonts w:cs="Arial"/>
          <w:sz w:val="18"/>
        </w:rPr>
      </w:pPr>
      <w:r w:rsidRPr="00B42F2B">
        <w:rPr>
          <w:rFonts w:cs="Arial"/>
          <w:sz w:val="18"/>
        </w:rPr>
        <w:t>Average Occupancy Rate, Number of Unfilled Bed Days and Average Number of Unfilled Beds per Day were calculated using data provided by the Department.</w:t>
      </w:r>
    </w:p>
    <w:p w14:paraId="26A084E6" w14:textId="77777777" w:rsidR="00B42F2B" w:rsidRPr="00B42F2B" w:rsidRDefault="00B42F2B" w:rsidP="00B42F2B">
      <w:pPr>
        <w:spacing w:before="0" w:after="0"/>
        <w:rPr>
          <w:rFonts w:cs="Arial"/>
        </w:rPr>
      </w:pPr>
    </w:p>
    <w:p w14:paraId="7717392D" w14:textId="3386695B" w:rsidR="00B42F2B" w:rsidRDefault="00B42F2B" w:rsidP="00B42F2B">
      <w:pPr>
        <w:spacing w:before="0" w:after="0"/>
        <w:rPr>
          <w:rFonts w:cs="Arial"/>
        </w:rPr>
      </w:pPr>
      <w:r w:rsidRPr="00B42F2B">
        <w:rPr>
          <w:rFonts w:cs="Arial"/>
        </w:rPr>
        <w:t>The average occupancy rate for nursing facilities in Washington has fluctuated and declined over the period of 2006 to 201</w:t>
      </w:r>
      <w:r w:rsidR="000C123F">
        <w:rPr>
          <w:rFonts w:cs="Arial"/>
        </w:rPr>
        <w:t>5</w:t>
      </w:r>
      <w:r w:rsidRPr="00B42F2B">
        <w:rPr>
          <w:rFonts w:cs="Arial"/>
        </w:rPr>
        <w:t>.  The 201</w:t>
      </w:r>
      <w:r w:rsidR="000C123F">
        <w:rPr>
          <w:rFonts w:cs="Arial"/>
        </w:rPr>
        <w:t>5</w:t>
      </w:r>
      <w:r w:rsidRPr="00B42F2B">
        <w:rPr>
          <w:rFonts w:cs="Arial"/>
        </w:rPr>
        <w:t xml:space="preserve"> average occupancy rate of 80.</w:t>
      </w:r>
      <w:r w:rsidR="00A24043">
        <w:rPr>
          <w:rFonts w:cs="Arial"/>
        </w:rPr>
        <w:t>9</w:t>
      </w:r>
      <w:r w:rsidRPr="00B42F2B">
        <w:rPr>
          <w:rFonts w:cs="Arial"/>
        </w:rPr>
        <w:t xml:space="preserve"> percent means that on average there were 3,</w:t>
      </w:r>
      <w:r w:rsidR="00A24043">
        <w:rPr>
          <w:rFonts w:cs="Arial"/>
        </w:rPr>
        <w:t>676</w:t>
      </w:r>
      <w:r w:rsidRPr="00B42F2B">
        <w:rPr>
          <w:rFonts w:cs="Arial"/>
        </w:rPr>
        <w:t xml:space="preserve"> empty nursing facility beds per day across the state.</w:t>
      </w:r>
    </w:p>
    <w:p w14:paraId="043DB627" w14:textId="77777777" w:rsidR="00A24043" w:rsidRPr="00B42F2B" w:rsidRDefault="00A24043" w:rsidP="00B42F2B">
      <w:pPr>
        <w:spacing w:before="0" w:after="0"/>
        <w:rPr>
          <w:rFonts w:cs="Arial"/>
        </w:rPr>
      </w:pPr>
    </w:p>
    <w:p w14:paraId="67807A87" w14:textId="77777777" w:rsidR="00F81778" w:rsidRDefault="00F81778" w:rsidP="008E5B19">
      <w:pPr>
        <w:widowControl/>
        <w:spacing w:before="0" w:after="160" w:line="259" w:lineRule="auto"/>
        <w:rPr>
          <w:rFonts w:cs="Arial"/>
          <w:b/>
        </w:rPr>
      </w:pPr>
    </w:p>
    <w:p w14:paraId="2C834D65" w14:textId="46849622" w:rsidR="00B42F2B" w:rsidRPr="00B42F2B" w:rsidRDefault="00B42F2B" w:rsidP="008E5B19">
      <w:pPr>
        <w:widowControl/>
        <w:spacing w:before="0" w:after="160" w:line="259" w:lineRule="auto"/>
        <w:rPr>
          <w:rFonts w:cs="Arial"/>
          <w:b/>
        </w:rPr>
      </w:pPr>
      <w:r w:rsidRPr="00B02D6B">
        <w:rPr>
          <w:rFonts w:cs="Arial"/>
          <w:b/>
        </w:rPr>
        <w:t>W</w:t>
      </w:r>
      <w:r w:rsidRPr="00B42F2B">
        <w:rPr>
          <w:rFonts w:cs="Arial"/>
          <w:b/>
        </w:rPr>
        <w:t>ashington Nursing Facility Capacity and Occupancy by County, For 201</w:t>
      </w:r>
      <w:r w:rsidR="004F7144">
        <w:rPr>
          <w:rFonts w:cs="Arial"/>
          <w:b/>
        </w:rPr>
        <w:t>5</w:t>
      </w:r>
    </w:p>
    <w:p w14:paraId="443CE1E6" w14:textId="77777777" w:rsidR="00B42F2B" w:rsidRPr="00B42F2B" w:rsidRDefault="00B42F2B" w:rsidP="00B42F2B">
      <w:pPr>
        <w:spacing w:before="0" w:after="0"/>
        <w:rPr>
          <w:rFonts w:cs="Arial"/>
        </w:rPr>
      </w:pPr>
    </w:p>
    <w:p w14:paraId="6EB315F5" w14:textId="77777777" w:rsidR="00B42F2B" w:rsidRDefault="00B42F2B" w:rsidP="00B42F2B">
      <w:pPr>
        <w:spacing w:before="0" w:after="0"/>
        <w:rPr>
          <w:rFonts w:cs="Arial"/>
        </w:rPr>
      </w:pPr>
      <w:r w:rsidRPr="00B42F2B">
        <w:rPr>
          <w:rFonts w:cs="Arial"/>
        </w:rPr>
        <w:t>To assess whether Medicaid beneficiaries in all areas of the state have sufficient access to nursing facility services, we analyzed the distribution of nursing facility beds and utilization at the county level.</w:t>
      </w:r>
    </w:p>
    <w:p w14:paraId="60C2FB3E" w14:textId="77777777" w:rsidR="00B02D6B" w:rsidRPr="00B42F2B" w:rsidRDefault="00B02D6B" w:rsidP="00B42F2B">
      <w:pPr>
        <w:spacing w:before="0" w:after="0"/>
        <w:rPr>
          <w:rFonts w:cs="Arial"/>
        </w:rPr>
      </w:pPr>
    </w:p>
    <w:p w14:paraId="675E5D4D" w14:textId="38F63330" w:rsidR="00B42F2B" w:rsidRPr="00B42F2B" w:rsidRDefault="00B42F2B" w:rsidP="00B42F2B">
      <w:pPr>
        <w:spacing w:before="0" w:after="0"/>
        <w:rPr>
          <w:rFonts w:cs="Arial"/>
        </w:rPr>
      </w:pPr>
      <w:r w:rsidRPr="00B42F2B">
        <w:rPr>
          <w:rFonts w:cs="Arial"/>
        </w:rPr>
        <w:t>In 201</w:t>
      </w:r>
      <w:r w:rsidR="00D3731B">
        <w:rPr>
          <w:rFonts w:cs="Arial"/>
        </w:rPr>
        <w:t>5</w:t>
      </w:r>
      <w:r w:rsidRPr="00B42F2B">
        <w:rPr>
          <w:rFonts w:cs="Arial"/>
        </w:rPr>
        <w:t>, the number of nursing facilities per county ranged from 1 in Asotin, Columbia, Franklin, Island, Jefferson, Kittitas, Pacific, Pend Oreille and San Juan counties to 5</w:t>
      </w:r>
      <w:r w:rsidR="00D3731B">
        <w:rPr>
          <w:rFonts w:cs="Arial"/>
        </w:rPr>
        <w:t>2</w:t>
      </w:r>
      <w:r w:rsidRPr="00B42F2B">
        <w:rPr>
          <w:rFonts w:cs="Arial"/>
        </w:rPr>
        <w:t xml:space="preserve"> in King County.  Exhibit 2.1 shows that the number of beds per county, for counties with at least one nursing facility, ranged from 34 to 5,6</w:t>
      </w:r>
      <w:r w:rsidR="00D3731B">
        <w:rPr>
          <w:rFonts w:cs="Arial"/>
        </w:rPr>
        <w:t>4</w:t>
      </w:r>
      <w:r w:rsidRPr="00B42F2B">
        <w:rPr>
          <w:rFonts w:cs="Arial"/>
        </w:rPr>
        <w:t>3</w:t>
      </w:r>
      <w:r w:rsidR="00955E6A">
        <w:rPr>
          <w:rFonts w:cs="Arial"/>
        </w:rPr>
        <w:t xml:space="preserve"> beds</w:t>
      </w:r>
      <w:r w:rsidRPr="00B42F2B">
        <w:rPr>
          <w:rFonts w:cs="Arial"/>
        </w:rPr>
        <w:t xml:space="preserve">.  As expected, the most urban and populous counties of King, Pierce and Snohomish have the most nursing facility beds.  Of the eight counties with only one facility, the bed count ranges from 34 in Columbia to 125 in Franklin. </w:t>
      </w:r>
    </w:p>
    <w:p w14:paraId="58D2AC53" w14:textId="77777777" w:rsidR="00A130F1" w:rsidRPr="00B42F2B" w:rsidRDefault="00A130F1" w:rsidP="00B42F2B">
      <w:pPr>
        <w:spacing w:before="0" w:after="0"/>
        <w:rPr>
          <w:rFonts w:cs="Arial"/>
        </w:rPr>
      </w:pPr>
    </w:p>
    <w:p w14:paraId="4948EFEC" w14:textId="16C867AA" w:rsidR="00B42F2B" w:rsidRDefault="00B42F2B" w:rsidP="00B42F2B">
      <w:pPr>
        <w:spacing w:before="0" w:after="0"/>
        <w:rPr>
          <w:rFonts w:cs="Arial"/>
        </w:rPr>
      </w:pPr>
      <w:r w:rsidRPr="00B42F2B">
        <w:rPr>
          <w:rFonts w:cs="Arial"/>
        </w:rPr>
        <w:t xml:space="preserve">Currently, Ferry, Lincoln, Klickitat, Douglas and Skamania counties do not have nursing facilities; however, each county supports Medicaid eligible residents by other means through adult family homes and assisted living.  There are </w:t>
      </w:r>
      <w:r w:rsidR="005E6B7E">
        <w:rPr>
          <w:rFonts w:cs="Arial"/>
        </w:rPr>
        <w:t>nine</w:t>
      </w:r>
      <w:r w:rsidRPr="00B42F2B">
        <w:rPr>
          <w:rFonts w:cs="Arial"/>
        </w:rPr>
        <w:t xml:space="preserve"> adult family homes in Klickitat with a total of </w:t>
      </w:r>
      <w:r w:rsidR="005E6B7E">
        <w:rPr>
          <w:rFonts w:cs="Arial"/>
        </w:rPr>
        <w:t>46</w:t>
      </w:r>
      <w:r w:rsidRPr="00B42F2B">
        <w:rPr>
          <w:rFonts w:cs="Arial"/>
        </w:rPr>
        <w:t xml:space="preserve"> beds, Lincoln has </w:t>
      </w:r>
      <w:r w:rsidR="005E6B7E">
        <w:rPr>
          <w:rFonts w:cs="Arial"/>
        </w:rPr>
        <w:t>two</w:t>
      </w:r>
      <w:r w:rsidRPr="00B42F2B">
        <w:rPr>
          <w:rFonts w:cs="Arial"/>
        </w:rPr>
        <w:t xml:space="preserve"> homes with 1</w:t>
      </w:r>
      <w:r w:rsidR="005E6B7E">
        <w:rPr>
          <w:rFonts w:cs="Arial"/>
        </w:rPr>
        <w:t>2</w:t>
      </w:r>
      <w:r w:rsidRPr="00B42F2B">
        <w:rPr>
          <w:rFonts w:cs="Arial"/>
        </w:rPr>
        <w:t xml:space="preserve"> beds, Douglas has eight homes with 45 beds</w:t>
      </w:r>
      <w:r w:rsidR="00615EE4">
        <w:rPr>
          <w:rFonts w:cs="Arial"/>
        </w:rPr>
        <w:t>, Ferry has one home with 6 beds, and Skamania has one home with 4 beds</w:t>
      </w:r>
      <w:r w:rsidRPr="00B42F2B">
        <w:rPr>
          <w:rFonts w:cs="Arial"/>
        </w:rPr>
        <w:t xml:space="preserve">.  There are four assisted living facilities in Douglas County with </w:t>
      </w:r>
      <w:r w:rsidR="00615EE4">
        <w:rPr>
          <w:rFonts w:cs="Arial"/>
        </w:rPr>
        <w:t>262</w:t>
      </w:r>
      <w:r w:rsidRPr="00B42F2B">
        <w:rPr>
          <w:rFonts w:cs="Arial"/>
        </w:rPr>
        <w:t xml:space="preserve"> beds, one in Ferry County with 16 beds, </w:t>
      </w:r>
      <w:r w:rsidR="00615EE4">
        <w:rPr>
          <w:rFonts w:cs="Arial"/>
        </w:rPr>
        <w:t>two</w:t>
      </w:r>
      <w:r w:rsidRPr="00B42F2B">
        <w:rPr>
          <w:rFonts w:cs="Arial"/>
        </w:rPr>
        <w:t xml:space="preserve"> in Lincoln with </w:t>
      </w:r>
      <w:r w:rsidR="00615EE4">
        <w:rPr>
          <w:rFonts w:cs="Arial"/>
        </w:rPr>
        <w:t>28</w:t>
      </w:r>
      <w:r w:rsidRPr="00B42F2B">
        <w:rPr>
          <w:rFonts w:cs="Arial"/>
        </w:rPr>
        <w:t xml:space="preserve"> beds a</w:t>
      </w:r>
      <w:r w:rsidR="00AE4E3B">
        <w:rPr>
          <w:rFonts w:cs="Arial"/>
        </w:rPr>
        <w:t>nd one in Skamania with 36 beds.</w:t>
      </w:r>
    </w:p>
    <w:p w14:paraId="49C9B845" w14:textId="77777777" w:rsidR="00555D39" w:rsidRDefault="00555D39" w:rsidP="00B42F2B">
      <w:pPr>
        <w:spacing w:before="0" w:after="0"/>
        <w:rPr>
          <w:rFonts w:cs="Arial"/>
        </w:rPr>
      </w:pPr>
    </w:p>
    <w:p w14:paraId="5AAF13C5" w14:textId="3A7E4706" w:rsidR="00555D39" w:rsidRPr="00AE4E3B" w:rsidRDefault="00555D39" w:rsidP="00B42F2B">
      <w:pPr>
        <w:spacing w:before="0" w:after="0"/>
        <w:rPr>
          <w:rFonts w:cs="Arial"/>
        </w:rPr>
        <w:sectPr w:rsidR="00555D39" w:rsidRPr="00AE4E3B" w:rsidSect="000E3949">
          <w:headerReference w:type="default" r:id="rId12"/>
          <w:endnotePr>
            <w:numFmt w:val="decimal"/>
          </w:endnotePr>
          <w:pgSz w:w="12240" w:h="15840" w:code="1"/>
          <w:pgMar w:top="1440" w:right="1440" w:bottom="1440" w:left="1440" w:header="720" w:footer="720" w:gutter="0"/>
          <w:cols w:space="720"/>
          <w:docGrid w:linePitch="360"/>
        </w:sectPr>
      </w:pPr>
      <w:r w:rsidRPr="00B42F2B">
        <w:rPr>
          <w:rFonts w:cs="Arial"/>
        </w:rPr>
        <w:t>Garfield and Wahkiakum counties have no nursing facilities, adult family homes or assisted living facilities</w:t>
      </w:r>
      <w:r>
        <w:rPr>
          <w:rFonts w:cs="Arial"/>
        </w:rPr>
        <w:t xml:space="preserve">.  These two counties are not very populous counties and between the two have approximately 6,000 people.  </w:t>
      </w:r>
      <w:r w:rsidR="0099135B">
        <w:rPr>
          <w:rFonts w:cs="Arial"/>
        </w:rPr>
        <w:t xml:space="preserve">It should also be noted that a lack of residential facilities in a county does not necessarily mean that there are no services available to individuals requiring care.  Personal care services are available in every county in Washington and individuals can arrange for services to be provided to them.  </w:t>
      </w:r>
    </w:p>
    <w:p w14:paraId="0E291451" w14:textId="14A51762" w:rsidR="00B42F2B" w:rsidRPr="00B42F2B" w:rsidRDefault="00363B72" w:rsidP="00B42F2B">
      <w:pPr>
        <w:rPr>
          <w:rFonts w:cs="Arial"/>
        </w:rPr>
        <w:sectPr w:rsidR="00B42F2B" w:rsidRPr="00B42F2B" w:rsidSect="00B42F2B">
          <w:headerReference w:type="default" r:id="rId13"/>
          <w:endnotePr>
            <w:numFmt w:val="decimal"/>
          </w:endnotePr>
          <w:pgSz w:w="15840" w:h="12240" w:orient="landscape" w:code="1"/>
          <w:pgMar w:top="1440" w:right="720" w:bottom="1800" w:left="720" w:header="720" w:footer="720" w:gutter="0"/>
          <w:cols w:space="720"/>
          <w:docGrid w:linePitch="360"/>
        </w:sectPr>
      </w:pPr>
      <w:r>
        <w:rPr>
          <w:rFonts w:cs="Arial"/>
          <w:noProof/>
        </w:rPr>
        <w:lastRenderedPageBreak/>
        <w:drawing>
          <wp:inline distT="0" distB="0" distL="0" distR="0" wp14:anchorId="3CD7B0E0" wp14:editId="6725781C">
            <wp:extent cx="8610600" cy="601318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21040" cy="6020477"/>
                    </a:xfrm>
                    <a:prstGeom prst="rect">
                      <a:avLst/>
                    </a:prstGeom>
                    <a:noFill/>
                  </pic:spPr>
                </pic:pic>
              </a:graphicData>
            </a:graphic>
          </wp:inline>
        </w:drawing>
      </w:r>
    </w:p>
    <w:p w14:paraId="034B2715" w14:textId="21DE4723" w:rsidR="00B42F2B" w:rsidRDefault="00B42F2B" w:rsidP="008D3680">
      <w:pPr>
        <w:spacing w:before="0" w:after="0"/>
        <w:rPr>
          <w:rFonts w:cs="Arial"/>
        </w:rPr>
      </w:pPr>
      <w:r w:rsidRPr="00B42F2B">
        <w:rPr>
          <w:rFonts w:cs="Arial"/>
        </w:rPr>
        <w:lastRenderedPageBreak/>
        <w:t>Exhibit 2.2 shows the average nursing facility occupa</w:t>
      </w:r>
      <w:r w:rsidR="001D338A">
        <w:rPr>
          <w:rFonts w:cs="Arial"/>
        </w:rPr>
        <w:t>ncy rates in each county in 2015</w:t>
      </w:r>
      <w:r w:rsidRPr="00B42F2B">
        <w:rPr>
          <w:rFonts w:cs="Arial"/>
        </w:rPr>
        <w:t xml:space="preserve">.  At the county level, average occupancy rates ranged from a low of </w:t>
      </w:r>
      <w:r w:rsidR="002D7AC3">
        <w:rPr>
          <w:rFonts w:cs="Arial"/>
        </w:rPr>
        <w:t>49.7</w:t>
      </w:r>
      <w:r w:rsidRPr="00B42F2B">
        <w:rPr>
          <w:rFonts w:cs="Arial"/>
        </w:rPr>
        <w:t xml:space="preserve"> percent to a high of </w:t>
      </w:r>
      <w:r w:rsidR="001D338A">
        <w:rPr>
          <w:rFonts w:cs="Arial"/>
        </w:rPr>
        <w:t>94.8</w:t>
      </w:r>
      <w:r w:rsidRPr="00B42F2B">
        <w:rPr>
          <w:rFonts w:cs="Arial"/>
        </w:rPr>
        <w:t xml:space="preserve"> percent.  </w:t>
      </w:r>
      <w:r w:rsidR="002D7AC3">
        <w:rPr>
          <w:rFonts w:cs="Arial"/>
        </w:rPr>
        <w:t>Twelve</w:t>
      </w:r>
      <w:r w:rsidRPr="00B42F2B">
        <w:rPr>
          <w:rFonts w:cs="Arial"/>
        </w:rPr>
        <w:t xml:space="preserve"> of the state’s 39 counties have an average occupancy rate for nursing facilities in 201</w:t>
      </w:r>
      <w:r w:rsidR="001D338A">
        <w:rPr>
          <w:rFonts w:cs="Arial"/>
        </w:rPr>
        <w:t>5</w:t>
      </w:r>
      <w:r w:rsidRPr="00B42F2B">
        <w:rPr>
          <w:rFonts w:cs="Arial"/>
        </w:rPr>
        <w:t xml:space="preserve"> between 80 percent and 9</w:t>
      </w:r>
      <w:r w:rsidR="001D338A">
        <w:rPr>
          <w:rFonts w:cs="Arial"/>
        </w:rPr>
        <w:t>5</w:t>
      </w:r>
      <w:r w:rsidR="008D3680">
        <w:rPr>
          <w:rFonts w:cs="Arial"/>
        </w:rPr>
        <w:t xml:space="preserve"> percent. </w:t>
      </w:r>
    </w:p>
    <w:p w14:paraId="3E29AF21" w14:textId="77777777" w:rsidR="008D3680" w:rsidRPr="00B42F2B" w:rsidRDefault="008D3680" w:rsidP="008D3680">
      <w:pPr>
        <w:spacing w:before="0" w:after="0"/>
        <w:rPr>
          <w:rFonts w:cs="Arial"/>
        </w:rPr>
      </w:pPr>
    </w:p>
    <w:p w14:paraId="752702D4" w14:textId="2E32FA8C" w:rsidR="00B42F2B" w:rsidRPr="00B42F2B" w:rsidRDefault="00B42F2B" w:rsidP="008D3680">
      <w:pPr>
        <w:spacing w:before="0" w:after="0"/>
        <w:rPr>
          <w:rFonts w:cs="Arial"/>
        </w:rPr>
        <w:sectPr w:rsidR="00B42F2B" w:rsidRPr="00B42F2B" w:rsidSect="00B42F2B">
          <w:headerReference w:type="default" r:id="rId15"/>
          <w:endnotePr>
            <w:numFmt w:val="decimal"/>
          </w:endnotePr>
          <w:pgSz w:w="12240" w:h="15840"/>
          <w:pgMar w:top="1440" w:right="1440" w:bottom="1440" w:left="1440" w:header="720" w:footer="720" w:gutter="0"/>
          <w:cols w:space="720"/>
          <w:docGrid w:linePitch="360"/>
        </w:sectPr>
      </w:pPr>
      <w:r w:rsidRPr="00B42F2B">
        <w:rPr>
          <w:rFonts w:cs="Arial"/>
        </w:rPr>
        <w:t xml:space="preserve">There were </w:t>
      </w:r>
      <w:r w:rsidR="002D7AC3">
        <w:rPr>
          <w:rFonts w:cs="Arial"/>
        </w:rPr>
        <w:t>six</w:t>
      </w:r>
      <w:r w:rsidRPr="00B42F2B">
        <w:rPr>
          <w:rFonts w:cs="Arial"/>
        </w:rPr>
        <w:t xml:space="preserve"> counties with average occupancy rates of 85 percent or greater in 201</w:t>
      </w:r>
      <w:r w:rsidR="001D338A">
        <w:rPr>
          <w:rFonts w:cs="Arial"/>
        </w:rPr>
        <w:t>5</w:t>
      </w:r>
      <w:r w:rsidRPr="00B42F2B">
        <w:rPr>
          <w:rFonts w:cs="Arial"/>
        </w:rPr>
        <w:t xml:space="preserve"> (Kitsap, Pend Oreille, Snohomish, Spokane, Stevens, and Yakima) with the highest being </w:t>
      </w:r>
      <w:r w:rsidR="001D338A">
        <w:rPr>
          <w:rFonts w:cs="Arial"/>
        </w:rPr>
        <w:t>94.8</w:t>
      </w:r>
      <w:r w:rsidR="008D3680">
        <w:rPr>
          <w:rFonts w:cs="Arial"/>
        </w:rPr>
        <w:t xml:space="preserve"> percent (Pend Oreille).  </w:t>
      </w:r>
      <w:r w:rsidR="008A2F41">
        <w:rPr>
          <w:rFonts w:cs="Arial"/>
        </w:rPr>
        <w:t xml:space="preserve"> </w:t>
      </w:r>
      <w:r w:rsidR="008D3680">
        <w:rPr>
          <w:rFonts w:cs="Arial"/>
        </w:rPr>
        <w:t xml:space="preserve"> </w:t>
      </w:r>
    </w:p>
    <w:p w14:paraId="74A473AE" w14:textId="728673CA" w:rsidR="00B42F2B" w:rsidRPr="00B42F2B" w:rsidRDefault="007877CF" w:rsidP="00B42F2B">
      <w:pPr>
        <w:jc w:val="center"/>
        <w:rPr>
          <w:rFonts w:cs="Arial"/>
        </w:rPr>
        <w:sectPr w:rsidR="00B42F2B" w:rsidRPr="00B42F2B" w:rsidSect="00B42F2B">
          <w:headerReference w:type="default" r:id="rId16"/>
          <w:endnotePr>
            <w:numFmt w:val="decimal"/>
          </w:endnotePr>
          <w:pgSz w:w="15840" w:h="12240" w:orient="landscape"/>
          <w:pgMar w:top="1440" w:right="1440" w:bottom="1800" w:left="720" w:header="720" w:footer="720" w:gutter="0"/>
          <w:cols w:space="720"/>
          <w:docGrid w:linePitch="360"/>
        </w:sectPr>
      </w:pPr>
      <w:r>
        <w:rPr>
          <w:rFonts w:cs="Arial"/>
          <w:noProof/>
        </w:rPr>
        <w:lastRenderedPageBreak/>
        <w:drawing>
          <wp:inline distT="0" distB="0" distL="0" distR="0" wp14:anchorId="7007292E" wp14:editId="2CBD345E">
            <wp:extent cx="8477250" cy="60087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82108" cy="6012236"/>
                    </a:xfrm>
                    <a:prstGeom prst="rect">
                      <a:avLst/>
                    </a:prstGeom>
                    <a:noFill/>
                  </pic:spPr>
                </pic:pic>
              </a:graphicData>
            </a:graphic>
          </wp:inline>
        </w:drawing>
      </w:r>
    </w:p>
    <w:p w14:paraId="63F6C3EF" w14:textId="08A72850" w:rsidR="00B42F2B" w:rsidRPr="00B42F2B" w:rsidRDefault="00B42F2B" w:rsidP="00B42F2B">
      <w:pPr>
        <w:spacing w:before="0" w:after="0"/>
        <w:rPr>
          <w:rFonts w:cs="Arial"/>
        </w:rPr>
      </w:pPr>
      <w:r w:rsidRPr="00B42F2B">
        <w:rPr>
          <w:rFonts w:cs="Arial"/>
        </w:rPr>
        <w:lastRenderedPageBreak/>
        <w:t>Exhibit 2.3 shows the average Medicaid utilization rates by county for 201</w:t>
      </w:r>
      <w:r w:rsidR="0055459B">
        <w:rPr>
          <w:rFonts w:cs="Arial"/>
        </w:rPr>
        <w:t>5</w:t>
      </w:r>
      <w:r w:rsidRPr="00B42F2B">
        <w:rPr>
          <w:rFonts w:cs="Arial"/>
        </w:rPr>
        <w:t>, which ranged from 4</w:t>
      </w:r>
      <w:r w:rsidR="0055459B">
        <w:rPr>
          <w:rFonts w:cs="Arial"/>
        </w:rPr>
        <w:t>2</w:t>
      </w:r>
      <w:r w:rsidRPr="00B42F2B">
        <w:rPr>
          <w:rFonts w:cs="Arial"/>
        </w:rPr>
        <w:t xml:space="preserve">.5 percent to </w:t>
      </w:r>
      <w:r w:rsidR="0055459B">
        <w:rPr>
          <w:rFonts w:cs="Arial"/>
        </w:rPr>
        <w:t>81</w:t>
      </w:r>
      <w:r w:rsidRPr="00B42F2B">
        <w:rPr>
          <w:rFonts w:cs="Arial"/>
        </w:rPr>
        <w:t>.</w:t>
      </w:r>
      <w:r w:rsidR="0055459B">
        <w:rPr>
          <w:rFonts w:cs="Arial"/>
        </w:rPr>
        <w:t>6</w:t>
      </w:r>
      <w:r w:rsidRPr="00B42F2B">
        <w:rPr>
          <w:rFonts w:cs="Arial"/>
        </w:rPr>
        <w:t xml:space="preserve"> percent.  Medicaid utilization for 1</w:t>
      </w:r>
      <w:r w:rsidR="0055459B">
        <w:rPr>
          <w:rFonts w:cs="Arial"/>
        </w:rPr>
        <w:t>2</w:t>
      </w:r>
      <w:r w:rsidRPr="00B42F2B">
        <w:rPr>
          <w:rFonts w:cs="Arial"/>
        </w:rPr>
        <w:t xml:space="preserve"> of the counties was within the 60 percent to 70 percent range.</w:t>
      </w:r>
      <w:r w:rsidR="0055459B">
        <w:rPr>
          <w:rFonts w:cs="Arial"/>
        </w:rPr>
        <w:t xml:space="preserve">  Six of the counties had utilization exceeding 70 percent in 2015.  </w:t>
      </w:r>
    </w:p>
    <w:p w14:paraId="0CC78D0E" w14:textId="77777777" w:rsidR="00B42F2B" w:rsidRPr="00B42F2B" w:rsidRDefault="00B42F2B" w:rsidP="00B42F2B">
      <w:pPr>
        <w:rPr>
          <w:rFonts w:cs="Arial"/>
          <w:b/>
        </w:rPr>
        <w:sectPr w:rsidR="00B42F2B" w:rsidRPr="00B42F2B" w:rsidSect="00B42F2B">
          <w:headerReference w:type="default" r:id="rId18"/>
          <w:endnotePr>
            <w:numFmt w:val="decimal"/>
          </w:endnotePr>
          <w:pgSz w:w="12240" w:h="15840"/>
          <w:pgMar w:top="1440" w:right="1440" w:bottom="1440" w:left="1440" w:header="720" w:footer="720" w:gutter="0"/>
          <w:cols w:space="720"/>
          <w:docGrid w:linePitch="360"/>
        </w:sectPr>
      </w:pPr>
    </w:p>
    <w:p w14:paraId="5E7B14C5" w14:textId="313D7B68" w:rsidR="00B42F2B" w:rsidRPr="00B42F2B" w:rsidRDefault="00544809" w:rsidP="00B42F2B">
      <w:pPr>
        <w:rPr>
          <w:rFonts w:cs="Arial"/>
          <w:b/>
        </w:rPr>
        <w:sectPr w:rsidR="00B42F2B" w:rsidRPr="00B42F2B" w:rsidSect="00B42F2B">
          <w:headerReference w:type="default" r:id="rId19"/>
          <w:endnotePr>
            <w:numFmt w:val="decimal"/>
          </w:endnotePr>
          <w:pgSz w:w="15840" w:h="12240" w:orient="landscape"/>
          <w:pgMar w:top="1440" w:right="1440" w:bottom="1800" w:left="720" w:header="720" w:footer="720" w:gutter="0"/>
          <w:cols w:space="720"/>
          <w:docGrid w:linePitch="360"/>
        </w:sectPr>
      </w:pPr>
      <w:r>
        <w:rPr>
          <w:rFonts w:cs="Arial"/>
          <w:b/>
          <w:noProof/>
        </w:rPr>
        <w:lastRenderedPageBreak/>
        <w:drawing>
          <wp:inline distT="0" distB="0" distL="0" distR="0" wp14:anchorId="2851C341" wp14:editId="19754268">
            <wp:extent cx="8528410" cy="6019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33301" cy="6023252"/>
                    </a:xfrm>
                    <a:prstGeom prst="rect">
                      <a:avLst/>
                    </a:prstGeom>
                    <a:noFill/>
                  </pic:spPr>
                </pic:pic>
              </a:graphicData>
            </a:graphic>
          </wp:inline>
        </w:drawing>
      </w:r>
    </w:p>
    <w:p w14:paraId="32D8BCBB" w14:textId="77777777" w:rsidR="00B42F2B" w:rsidRPr="00B42F2B" w:rsidRDefault="00B42F2B" w:rsidP="00B42F2B">
      <w:pPr>
        <w:spacing w:before="0" w:after="0"/>
        <w:rPr>
          <w:rFonts w:cs="Arial"/>
          <w:b/>
        </w:rPr>
      </w:pPr>
      <w:r w:rsidRPr="00B42F2B">
        <w:rPr>
          <w:rFonts w:cs="Arial"/>
          <w:b/>
        </w:rPr>
        <w:lastRenderedPageBreak/>
        <w:t>Nursing Facility Capacity in Washington Compared with Other States</w:t>
      </w:r>
    </w:p>
    <w:p w14:paraId="3FCD32BE" w14:textId="77777777" w:rsidR="00B42F2B" w:rsidRPr="00B42F2B" w:rsidRDefault="00B42F2B" w:rsidP="00B42F2B">
      <w:pPr>
        <w:spacing w:before="0" w:after="0"/>
        <w:rPr>
          <w:rFonts w:cs="Arial"/>
        </w:rPr>
      </w:pPr>
    </w:p>
    <w:p w14:paraId="3E207093" w14:textId="77777777" w:rsidR="00B42F2B" w:rsidRPr="00B42F2B" w:rsidRDefault="00B42F2B" w:rsidP="00B42F2B">
      <w:pPr>
        <w:spacing w:before="0" w:after="0"/>
        <w:rPr>
          <w:rFonts w:cs="Arial"/>
        </w:rPr>
      </w:pPr>
      <w:r w:rsidRPr="00B42F2B">
        <w:rPr>
          <w:rFonts w:cs="Arial"/>
        </w:rPr>
        <w:t>Another way to analyze the adequacy of Washington’s nursing facility capacity is to compare it with the capacity in similar states.</w:t>
      </w:r>
    </w:p>
    <w:p w14:paraId="7D8B912A" w14:textId="77777777" w:rsidR="00B42F2B" w:rsidRPr="00B42F2B" w:rsidRDefault="00B42F2B" w:rsidP="00B42F2B">
      <w:pPr>
        <w:spacing w:before="0" w:after="0"/>
        <w:rPr>
          <w:rFonts w:cs="Arial"/>
        </w:rPr>
      </w:pPr>
    </w:p>
    <w:p w14:paraId="6E4CE952" w14:textId="77777777" w:rsidR="00B42F2B" w:rsidRPr="00B42F2B" w:rsidRDefault="00B42F2B" w:rsidP="00B42F2B">
      <w:pPr>
        <w:spacing w:before="0" w:after="0"/>
        <w:rPr>
          <w:rFonts w:cs="Arial"/>
        </w:rPr>
      </w:pPr>
      <w:r w:rsidRPr="00B42F2B">
        <w:rPr>
          <w:rFonts w:cs="Arial"/>
        </w:rPr>
        <w:t>Table 2.4 shows the nursing facility occupancy rates for states in the Centers for Medicare and Medicaid Services (CMS) Region X for the ten years 2006 through 2015.  In 2014 and 2015, Washington’s occupancy rates were greater than those in Idaho and Oregon, but less than Alaska, as was the case in 2008 through 2012.</w:t>
      </w:r>
    </w:p>
    <w:p w14:paraId="179FF2BE" w14:textId="77777777" w:rsidR="00B42F2B" w:rsidRPr="00B42F2B" w:rsidRDefault="00B42F2B" w:rsidP="009B34F0">
      <w:pPr>
        <w:jc w:val="center"/>
        <w:rPr>
          <w:rFonts w:cs="Arial"/>
        </w:rPr>
      </w:pPr>
    </w:p>
    <w:p w14:paraId="6E30118D" w14:textId="77777777" w:rsidR="00B42F2B" w:rsidRPr="00B42F2B" w:rsidRDefault="00B42F2B" w:rsidP="00B42F2B">
      <w:pPr>
        <w:rPr>
          <w:rFonts w:cs="Arial"/>
        </w:rPr>
      </w:pPr>
      <w:r w:rsidRPr="00B42F2B">
        <w:rPr>
          <w:rFonts w:cs="Arial"/>
          <w:b/>
        </w:rPr>
        <w:t>Table 2.4: Nursing Facility Occupancy Rates for States in CMS Region X:  2006 – 2015</w:t>
      </w:r>
      <w:r w:rsidRPr="00B42F2B">
        <w:rPr>
          <w:rFonts w:cs="Arial"/>
        </w:rPr>
        <w:t xml:space="preserve"> </w:t>
      </w:r>
    </w:p>
    <w:p w14:paraId="451E46B5" w14:textId="77777777" w:rsidR="00B42F2B" w:rsidRPr="00B42F2B" w:rsidRDefault="00B42F2B" w:rsidP="00B42F2B">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829"/>
        <w:gridCol w:w="830"/>
        <w:gridCol w:w="804"/>
        <w:gridCol w:w="786"/>
        <w:gridCol w:w="761"/>
        <w:gridCol w:w="761"/>
        <w:gridCol w:w="761"/>
        <w:gridCol w:w="741"/>
        <w:gridCol w:w="727"/>
        <w:gridCol w:w="727"/>
      </w:tblGrid>
      <w:tr w:rsidR="00B42F2B" w:rsidRPr="001223AC" w14:paraId="09F2CED4" w14:textId="77777777" w:rsidTr="00B42F2B">
        <w:trPr>
          <w:jc w:val="center"/>
        </w:trPr>
        <w:tc>
          <w:tcPr>
            <w:tcW w:w="1342" w:type="dxa"/>
          </w:tcPr>
          <w:p w14:paraId="358B6A97" w14:textId="77777777" w:rsidR="00B42F2B" w:rsidRPr="001223AC" w:rsidRDefault="00B42F2B" w:rsidP="00B42F2B">
            <w:pPr>
              <w:jc w:val="center"/>
              <w:rPr>
                <w:rFonts w:cs="Arial"/>
                <w:b/>
                <w:sz w:val="18"/>
                <w:szCs w:val="20"/>
              </w:rPr>
            </w:pPr>
            <w:r w:rsidRPr="001223AC">
              <w:rPr>
                <w:rFonts w:cs="Arial"/>
                <w:b/>
                <w:sz w:val="18"/>
                <w:szCs w:val="20"/>
              </w:rPr>
              <w:t>State</w:t>
            </w:r>
          </w:p>
        </w:tc>
        <w:tc>
          <w:tcPr>
            <w:tcW w:w="926" w:type="dxa"/>
            <w:vAlign w:val="bottom"/>
          </w:tcPr>
          <w:p w14:paraId="4084FEB8" w14:textId="77777777" w:rsidR="00B42F2B" w:rsidRPr="001223AC" w:rsidRDefault="00B42F2B" w:rsidP="00B42F2B">
            <w:pPr>
              <w:jc w:val="center"/>
              <w:rPr>
                <w:rFonts w:cs="Arial"/>
                <w:b/>
                <w:sz w:val="18"/>
                <w:szCs w:val="20"/>
              </w:rPr>
            </w:pPr>
            <w:r w:rsidRPr="001223AC">
              <w:rPr>
                <w:rFonts w:cs="Arial"/>
                <w:b/>
                <w:sz w:val="18"/>
                <w:szCs w:val="20"/>
              </w:rPr>
              <w:t>2006</w:t>
            </w:r>
          </w:p>
        </w:tc>
        <w:tc>
          <w:tcPr>
            <w:tcW w:w="927" w:type="dxa"/>
            <w:vAlign w:val="bottom"/>
          </w:tcPr>
          <w:p w14:paraId="492CA6D8" w14:textId="77777777" w:rsidR="00B42F2B" w:rsidRPr="001223AC" w:rsidRDefault="00B42F2B" w:rsidP="00B42F2B">
            <w:pPr>
              <w:jc w:val="center"/>
              <w:rPr>
                <w:rFonts w:cs="Arial"/>
                <w:b/>
                <w:sz w:val="18"/>
                <w:szCs w:val="20"/>
              </w:rPr>
            </w:pPr>
            <w:r w:rsidRPr="001223AC">
              <w:rPr>
                <w:rFonts w:cs="Arial"/>
                <w:b/>
                <w:sz w:val="18"/>
                <w:szCs w:val="20"/>
              </w:rPr>
              <w:t>2007</w:t>
            </w:r>
          </w:p>
        </w:tc>
        <w:tc>
          <w:tcPr>
            <w:tcW w:w="877" w:type="dxa"/>
          </w:tcPr>
          <w:p w14:paraId="510989AE" w14:textId="77777777" w:rsidR="00B42F2B" w:rsidRPr="001223AC" w:rsidRDefault="00B42F2B" w:rsidP="00B42F2B">
            <w:pPr>
              <w:jc w:val="center"/>
              <w:rPr>
                <w:rFonts w:cs="Arial"/>
                <w:b/>
                <w:sz w:val="18"/>
                <w:szCs w:val="20"/>
              </w:rPr>
            </w:pPr>
            <w:r w:rsidRPr="001223AC">
              <w:rPr>
                <w:rFonts w:cs="Arial"/>
                <w:b/>
                <w:sz w:val="18"/>
                <w:szCs w:val="20"/>
              </w:rPr>
              <w:t>2008</w:t>
            </w:r>
          </w:p>
        </w:tc>
        <w:tc>
          <w:tcPr>
            <w:tcW w:w="841" w:type="dxa"/>
          </w:tcPr>
          <w:p w14:paraId="75F3B08C" w14:textId="77777777" w:rsidR="00B42F2B" w:rsidRPr="001223AC" w:rsidRDefault="00B42F2B" w:rsidP="00B42F2B">
            <w:pPr>
              <w:jc w:val="center"/>
              <w:rPr>
                <w:rFonts w:cs="Arial"/>
                <w:b/>
                <w:sz w:val="18"/>
                <w:szCs w:val="20"/>
              </w:rPr>
            </w:pPr>
            <w:r w:rsidRPr="001223AC">
              <w:rPr>
                <w:rFonts w:cs="Arial"/>
                <w:b/>
                <w:sz w:val="18"/>
                <w:szCs w:val="20"/>
              </w:rPr>
              <w:t>2009</w:t>
            </w:r>
          </w:p>
        </w:tc>
        <w:tc>
          <w:tcPr>
            <w:tcW w:w="793" w:type="dxa"/>
          </w:tcPr>
          <w:p w14:paraId="20C8F0FC" w14:textId="77777777" w:rsidR="00B42F2B" w:rsidRPr="001223AC" w:rsidRDefault="00B42F2B" w:rsidP="00B42F2B">
            <w:pPr>
              <w:jc w:val="center"/>
              <w:rPr>
                <w:rFonts w:cs="Arial"/>
                <w:b/>
                <w:sz w:val="18"/>
                <w:szCs w:val="20"/>
              </w:rPr>
            </w:pPr>
            <w:r w:rsidRPr="001223AC">
              <w:rPr>
                <w:rFonts w:cs="Arial"/>
                <w:b/>
                <w:sz w:val="18"/>
                <w:szCs w:val="20"/>
              </w:rPr>
              <w:t>2010</w:t>
            </w:r>
          </w:p>
        </w:tc>
        <w:tc>
          <w:tcPr>
            <w:tcW w:w="793" w:type="dxa"/>
          </w:tcPr>
          <w:p w14:paraId="57D1AC6B" w14:textId="77777777" w:rsidR="00B42F2B" w:rsidRPr="001223AC" w:rsidRDefault="00B42F2B" w:rsidP="00B42F2B">
            <w:pPr>
              <w:jc w:val="center"/>
              <w:rPr>
                <w:rFonts w:cs="Arial"/>
                <w:b/>
                <w:sz w:val="18"/>
                <w:szCs w:val="20"/>
              </w:rPr>
            </w:pPr>
            <w:r w:rsidRPr="001223AC">
              <w:rPr>
                <w:rFonts w:cs="Arial"/>
                <w:b/>
                <w:sz w:val="18"/>
                <w:szCs w:val="20"/>
              </w:rPr>
              <w:t>2011</w:t>
            </w:r>
          </w:p>
        </w:tc>
        <w:tc>
          <w:tcPr>
            <w:tcW w:w="793" w:type="dxa"/>
          </w:tcPr>
          <w:p w14:paraId="21D0598B" w14:textId="77777777" w:rsidR="00B42F2B" w:rsidRPr="001223AC" w:rsidRDefault="00B42F2B" w:rsidP="00B42F2B">
            <w:pPr>
              <w:jc w:val="center"/>
              <w:rPr>
                <w:rFonts w:cs="Arial"/>
                <w:b/>
                <w:sz w:val="18"/>
                <w:szCs w:val="20"/>
              </w:rPr>
            </w:pPr>
            <w:r w:rsidRPr="001223AC">
              <w:rPr>
                <w:rFonts w:cs="Arial"/>
                <w:b/>
                <w:sz w:val="18"/>
                <w:szCs w:val="20"/>
              </w:rPr>
              <w:t>2012</w:t>
            </w:r>
          </w:p>
        </w:tc>
        <w:tc>
          <w:tcPr>
            <w:tcW w:w="755" w:type="dxa"/>
          </w:tcPr>
          <w:p w14:paraId="5107E6B6" w14:textId="77777777" w:rsidR="00B42F2B" w:rsidRPr="001223AC" w:rsidRDefault="00B42F2B" w:rsidP="00B42F2B">
            <w:pPr>
              <w:jc w:val="center"/>
              <w:rPr>
                <w:rFonts w:cs="Arial"/>
                <w:b/>
                <w:sz w:val="18"/>
                <w:szCs w:val="20"/>
              </w:rPr>
            </w:pPr>
            <w:r w:rsidRPr="001223AC">
              <w:rPr>
                <w:rFonts w:cs="Arial"/>
                <w:b/>
                <w:sz w:val="18"/>
                <w:szCs w:val="20"/>
              </w:rPr>
              <w:t>2013</w:t>
            </w:r>
          </w:p>
        </w:tc>
        <w:tc>
          <w:tcPr>
            <w:tcW w:w="720" w:type="dxa"/>
          </w:tcPr>
          <w:p w14:paraId="372ABD51" w14:textId="77777777" w:rsidR="00B42F2B" w:rsidRPr="001223AC" w:rsidRDefault="00B42F2B" w:rsidP="00B42F2B">
            <w:pPr>
              <w:jc w:val="center"/>
              <w:rPr>
                <w:rFonts w:cs="Arial"/>
                <w:b/>
                <w:sz w:val="18"/>
                <w:szCs w:val="20"/>
              </w:rPr>
            </w:pPr>
            <w:r w:rsidRPr="001223AC">
              <w:rPr>
                <w:rFonts w:cs="Arial"/>
                <w:b/>
                <w:sz w:val="18"/>
                <w:szCs w:val="20"/>
              </w:rPr>
              <w:t>2014</w:t>
            </w:r>
          </w:p>
        </w:tc>
        <w:tc>
          <w:tcPr>
            <w:tcW w:w="583" w:type="dxa"/>
          </w:tcPr>
          <w:p w14:paraId="7DADA729" w14:textId="77777777" w:rsidR="00B42F2B" w:rsidRPr="001223AC" w:rsidRDefault="00B42F2B" w:rsidP="00B42F2B">
            <w:pPr>
              <w:jc w:val="center"/>
              <w:rPr>
                <w:rFonts w:cs="Arial"/>
                <w:b/>
                <w:sz w:val="18"/>
                <w:szCs w:val="20"/>
              </w:rPr>
            </w:pPr>
            <w:r w:rsidRPr="001223AC">
              <w:rPr>
                <w:rFonts w:cs="Arial"/>
                <w:b/>
                <w:sz w:val="18"/>
                <w:szCs w:val="20"/>
              </w:rPr>
              <w:t>2015</w:t>
            </w:r>
          </w:p>
        </w:tc>
      </w:tr>
      <w:tr w:rsidR="00B42F2B" w:rsidRPr="001223AC" w14:paraId="74636065" w14:textId="77777777" w:rsidTr="00B42F2B">
        <w:trPr>
          <w:jc w:val="center"/>
        </w:trPr>
        <w:tc>
          <w:tcPr>
            <w:tcW w:w="1342" w:type="dxa"/>
            <w:tcBorders>
              <w:bottom w:val="single" w:sz="4" w:space="0" w:color="auto"/>
            </w:tcBorders>
            <w:vAlign w:val="bottom"/>
          </w:tcPr>
          <w:p w14:paraId="42F5431A" w14:textId="77777777" w:rsidR="00B42F2B" w:rsidRPr="001223AC" w:rsidRDefault="00B42F2B" w:rsidP="00B42F2B">
            <w:pPr>
              <w:rPr>
                <w:rFonts w:cs="Arial"/>
                <w:sz w:val="18"/>
                <w:szCs w:val="20"/>
              </w:rPr>
            </w:pPr>
            <w:r w:rsidRPr="001223AC">
              <w:rPr>
                <w:rFonts w:cs="Arial"/>
                <w:sz w:val="18"/>
                <w:szCs w:val="20"/>
              </w:rPr>
              <w:t>Alaska</w:t>
            </w:r>
          </w:p>
        </w:tc>
        <w:tc>
          <w:tcPr>
            <w:tcW w:w="926" w:type="dxa"/>
            <w:tcBorders>
              <w:bottom w:val="single" w:sz="4" w:space="0" w:color="auto"/>
            </w:tcBorders>
            <w:vAlign w:val="bottom"/>
          </w:tcPr>
          <w:p w14:paraId="561C1D1A" w14:textId="77777777" w:rsidR="00B42F2B" w:rsidRPr="001223AC" w:rsidRDefault="00B42F2B" w:rsidP="00B42F2B">
            <w:pPr>
              <w:jc w:val="center"/>
              <w:rPr>
                <w:rFonts w:cs="Arial"/>
                <w:sz w:val="18"/>
                <w:szCs w:val="20"/>
              </w:rPr>
            </w:pPr>
            <w:r w:rsidRPr="001223AC">
              <w:rPr>
                <w:rFonts w:cs="Arial"/>
                <w:sz w:val="18"/>
                <w:szCs w:val="20"/>
              </w:rPr>
              <w:t>84.1%</w:t>
            </w:r>
          </w:p>
        </w:tc>
        <w:tc>
          <w:tcPr>
            <w:tcW w:w="927" w:type="dxa"/>
            <w:tcBorders>
              <w:bottom w:val="single" w:sz="4" w:space="0" w:color="auto"/>
            </w:tcBorders>
            <w:vAlign w:val="bottom"/>
          </w:tcPr>
          <w:p w14:paraId="0F95546D" w14:textId="77777777" w:rsidR="00B42F2B" w:rsidRPr="001223AC" w:rsidRDefault="00B42F2B" w:rsidP="00B42F2B">
            <w:pPr>
              <w:jc w:val="center"/>
              <w:rPr>
                <w:rFonts w:cs="Arial"/>
                <w:sz w:val="18"/>
                <w:szCs w:val="20"/>
              </w:rPr>
            </w:pPr>
            <w:r w:rsidRPr="001223AC">
              <w:rPr>
                <w:rFonts w:cs="Arial"/>
                <w:sz w:val="18"/>
                <w:szCs w:val="20"/>
              </w:rPr>
              <w:t>85.2%</w:t>
            </w:r>
          </w:p>
        </w:tc>
        <w:tc>
          <w:tcPr>
            <w:tcW w:w="877" w:type="dxa"/>
            <w:tcBorders>
              <w:bottom w:val="single" w:sz="4" w:space="0" w:color="auto"/>
            </w:tcBorders>
          </w:tcPr>
          <w:p w14:paraId="6ED4953D" w14:textId="77777777" w:rsidR="00B42F2B" w:rsidRPr="001223AC" w:rsidRDefault="00B42F2B" w:rsidP="00B42F2B">
            <w:pPr>
              <w:jc w:val="center"/>
              <w:rPr>
                <w:rFonts w:cs="Arial"/>
                <w:sz w:val="18"/>
                <w:szCs w:val="20"/>
              </w:rPr>
            </w:pPr>
            <w:r w:rsidRPr="001223AC">
              <w:rPr>
                <w:rFonts w:cs="Arial"/>
                <w:sz w:val="18"/>
                <w:szCs w:val="20"/>
              </w:rPr>
              <w:t>84.7%</w:t>
            </w:r>
          </w:p>
        </w:tc>
        <w:tc>
          <w:tcPr>
            <w:tcW w:w="841" w:type="dxa"/>
            <w:tcBorders>
              <w:bottom w:val="single" w:sz="4" w:space="0" w:color="auto"/>
            </w:tcBorders>
          </w:tcPr>
          <w:p w14:paraId="6C6E357A" w14:textId="77777777" w:rsidR="00B42F2B" w:rsidRPr="001223AC" w:rsidRDefault="00B42F2B" w:rsidP="00B42F2B">
            <w:pPr>
              <w:jc w:val="center"/>
              <w:rPr>
                <w:rFonts w:cs="Arial"/>
                <w:sz w:val="18"/>
                <w:szCs w:val="20"/>
              </w:rPr>
            </w:pPr>
            <w:r w:rsidRPr="001223AC">
              <w:rPr>
                <w:rFonts w:cs="Arial"/>
                <w:sz w:val="18"/>
                <w:szCs w:val="20"/>
              </w:rPr>
              <w:t>86.7%</w:t>
            </w:r>
          </w:p>
        </w:tc>
        <w:tc>
          <w:tcPr>
            <w:tcW w:w="793" w:type="dxa"/>
            <w:tcBorders>
              <w:bottom w:val="single" w:sz="4" w:space="0" w:color="auto"/>
            </w:tcBorders>
          </w:tcPr>
          <w:p w14:paraId="5B066DF3" w14:textId="77777777" w:rsidR="00B42F2B" w:rsidRPr="001223AC" w:rsidRDefault="00B42F2B" w:rsidP="00B42F2B">
            <w:pPr>
              <w:jc w:val="center"/>
              <w:rPr>
                <w:rFonts w:cs="Arial"/>
                <w:sz w:val="18"/>
                <w:szCs w:val="20"/>
              </w:rPr>
            </w:pPr>
            <w:r w:rsidRPr="001223AC">
              <w:rPr>
                <w:rFonts w:cs="Arial"/>
                <w:sz w:val="18"/>
                <w:szCs w:val="20"/>
              </w:rPr>
              <w:t>87.3%</w:t>
            </w:r>
          </w:p>
        </w:tc>
        <w:tc>
          <w:tcPr>
            <w:tcW w:w="793" w:type="dxa"/>
            <w:tcBorders>
              <w:bottom w:val="single" w:sz="4" w:space="0" w:color="auto"/>
            </w:tcBorders>
          </w:tcPr>
          <w:p w14:paraId="20B4DB05" w14:textId="77777777" w:rsidR="00B42F2B" w:rsidRPr="001223AC" w:rsidRDefault="00B42F2B" w:rsidP="00B42F2B">
            <w:pPr>
              <w:jc w:val="center"/>
              <w:rPr>
                <w:rFonts w:cs="Arial"/>
                <w:sz w:val="18"/>
                <w:szCs w:val="20"/>
              </w:rPr>
            </w:pPr>
            <w:r w:rsidRPr="001223AC">
              <w:rPr>
                <w:rFonts w:cs="Arial"/>
                <w:sz w:val="18"/>
                <w:szCs w:val="20"/>
              </w:rPr>
              <w:t>93.8%</w:t>
            </w:r>
          </w:p>
        </w:tc>
        <w:tc>
          <w:tcPr>
            <w:tcW w:w="793" w:type="dxa"/>
            <w:tcBorders>
              <w:bottom w:val="single" w:sz="4" w:space="0" w:color="auto"/>
            </w:tcBorders>
          </w:tcPr>
          <w:p w14:paraId="55431D31" w14:textId="77777777" w:rsidR="00B42F2B" w:rsidRPr="001223AC" w:rsidRDefault="00B42F2B" w:rsidP="00B42F2B">
            <w:pPr>
              <w:jc w:val="center"/>
              <w:rPr>
                <w:rFonts w:cs="Arial"/>
                <w:sz w:val="18"/>
                <w:szCs w:val="20"/>
              </w:rPr>
            </w:pPr>
            <w:r w:rsidRPr="001223AC">
              <w:rPr>
                <w:rFonts w:cs="Arial"/>
                <w:sz w:val="18"/>
                <w:szCs w:val="20"/>
              </w:rPr>
              <w:t>88.2%</w:t>
            </w:r>
          </w:p>
        </w:tc>
        <w:tc>
          <w:tcPr>
            <w:tcW w:w="755" w:type="dxa"/>
            <w:tcBorders>
              <w:bottom w:val="single" w:sz="4" w:space="0" w:color="auto"/>
            </w:tcBorders>
          </w:tcPr>
          <w:p w14:paraId="0AC3BA7E" w14:textId="77777777" w:rsidR="00B42F2B" w:rsidRPr="001223AC" w:rsidRDefault="00B42F2B" w:rsidP="00B42F2B">
            <w:pPr>
              <w:rPr>
                <w:rFonts w:cs="Arial"/>
                <w:sz w:val="18"/>
                <w:szCs w:val="20"/>
              </w:rPr>
            </w:pPr>
            <w:r w:rsidRPr="001223AC">
              <w:rPr>
                <w:rFonts w:cs="Arial"/>
                <w:sz w:val="18"/>
                <w:szCs w:val="20"/>
              </w:rPr>
              <w:t>78.4%</w:t>
            </w:r>
          </w:p>
        </w:tc>
        <w:tc>
          <w:tcPr>
            <w:tcW w:w="720" w:type="dxa"/>
            <w:tcBorders>
              <w:bottom w:val="single" w:sz="4" w:space="0" w:color="auto"/>
            </w:tcBorders>
          </w:tcPr>
          <w:p w14:paraId="11D63783" w14:textId="77777777" w:rsidR="00B42F2B" w:rsidRPr="001223AC" w:rsidRDefault="00B42F2B" w:rsidP="00B42F2B">
            <w:pPr>
              <w:rPr>
                <w:rFonts w:cs="Arial"/>
                <w:sz w:val="18"/>
                <w:szCs w:val="20"/>
              </w:rPr>
            </w:pPr>
            <w:r w:rsidRPr="001223AC">
              <w:rPr>
                <w:rFonts w:cs="Arial"/>
                <w:sz w:val="18"/>
                <w:szCs w:val="20"/>
              </w:rPr>
              <w:t>85.8%</w:t>
            </w:r>
          </w:p>
        </w:tc>
        <w:tc>
          <w:tcPr>
            <w:tcW w:w="583" w:type="dxa"/>
            <w:tcBorders>
              <w:bottom w:val="single" w:sz="4" w:space="0" w:color="auto"/>
            </w:tcBorders>
          </w:tcPr>
          <w:p w14:paraId="621C57DB" w14:textId="77777777" w:rsidR="00B42F2B" w:rsidRPr="001223AC" w:rsidRDefault="00B42F2B" w:rsidP="00B42F2B">
            <w:pPr>
              <w:rPr>
                <w:rFonts w:cs="Arial"/>
                <w:sz w:val="18"/>
                <w:szCs w:val="20"/>
              </w:rPr>
            </w:pPr>
            <w:r w:rsidRPr="001223AC">
              <w:rPr>
                <w:rFonts w:cs="Arial"/>
                <w:sz w:val="18"/>
                <w:szCs w:val="20"/>
              </w:rPr>
              <w:t>90.0%</w:t>
            </w:r>
          </w:p>
        </w:tc>
      </w:tr>
      <w:tr w:rsidR="00B42F2B" w:rsidRPr="001223AC" w14:paraId="6E162028" w14:textId="77777777" w:rsidTr="00B42F2B">
        <w:trPr>
          <w:jc w:val="center"/>
        </w:trPr>
        <w:tc>
          <w:tcPr>
            <w:tcW w:w="1342" w:type="dxa"/>
            <w:shd w:val="pct15" w:color="auto" w:fill="auto"/>
            <w:vAlign w:val="bottom"/>
          </w:tcPr>
          <w:p w14:paraId="2375FBDA" w14:textId="77777777" w:rsidR="00B42F2B" w:rsidRPr="001223AC" w:rsidRDefault="00B42F2B" w:rsidP="00B42F2B">
            <w:pPr>
              <w:rPr>
                <w:rFonts w:cs="Arial"/>
                <w:sz w:val="18"/>
                <w:szCs w:val="20"/>
              </w:rPr>
            </w:pPr>
            <w:r w:rsidRPr="001223AC">
              <w:rPr>
                <w:rFonts w:cs="Arial"/>
                <w:sz w:val="18"/>
                <w:szCs w:val="20"/>
              </w:rPr>
              <w:t>Washington</w:t>
            </w:r>
            <w:r w:rsidRPr="001223AC">
              <w:rPr>
                <w:rStyle w:val="FootnoteReference"/>
                <w:rFonts w:cs="Arial"/>
                <w:sz w:val="18"/>
                <w:szCs w:val="20"/>
              </w:rPr>
              <w:footnoteReference w:id="3"/>
            </w:r>
          </w:p>
        </w:tc>
        <w:tc>
          <w:tcPr>
            <w:tcW w:w="926" w:type="dxa"/>
            <w:shd w:val="pct15" w:color="auto" w:fill="auto"/>
            <w:vAlign w:val="bottom"/>
          </w:tcPr>
          <w:p w14:paraId="004BA919" w14:textId="77777777" w:rsidR="00B42F2B" w:rsidRPr="001223AC" w:rsidRDefault="00B42F2B" w:rsidP="00B42F2B">
            <w:pPr>
              <w:jc w:val="center"/>
              <w:rPr>
                <w:rFonts w:cs="Arial"/>
                <w:sz w:val="18"/>
                <w:szCs w:val="20"/>
              </w:rPr>
            </w:pPr>
            <w:r w:rsidRPr="001223AC">
              <w:rPr>
                <w:rFonts w:cs="Arial"/>
                <w:sz w:val="18"/>
                <w:szCs w:val="20"/>
              </w:rPr>
              <w:t>86.3%</w:t>
            </w:r>
          </w:p>
        </w:tc>
        <w:tc>
          <w:tcPr>
            <w:tcW w:w="927" w:type="dxa"/>
            <w:shd w:val="pct15" w:color="auto" w:fill="auto"/>
            <w:vAlign w:val="bottom"/>
          </w:tcPr>
          <w:p w14:paraId="71A2E1D2" w14:textId="77777777" w:rsidR="00B42F2B" w:rsidRPr="001223AC" w:rsidRDefault="00B42F2B" w:rsidP="00B42F2B">
            <w:pPr>
              <w:jc w:val="center"/>
              <w:rPr>
                <w:rFonts w:cs="Arial"/>
                <w:sz w:val="18"/>
                <w:szCs w:val="20"/>
              </w:rPr>
            </w:pPr>
            <w:r w:rsidRPr="001223AC">
              <w:rPr>
                <w:rFonts w:cs="Arial"/>
                <w:sz w:val="18"/>
                <w:szCs w:val="20"/>
              </w:rPr>
              <w:t>85.5%</w:t>
            </w:r>
          </w:p>
        </w:tc>
        <w:tc>
          <w:tcPr>
            <w:tcW w:w="877" w:type="dxa"/>
            <w:shd w:val="pct15" w:color="auto" w:fill="auto"/>
          </w:tcPr>
          <w:p w14:paraId="10BE28E8" w14:textId="77777777" w:rsidR="00B42F2B" w:rsidRPr="001223AC" w:rsidRDefault="00B42F2B" w:rsidP="00B42F2B">
            <w:pPr>
              <w:jc w:val="center"/>
              <w:rPr>
                <w:rFonts w:cs="Arial"/>
                <w:sz w:val="18"/>
                <w:szCs w:val="20"/>
              </w:rPr>
            </w:pPr>
            <w:r w:rsidRPr="001223AC">
              <w:rPr>
                <w:rFonts w:cs="Arial"/>
                <w:sz w:val="18"/>
                <w:szCs w:val="20"/>
              </w:rPr>
              <w:t>83.4%</w:t>
            </w:r>
          </w:p>
        </w:tc>
        <w:tc>
          <w:tcPr>
            <w:tcW w:w="841" w:type="dxa"/>
            <w:shd w:val="pct15" w:color="auto" w:fill="auto"/>
          </w:tcPr>
          <w:p w14:paraId="6A3418A2" w14:textId="77777777" w:rsidR="00B42F2B" w:rsidRPr="001223AC" w:rsidRDefault="00B42F2B" w:rsidP="00B42F2B">
            <w:pPr>
              <w:jc w:val="center"/>
              <w:rPr>
                <w:rFonts w:cs="Arial"/>
                <w:sz w:val="18"/>
                <w:szCs w:val="20"/>
              </w:rPr>
            </w:pPr>
            <w:r w:rsidRPr="001223AC">
              <w:rPr>
                <w:rFonts w:cs="Arial"/>
                <w:sz w:val="18"/>
                <w:szCs w:val="20"/>
              </w:rPr>
              <w:t>83.2%</w:t>
            </w:r>
          </w:p>
        </w:tc>
        <w:tc>
          <w:tcPr>
            <w:tcW w:w="793" w:type="dxa"/>
            <w:shd w:val="pct15" w:color="auto" w:fill="auto"/>
          </w:tcPr>
          <w:p w14:paraId="6BA1DC36" w14:textId="77777777" w:rsidR="00B42F2B" w:rsidRPr="001223AC" w:rsidRDefault="00B42F2B" w:rsidP="00B42F2B">
            <w:pPr>
              <w:jc w:val="center"/>
              <w:rPr>
                <w:rFonts w:cs="Arial"/>
                <w:sz w:val="18"/>
                <w:szCs w:val="20"/>
              </w:rPr>
            </w:pPr>
            <w:r w:rsidRPr="001223AC">
              <w:rPr>
                <w:rFonts w:cs="Arial"/>
                <w:sz w:val="18"/>
                <w:szCs w:val="20"/>
              </w:rPr>
              <w:t>83.0%</w:t>
            </w:r>
          </w:p>
        </w:tc>
        <w:tc>
          <w:tcPr>
            <w:tcW w:w="793" w:type="dxa"/>
            <w:shd w:val="pct15" w:color="auto" w:fill="auto"/>
          </w:tcPr>
          <w:p w14:paraId="3B89E9E5" w14:textId="77777777" w:rsidR="00B42F2B" w:rsidRPr="001223AC" w:rsidRDefault="00B42F2B" w:rsidP="00B42F2B">
            <w:pPr>
              <w:jc w:val="center"/>
              <w:rPr>
                <w:rFonts w:cs="Arial"/>
                <w:sz w:val="18"/>
                <w:szCs w:val="20"/>
              </w:rPr>
            </w:pPr>
            <w:r w:rsidRPr="001223AC">
              <w:rPr>
                <w:rFonts w:cs="Arial"/>
                <w:sz w:val="18"/>
                <w:szCs w:val="20"/>
              </w:rPr>
              <w:t>82.6%</w:t>
            </w:r>
          </w:p>
        </w:tc>
        <w:tc>
          <w:tcPr>
            <w:tcW w:w="793" w:type="dxa"/>
            <w:shd w:val="pct15" w:color="auto" w:fill="auto"/>
          </w:tcPr>
          <w:p w14:paraId="34DECDC9" w14:textId="77777777" w:rsidR="00B42F2B" w:rsidRPr="001223AC" w:rsidRDefault="00B42F2B" w:rsidP="00B42F2B">
            <w:pPr>
              <w:jc w:val="center"/>
              <w:rPr>
                <w:rFonts w:cs="Arial"/>
                <w:sz w:val="18"/>
                <w:szCs w:val="20"/>
              </w:rPr>
            </w:pPr>
            <w:r w:rsidRPr="001223AC">
              <w:rPr>
                <w:rFonts w:cs="Arial"/>
                <w:sz w:val="18"/>
                <w:szCs w:val="20"/>
              </w:rPr>
              <w:t>80.3%</w:t>
            </w:r>
          </w:p>
        </w:tc>
        <w:tc>
          <w:tcPr>
            <w:tcW w:w="755" w:type="dxa"/>
            <w:shd w:val="pct15" w:color="auto" w:fill="auto"/>
          </w:tcPr>
          <w:p w14:paraId="62895875" w14:textId="77777777" w:rsidR="00B42F2B" w:rsidRPr="001223AC" w:rsidRDefault="00B42F2B" w:rsidP="00B42F2B">
            <w:pPr>
              <w:jc w:val="center"/>
              <w:rPr>
                <w:rFonts w:cs="Arial"/>
                <w:sz w:val="18"/>
                <w:szCs w:val="20"/>
              </w:rPr>
            </w:pPr>
            <w:r w:rsidRPr="001223AC">
              <w:rPr>
                <w:rFonts w:cs="Arial"/>
                <w:sz w:val="18"/>
                <w:szCs w:val="20"/>
              </w:rPr>
              <w:t>80.1%</w:t>
            </w:r>
          </w:p>
        </w:tc>
        <w:tc>
          <w:tcPr>
            <w:tcW w:w="720" w:type="dxa"/>
            <w:shd w:val="pct15" w:color="auto" w:fill="auto"/>
          </w:tcPr>
          <w:p w14:paraId="4A13626F" w14:textId="77777777" w:rsidR="00B42F2B" w:rsidRPr="001223AC" w:rsidRDefault="00B42F2B" w:rsidP="00B42F2B">
            <w:pPr>
              <w:jc w:val="center"/>
              <w:rPr>
                <w:rFonts w:cs="Arial"/>
                <w:sz w:val="18"/>
                <w:szCs w:val="20"/>
              </w:rPr>
            </w:pPr>
            <w:r w:rsidRPr="001223AC">
              <w:rPr>
                <w:rFonts w:cs="Arial"/>
                <w:sz w:val="18"/>
                <w:szCs w:val="20"/>
              </w:rPr>
              <w:t>80.5%</w:t>
            </w:r>
          </w:p>
        </w:tc>
        <w:tc>
          <w:tcPr>
            <w:tcW w:w="583" w:type="dxa"/>
            <w:shd w:val="pct15" w:color="auto" w:fill="auto"/>
          </w:tcPr>
          <w:p w14:paraId="64B425AC" w14:textId="77777777" w:rsidR="00B42F2B" w:rsidRPr="001223AC" w:rsidRDefault="00B42F2B" w:rsidP="00B42F2B">
            <w:pPr>
              <w:jc w:val="center"/>
              <w:rPr>
                <w:rFonts w:cs="Arial"/>
                <w:sz w:val="18"/>
                <w:szCs w:val="20"/>
              </w:rPr>
            </w:pPr>
            <w:r w:rsidRPr="001223AC">
              <w:rPr>
                <w:rFonts w:cs="Arial"/>
                <w:sz w:val="18"/>
                <w:szCs w:val="20"/>
              </w:rPr>
              <w:t>80.9%</w:t>
            </w:r>
          </w:p>
        </w:tc>
      </w:tr>
      <w:tr w:rsidR="00B42F2B" w:rsidRPr="001223AC" w14:paraId="3A168E27" w14:textId="77777777" w:rsidTr="00B42F2B">
        <w:trPr>
          <w:jc w:val="center"/>
        </w:trPr>
        <w:tc>
          <w:tcPr>
            <w:tcW w:w="1342" w:type="dxa"/>
            <w:vAlign w:val="bottom"/>
          </w:tcPr>
          <w:p w14:paraId="61DC9537" w14:textId="77777777" w:rsidR="00B42F2B" w:rsidRPr="001223AC" w:rsidRDefault="00B42F2B" w:rsidP="00B42F2B">
            <w:pPr>
              <w:rPr>
                <w:rFonts w:cs="Arial"/>
                <w:sz w:val="18"/>
                <w:szCs w:val="20"/>
              </w:rPr>
            </w:pPr>
            <w:r w:rsidRPr="001223AC">
              <w:rPr>
                <w:rFonts w:cs="Arial"/>
                <w:sz w:val="18"/>
                <w:szCs w:val="20"/>
              </w:rPr>
              <w:t>Idaho</w:t>
            </w:r>
          </w:p>
        </w:tc>
        <w:tc>
          <w:tcPr>
            <w:tcW w:w="926" w:type="dxa"/>
            <w:vAlign w:val="bottom"/>
          </w:tcPr>
          <w:p w14:paraId="66555464" w14:textId="77777777" w:rsidR="00B42F2B" w:rsidRPr="001223AC" w:rsidRDefault="00B42F2B" w:rsidP="00B42F2B">
            <w:pPr>
              <w:jc w:val="center"/>
              <w:rPr>
                <w:rFonts w:cs="Arial"/>
                <w:sz w:val="18"/>
                <w:szCs w:val="20"/>
              </w:rPr>
            </w:pPr>
            <w:r w:rsidRPr="001223AC">
              <w:rPr>
                <w:rFonts w:cs="Arial"/>
                <w:sz w:val="18"/>
                <w:szCs w:val="20"/>
              </w:rPr>
              <w:t>75.6%</w:t>
            </w:r>
          </w:p>
        </w:tc>
        <w:tc>
          <w:tcPr>
            <w:tcW w:w="927" w:type="dxa"/>
            <w:vAlign w:val="bottom"/>
          </w:tcPr>
          <w:p w14:paraId="7293725E" w14:textId="77777777" w:rsidR="00B42F2B" w:rsidRPr="001223AC" w:rsidRDefault="00B42F2B" w:rsidP="00B42F2B">
            <w:pPr>
              <w:jc w:val="center"/>
              <w:rPr>
                <w:rFonts w:cs="Arial"/>
                <w:sz w:val="18"/>
                <w:szCs w:val="20"/>
              </w:rPr>
            </w:pPr>
            <w:r w:rsidRPr="001223AC">
              <w:rPr>
                <w:rFonts w:cs="Arial"/>
                <w:sz w:val="18"/>
                <w:szCs w:val="20"/>
              </w:rPr>
              <w:t>76.9%</w:t>
            </w:r>
          </w:p>
        </w:tc>
        <w:tc>
          <w:tcPr>
            <w:tcW w:w="877" w:type="dxa"/>
          </w:tcPr>
          <w:p w14:paraId="1D976B86" w14:textId="77777777" w:rsidR="00B42F2B" w:rsidRPr="001223AC" w:rsidRDefault="00B42F2B" w:rsidP="00B42F2B">
            <w:pPr>
              <w:jc w:val="center"/>
              <w:rPr>
                <w:rFonts w:cs="Arial"/>
                <w:sz w:val="18"/>
                <w:szCs w:val="20"/>
              </w:rPr>
            </w:pPr>
            <w:r w:rsidRPr="001223AC">
              <w:rPr>
                <w:rFonts w:cs="Arial"/>
                <w:sz w:val="18"/>
                <w:szCs w:val="20"/>
              </w:rPr>
              <w:t>74.9%</w:t>
            </w:r>
          </w:p>
        </w:tc>
        <w:tc>
          <w:tcPr>
            <w:tcW w:w="841" w:type="dxa"/>
          </w:tcPr>
          <w:p w14:paraId="5504B265" w14:textId="77777777" w:rsidR="00B42F2B" w:rsidRPr="001223AC" w:rsidRDefault="00B42F2B" w:rsidP="00B42F2B">
            <w:pPr>
              <w:jc w:val="center"/>
              <w:rPr>
                <w:rFonts w:cs="Arial"/>
                <w:sz w:val="18"/>
                <w:szCs w:val="20"/>
              </w:rPr>
            </w:pPr>
            <w:r w:rsidRPr="001223AC">
              <w:rPr>
                <w:rFonts w:cs="Arial"/>
                <w:sz w:val="18"/>
                <w:szCs w:val="20"/>
              </w:rPr>
              <w:t>72.6%</w:t>
            </w:r>
          </w:p>
        </w:tc>
        <w:tc>
          <w:tcPr>
            <w:tcW w:w="793" w:type="dxa"/>
          </w:tcPr>
          <w:p w14:paraId="303CA7CE" w14:textId="77777777" w:rsidR="00B42F2B" w:rsidRPr="001223AC" w:rsidRDefault="00B42F2B" w:rsidP="00B42F2B">
            <w:pPr>
              <w:jc w:val="center"/>
              <w:rPr>
                <w:rFonts w:cs="Arial"/>
                <w:sz w:val="18"/>
                <w:szCs w:val="20"/>
              </w:rPr>
            </w:pPr>
            <w:r w:rsidRPr="001223AC">
              <w:rPr>
                <w:rFonts w:cs="Arial"/>
                <w:sz w:val="18"/>
                <w:szCs w:val="20"/>
              </w:rPr>
              <w:t>71.8%</w:t>
            </w:r>
          </w:p>
        </w:tc>
        <w:tc>
          <w:tcPr>
            <w:tcW w:w="793" w:type="dxa"/>
          </w:tcPr>
          <w:p w14:paraId="21FE5EE2" w14:textId="77777777" w:rsidR="00B42F2B" w:rsidRPr="001223AC" w:rsidRDefault="00B42F2B" w:rsidP="00B42F2B">
            <w:pPr>
              <w:jc w:val="center"/>
              <w:rPr>
                <w:rFonts w:cs="Arial"/>
                <w:sz w:val="18"/>
                <w:szCs w:val="20"/>
              </w:rPr>
            </w:pPr>
            <w:r w:rsidRPr="001223AC">
              <w:rPr>
                <w:rFonts w:cs="Arial"/>
                <w:sz w:val="18"/>
                <w:szCs w:val="20"/>
              </w:rPr>
              <w:t>71.0%</w:t>
            </w:r>
          </w:p>
        </w:tc>
        <w:tc>
          <w:tcPr>
            <w:tcW w:w="793" w:type="dxa"/>
          </w:tcPr>
          <w:p w14:paraId="368ABDCC" w14:textId="77777777" w:rsidR="00B42F2B" w:rsidRPr="001223AC" w:rsidRDefault="00B42F2B" w:rsidP="00B42F2B">
            <w:pPr>
              <w:jc w:val="center"/>
              <w:rPr>
                <w:rFonts w:cs="Arial"/>
                <w:sz w:val="18"/>
                <w:szCs w:val="20"/>
              </w:rPr>
            </w:pPr>
            <w:r w:rsidRPr="001223AC">
              <w:rPr>
                <w:rFonts w:cs="Arial"/>
                <w:sz w:val="18"/>
                <w:szCs w:val="20"/>
              </w:rPr>
              <w:t>68.7%</w:t>
            </w:r>
          </w:p>
        </w:tc>
        <w:tc>
          <w:tcPr>
            <w:tcW w:w="755" w:type="dxa"/>
          </w:tcPr>
          <w:p w14:paraId="03A00FB5" w14:textId="77777777" w:rsidR="00B42F2B" w:rsidRPr="001223AC" w:rsidRDefault="00B42F2B" w:rsidP="00B42F2B">
            <w:pPr>
              <w:jc w:val="center"/>
              <w:rPr>
                <w:rFonts w:cs="Arial"/>
                <w:sz w:val="18"/>
                <w:szCs w:val="20"/>
              </w:rPr>
            </w:pPr>
            <w:r w:rsidRPr="001223AC">
              <w:rPr>
                <w:rFonts w:cs="Arial"/>
                <w:sz w:val="18"/>
                <w:szCs w:val="20"/>
              </w:rPr>
              <w:t>67.8%</w:t>
            </w:r>
          </w:p>
        </w:tc>
        <w:tc>
          <w:tcPr>
            <w:tcW w:w="720" w:type="dxa"/>
          </w:tcPr>
          <w:p w14:paraId="2E874901" w14:textId="77777777" w:rsidR="00B42F2B" w:rsidRPr="001223AC" w:rsidRDefault="00B42F2B" w:rsidP="00B42F2B">
            <w:pPr>
              <w:jc w:val="center"/>
              <w:rPr>
                <w:rFonts w:cs="Arial"/>
                <w:sz w:val="18"/>
                <w:szCs w:val="20"/>
              </w:rPr>
            </w:pPr>
            <w:r w:rsidRPr="001223AC">
              <w:rPr>
                <w:rFonts w:cs="Arial"/>
                <w:sz w:val="18"/>
                <w:szCs w:val="20"/>
              </w:rPr>
              <w:t>64.8%</w:t>
            </w:r>
          </w:p>
        </w:tc>
        <w:tc>
          <w:tcPr>
            <w:tcW w:w="583" w:type="dxa"/>
          </w:tcPr>
          <w:p w14:paraId="17087253" w14:textId="77777777" w:rsidR="00B42F2B" w:rsidRPr="001223AC" w:rsidRDefault="00B42F2B" w:rsidP="00B42F2B">
            <w:pPr>
              <w:jc w:val="center"/>
              <w:rPr>
                <w:rFonts w:cs="Arial"/>
                <w:sz w:val="18"/>
                <w:szCs w:val="20"/>
              </w:rPr>
            </w:pPr>
            <w:r w:rsidRPr="001223AC">
              <w:rPr>
                <w:rFonts w:cs="Arial"/>
                <w:sz w:val="18"/>
                <w:szCs w:val="20"/>
              </w:rPr>
              <w:t>65.8%</w:t>
            </w:r>
          </w:p>
        </w:tc>
      </w:tr>
      <w:tr w:rsidR="00B42F2B" w:rsidRPr="001223AC" w14:paraId="2C2345C5" w14:textId="77777777" w:rsidTr="00B42F2B">
        <w:trPr>
          <w:jc w:val="center"/>
        </w:trPr>
        <w:tc>
          <w:tcPr>
            <w:tcW w:w="1342" w:type="dxa"/>
            <w:vAlign w:val="bottom"/>
          </w:tcPr>
          <w:p w14:paraId="0E584A42" w14:textId="77777777" w:rsidR="00B42F2B" w:rsidRPr="001223AC" w:rsidRDefault="00B42F2B" w:rsidP="00B42F2B">
            <w:pPr>
              <w:rPr>
                <w:rFonts w:cs="Arial"/>
                <w:sz w:val="18"/>
                <w:szCs w:val="20"/>
              </w:rPr>
            </w:pPr>
            <w:r w:rsidRPr="001223AC">
              <w:rPr>
                <w:rFonts w:cs="Arial"/>
                <w:sz w:val="18"/>
                <w:szCs w:val="20"/>
              </w:rPr>
              <w:t>Oregon</w:t>
            </w:r>
          </w:p>
        </w:tc>
        <w:tc>
          <w:tcPr>
            <w:tcW w:w="926" w:type="dxa"/>
            <w:vAlign w:val="bottom"/>
          </w:tcPr>
          <w:p w14:paraId="6C258284" w14:textId="77777777" w:rsidR="00B42F2B" w:rsidRPr="001223AC" w:rsidRDefault="00B42F2B" w:rsidP="00B42F2B">
            <w:pPr>
              <w:jc w:val="center"/>
              <w:rPr>
                <w:rFonts w:cs="Arial"/>
                <w:sz w:val="18"/>
                <w:szCs w:val="20"/>
              </w:rPr>
            </w:pPr>
            <w:r w:rsidRPr="001223AC">
              <w:rPr>
                <w:rFonts w:cs="Arial"/>
                <w:sz w:val="18"/>
                <w:szCs w:val="20"/>
              </w:rPr>
              <w:t>65.4%</w:t>
            </w:r>
          </w:p>
        </w:tc>
        <w:tc>
          <w:tcPr>
            <w:tcW w:w="927" w:type="dxa"/>
            <w:vAlign w:val="bottom"/>
          </w:tcPr>
          <w:p w14:paraId="760CF929" w14:textId="77777777" w:rsidR="00B42F2B" w:rsidRPr="001223AC" w:rsidRDefault="00B42F2B" w:rsidP="00B42F2B">
            <w:pPr>
              <w:jc w:val="center"/>
              <w:rPr>
                <w:rFonts w:cs="Arial"/>
                <w:sz w:val="18"/>
                <w:szCs w:val="20"/>
              </w:rPr>
            </w:pPr>
            <w:r w:rsidRPr="001223AC">
              <w:rPr>
                <w:rFonts w:cs="Arial"/>
                <w:sz w:val="18"/>
                <w:szCs w:val="20"/>
              </w:rPr>
              <w:t>66.3%</w:t>
            </w:r>
          </w:p>
        </w:tc>
        <w:tc>
          <w:tcPr>
            <w:tcW w:w="877" w:type="dxa"/>
          </w:tcPr>
          <w:p w14:paraId="6ABF99CB" w14:textId="77777777" w:rsidR="00B42F2B" w:rsidRPr="001223AC" w:rsidRDefault="00B42F2B" w:rsidP="00B42F2B">
            <w:pPr>
              <w:jc w:val="center"/>
              <w:rPr>
                <w:rFonts w:cs="Arial"/>
                <w:sz w:val="18"/>
                <w:szCs w:val="20"/>
              </w:rPr>
            </w:pPr>
            <w:r w:rsidRPr="001223AC">
              <w:rPr>
                <w:rFonts w:cs="Arial"/>
                <w:sz w:val="18"/>
                <w:szCs w:val="20"/>
              </w:rPr>
              <w:t>68.2%</w:t>
            </w:r>
          </w:p>
        </w:tc>
        <w:tc>
          <w:tcPr>
            <w:tcW w:w="841" w:type="dxa"/>
          </w:tcPr>
          <w:p w14:paraId="537C0358" w14:textId="77777777" w:rsidR="00B42F2B" w:rsidRPr="001223AC" w:rsidRDefault="00B42F2B" w:rsidP="00B42F2B">
            <w:pPr>
              <w:jc w:val="center"/>
              <w:rPr>
                <w:rFonts w:cs="Arial"/>
                <w:sz w:val="18"/>
                <w:szCs w:val="20"/>
              </w:rPr>
            </w:pPr>
            <w:r w:rsidRPr="001223AC">
              <w:rPr>
                <w:rFonts w:cs="Arial"/>
                <w:sz w:val="18"/>
                <w:szCs w:val="20"/>
              </w:rPr>
              <w:t>63.8%</w:t>
            </w:r>
          </w:p>
        </w:tc>
        <w:tc>
          <w:tcPr>
            <w:tcW w:w="793" w:type="dxa"/>
          </w:tcPr>
          <w:p w14:paraId="579937CF" w14:textId="77777777" w:rsidR="00B42F2B" w:rsidRPr="001223AC" w:rsidRDefault="00B42F2B" w:rsidP="00B42F2B">
            <w:pPr>
              <w:jc w:val="center"/>
              <w:rPr>
                <w:rFonts w:cs="Arial"/>
                <w:sz w:val="18"/>
                <w:szCs w:val="20"/>
              </w:rPr>
            </w:pPr>
            <w:r w:rsidRPr="001223AC">
              <w:rPr>
                <w:rFonts w:cs="Arial"/>
                <w:sz w:val="18"/>
                <w:szCs w:val="20"/>
              </w:rPr>
              <w:t>62.4%</w:t>
            </w:r>
          </w:p>
        </w:tc>
        <w:tc>
          <w:tcPr>
            <w:tcW w:w="793" w:type="dxa"/>
          </w:tcPr>
          <w:p w14:paraId="2BFEEF2B" w14:textId="77777777" w:rsidR="00B42F2B" w:rsidRPr="001223AC" w:rsidRDefault="00B42F2B" w:rsidP="00B42F2B">
            <w:pPr>
              <w:jc w:val="center"/>
              <w:rPr>
                <w:rFonts w:cs="Arial"/>
                <w:sz w:val="18"/>
                <w:szCs w:val="20"/>
              </w:rPr>
            </w:pPr>
            <w:r w:rsidRPr="001223AC">
              <w:rPr>
                <w:rFonts w:cs="Arial"/>
                <w:sz w:val="18"/>
                <w:szCs w:val="20"/>
              </w:rPr>
              <w:t>61.5%</w:t>
            </w:r>
          </w:p>
        </w:tc>
        <w:tc>
          <w:tcPr>
            <w:tcW w:w="793" w:type="dxa"/>
          </w:tcPr>
          <w:p w14:paraId="6E2A1ED5" w14:textId="77777777" w:rsidR="00B42F2B" w:rsidRPr="001223AC" w:rsidRDefault="00B42F2B" w:rsidP="00B42F2B">
            <w:pPr>
              <w:jc w:val="center"/>
              <w:rPr>
                <w:rFonts w:cs="Arial"/>
                <w:sz w:val="18"/>
                <w:szCs w:val="20"/>
              </w:rPr>
            </w:pPr>
            <w:r w:rsidRPr="001223AC">
              <w:rPr>
                <w:rFonts w:cs="Arial"/>
                <w:sz w:val="18"/>
                <w:szCs w:val="20"/>
              </w:rPr>
              <w:t>60.8%</w:t>
            </w:r>
          </w:p>
        </w:tc>
        <w:tc>
          <w:tcPr>
            <w:tcW w:w="755" w:type="dxa"/>
          </w:tcPr>
          <w:p w14:paraId="60EDC5E4" w14:textId="77777777" w:rsidR="00B42F2B" w:rsidRPr="001223AC" w:rsidRDefault="00B42F2B" w:rsidP="00B42F2B">
            <w:pPr>
              <w:jc w:val="center"/>
              <w:rPr>
                <w:rFonts w:cs="Arial"/>
                <w:sz w:val="18"/>
                <w:szCs w:val="20"/>
              </w:rPr>
            </w:pPr>
            <w:r w:rsidRPr="001223AC">
              <w:rPr>
                <w:rFonts w:cs="Arial"/>
                <w:sz w:val="18"/>
                <w:szCs w:val="20"/>
              </w:rPr>
              <w:t>60.5%</w:t>
            </w:r>
          </w:p>
        </w:tc>
        <w:tc>
          <w:tcPr>
            <w:tcW w:w="720" w:type="dxa"/>
          </w:tcPr>
          <w:p w14:paraId="1CCDA70E" w14:textId="77777777" w:rsidR="00B42F2B" w:rsidRPr="001223AC" w:rsidRDefault="00B42F2B" w:rsidP="00B42F2B">
            <w:pPr>
              <w:jc w:val="center"/>
              <w:rPr>
                <w:rFonts w:cs="Arial"/>
                <w:sz w:val="18"/>
                <w:szCs w:val="20"/>
              </w:rPr>
            </w:pPr>
            <w:r w:rsidRPr="001223AC">
              <w:rPr>
                <w:rFonts w:cs="Arial"/>
                <w:sz w:val="18"/>
                <w:szCs w:val="20"/>
              </w:rPr>
              <w:t>60.9%</w:t>
            </w:r>
          </w:p>
        </w:tc>
        <w:tc>
          <w:tcPr>
            <w:tcW w:w="583" w:type="dxa"/>
          </w:tcPr>
          <w:p w14:paraId="188E74CB" w14:textId="77777777" w:rsidR="00B42F2B" w:rsidRPr="001223AC" w:rsidRDefault="00B42F2B" w:rsidP="00B42F2B">
            <w:pPr>
              <w:jc w:val="center"/>
              <w:rPr>
                <w:rFonts w:cs="Arial"/>
                <w:sz w:val="18"/>
                <w:szCs w:val="20"/>
              </w:rPr>
            </w:pPr>
            <w:r w:rsidRPr="001223AC">
              <w:rPr>
                <w:rFonts w:cs="Arial"/>
                <w:sz w:val="18"/>
                <w:szCs w:val="20"/>
              </w:rPr>
              <w:t>60.2%</w:t>
            </w:r>
          </w:p>
        </w:tc>
      </w:tr>
    </w:tbl>
    <w:p w14:paraId="60386EFB" w14:textId="77777777" w:rsidR="00B42F2B" w:rsidRPr="00B42F2B" w:rsidRDefault="00B42F2B" w:rsidP="00B42F2B">
      <w:pPr>
        <w:rPr>
          <w:rFonts w:cs="Arial"/>
        </w:rPr>
      </w:pPr>
    </w:p>
    <w:p w14:paraId="700679E8" w14:textId="77777777" w:rsidR="00B42F2B" w:rsidRPr="00B42F2B" w:rsidRDefault="00B42F2B" w:rsidP="00B42F2B">
      <w:pPr>
        <w:rPr>
          <w:rFonts w:cs="Arial"/>
          <w:sz w:val="18"/>
        </w:rPr>
      </w:pPr>
      <w:r w:rsidRPr="00B42F2B">
        <w:rPr>
          <w:rFonts w:cs="Arial"/>
          <w:sz w:val="18"/>
        </w:rPr>
        <w:t xml:space="preserve">Sources:  </w:t>
      </w:r>
    </w:p>
    <w:p w14:paraId="437FBA9C" w14:textId="77777777" w:rsidR="00B42F2B" w:rsidRPr="00B42F2B" w:rsidRDefault="00B42F2B" w:rsidP="001D03A8">
      <w:pPr>
        <w:widowControl/>
        <w:numPr>
          <w:ilvl w:val="0"/>
          <w:numId w:val="3"/>
        </w:numPr>
        <w:spacing w:before="0" w:after="0"/>
        <w:rPr>
          <w:rFonts w:cs="Arial"/>
          <w:sz w:val="18"/>
        </w:rPr>
      </w:pPr>
      <w:r w:rsidRPr="00B42F2B">
        <w:rPr>
          <w:rFonts w:cs="Arial"/>
          <w:sz w:val="18"/>
        </w:rPr>
        <w:t>States in CMS Region X:  CMS website at http://www.cms.hhs.gov/RegionalOffices/downloads/SeattleRegionalOffice.pdf</w:t>
      </w:r>
    </w:p>
    <w:p w14:paraId="1626B9EE" w14:textId="77777777" w:rsidR="00B42F2B" w:rsidRPr="00B42F2B" w:rsidRDefault="00B42F2B" w:rsidP="001D03A8">
      <w:pPr>
        <w:widowControl/>
        <w:numPr>
          <w:ilvl w:val="0"/>
          <w:numId w:val="3"/>
        </w:numPr>
        <w:spacing w:before="0" w:after="0"/>
        <w:rPr>
          <w:rFonts w:cs="Arial"/>
          <w:sz w:val="18"/>
        </w:rPr>
      </w:pPr>
      <w:r w:rsidRPr="00B42F2B">
        <w:rPr>
          <w:rFonts w:cs="Arial"/>
          <w:sz w:val="18"/>
        </w:rPr>
        <w:t xml:space="preserve">Utilization rates for 2006 through 2008: “Nursing Home Data Compendium” by CMS, 2009 Edition. </w:t>
      </w:r>
    </w:p>
    <w:p w14:paraId="66B7AF55" w14:textId="77777777" w:rsidR="00B42F2B" w:rsidRPr="00B42F2B" w:rsidRDefault="00B42F2B" w:rsidP="001D03A8">
      <w:pPr>
        <w:widowControl/>
        <w:numPr>
          <w:ilvl w:val="0"/>
          <w:numId w:val="3"/>
        </w:numPr>
        <w:spacing w:before="0" w:after="0"/>
        <w:rPr>
          <w:rFonts w:cs="Arial"/>
          <w:sz w:val="18"/>
        </w:rPr>
      </w:pPr>
      <w:r w:rsidRPr="00B42F2B">
        <w:rPr>
          <w:rFonts w:cs="Arial"/>
          <w:sz w:val="18"/>
        </w:rPr>
        <w:t>Occupancy rates for 2009, 2010, 2011, 2012, 2013, and 2014 are as of June of each year:  “OSCAR Data Report:  Nursing Facility Operational Characteristics Report” by American Health Care Association Research Department, June 2009, 2010, 2011, 2012, 2013, 2014 and March 2015 Updates.</w:t>
      </w:r>
    </w:p>
    <w:p w14:paraId="2FCE41D9" w14:textId="77777777" w:rsidR="00B42F2B" w:rsidRPr="00B42F2B" w:rsidRDefault="00B42F2B" w:rsidP="00B42F2B">
      <w:pPr>
        <w:rPr>
          <w:rFonts w:cs="Arial"/>
          <w:sz w:val="18"/>
        </w:rPr>
      </w:pPr>
    </w:p>
    <w:p w14:paraId="16C0DFE0" w14:textId="77777777" w:rsidR="00B42F2B" w:rsidRDefault="00B42F2B" w:rsidP="00B42F2B">
      <w:pPr>
        <w:spacing w:before="0" w:after="0"/>
        <w:rPr>
          <w:rFonts w:cs="Arial"/>
        </w:rPr>
      </w:pPr>
      <w:r w:rsidRPr="00B42F2B">
        <w:rPr>
          <w:rFonts w:cs="Arial"/>
        </w:rPr>
        <w:br w:type="page"/>
      </w:r>
      <w:r w:rsidRPr="00B42F2B">
        <w:rPr>
          <w:rFonts w:cs="Arial"/>
        </w:rPr>
        <w:lastRenderedPageBreak/>
        <w:t xml:space="preserve">Table 2.5 compares Washington’s nursing facility occupancy rates over the same ten year period with states that have the largest senior populations in the country.  Six of the eight states had nursing facility occupancy rates greater than Washington’s in the most recent eight years.  </w:t>
      </w:r>
    </w:p>
    <w:p w14:paraId="00595724" w14:textId="77777777" w:rsidR="00B42F2B" w:rsidRPr="00B42F2B" w:rsidRDefault="00B42F2B" w:rsidP="00B42F2B">
      <w:pPr>
        <w:spacing w:before="0" w:after="0"/>
        <w:rPr>
          <w:rFonts w:cs="Arial"/>
        </w:rPr>
      </w:pPr>
    </w:p>
    <w:p w14:paraId="7E70AD7B" w14:textId="77777777" w:rsidR="00B42F2B" w:rsidRPr="00B42F2B" w:rsidRDefault="00B42F2B" w:rsidP="00B42F2B">
      <w:pPr>
        <w:tabs>
          <w:tab w:val="left" w:pos="1080"/>
        </w:tabs>
        <w:spacing w:before="0" w:after="0"/>
        <w:ind w:left="1080" w:hanging="1080"/>
        <w:rPr>
          <w:rFonts w:cs="Arial"/>
        </w:rPr>
      </w:pPr>
      <w:r w:rsidRPr="00B42F2B">
        <w:rPr>
          <w:rFonts w:cs="Arial"/>
          <w:b/>
        </w:rPr>
        <w:t>Table 2.5:  Nursing Facility Occupancy Rates for States with Largest Senior Populations:  2006 – 2015</w:t>
      </w:r>
    </w:p>
    <w:p w14:paraId="43BC4ABC" w14:textId="77777777" w:rsidR="00B42F2B" w:rsidRPr="00B42F2B" w:rsidRDefault="00B42F2B" w:rsidP="00B42F2B">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823"/>
        <w:gridCol w:w="824"/>
        <w:gridCol w:w="799"/>
        <w:gridCol w:w="762"/>
        <w:gridCol w:w="762"/>
        <w:gridCol w:w="762"/>
        <w:gridCol w:w="762"/>
        <w:gridCol w:w="742"/>
        <w:gridCol w:w="727"/>
        <w:gridCol w:w="727"/>
      </w:tblGrid>
      <w:tr w:rsidR="00B42F2B" w:rsidRPr="001223AC" w14:paraId="6C8BFBFE" w14:textId="77777777" w:rsidTr="00B42F2B">
        <w:trPr>
          <w:jc w:val="center"/>
        </w:trPr>
        <w:tc>
          <w:tcPr>
            <w:tcW w:w="1372" w:type="dxa"/>
          </w:tcPr>
          <w:p w14:paraId="298BEAAF" w14:textId="77777777" w:rsidR="00B42F2B" w:rsidRPr="001223AC" w:rsidRDefault="00B42F2B" w:rsidP="00B42F2B">
            <w:pPr>
              <w:jc w:val="center"/>
              <w:rPr>
                <w:rFonts w:cs="Arial"/>
                <w:b/>
                <w:sz w:val="18"/>
                <w:szCs w:val="18"/>
              </w:rPr>
            </w:pPr>
            <w:r w:rsidRPr="001223AC">
              <w:rPr>
                <w:rFonts w:cs="Arial"/>
                <w:b/>
                <w:sz w:val="18"/>
                <w:szCs w:val="18"/>
              </w:rPr>
              <w:t>State</w:t>
            </w:r>
          </w:p>
        </w:tc>
        <w:tc>
          <w:tcPr>
            <w:tcW w:w="925" w:type="dxa"/>
            <w:vAlign w:val="bottom"/>
          </w:tcPr>
          <w:p w14:paraId="77B713FD" w14:textId="77777777" w:rsidR="00B42F2B" w:rsidRPr="001223AC" w:rsidRDefault="00B42F2B" w:rsidP="00B42F2B">
            <w:pPr>
              <w:jc w:val="center"/>
              <w:rPr>
                <w:rFonts w:cs="Arial"/>
                <w:b/>
                <w:sz w:val="18"/>
                <w:szCs w:val="18"/>
              </w:rPr>
            </w:pPr>
            <w:r w:rsidRPr="001223AC">
              <w:rPr>
                <w:rFonts w:cs="Arial"/>
                <w:b/>
                <w:sz w:val="18"/>
                <w:szCs w:val="18"/>
              </w:rPr>
              <w:t>2006</w:t>
            </w:r>
          </w:p>
        </w:tc>
        <w:tc>
          <w:tcPr>
            <w:tcW w:w="925" w:type="dxa"/>
            <w:vAlign w:val="bottom"/>
          </w:tcPr>
          <w:p w14:paraId="4586B7A3" w14:textId="77777777" w:rsidR="00B42F2B" w:rsidRPr="001223AC" w:rsidRDefault="00B42F2B" w:rsidP="00B42F2B">
            <w:pPr>
              <w:jc w:val="center"/>
              <w:rPr>
                <w:rFonts w:cs="Arial"/>
                <w:b/>
                <w:sz w:val="18"/>
                <w:szCs w:val="18"/>
              </w:rPr>
            </w:pPr>
            <w:r w:rsidRPr="001223AC">
              <w:rPr>
                <w:rFonts w:cs="Arial"/>
                <w:b/>
                <w:sz w:val="18"/>
                <w:szCs w:val="18"/>
              </w:rPr>
              <w:t>2007</w:t>
            </w:r>
          </w:p>
        </w:tc>
        <w:tc>
          <w:tcPr>
            <w:tcW w:w="875" w:type="dxa"/>
          </w:tcPr>
          <w:p w14:paraId="5C3FC340" w14:textId="77777777" w:rsidR="00B42F2B" w:rsidRPr="001223AC" w:rsidRDefault="00B42F2B" w:rsidP="00B42F2B">
            <w:pPr>
              <w:jc w:val="center"/>
              <w:rPr>
                <w:rFonts w:cs="Arial"/>
                <w:b/>
                <w:sz w:val="18"/>
                <w:szCs w:val="18"/>
              </w:rPr>
            </w:pPr>
            <w:r w:rsidRPr="001223AC">
              <w:rPr>
                <w:rFonts w:cs="Arial"/>
                <w:b/>
                <w:sz w:val="18"/>
                <w:szCs w:val="18"/>
              </w:rPr>
              <w:t>2008</w:t>
            </w:r>
          </w:p>
        </w:tc>
        <w:tc>
          <w:tcPr>
            <w:tcW w:w="798" w:type="dxa"/>
          </w:tcPr>
          <w:p w14:paraId="153262B1" w14:textId="77777777" w:rsidR="00B42F2B" w:rsidRPr="001223AC" w:rsidRDefault="00B42F2B" w:rsidP="00B42F2B">
            <w:pPr>
              <w:jc w:val="center"/>
              <w:rPr>
                <w:rFonts w:cs="Arial"/>
                <w:b/>
                <w:sz w:val="18"/>
                <w:szCs w:val="18"/>
              </w:rPr>
            </w:pPr>
            <w:r w:rsidRPr="001223AC">
              <w:rPr>
                <w:rFonts w:cs="Arial"/>
                <w:b/>
                <w:sz w:val="18"/>
                <w:szCs w:val="18"/>
              </w:rPr>
              <w:t>2009</w:t>
            </w:r>
          </w:p>
        </w:tc>
        <w:tc>
          <w:tcPr>
            <w:tcW w:w="798" w:type="dxa"/>
          </w:tcPr>
          <w:p w14:paraId="4900DE1E" w14:textId="77777777" w:rsidR="00B42F2B" w:rsidRPr="001223AC" w:rsidRDefault="00B42F2B" w:rsidP="00B42F2B">
            <w:pPr>
              <w:jc w:val="center"/>
              <w:rPr>
                <w:rFonts w:cs="Arial"/>
                <w:b/>
                <w:sz w:val="18"/>
                <w:szCs w:val="18"/>
              </w:rPr>
            </w:pPr>
            <w:r w:rsidRPr="001223AC">
              <w:rPr>
                <w:rFonts w:cs="Arial"/>
                <w:b/>
                <w:sz w:val="18"/>
                <w:szCs w:val="18"/>
              </w:rPr>
              <w:t>2010</w:t>
            </w:r>
          </w:p>
        </w:tc>
        <w:tc>
          <w:tcPr>
            <w:tcW w:w="798" w:type="dxa"/>
          </w:tcPr>
          <w:p w14:paraId="4155F91E" w14:textId="77777777" w:rsidR="00B42F2B" w:rsidRPr="001223AC" w:rsidRDefault="00B42F2B" w:rsidP="00B42F2B">
            <w:pPr>
              <w:jc w:val="center"/>
              <w:rPr>
                <w:rFonts w:cs="Arial"/>
                <w:b/>
                <w:sz w:val="18"/>
                <w:szCs w:val="18"/>
              </w:rPr>
            </w:pPr>
            <w:r w:rsidRPr="001223AC">
              <w:rPr>
                <w:rFonts w:cs="Arial"/>
                <w:b/>
                <w:sz w:val="18"/>
                <w:szCs w:val="18"/>
              </w:rPr>
              <w:t>2011</w:t>
            </w:r>
          </w:p>
        </w:tc>
        <w:tc>
          <w:tcPr>
            <w:tcW w:w="798" w:type="dxa"/>
          </w:tcPr>
          <w:p w14:paraId="1A42D409" w14:textId="77777777" w:rsidR="00B42F2B" w:rsidRPr="001223AC" w:rsidRDefault="00B42F2B" w:rsidP="00B42F2B">
            <w:pPr>
              <w:jc w:val="center"/>
              <w:rPr>
                <w:rFonts w:cs="Arial"/>
                <w:b/>
                <w:sz w:val="18"/>
                <w:szCs w:val="18"/>
              </w:rPr>
            </w:pPr>
            <w:r w:rsidRPr="001223AC">
              <w:rPr>
                <w:rFonts w:cs="Arial"/>
                <w:b/>
                <w:sz w:val="18"/>
                <w:szCs w:val="18"/>
              </w:rPr>
              <w:t>2012</w:t>
            </w:r>
          </w:p>
        </w:tc>
        <w:tc>
          <w:tcPr>
            <w:tcW w:w="757" w:type="dxa"/>
          </w:tcPr>
          <w:p w14:paraId="10CD1279" w14:textId="77777777" w:rsidR="00B42F2B" w:rsidRPr="001223AC" w:rsidRDefault="00B42F2B" w:rsidP="00B42F2B">
            <w:pPr>
              <w:jc w:val="center"/>
              <w:rPr>
                <w:rFonts w:cs="Arial"/>
                <w:b/>
                <w:sz w:val="18"/>
                <w:szCs w:val="18"/>
              </w:rPr>
            </w:pPr>
            <w:r w:rsidRPr="001223AC">
              <w:rPr>
                <w:rFonts w:cs="Arial"/>
                <w:b/>
                <w:sz w:val="18"/>
                <w:szCs w:val="18"/>
              </w:rPr>
              <w:t>2013</w:t>
            </w:r>
          </w:p>
        </w:tc>
        <w:tc>
          <w:tcPr>
            <w:tcW w:w="722" w:type="dxa"/>
          </w:tcPr>
          <w:p w14:paraId="264A5E16" w14:textId="77777777" w:rsidR="00B42F2B" w:rsidRPr="001223AC" w:rsidRDefault="00B42F2B" w:rsidP="00B42F2B">
            <w:pPr>
              <w:jc w:val="center"/>
              <w:rPr>
                <w:rFonts w:cs="Arial"/>
                <w:b/>
                <w:sz w:val="18"/>
                <w:szCs w:val="18"/>
              </w:rPr>
            </w:pPr>
            <w:r w:rsidRPr="001223AC">
              <w:rPr>
                <w:rFonts w:cs="Arial"/>
                <w:b/>
                <w:sz w:val="18"/>
                <w:szCs w:val="18"/>
              </w:rPr>
              <w:t>2014</w:t>
            </w:r>
          </w:p>
        </w:tc>
        <w:tc>
          <w:tcPr>
            <w:tcW w:w="582" w:type="dxa"/>
          </w:tcPr>
          <w:p w14:paraId="0E083954" w14:textId="77777777" w:rsidR="00B42F2B" w:rsidRPr="001223AC" w:rsidRDefault="00B42F2B" w:rsidP="00B42F2B">
            <w:pPr>
              <w:jc w:val="center"/>
              <w:rPr>
                <w:rFonts w:cs="Arial"/>
                <w:b/>
                <w:sz w:val="18"/>
                <w:szCs w:val="18"/>
              </w:rPr>
            </w:pPr>
            <w:r w:rsidRPr="001223AC">
              <w:rPr>
                <w:rFonts w:cs="Arial"/>
                <w:b/>
                <w:sz w:val="18"/>
                <w:szCs w:val="18"/>
              </w:rPr>
              <w:t>2015</w:t>
            </w:r>
          </w:p>
        </w:tc>
      </w:tr>
      <w:tr w:rsidR="00B42F2B" w:rsidRPr="001223AC" w14:paraId="5E285D77" w14:textId="77777777" w:rsidTr="00B42F2B">
        <w:trPr>
          <w:jc w:val="center"/>
        </w:trPr>
        <w:tc>
          <w:tcPr>
            <w:tcW w:w="1372" w:type="dxa"/>
            <w:vAlign w:val="bottom"/>
          </w:tcPr>
          <w:p w14:paraId="514F2D1E" w14:textId="77777777" w:rsidR="00B42F2B" w:rsidRPr="001223AC" w:rsidRDefault="00B42F2B" w:rsidP="00B42F2B">
            <w:pPr>
              <w:rPr>
                <w:rFonts w:cs="Arial"/>
                <w:sz w:val="18"/>
                <w:szCs w:val="18"/>
              </w:rPr>
            </w:pPr>
            <w:r w:rsidRPr="001223AC">
              <w:rPr>
                <w:rFonts w:cs="Arial"/>
                <w:sz w:val="18"/>
                <w:szCs w:val="18"/>
              </w:rPr>
              <w:t>Pennsylvania</w:t>
            </w:r>
          </w:p>
        </w:tc>
        <w:tc>
          <w:tcPr>
            <w:tcW w:w="925" w:type="dxa"/>
            <w:vAlign w:val="bottom"/>
          </w:tcPr>
          <w:p w14:paraId="6582BCD3" w14:textId="77777777" w:rsidR="00B42F2B" w:rsidRPr="001223AC" w:rsidRDefault="00B42F2B" w:rsidP="00B42F2B">
            <w:pPr>
              <w:jc w:val="center"/>
              <w:rPr>
                <w:rFonts w:cs="Arial"/>
                <w:sz w:val="18"/>
                <w:szCs w:val="18"/>
              </w:rPr>
            </w:pPr>
            <w:r w:rsidRPr="001223AC">
              <w:rPr>
                <w:rFonts w:cs="Arial"/>
                <w:sz w:val="18"/>
                <w:szCs w:val="18"/>
              </w:rPr>
              <w:t>90.4%</w:t>
            </w:r>
          </w:p>
        </w:tc>
        <w:tc>
          <w:tcPr>
            <w:tcW w:w="925" w:type="dxa"/>
            <w:vAlign w:val="bottom"/>
          </w:tcPr>
          <w:p w14:paraId="6392DE31" w14:textId="77777777" w:rsidR="00B42F2B" w:rsidRPr="001223AC" w:rsidRDefault="00B42F2B" w:rsidP="00B42F2B">
            <w:pPr>
              <w:jc w:val="center"/>
              <w:rPr>
                <w:rFonts w:cs="Arial"/>
                <w:sz w:val="18"/>
                <w:szCs w:val="18"/>
              </w:rPr>
            </w:pPr>
            <w:r w:rsidRPr="001223AC">
              <w:rPr>
                <w:rFonts w:cs="Arial"/>
                <w:sz w:val="18"/>
                <w:szCs w:val="18"/>
              </w:rPr>
              <w:t>88.9%</w:t>
            </w:r>
          </w:p>
        </w:tc>
        <w:tc>
          <w:tcPr>
            <w:tcW w:w="875" w:type="dxa"/>
          </w:tcPr>
          <w:p w14:paraId="1462DB17" w14:textId="77777777" w:rsidR="00B42F2B" w:rsidRPr="001223AC" w:rsidRDefault="00B42F2B" w:rsidP="00B42F2B">
            <w:pPr>
              <w:jc w:val="center"/>
              <w:rPr>
                <w:rFonts w:cs="Arial"/>
                <w:sz w:val="18"/>
                <w:szCs w:val="18"/>
              </w:rPr>
            </w:pPr>
            <w:r w:rsidRPr="001223AC">
              <w:rPr>
                <w:rFonts w:cs="Arial"/>
                <w:sz w:val="18"/>
                <w:szCs w:val="18"/>
              </w:rPr>
              <w:t>89.3%</w:t>
            </w:r>
          </w:p>
        </w:tc>
        <w:tc>
          <w:tcPr>
            <w:tcW w:w="798" w:type="dxa"/>
          </w:tcPr>
          <w:p w14:paraId="2F7BBA4D" w14:textId="77777777" w:rsidR="00B42F2B" w:rsidRPr="001223AC" w:rsidRDefault="00B42F2B" w:rsidP="00B42F2B">
            <w:pPr>
              <w:jc w:val="center"/>
              <w:rPr>
                <w:rFonts w:cs="Arial"/>
                <w:sz w:val="18"/>
                <w:szCs w:val="18"/>
              </w:rPr>
            </w:pPr>
            <w:r w:rsidRPr="001223AC">
              <w:rPr>
                <w:rFonts w:cs="Arial"/>
                <w:sz w:val="18"/>
                <w:szCs w:val="18"/>
              </w:rPr>
              <w:t>90.7%</w:t>
            </w:r>
          </w:p>
        </w:tc>
        <w:tc>
          <w:tcPr>
            <w:tcW w:w="798" w:type="dxa"/>
          </w:tcPr>
          <w:p w14:paraId="38A6F79C" w14:textId="77777777" w:rsidR="00B42F2B" w:rsidRPr="001223AC" w:rsidRDefault="00B42F2B" w:rsidP="00B42F2B">
            <w:pPr>
              <w:jc w:val="center"/>
              <w:rPr>
                <w:rFonts w:cs="Arial"/>
                <w:sz w:val="18"/>
                <w:szCs w:val="18"/>
              </w:rPr>
            </w:pPr>
            <w:r w:rsidRPr="001223AC">
              <w:rPr>
                <w:rFonts w:cs="Arial"/>
                <w:sz w:val="18"/>
                <w:szCs w:val="18"/>
              </w:rPr>
              <w:t>90.8%</w:t>
            </w:r>
          </w:p>
        </w:tc>
        <w:tc>
          <w:tcPr>
            <w:tcW w:w="798" w:type="dxa"/>
          </w:tcPr>
          <w:p w14:paraId="7875FB21" w14:textId="77777777" w:rsidR="00B42F2B" w:rsidRPr="001223AC" w:rsidRDefault="00B42F2B" w:rsidP="00B42F2B">
            <w:pPr>
              <w:jc w:val="center"/>
              <w:rPr>
                <w:rFonts w:cs="Arial"/>
                <w:sz w:val="18"/>
                <w:szCs w:val="18"/>
              </w:rPr>
            </w:pPr>
            <w:r w:rsidRPr="001223AC">
              <w:rPr>
                <w:rFonts w:cs="Arial"/>
                <w:sz w:val="18"/>
                <w:szCs w:val="18"/>
              </w:rPr>
              <w:t>90.9%</w:t>
            </w:r>
          </w:p>
        </w:tc>
        <w:tc>
          <w:tcPr>
            <w:tcW w:w="798" w:type="dxa"/>
          </w:tcPr>
          <w:p w14:paraId="61300A90" w14:textId="77777777" w:rsidR="00B42F2B" w:rsidRPr="001223AC" w:rsidRDefault="00B42F2B" w:rsidP="00B42F2B">
            <w:pPr>
              <w:jc w:val="center"/>
              <w:rPr>
                <w:rFonts w:cs="Arial"/>
                <w:sz w:val="18"/>
                <w:szCs w:val="18"/>
              </w:rPr>
            </w:pPr>
            <w:r w:rsidRPr="001223AC">
              <w:rPr>
                <w:rFonts w:cs="Arial"/>
                <w:sz w:val="18"/>
                <w:szCs w:val="18"/>
              </w:rPr>
              <w:t>90.2%</w:t>
            </w:r>
          </w:p>
        </w:tc>
        <w:tc>
          <w:tcPr>
            <w:tcW w:w="757" w:type="dxa"/>
          </w:tcPr>
          <w:p w14:paraId="0B120D9C" w14:textId="77777777" w:rsidR="00B42F2B" w:rsidRPr="001223AC" w:rsidRDefault="00B42F2B" w:rsidP="00B42F2B">
            <w:pPr>
              <w:jc w:val="center"/>
              <w:rPr>
                <w:rFonts w:cs="Arial"/>
                <w:sz w:val="18"/>
                <w:szCs w:val="18"/>
              </w:rPr>
            </w:pPr>
            <w:r w:rsidRPr="001223AC">
              <w:rPr>
                <w:rFonts w:cs="Arial"/>
                <w:sz w:val="18"/>
                <w:szCs w:val="18"/>
              </w:rPr>
              <w:t>90.6%</w:t>
            </w:r>
          </w:p>
        </w:tc>
        <w:tc>
          <w:tcPr>
            <w:tcW w:w="722" w:type="dxa"/>
          </w:tcPr>
          <w:p w14:paraId="4EA0BE3C" w14:textId="77777777" w:rsidR="00B42F2B" w:rsidRPr="001223AC" w:rsidRDefault="00B42F2B" w:rsidP="00B42F2B">
            <w:pPr>
              <w:jc w:val="center"/>
              <w:rPr>
                <w:rFonts w:cs="Arial"/>
                <w:sz w:val="18"/>
                <w:szCs w:val="18"/>
              </w:rPr>
            </w:pPr>
            <w:r w:rsidRPr="001223AC">
              <w:rPr>
                <w:rFonts w:cs="Arial"/>
                <w:sz w:val="18"/>
                <w:szCs w:val="18"/>
              </w:rPr>
              <w:t>90.2%</w:t>
            </w:r>
          </w:p>
        </w:tc>
        <w:tc>
          <w:tcPr>
            <w:tcW w:w="582" w:type="dxa"/>
          </w:tcPr>
          <w:p w14:paraId="07AEF637" w14:textId="77777777" w:rsidR="00B42F2B" w:rsidRPr="001223AC" w:rsidRDefault="00B42F2B" w:rsidP="00B42F2B">
            <w:pPr>
              <w:jc w:val="center"/>
              <w:rPr>
                <w:rFonts w:cs="Arial"/>
                <w:sz w:val="18"/>
                <w:szCs w:val="18"/>
              </w:rPr>
            </w:pPr>
            <w:r w:rsidRPr="001223AC">
              <w:rPr>
                <w:rFonts w:cs="Arial"/>
                <w:sz w:val="18"/>
                <w:szCs w:val="18"/>
              </w:rPr>
              <w:t>90.4%</w:t>
            </w:r>
          </w:p>
        </w:tc>
      </w:tr>
      <w:tr w:rsidR="00B42F2B" w:rsidRPr="001223AC" w14:paraId="283B806B" w14:textId="77777777" w:rsidTr="00B42F2B">
        <w:trPr>
          <w:jc w:val="center"/>
        </w:trPr>
        <w:tc>
          <w:tcPr>
            <w:tcW w:w="1372" w:type="dxa"/>
            <w:vAlign w:val="bottom"/>
          </w:tcPr>
          <w:p w14:paraId="4D9694FE" w14:textId="77777777" w:rsidR="00B42F2B" w:rsidRPr="001223AC" w:rsidRDefault="00B42F2B" w:rsidP="00B42F2B">
            <w:pPr>
              <w:rPr>
                <w:rFonts w:cs="Arial"/>
                <w:sz w:val="18"/>
                <w:szCs w:val="18"/>
              </w:rPr>
            </w:pPr>
            <w:r w:rsidRPr="001223AC">
              <w:rPr>
                <w:rFonts w:cs="Arial"/>
                <w:sz w:val="18"/>
                <w:szCs w:val="18"/>
              </w:rPr>
              <w:t>New York</w:t>
            </w:r>
          </w:p>
        </w:tc>
        <w:tc>
          <w:tcPr>
            <w:tcW w:w="925" w:type="dxa"/>
            <w:vAlign w:val="bottom"/>
          </w:tcPr>
          <w:p w14:paraId="24DEAA4B" w14:textId="77777777" w:rsidR="00B42F2B" w:rsidRPr="001223AC" w:rsidRDefault="00B42F2B" w:rsidP="00B42F2B">
            <w:pPr>
              <w:jc w:val="center"/>
              <w:rPr>
                <w:rFonts w:cs="Arial"/>
                <w:sz w:val="18"/>
                <w:szCs w:val="18"/>
              </w:rPr>
            </w:pPr>
            <w:r w:rsidRPr="001223AC">
              <w:rPr>
                <w:rFonts w:cs="Arial"/>
                <w:sz w:val="18"/>
                <w:szCs w:val="18"/>
              </w:rPr>
              <w:t>92.7%</w:t>
            </w:r>
          </w:p>
        </w:tc>
        <w:tc>
          <w:tcPr>
            <w:tcW w:w="925" w:type="dxa"/>
            <w:vAlign w:val="bottom"/>
          </w:tcPr>
          <w:p w14:paraId="0D37C6CE" w14:textId="77777777" w:rsidR="00B42F2B" w:rsidRPr="001223AC" w:rsidRDefault="00B42F2B" w:rsidP="00B42F2B">
            <w:pPr>
              <w:jc w:val="center"/>
              <w:rPr>
                <w:rFonts w:cs="Arial"/>
                <w:sz w:val="18"/>
                <w:szCs w:val="18"/>
              </w:rPr>
            </w:pPr>
            <w:r w:rsidRPr="001223AC">
              <w:rPr>
                <w:rFonts w:cs="Arial"/>
                <w:sz w:val="18"/>
                <w:szCs w:val="18"/>
              </w:rPr>
              <w:t>92.6%</w:t>
            </w:r>
          </w:p>
        </w:tc>
        <w:tc>
          <w:tcPr>
            <w:tcW w:w="875" w:type="dxa"/>
          </w:tcPr>
          <w:p w14:paraId="2FD29239" w14:textId="77777777" w:rsidR="00B42F2B" w:rsidRPr="001223AC" w:rsidRDefault="00B42F2B" w:rsidP="00B42F2B">
            <w:pPr>
              <w:jc w:val="center"/>
              <w:rPr>
                <w:rFonts w:cs="Arial"/>
                <w:sz w:val="18"/>
                <w:szCs w:val="18"/>
              </w:rPr>
            </w:pPr>
            <w:r w:rsidRPr="001223AC">
              <w:rPr>
                <w:rFonts w:cs="Arial"/>
                <w:sz w:val="18"/>
                <w:szCs w:val="18"/>
              </w:rPr>
              <w:t>92.7%</w:t>
            </w:r>
          </w:p>
        </w:tc>
        <w:tc>
          <w:tcPr>
            <w:tcW w:w="798" w:type="dxa"/>
          </w:tcPr>
          <w:p w14:paraId="3C404FD3" w14:textId="77777777" w:rsidR="00B42F2B" w:rsidRPr="001223AC" w:rsidRDefault="00B42F2B" w:rsidP="00B42F2B">
            <w:pPr>
              <w:jc w:val="center"/>
              <w:rPr>
                <w:rFonts w:cs="Arial"/>
                <w:sz w:val="18"/>
                <w:szCs w:val="18"/>
              </w:rPr>
            </w:pPr>
            <w:r w:rsidRPr="001223AC">
              <w:rPr>
                <w:rFonts w:cs="Arial"/>
                <w:sz w:val="18"/>
                <w:szCs w:val="18"/>
              </w:rPr>
              <w:t>92.7%</w:t>
            </w:r>
          </w:p>
        </w:tc>
        <w:tc>
          <w:tcPr>
            <w:tcW w:w="798" w:type="dxa"/>
          </w:tcPr>
          <w:p w14:paraId="0A43378F" w14:textId="77777777" w:rsidR="00B42F2B" w:rsidRPr="001223AC" w:rsidRDefault="00B42F2B" w:rsidP="00B42F2B">
            <w:pPr>
              <w:jc w:val="center"/>
              <w:rPr>
                <w:rFonts w:cs="Arial"/>
                <w:sz w:val="18"/>
                <w:szCs w:val="18"/>
              </w:rPr>
            </w:pPr>
            <w:r w:rsidRPr="001223AC">
              <w:rPr>
                <w:rFonts w:cs="Arial"/>
                <w:sz w:val="18"/>
                <w:szCs w:val="18"/>
              </w:rPr>
              <w:t>92.4%</w:t>
            </w:r>
          </w:p>
        </w:tc>
        <w:tc>
          <w:tcPr>
            <w:tcW w:w="798" w:type="dxa"/>
          </w:tcPr>
          <w:p w14:paraId="4FB71DA0" w14:textId="77777777" w:rsidR="00B42F2B" w:rsidRPr="001223AC" w:rsidRDefault="00B42F2B" w:rsidP="00B42F2B">
            <w:pPr>
              <w:jc w:val="center"/>
              <w:rPr>
                <w:rFonts w:cs="Arial"/>
                <w:sz w:val="18"/>
                <w:szCs w:val="18"/>
              </w:rPr>
            </w:pPr>
            <w:r w:rsidRPr="001223AC">
              <w:rPr>
                <w:rFonts w:cs="Arial"/>
                <w:sz w:val="18"/>
                <w:szCs w:val="18"/>
              </w:rPr>
              <w:t>92.2%</w:t>
            </w:r>
          </w:p>
        </w:tc>
        <w:tc>
          <w:tcPr>
            <w:tcW w:w="798" w:type="dxa"/>
          </w:tcPr>
          <w:p w14:paraId="3EF85133" w14:textId="77777777" w:rsidR="00B42F2B" w:rsidRPr="001223AC" w:rsidRDefault="00B42F2B" w:rsidP="00B42F2B">
            <w:pPr>
              <w:jc w:val="center"/>
              <w:rPr>
                <w:rFonts w:cs="Arial"/>
                <w:sz w:val="18"/>
                <w:szCs w:val="18"/>
              </w:rPr>
            </w:pPr>
            <w:r w:rsidRPr="001223AC">
              <w:rPr>
                <w:rFonts w:cs="Arial"/>
                <w:sz w:val="18"/>
                <w:szCs w:val="18"/>
              </w:rPr>
              <w:t>91.8%</w:t>
            </w:r>
          </w:p>
        </w:tc>
        <w:tc>
          <w:tcPr>
            <w:tcW w:w="757" w:type="dxa"/>
          </w:tcPr>
          <w:p w14:paraId="574FF5B5" w14:textId="77777777" w:rsidR="00B42F2B" w:rsidRPr="001223AC" w:rsidRDefault="00B42F2B" w:rsidP="00B42F2B">
            <w:pPr>
              <w:jc w:val="center"/>
              <w:rPr>
                <w:rFonts w:cs="Arial"/>
                <w:sz w:val="18"/>
                <w:szCs w:val="18"/>
              </w:rPr>
            </w:pPr>
            <w:r w:rsidRPr="001223AC">
              <w:rPr>
                <w:rFonts w:cs="Arial"/>
                <w:sz w:val="18"/>
                <w:szCs w:val="18"/>
              </w:rPr>
              <w:t>91.9%</w:t>
            </w:r>
          </w:p>
        </w:tc>
        <w:tc>
          <w:tcPr>
            <w:tcW w:w="722" w:type="dxa"/>
          </w:tcPr>
          <w:p w14:paraId="3191F4F9" w14:textId="77777777" w:rsidR="00B42F2B" w:rsidRPr="001223AC" w:rsidRDefault="00B42F2B" w:rsidP="00B42F2B">
            <w:pPr>
              <w:jc w:val="center"/>
              <w:rPr>
                <w:rFonts w:cs="Arial"/>
                <w:sz w:val="18"/>
                <w:szCs w:val="18"/>
              </w:rPr>
            </w:pPr>
            <w:r w:rsidRPr="001223AC">
              <w:rPr>
                <w:rFonts w:cs="Arial"/>
                <w:sz w:val="18"/>
                <w:szCs w:val="18"/>
              </w:rPr>
              <w:t>90.9%</w:t>
            </w:r>
          </w:p>
        </w:tc>
        <w:tc>
          <w:tcPr>
            <w:tcW w:w="582" w:type="dxa"/>
          </w:tcPr>
          <w:p w14:paraId="476FD497" w14:textId="77777777" w:rsidR="00B42F2B" w:rsidRPr="001223AC" w:rsidRDefault="00B42F2B" w:rsidP="00B42F2B">
            <w:pPr>
              <w:jc w:val="center"/>
              <w:rPr>
                <w:rFonts w:cs="Arial"/>
                <w:sz w:val="18"/>
                <w:szCs w:val="18"/>
              </w:rPr>
            </w:pPr>
            <w:r w:rsidRPr="001223AC">
              <w:rPr>
                <w:rFonts w:cs="Arial"/>
                <w:sz w:val="18"/>
                <w:szCs w:val="18"/>
              </w:rPr>
              <w:t>90.1%</w:t>
            </w:r>
          </w:p>
        </w:tc>
      </w:tr>
      <w:tr w:rsidR="00B42F2B" w:rsidRPr="001223AC" w14:paraId="498B01F2" w14:textId="77777777" w:rsidTr="00B42F2B">
        <w:trPr>
          <w:jc w:val="center"/>
        </w:trPr>
        <w:tc>
          <w:tcPr>
            <w:tcW w:w="1372" w:type="dxa"/>
            <w:vAlign w:val="bottom"/>
          </w:tcPr>
          <w:p w14:paraId="0DBA615D" w14:textId="77777777" w:rsidR="00B42F2B" w:rsidRPr="001223AC" w:rsidRDefault="00B42F2B" w:rsidP="00B42F2B">
            <w:pPr>
              <w:rPr>
                <w:rFonts w:cs="Arial"/>
                <w:sz w:val="18"/>
                <w:szCs w:val="18"/>
              </w:rPr>
            </w:pPr>
            <w:r w:rsidRPr="001223AC">
              <w:rPr>
                <w:rFonts w:cs="Arial"/>
                <w:sz w:val="18"/>
                <w:szCs w:val="18"/>
              </w:rPr>
              <w:t>Florida</w:t>
            </w:r>
          </w:p>
        </w:tc>
        <w:tc>
          <w:tcPr>
            <w:tcW w:w="925" w:type="dxa"/>
            <w:vAlign w:val="bottom"/>
          </w:tcPr>
          <w:p w14:paraId="4235F41E" w14:textId="77777777" w:rsidR="00B42F2B" w:rsidRPr="001223AC" w:rsidRDefault="00B42F2B" w:rsidP="00B42F2B">
            <w:pPr>
              <w:jc w:val="center"/>
              <w:rPr>
                <w:rFonts w:cs="Arial"/>
                <w:sz w:val="18"/>
                <w:szCs w:val="18"/>
              </w:rPr>
            </w:pPr>
            <w:r w:rsidRPr="001223AC">
              <w:rPr>
                <w:rFonts w:cs="Arial"/>
                <w:sz w:val="18"/>
                <w:szCs w:val="18"/>
              </w:rPr>
              <w:t>88.2%</w:t>
            </w:r>
          </w:p>
        </w:tc>
        <w:tc>
          <w:tcPr>
            <w:tcW w:w="925" w:type="dxa"/>
            <w:vAlign w:val="bottom"/>
          </w:tcPr>
          <w:p w14:paraId="2AE2F9BE" w14:textId="77777777" w:rsidR="00B42F2B" w:rsidRPr="001223AC" w:rsidRDefault="00B42F2B" w:rsidP="00B42F2B">
            <w:pPr>
              <w:jc w:val="center"/>
              <w:rPr>
                <w:rFonts w:cs="Arial"/>
                <w:sz w:val="18"/>
                <w:szCs w:val="18"/>
              </w:rPr>
            </w:pPr>
            <w:r w:rsidRPr="001223AC">
              <w:rPr>
                <w:rFonts w:cs="Arial"/>
                <w:sz w:val="18"/>
                <w:szCs w:val="18"/>
              </w:rPr>
              <w:t>87.8%</w:t>
            </w:r>
          </w:p>
        </w:tc>
        <w:tc>
          <w:tcPr>
            <w:tcW w:w="875" w:type="dxa"/>
          </w:tcPr>
          <w:p w14:paraId="6093B581" w14:textId="77777777" w:rsidR="00B42F2B" w:rsidRPr="001223AC" w:rsidRDefault="00B42F2B" w:rsidP="00B42F2B">
            <w:pPr>
              <w:jc w:val="center"/>
              <w:rPr>
                <w:rFonts w:cs="Arial"/>
                <w:sz w:val="18"/>
                <w:szCs w:val="18"/>
              </w:rPr>
            </w:pPr>
            <w:r w:rsidRPr="001223AC">
              <w:rPr>
                <w:rFonts w:cs="Arial"/>
                <w:sz w:val="18"/>
                <w:szCs w:val="18"/>
              </w:rPr>
              <w:t>87.5%</w:t>
            </w:r>
          </w:p>
        </w:tc>
        <w:tc>
          <w:tcPr>
            <w:tcW w:w="798" w:type="dxa"/>
          </w:tcPr>
          <w:p w14:paraId="1DA6FAA5" w14:textId="77777777" w:rsidR="00B42F2B" w:rsidRPr="001223AC" w:rsidRDefault="00B42F2B" w:rsidP="00B42F2B">
            <w:pPr>
              <w:jc w:val="center"/>
              <w:rPr>
                <w:rFonts w:cs="Arial"/>
                <w:sz w:val="18"/>
                <w:szCs w:val="18"/>
              </w:rPr>
            </w:pPr>
            <w:r w:rsidRPr="001223AC">
              <w:rPr>
                <w:rFonts w:cs="Arial"/>
                <w:sz w:val="18"/>
                <w:szCs w:val="18"/>
              </w:rPr>
              <w:t>88.0%</w:t>
            </w:r>
          </w:p>
        </w:tc>
        <w:tc>
          <w:tcPr>
            <w:tcW w:w="798" w:type="dxa"/>
          </w:tcPr>
          <w:p w14:paraId="29EA4B2F" w14:textId="77777777" w:rsidR="00B42F2B" w:rsidRPr="001223AC" w:rsidRDefault="00B42F2B" w:rsidP="00B42F2B">
            <w:pPr>
              <w:jc w:val="center"/>
              <w:rPr>
                <w:rFonts w:cs="Arial"/>
                <w:sz w:val="18"/>
                <w:szCs w:val="18"/>
              </w:rPr>
            </w:pPr>
            <w:r w:rsidRPr="001223AC">
              <w:rPr>
                <w:rFonts w:cs="Arial"/>
                <w:sz w:val="18"/>
                <w:szCs w:val="18"/>
              </w:rPr>
              <w:t>87.8%</w:t>
            </w:r>
          </w:p>
        </w:tc>
        <w:tc>
          <w:tcPr>
            <w:tcW w:w="798" w:type="dxa"/>
          </w:tcPr>
          <w:p w14:paraId="1C53093E" w14:textId="77777777" w:rsidR="00B42F2B" w:rsidRPr="001223AC" w:rsidRDefault="00B42F2B" w:rsidP="00B42F2B">
            <w:pPr>
              <w:jc w:val="center"/>
              <w:rPr>
                <w:rFonts w:cs="Arial"/>
                <w:sz w:val="18"/>
                <w:szCs w:val="18"/>
              </w:rPr>
            </w:pPr>
            <w:r w:rsidRPr="001223AC">
              <w:rPr>
                <w:rFonts w:cs="Arial"/>
                <w:sz w:val="18"/>
                <w:szCs w:val="18"/>
              </w:rPr>
              <w:t>87.8%</w:t>
            </w:r>
          </w:p>
        </w:tc>
        <w:tc>
          <w:tcPr>
            <w:tcW w:w="798" w:type="dxa"/>
          </w:tcPr>
          <w:p w14:paraId="389647B8" w14:textId="77777777" w:rsidR="00B42F2B" w:rsidRPr="001223AC" w:rsidRDefault="00B42F2B" w:rsidP="00B42F2B">
            <w:pPr>
              <w:jc w:val="center"/>
              <w:rPr>
                <w:rFonts w:cs="Arial"/>
                <w:sz w:val="18"/>
                <w:szCs w:val="18"/>
              </w:rPr>
            </w:pPr>
            <w:r w:rsidRPr="001223AC">
              <w:rPr>
                <w:rFonts w:cs="Arial"/>
                <w:sz w:val="18"/>
                <w:szCs w:val="18"/>
              </w:rPr>
              <w:t>87.7%</w:t>
            </w:r>
          </w:p>
        </w:tc>
        <w:tc>
          <w:tcPr>
            <w:tcW w:w="757" w:type="dxa"/>
          </w:tcPr>
          <w:p w14:paraId="784A4085" w14:textId="77777777" w:rsidR="00B42F2B" w:rsidRPr="001223AC" w:rsidRDefault="00B42F2B" w:rsidP="00B42F2B">
            <w:pPr>
              <w:jc w:val="center"/>
              <w:rPr>
                <w:rFonts w:cs="Arial"/>
                <w:sz w:val="18"/>
                <w:szCs w:val="18"/>
              </w:rPr>
            </w:pPr>
            <w:r w:rsidRPr="001223AC">
              <w:rPr>
                <w:rFonts w:cs="Arial"/>
                <w:sz w:val="18"/>
                <w:szCs w:val="18"/>
              </w:rPr>
              <w:t>87.5%</w:t>
            </w:r>
          </w:p>
        </w:tc>
        <w:tc>
          <w:tcPr>
            <w:tcW w:w="722" w:type="dxa"/>
          </w:tcPr>
          <w:p w14:paraId="539A36FC" w14:textId="77777777" w:rsidR="00B42F2B" w:rsidRPr="001223AC" w:rsidRDefault="00B42F2B" w:rsidP="00B42F2B">
            <w:pPr>
              <w:jc w:val="center"/>
              <w:rPr>
                <w:rFonts w:cs="Arial"/>
                <w:sz w:val="18"/>
                <w:szCs w:val="18"/>
              </w:rPr>
            </w:pPr>
            <w:r w:rsidRPr="001223AC">
              <w:rPr>
                <w:rFonts w:cs="Arial"/>
                <w:sz w:val="18"/>
                <w:szCs w:val="18"/>
              </w:rPr>
              <w:t>87.7%</w:t>
            </w:r>
          </w:p>
        </w:tc>
        <w:tc>
          <w:tcPr>
            <w:tcW w:w="582" w:type="dxa"/>
          </w:tcPr>
          <w:p w14:paraId="5E3C475F" w14:textId="77777777" w:rsidR="00B42F2B" w:rsidRPr="001223AC" w:rsidRDefault="00B42F2B" w:rsidP="00B42F2B">
            <w:pPr>
              <w:jc w:val="center"/>
              <w:rPr>
                <w:rFonts w:cs="Arial"/>
                <w:sz w:val="18"/>
                <w:szCs w:val="18"/>
              </w:rPr>
            </w:pPr>
            <w:r w:rsidRPr="001223AC">
              <w:rPr>
                <w:rFonts w:cs="Arial"/>
                <w:sz w:val="18"/>
                <w:szCs w:val="18"/>
              </w:rPr>
              <w:t>88.5%</w:t>
            </w:r>
          </w:p>
        </w:tc>
      </w:tr>
      <w:tr w:rsidR="00B42F2B" w:rsidRPr="001223AC" w14:paraId="278CBA19" w14:textId="77777777" w:rsidTr="00B42F2B">
        <w:trPr>
          <w:jc w:val="center"/>
        </w:trPr>
        <w:tc>
          <w:tcPr>
            <w:tcW w:w="1372" w:type="dxa"/>
            <w:tcBorders>
              <w:bottom w:val="single" w:sz="4" w:space="0" w:color="auto"/>
            </w:tcBorders>
            <w:vAlign w:val="bottom"/>
          </w:tcPr>
          <w:p w14:paraId="74D6731C" w14:textId="77777777" w:rsidR="00B42F2B" w:rsidRPr="001223AC" w:rsidRDefault="00B42F2B" w:rsidP="00B42F2B">
            <w:pPr>
              <w:rPr>
                <w:rFonts w:cs="Arial"/>
                <w:sz w:val="18"/>
                <w:szCs w:val="18"/>
              </w:rPr>
            </w:pPr>
            <w:r w:rsidRPr="001223AC">
              <w:rPr>
                <w:rFonts w:cs="Arial"/>
                <w:sz w:val="18"/>
                <w:szCs w:val="18"/>
              </w:rPr>
              <w:t>California</w:t>
            </w:r>
          </w:p>
        </w:tc>
        <w:tc>
          <w:tcPr>
            <w:tcW w:w="925" w:type="dxa"/>
            <w:tcBorders>
              <w:bottom w:val="single" w:sz="4" w:space="0" w:color="auto"/>
            </w:tcBorders>
            <w:vAlign w:val="bottom"/>
          </w:tcPr>
          <w:p w14:paraId="620ADCF9" w14:textId="77777777" w:rsidR="00B42F2B" w:rsidRPr="001223AC" w:rsidRDefault="00B42F2B" w:rsidP="00B42F2B">
            <w:pPr>
              <w:jc w:val="center"/>
              <w:rPr>
                <w:rFonts w:cs="Arial"/>
                <w:sz w:val="18"/>
                <w:szCs w:val="18"/>
              </w:rPr>
            </w:pPr>
            <w:r w:rsidRPr="001223AC">
              <w:rPr>
                <w:rFonts w:cs="Arial"/>
                <w:sz w:val="18"/>
                <w:szCs w:val="18"/>
              </w:rPr>
              <w:t>85.7%</w:t>
            </w:r>
          </w:p>
        </w:tc>
        <w:tc>
          <w:tcPr>
            <w:tcW w:w="925" w:type="dxa"/>
            <w:tcBorders>
              <w:bottom w:val="single" w:sz="4" w:space="0" w:color="auto"/>
            </w:tcBorders>
            <w:vAlign w:val="bottom"/>
          </w:tcPr>
          <w:p w14:paraId="55CC3A8F" w14:textId="77777777" w:rsidR="00B42F2B" w:rsidRPr="001223AC" w:rsidRDefault="00B42F2B" w:rsidP="00B42F2B">
            <w:pPr>
              <w:jc w:val="center"/>
              <w:rPr>
                <w:rFonts w:cs="Arial"/>
                <w:sz w:val="18"/>
                <w:szCs w:val="18"/>
              </w:rPr>
            </w:pPr>
            <w:r w:rsidRPr="001223AC">
              <w:rPr>
                <w:rFonts w:cs="Arial"/>
                <w:sz w:val="18"/>
                <w:szCs w:val="18"/>
              </w:rPr>
              <w:t>85.0%</w:t>
            </w:r>
          </w:p>
        </w:tc>
        <w:tc>
          <w:tcPr>
            <w:tcW w:w="875" w:type="dxa"/>
            <w:tcBorders>
              <w:bottom w:val="single" w:sz="4" w:space="0" w:color="auto"/>
            </w:tcBorders>
          </w:tcPr>
          <w:p w14:paraId="16EF74B1" w14:textId="77777777" w:rsidR="00B42F2B" w:rsidRPr="001223AC" w:rsidRDefault="00B42F2B" w:rsidP="00B42F2B">
            <w:pPr>
              <w:jc w:val="center"/>
              <w:rPr>
                <w:rFonts w:cs="Arial"/>
                <w:sz w:val="18"/>
                <w:szCs w:val="18"/>
              </w:rPr>
            </w:pPr>
            <w:r w:rsidRPr="001223AC">
              <w:rPr>
                <w:rFonts w:cs="Arial"/>
                <w:sz w:val="18"/>
                <w:szCs w:val="18"/>
              </w:rPr>
              <w:t>85.3%</w:t>
            </w:r>
          </w:p>
        </w:tc>
        <w:tc>
          <w:tcPr>
            <w:tcW w:w="798" w:type="dxa"/>
            <w:tcBorders>
              <w:bottom w:val="single" w:sz="4" w:space="0" w:color="auto"/>
            </w:tcBorders>
          </w:tcPr>
          <w:p w14:paraId="7B5C5DA0" w14:textId="77777777" w:rsidR="00B42F2B" w:rsidRPr="001223AC" w:rsidRDefault="00B42F2B" w:rsidP="00B42F2B">
            <w:pPr>
              <w:jc w:val="center"/>
              <w:rPr>
                <w:rFonts w:cs="Arial"/>
                <w:sz w:val="18"/>
                <w:szCs w:val="18"/>
              </w:rPr>
            </w:pPr>
            <w:r w:rsidRPr="001223AC">
              <w:rPr>
                <w:rFonts w:cs="Arial"/>
                <w:sz w:val="18"/>
                <w:szCs w:val="18"/>
              </w:rPr>
              <w:t>84.8%</w:t>
            </w:r>
          </w:p>
        </w:tc>
        <w:tc>
          <w:tcPr>
            <w:tcW w:w="798" w:type="dxa"/>
            <w:tcBorders>
              <w:bottom w:val="single" w:sz="4" w:space="0" w:color="auto"/>
            </w:tcBorders>
          </w:tcPr>
          <w:p w14:paraId="2180AD3A" w14:textId="77777777" w:rsidR="00B42F2B" w:rsidRPr="001223AC" w:rsidRDefault="00B42F2B" w:rsidP="00B42F2B">
            <w:pPr>
              <w:jc w:val="center"/>
              <w:rPr>
                <w:rFonts w:cs="Arial"/>
                <w:sz w:val="18"/>
                <w:szCs w:val="18"/>
              </w:rPr>
            </w:pPr>
            <w:r w:rsidRPr="001223AC">
              <w:rPr>
                <w:rFonts w:cs="Arial"/>
                <w:sz w:val="18"/>
                <w:szCs w:val="18"/>
              </w:rPr>
              <w:t>84.8%</w:t>
            </w:r>
          </w:p>
        </w:tc>
        <w:tc>
          <w:tcPr>
            <w:tcW w:w="798" w:type="dxa"/>
            <w:tcBorders>
              <w:bottom w:val="single" w:sz="4" w:space="0" w:color="auto"/>
            </w:tcBorders>
          </w:tcPr>
          <w:p w14:paraId="60824556" w14:textId="77777777" w:rsidR="00B42F2B" w:rsidRPr="001223AC" w:rsidRDefault="00B42F2B" w:rsidP="00B42F2B">
            <w:pPr>
              <w:jc w:val="center"/>
              <w:rPr>
                <w:rFonts w:cs="Arial"/>
                <w:sz w:val="18"/>
                <w:szCs w:val="18"/>
              </w:rPr>
            </w:pPr>
            <w:r w:rsidRPr="001223AC">
              <w:rPr>
                <w:rFonts w:cs="Arial"/>
                <w:sz w:val="18"/>
                <w:szCs w:val="18"/>
              </w:rPr>
              <w:t>85.1%</w:t>
            </w:r>
          </w:p>
        </w:tc>
        <w:tc>
          <w:tcPr>
            <w:tcW w:w="798" w:type="dxa"/>
            <w:tcBorders>
              <w:bottom w:val="single" w:sz="4" w:space="0" w:color="auto"/>
            </w:tcBorders>
          </w:tcPr>
          <w:p w14:paraId="00AAE816" w14:textId="77777777" w:rsidR="00B42F2B" w:rsidRPr="001223AC" w:rsidRDefault="00B42F2B" w:rsidP="00B42F2B">
            <w:pPr>
              <w:jc w:val="center"/>
              <w:rPr>
                <w:rFonts w:cs="Arial"/>
                <w:sz w:val="18"/>
                <w:szCs w:val="18"/>
              </w:rPr>
            </w:pPr>
            <w:r w:rsidRPr="001223AC">
              <w:rPr>
                <w:rFonts w:cs="Arial"/>
                <w:sz w:val="18"/>
                <w:szCs w:val="18"/>
              </w:rPr>
              <w:t>85.1%</w:t>
            </w:r>
          </w:p>
        </w:tc>
        <w:tc>
          <w:tcPr>
            <w:tcW w:w="757" w:type="dxa"/>
            <w:tcBorders>
              <w:bottom w:val="single" w:sz="4" w:space="0" w:color="auto"/>
            </w:tcBorders>
          </w:tcPr>
          <w:p w14:paraId="3796406D" w14:textId="77777777" w:rsidR="00B42F2B" w:rsidRPr="001223AC" w:rsidRDefault="00B42F2B" w:rsidP="00B42F2B">
            <w:pPr>
              <w:jc w:val="center"/>
              <w:rPr>
                <w:rFonts w:cs="Arial"/>
                <w:sz w:val="18"/>
                <w:szCs w:val="18"/>
              </w:rPr>
            </w:pPr>
            <w:r w:rsidRPr="001223AC">
              <w:rPr>
                <w:rFonts w:cs="Arial"/>
                <w:sz w:val="18"/>
                <w:szCs w:val="18"/>
              </w:rPr>
              <w:t>84.9%</w:t>
            </w:r>
          </w:p>
        </w:tc>
        <w:tc>
          <w:tcPr>
            <w:tcW w:w="722" w:type="dxa"/>
            <w:tcBorders>
              <w:bottom w:val="single" w:sz="4" w:space="0" w:color="auto"/>
            </w:tcBorders>
          </w:tcPr>
          <w:p w14:paraId="1A32646D" w14:textId="77777777" w:rsidR="00B42F2B" w:rsidRPr="001223AC" w:rsidRDefault="00B42F2B" w:rsidP="00B42F2B">
            <w:pPr>
              <w:jc w:val="center"/>
              <w:rPr>
                <w:rFonts w:cs="Arial"/>
                <w:sz w:val="18"/>
                <w:szCs w:val="18"/>
              </w:rPr>
            </w:pPr>
            <w:r w:rsidRPr="001223AC">
              <w:rPr>
                <w:rFonts w:cs="Arial"/>
                <w:sz w:val="18"/>
                <w:szCs w:val="18"/>
              </w:rPr>
              <w:t>85.0%</w:t>
            </w:r>
          </w:p>
        </w:tc>
        <w:tc>
          <w:tcPr>
            <w:tcW w:w="582" w:type="dxa"/>
            <w:tcBorders>
              <w:bottom w:val="single" w:sz="4" w:space="0" w:color="auto"/>
            </w:tcBorders>
          </w:tcPr>
          <w:p w14:paraId="1A436BD6" w14:textId="77777777" w:rsidR="00B42F2B" w:rsidRPr="001223AC" w:rsidRDefault="00B42F2B" w:rsidP="00B42F2B">
            <w:pPr>
              <w:jc w:val="center"/>
              <w:rPr>
                <w:rFonts w:cs="Arial"/>
                <w:sz w:val="18"/>
                <w:szCs w:val="18"/>
              </w:rPr>
            </w:pPr>
            <w:r w:rsidRPr="001223AC">
              <w:rPr>
                <w:rFonts w:cs="Arial"/>
                <w:sz w:val="18"/>
                <w:szCs w:val="18"/>
              </w:rPr>
              <w:t>86.1%</w:t>
            </w:r>
          </w:p>
        </w:tc>
      </w:tr>
      <w:tr w:rsidR="00B42F2B" w:rsidRPr="001223AC" w14:paraId="5AB7C688" w14:textId="77777777" w:rsidTr="00B42F2B">
        <w:trPr>
          <w:jc w:val="center"/>
        </w:trPr>
        <w:tc>
          <w:tcPr>
            <w:tcW w:w="1372" w:type="dxa"/>
            <w:vAlign w:val="bottom"/>
          </w:tcPr>
          <w:p w14:paraId="5CCC2440" w14:textId="77777777" w:rsidR="00B42F2B" w:rsidRPr="001223AC" w:rsidRDefault="00B42F2B" w:rsidP="00B42F2B">
            <w:pPr>
              <w:rPr>
                <w:rFonts w:cs="Arial"/>
                <w:sz w:val="18"/>
                <w:szCs w:val="18"/>
              </w:rPr>
            </w:pPr>
            <w:r w:rsidRPr="001223AC">
              <w:rPr>
                <w:rFonts w:cs="Arial"/>
                <w:sz w:val="18"/>
                <w:szCs w:val="18"/>
              </w:rPr>
              <w:t>Michigan</w:t>
            </w:r>
          </w:p>
        </w:tc>
        <w:tc>
          <w:tcPr>
            <w:tcW w:w="925" w:type="dxa"/>
            <w:vAlign w:val="bottom"/>
          </w:tcPr>
          <w:p w14:paraId="1E979CEB" w14:textId="77777777" w:rsidR="00B42F2B" w:rsidRPr="001223AC" w:rsidRDefault="00B42F2B" w:rsidP="00B42F2B">
            <w:pPr>
              <w:jc w:val="center"/>
              <w:rPr>
                <w:rFonts w:cs="Arial"/>
                <w:sz w:val="18"/>
                <w:szCs w:val="18"/>
              </w:rPr>
            </w:pPr>
            <w:r w:rsidRPr="001223AC">
              <w:rPr>
                <w:rFonts w:cs="Arial"/>
                <w:sz w:val="18"/>
                <w:szCs w:val="18"/>
              </w:rPr>
              <w:t>88.8%</w:t>
            </w:r>
          </w:p>
        </w:tc>
        <w:tc>
          <w:tcPr>
            <w:tcW w:w="925" w:type="dxa"/>
            <w:vAlign w:val="bottom"/>
          </w:tcPr>
          <w:p w14:paraId="396BABE7" w14:textId="77777777" w:rsidR="00B42F2B" w:rsidRPr="001223AC" w:rsidRDefault="00B42F2B" w:rsidP="00B42F2B">
            <w:pPr>
              <w:jc w:val="center"/>
              <w:rPr>
                <w:rFonts w:cs="Arial"/>
                <w:sz w:val="18"/>
                <w:szCs w:val="18"/>
              </w:rPr>
            </w:pPr>
            <w:r w:rsidRPr="001223AC">
              <w:rPr>
                <w:rFonts w:cs="Arial"/>
                <w:sz w:val="18"/>
                <w:szCs w:val="18"/>
              </w:rPr>
              <w:t>86.6%</w:t>
            </w:r>
          </w:p>
        </w:tc>
        <w:tc>
          <w:tcPr>
            <w:tcW w:w="875" w:type="dxa"/>
          </w:tcPr>
          <w:p w14:paraId="72AE9029" w14:textId="77777777" w:rsidR="00B42F2B" w:rsidRPr="001223AC" w:rsidRDefault="00B42F2B" w:rsidP="00B42F2B">
            <w:pPr>
              <w:jc w:val="center"/>
              <w:rPr>
                <w:rFonts w:cs="Arial"/>
                <w:sz w:val="18"/>
                <w:szCs w:val="18"/>
              </w:rPr>
            </w:pPr>
            <w:r w:rsidRPr="001223AC">
              <w:rPr>
                <w:rFonts w:cs="Arial"/>
                <w:sz w:val="18"/>
                <w:szCs w:val="18"/>
              </w:rPr>
              <w:t>86.3%</w:t>
            </w:r>
          </w:p>
        </w:tc>
        <w:tc>
          <w:tcPr>
            <w:tcW w:w="798" w:type="dxa"/>
          </w:tcPr>
          <w:p w14:paraId="2DDD6D88" w14:textId="77777777" w:rsidR="00B42F2B" w:rsidRPr="001223AC" w:rsidRDefault="00B42F2B" w:rsidP="00B42F2B">
            <w:pPr>
              <w:jc w:val="center"/>
              <w:rPr>
                <w:rFonts w:cs="Arial"/>
                <w:sz w:val="18"/>
                <w:szCs w:val="18"/>
              </w:rPr>
            </w:pPr>
            <w:r w:rsidRPr="001223AC">
              <w:rPr>
                <w:rFonts w:cs="Arial"/>
                <w:sz w:val="18"/>
                <w:szCs w:val="18"/>
              </w:rPr>
              <w:t>86.2%</w:t>
            </w:r>
          </w:p>
        </w:tc>
        <w:tc>
          <w:tcPr>
            <w:tcW w:w="798" w:type="dxa"/>
          </w:tcPr>
          <w:p w14:paraId="22BFBEF8" w14:textId="77777777" w:rsidR="00B42F2B" w:rsidRPr="001223AC" w:rsidRDefault="00B42F2B" w:rsidP="00B42F2B">
            <w:pPr>
              <w:jc w:val="center"/>
              <w:rPr>
                <w:rFonts w:cs="Arial"/>
                <w:sz w:val="18"/>
                <w:szCs w:val="18"/>
              </w:rPr>
            </w:pPr>
            <w:r w:rsidRPr="001223AC">
              <w:rPr>
                <w:rFonts w:cs="Arial"/>
                <w:sz w:val="18"/>
                <w:szCs w:val="18"/>
              </w:rPr>
              <w:t>85.2%</w:t>
            </w:r>
          </w:p>
        </w:tc>
        <w:tc>
          <w:tcPr>
            <w:tcW w:w="798" w:type="dxa"/>
          </w:tcPr>
          <w:p w14:paraId="310DEB4A" w14:textId="77777777" w:rsidR="00B42F2B" w:rsidRPr="001223AC" w:rsidRDefault="00B42F2B" w:rsidP="00B42F2B">
            <w:pPr>
              <w:jc w:val="center"/>
              <w:rPr>
                <w:rFonts w:cs="Arial"/>
                <w:sz w:val="18"/>
                <w:szCs w:val="18"/>
              </w:rPr>
            </w:pPr>
            <w:r w:rsidRPr="001223AC">
              <w:rPr>
                <w:rFonts w:cs="Arial"/>
                <w:sz w:val="18"/>
                <w:szCs w:val="18"/>
              </w:rPr>
              <w:t>84.8%</w:t>
            </w:r>
          </w:p>
        </w:tc>
        <w:tc>
          <w:tcPr>
            <w:tcW w:w="798" w:type="dxa"/>
          </w:tcPr>
          <w:p w14:paraId="7E083C63" w14:textId="77777777" w:rsidR="00B42F2B" w:rsidRPr="001223AC" w:rsidRDefault="00B42F2B" w:rsidP="00B42F2B">
            <w:pPr>
              <w:jc w:val="center"/>
              <w:rPr>
                <w:rFonts w:cs="Arial"/>
                <w:sz w:val="18"/>
                <w:szCs w:val="18"/>
              </w:rPr>
            </w:pPr>
            <w:r w:rsidRPr="001223AC">
              <w:rPr>
                <w:rFonts w:cs="Arial"/>
                <w:sz w:val="18"/>
                <w:szCs w:val="18"/>
              </w:rPr>
              <w:t>84.9%</w:t>
            </w:r>
          </w:p>
        </w:tc>
        <w:tc>
          <w:tcPr>
            <w:tcW w:w="757" w:type="dxa"/>
          </w:tcPr>
          <w:p w14:paraId="1D019F3F" w14:textId="77777777" w:rsidR="00B42F2B" w:rsidRPr="001223AC" w:rsidRDefault="00B42F2B" w:rsidP="00B42F2B">
            <w:pPr>
              <w:jc w:val="center"/>
              <w:rPr>
                <w:rFonts w:cs="Arial"/>
                <w:sz w:val="18"/>
                <w:szCs w:val="18"/>
              </w:rPr>
            </w:pPr>
            <w:r w:rsidRPr="001223AC">
              <w:rPr>
                <w:rFonts w:cs="Arial"/>
                <w:sz w:val="18"/>
                <w:szCs w:val="18"/>
              </w:rPr>
              <w:t>84.7%</w:t>
            </w:r>
          </w:p>
        </w:tc>
        <w:tc>
          <w:tcPr>
            <w:tcW w:w="722" w:type="dxa"/>
          </w:tcPr>
          <w:p w14:paraId="62470256" w14:textId="77777777" w:rsidR="00B42F2B" w:rsidRPr="001223AC" w:rsidRDefault="00B42F2B" w:rsidP="00B42F2B">
            <w:pPr>
              <w:jc w:val="center"/>
              <w:rPr>
                <w:rFonts w:cs="Arial"/>
                <w:sz w:val="18"/>
                <w:szCs w:val="18"/>
              </w:rPr>
            </w:pPr>
            <w:r w:rsidRPr="001223AC">
              <w:rPr>
                <w:rFonts w:cs="Arial"/>
                <w:sz w:val="18"/>
                <w:szCs w:val="18"/>
              </w:rPr>
              <w:t>84.2%</w:t>
            </w:r>
          </w:p>
        </w:tc>
        <w:tc>
          <w:tcPr>
            <w:tcW w:w="582" w:type="dxa"/>
          </w:tcPr>
          <w:p w14:paraId="59317DE6" w14:textId="77777777" w:rsidR="00B42F2B" w:rsidRPr="001223AC" w:rsidRDefault="00B42F2B" w:rsidP="00B42F2B">
            <w:pPr>
              <w:jc w:val="center"/>
              <w:rPr>
                <w:rFonts w:cs="Arial"/>
                <w:sz w:val="18"/>
                <w:szCs w:val="18"/>
              </w:rPr>
            </w:pPr>
            <w:r w:rsidRPr="001223AC">
              <w:rPr>
                <w:rFonts w:cs="Arial"/>
                <w:sz w:val="18"/>
                <w:szCs w:val="18"/>
              </w:rPr>
              <w:t>85.2%</w:t>
            </w:r>
          </w:p>
        </w:tc>
      </w:tr>
      <w:tr w:rsidR="00B42F2B" w:rsidRPr="001223AC" w14:paraId="7E38F2B4" w14:textId="77777777" w:rsidTr="00B42F2B">
        <w:trPr>
          <w:jc w:val="center"/>
        </w:trPr>
        <w:tc>
          <w:tcPr>
            <w:tcW w:w="1372" w:type="dxa"/>
            <w:vAlign w:val="bottom"/>
          </w:tcPr>
          <w:p w14:paraId="57483169" w14:textId="77777777" w:rsidR="00B42F2B" w:rsidRPr="001223AC" w:rsidRDefault="00B42F2B" w:rsidP="00B42F2B">
            <w:pPr>
              <w:rPr>
                <w:rFonts w:cs="Arial"/>
                <w:sz w:val="18"/>
                <w:szCs w:val="18"/>
              </w:rPr>
            </w:pPr>
            <w:r w:rsidRPr="001223AC">
              <w:rPr>
                <w:rFonts w:cs="Arial"/>
                <w:sz w:val="18"/>
                <w:szCs w:val="18"/>
              </w:rPr>
              <w:t>Ohio</w:t>
            </w:r>
          </w:p>
        </w:tc>
        <w:tc>
          <w:tcPr>
            <w:tcW w:w="925" w:type="dxa"/>
            <w:vAlign w:val="bottom"/>
          </w:tcPr>
          <w:p w14:paraId="079C7977" w14:textId="77777777" w:rsidR="00B42F2B" w:rsidRPr="001223AC" w:rsidRDefault="00B42F2B" w:rsidP="00B42F2B">
            <w:pPr>
              <w:jc w:val="center"/>
              <w:rPr>
                <w:rFonts w:cs="Arial"/>
                <w:sz w:val="18"/>
                <w:szCs w:val="18"/>
              </w:rPr>
            </w:pPr>
            <w:r w:rsidRPr="001223AC">
              <w:rPr>
                <w:rFonts w:cs="Arial"/>
                <w:sz w:val="18"/>
                <w:szCs w:val="18"/>
              </w:rPr>
              <w:t>87.9%</w:t>
            </w:r>
          </w:p>
        </w:tc>
        <w:tc>
          <w:tcPr>
            <w:tcW w:w="925" w:type="dxa"/>
            <w:vAlign w:val="bottom"/>
          </w:tcPr>
          <w:p w14:paraId="18EC886C" w14:textId="77777777" w:rsidR="00B42F2B" w:rsidRPr="001223AC" w:rsidRDefault="00B42F2B" w:rsidP="00B42F2B">
            <w:pPr>
              <w:jc w:val="center"/>
              <w:rPr>
                <w:rFonts w:cs="Arial"/>
                <w:sz w:val="18"/>
                <w:szCs w:val="18"/>
              </w:rPr>
            </w:pPr>
            <w:r w:rsidRPr="001223AC">
              <w:rPr>
                <w:rFonts w:cs="Arial"/>
                <w:sz w:val="18"/>
                <w:szCs w:val="18"/>
              </w:rPr>
              <w:t>86.8%</w:t>
            </w:r>
          </w:p>
        </w:tc>
        <w:tc>
          <w:tcPr>
            <w:tcW w:w="875" w:type="dxa"/>
          </w:tcPr>
          <w:p w14:paraId="453A67EF" w14:textId="77777777" w:rsidR="00B42F2B" w:rsidRPr="001223AC" w:rsidRDefault="00B42F2B" w:rsidP="00B42F2B">
            <w:pPr>
              <w:jc w:val="center"/>
              <w:rPr>
                <w:rFonts w:cs="Arial"/>
                <w:sz w:val="18"/>
                <w:szCs w:val="18"/>
              </w:rPr>
            </w:pPr>
            <w:r w:rsidRPr="001223AC">
              <w:rPr>
                <w:rFonts w:cs="Arial"/>
                <w:sz w:val="18"/>
                <w:szCs w:val="18"/>
              </w:rPr>
              <w:t>86.5%</w:t>
            </w:r>
          </w:p>
        </w:tc>
        <w:tc>
          <w:tcPr>
            <w:tcW w:w="798" w:type="dxa"/>
          </w:tcPr>
          <w:p w14:paraId="6CB20759" w14:textId="77777777" w:rsidR="00B42F2B" w:rsidRPr="001223AC" w:rsidRDefault="00B42F2B" w:rsidP="00B42F2B">
            <w:pPr>
              <w:jc w:val="center"/>
              <w:rPr>
                <w:rFonts w:cs="Arial"/>
                <w:sz w:val="18"/>
                <w:szCs w:val="18"/>
              </w:rPr>
            </w:pPr>
            <w:r w:rsidRPr="001223AC">
              <w:rPr>
                <w:rFonts w:cs="Arial"/>
                <w:sz w:val="18"/>
                <w:szCs w:val="18"/>
              </w:rPr>
              <w:t>86.7%</w:t>
            </w:r>
          </w:p>
        </w:tc>
        <w:tc>
          <w:tcPr>
            <w:tcW w:w="798" w:type="dxa"/>
          </w:tcPr>
          <w:p w14:paraId="04D0E523" w14:textId="77777777" w:rsidR="00B42F2B" w:rsidRPr="001223AC" w:rsidRDefault="00B42F2B" w:rsidP="00B42F2B">
            <w:pPr>
              <w:jc w:val="center"/>
              <w:rPr>
                <w:rFonts w:cs="Arial"/>
                <w:sz w:val="18"/>
                <w:szCs w:val="18"/>
              </w:rPr>
            </w:pPr>
            <w:r w:rsidRPr="001223AC">
              <w:rPr>
                <w:rFonts w:cs="Arial"/>
                <w:sz w:val="18"/>
                <w:szCs w:val="18"/>
              </w:rPr>
              <w:t>85.8%</w:t>
            </w:r>
          </w:p>
        </w:tc>
        <w:tc>
          <w:tcPr>
            <w:tcW w:w="798" w:type="dxa"/>
          </w:tcPr>
          <w:p w14:paraId="5CF3104F" w14:textId="77777777" w:rsidR="00B42F2B" w:rsidRPr="001223AC" w:rsidRDefault="00B42F2B" w:rsidP="00B42F2B">
            <w:pPr>
              <w:jc w:val="center"/>
              <w:rPr>
                <w:rFonts w:cs="Arial"/>
                <w:sz w:val="18"/>
                <w:szCs w:val="18"/>
              </w:rPr>
            </w:pPr>
            <w:r w:rsidRPr="001223AC">
              <w:rPr>
                <w:rFonts w:cs="Arial"/>
                <w:sz w:val="18"/>
                <w:szCs w:val="18"/>
              </w:rPr>
              <w:t>85.3%</w:t>
            </w:r>
          </w:p>
        </w:tc>
        <w:tc>
          <w:tcPr>
            <w:tcW w:w="798" w:type="dxa"/>
          </w:tcPr>
          <w:p w14:paraId="73C5810F" w14:textId="77777777" w:rsidR="00B42F2B" w:rsidRPr="001223AC" w:rsidRDefault="00B42F2B" w:rsidP="00B42F2B">
            <w:pPr>
              <w:jc w:val="center"/>
              <w:rPr>
                <w:rFonts w:cs="Arial"/>
                <w:sz w:val="18"/>
                <w:szCs w:val="18"/>
              </w:rPr>
            </w:pPr>
            <w:r w:rsidRPr="001223AC">
              <w:rPr>
                <w:rFonts w:cs="Arial"/>
                <w:sz w:val="18"/>
                <w:szCs w:val="18"/>
              </w:rPr>
              <w:t>85.2%</w:t>
            </w:r>
          </w:p>
        </w:tc>
        <w:tc>
          <w:tcPr>
            <w:tcW w:w="757" w:type="dxa"/>
          </w:tcPr>
          <w:p w14:paraId="7AF51EE5" w14:textId="77777777" w:rsidR="00B42F2B" w:rsidRPr="001223AC" w:rsidRDefault="00B42F2B" w:rsidP="00B42F2B">
            <w:pPr>
              <w:jc w:val="center"/>
              <w:rPr>
                <w:rFonts w:cs="Arial"/>
                <w:sz w:val="18"/>
                <w:szCs w:val="18"/>
              </w:rPr>
            </w:pPr>
            <w:r w:rsidRPr="001223AC">
              <w:rPr>
                <w:rFonts w:cs="Arial"/>
                <w:sz w:val="18"/>
                <w:szCs w:val="18"/>
              </w:rPr>
              <w:t>84.5%</w:t>
            </w:r>
          </w:p>
        </w:tc>
        <w:tc>
          <w:tcPr>
            <w:tcW w:w="722" w:type="dxa"/>
          </w:tcPr>
          <w:p w14:paraId="28AF4089" w14:textId="77777777" w:rsidR="00B42F2B" w:rsidRPr="001223AC" w:rsidRDefault="00B42F2B" w:rsidP="00B42F2B">
            <w:pPr>
              <w:jc w:val="center"/>
              <w:rPr>
                <w:rFonts w:cs="Arial"/>
                <w:sz w:val="18"/>
                <w:szCs w:val="18"/>
              </w:rPr>
            </w:pPr>
            <w:r w:rsidRPr="001223AC">
              <w:rPr>
                <w:rFonts w:cs="Arial"/>
                <w:sz w:val="18"/>
                <w:szCs w:val="18"/>
              </w:rPr>
              <w:t>84.2%</w:t>
            </w:r>
          </w:p>
        </w:tc>
        <w:tc>
          <w:tcPr>
            <w:tcW w:w="582" w:type="dxa"/>
          </w:tcPr>
          <w:p w14:paraId="664B9FA9" w14:textId="77777777" w:rsidR="00B42F2B" w:rsidRPr="001223AC" w:rsidRDefault="00B42F2B" w:rsidP="00B42F2B">
            <w:pPr>
              <w:jc w:val="center"/>
              <w:rPr>
                <w:rFonts w:cs="Arial"/>
                <w:sz w:val="18"/>
                <w:szCs w:val="18"/>
              </w:rPr>
            </w:pPr>
            <w:r w:rsidRPr="001223AC">
              <w:rPr>
                <w:rFonts w:cs="Arial"/>
                <w:sz w:val="18"/>
                <w:szCs w:val="18"/>
              </w:rPr>
              <w:t>84.3%</w:t>
            </w:r>
          </w:p>
        </w:tc>
      </w:tr>
      <w:tr w:rsidR="00B42F2B" w:rsidRPr="001223AC" w14:paraId="6DB595FE" w14:textId="77777777" w:rsidTr="00B42F2B">
        <w:trPr>
          <w:jc w:val="center"/>
        </w:trPr>
        <w:tc>
          <w:tcPr>
            <w:tcW w:w="1372" w:type="dxa"/>
            <w:shd w:val="pct15" w:color="auto" w:fill="auto"/>
            <w:vAlign w:val="bottom"/>
          </w:tcPr>
          <w:p w14:paraId="69C3DB33" w14:textId="77777777" w:rsidR="00B42F2B" w:rsidRPr="001223AC" w:rsidRDefault="00B42F2B" w:rsidP="00B42F2B">
            <w:pPr>
              <w:rPr>
                <w:rFonts w:cs="Arial"/>
                <w:sz w:val="18"/>
                <w:szCs w:val="18"/>
              </w:rPr>
            </w:pPr>
            <w:r w:rsidRPr="001223AC">
              <w:rPr>
                <w:rFonts w:cs="Arial"/>
                <w:sz w:val="18"/>
                <w:szCs w:val="18"/>
              </w:rPr>
              <w:t>Washington</w:t>
            </w:r>
          </w:p>
        </w:tc>
        <w:tc>
          <w:tcPr>
            <w:tcW w:w="925" w:type="dxa"/>
            <w:shd w:val="pct15" w:color="auto" w:fill="auto"/>
            <w:vAlign w:val="bottom"/>
          </w:tcPr>
          <w:p w14:paraId="19BD1E74" w14:textId="77777777" w:rsidR="00B42F2B" w:rsidRPr="001223AC" w:rsidRDefault="00B42F2B" w:rsidP="00B42F2B">
            <w:pPr>
              <w:jc w:val="center"/>
              <w:rPr>
                <w:rFonts w:cs="Arial"/>
                <w:sz w:val="18"/>
                <w:szCs w:val="18"/>
              </w:rPr>
            </w:pPr>
            <w:r w:rsidRPr="001223AC">
              <w:rPr>
                <w:rFonts w:cs="Arial"/>
                <w:sz w:val="18"/>
                <w:szCs w:val="18"/>
              </w:rPr>
              <w:t>86.3%</w:t>
            </w:r>
          </w:p>
        </w:tc>
        <w:tc>
          <w:tcPr>
            <w:tcW w:w="925" w:type="dxa"/>
            <w:shd w:val="pct15" w:color="auto" w:fill="auto"/>
            <w:vAlign w:val="bottom"/>
          </w:tcPr>
          <w:p w14:paraId="07460356" w14:textId="77777777" w:rsidR="00B42F2B" w:rsidRPr="001223AC" w:rsidRDefault="00B42F2B" w:rsidP="00B42F2B">
            <w:pPr>
              <w:jc w:val="center"/>
              <w:rPr>
                <w:rFonts w:cs="Arial"/>
                <w:sz w:val="18"/>
                <w:szCs w:val="18"/>
              </w:rPr>
            </w:pPr>
            <w:r w:rsidRPr="001223AC">
              <w:rPr>
                <w:rFonts w:cs="Arial"/>
                <w:sz w:val="18"/>
                <w:szCs w:val="18"/>
              </w:rPr>
              <w:t>85.5%</w:t>
            </w:r>
          </w:p>
        </w:tc>
        <w:tc>
          <w:tcPr>
            <w:tcW w:w="875" w:type="dxa"/>
            <w:shd w:val="pct15" w:color="auto" w:fill="auto"/>
          </w:tcPr>
          <w:p w14:paraId="23FAC0C0" w14:textId="77777777" w:rsidR="00B42F2B" w:rsidRPr="001223AC" w:rsidRDefault="00B42F2B" w:rsidP="00B42F2B">
            <w:pPr>
              <w:jc w:val="center"/>
              <w:rPr>
                <w:rFonts w:cs="Arial"/>
                <w:sz w:val="18"/>
                <w:szCs w:val="18"/>
              </w:rPr>
            </w:pPr>
            <w:r w:rsidRPr="001223AC">
              <w:rPr>
                <w:rFonts w:cs="Arial"/>
                <w:sz w:val="18"/>
                <w:szCs w:val="18"/>
              </w:rPr>
              <w:t>83.4%</w:t>
            </w:r>
          </w:p>
        </w:tc>
        <w:tc>
          <w:tcPr>
            <w:tcW w:w="798" w:type="dxa"/>
            <w:shd w:val="pct15" w:color="auto" w:fill="auto"/>
          </w:tcPr>
          <w:p w14:paraId="65C15CAA" w14:textId="77777777" w:rsidR="00B42F2B" w:rsidRPr="001223AC" w:rsidRDefault="00B42F2B" w:rsidP="00B42F2B">
            <w:pPr>
              <w:jc w:val="center"/>
              <w:rPr>
                <w:rFonts w:cs="Arial"/>
                <w:sz w:val="18"/>
                <w:szCs w:val="18"/>
              </w:rPr>
            </w:pPr>
            <w:r w:rsidRPr="001223AC">
              <w:rPr>
                <w:rFonts w:cs="Arial"/>
                <w:sz w:val="18"/>
                <w:szCs w:val="18"/>
              </w:rPr>
              <w:t>83.2%</w:t>
            </w:r>
          </w:p>
        </w:tc>
        <w:tc>
          <w:tcPr>
            <w:tcW w:w="798" w:type="dxa"/>
            <w:shd w:val="pct15" w:color="auto" w:fill="auto"/>
          </w:tcPr>
          <w:p w14:paraId="460CDA92" w14:textId="77777777" w:rsidR="00B42F2B" w:rsidRPr="001223AC" w:rsidRDefault="00B42F2B" w:rsidP="00B42F2B">
            <w:pPr>
              <w:jc w:val="center"/>
              <w:rPr>
                <w:rFonts w:cs="Arial"/>
                <w:sz w:val="18"/>
                <w:szCs w:val="18"/>
              </w:rPr>
            </w:pPr>
            <w:r w:rsidRPr="001223AC">
              <w:rPr>
                <w:rFonts w:cs="Arial"/>
                <w:sz w:val="18"/>
                <w:szCs w:val="18"/>
              </w:rPr>
              <w:t>83.0%</w:t>
            </w:r>
          </w:p>
        </w:tc>
        <w:tc>
          <w:tcPr>
            <w:tcW w:w="798" w:type="dxa"/>
            <w:shd w:val="pct15" w:color="auto" w:fill="auto"/>
          </w:tcPr>
          <w:p w14:paraId="7629F3B2" w14:textId="77777777" w:rsidR="00B42F2B" w:rsidRPr="001223AC" w:rsidRDefault="00B42F2B" w:rsidP="00B42F2B">
            <w:pPr>
              <w:jc w:val="center"/>
              <w:rPr>
                <w:rFonts w:cs="Arial"/>
                <w:sz w:val="18"/>
                <w:szCs w:val="18"/>
              </w:rPr>
            </w:pPr>
            <w:r w:rsidRPr="001223AC">
              <w:rPr>
                <w:rFonts w:cs="Arial"/>
                <w:sz w:val="18"/>
                <w:szCs w:val="18"/>
              </w:rPr>
              <w:t>82.6%</w:t>
            </w:r>
          </w:p>
        </w:tc>
        <w:tc>
          <w:tcPr>
            <w:tcW w:w="798" w:type="dxa"/>
            <w:shd w:val="pct15" w:color="auto" w:fill="auto"/>
          </w:tcPr>
          <w:p w14:paraId="4276D9A4" w14:textId="77777777" w:rsidR="00B42F2B" w:rsidRPr="001223AC" w:rsidRDefault="00B42F2B" w:rsidP="00B42F2B">
            <w:pPr>
              <w:jc w:val="center"/>
              <w:rPr>
                <w:rFonts w:cs="Arial"/>
                <w:sz w:val="18"/>
                <w:szCs w:val="18"/>
              </w:rPr>
            </w:pPr>
            <w:r w:rsidRPr="001223AC">
              <w:rPr>
                <w:rFonts w:cs="Arial"/>
                <w:sz w:val="18"/>
                <w:szCs w:val="18"/>
              </w:rPr>
              <w:t>80.3%</w:t>
            </w:r>
          </w:p>
        </w:tc>
        <w:tc>
          <w:tcPr>
            <w:tcW w:w="757" w:type="dxa"/>
            <w:shd w:val="pct15" w:color="auto" w:fill="auto"/>
          </w:tcPr>
          <w:p w14:paraId="64884AA8" w14:textId="77777777" w:rsidR="00B42F2B" w:rsidRPr="001223AC" w:rsidRDefault="00B42F2B" w:rsidP="00B42F2B">
            <w:pPr>
              <w:jc w:val="center"/>
              <w:rPr>
                <w:rFonts w:cs="Arial"/>
                <w:sz w:val="18"/>
                <w:szCs w:val="18"/>
              </w:rPr>
            </w:pPr>
            <w:r w:rsidRPr="001223AC">
              <w:rPr>
                <w:rFonts w:cs="Arial"/>
                <w:sz w:val="18"/>
                <w:szCs w:val="18"/>
              </w:rPr>
              <w:t>80.1%</w:t>
            </w:r>
          </w:p>
        </w:tc>
        <w:tc>
          <w:tcPr>
            <w:tcW w:w="722" w:type="dxa"/>
            <w:shd w:val="pct15" w:color="auto" w:fill="auto"/>
          </w:tcPr>
          <w:p w14:paraId="5BA50651" w14:textId="77777777" w:rsidR="00B42F2B" w:rsidRPr="001223AC" w:rsidRDefault="00B42F2B" w:rsidP="00B42F2B">
            <w:pPr>
              <w:jc w:val="center"/>
              <w:rPr>
                <w:rFonts w:cs="Arial"/>
                <w:sz w:val="18"/>
                <w:szCs w:val="18"/>
              </w:rPr>
            </w:pPr>
            <w:r w:rsidRPr="001223AC">
              <w:rPr>
                <w:rFonts w:cs="Arial"/>
                <w:sz w:val="18"/>
                <w:szCs w:val="18"/>
              </w:rPr>
              <w:t>80.5%</w:t>
            </w:r>
          </w:p>
        </w:tc>
        <w:tc>
          <w:tcPr>
            <w:tcW w:w="582" w:type="dxa"/>
            <w:shd w:val="pct15" w:color="auto" w:fill="auto"/>
          </w:tcPr>
          <w:p w14:paraId="64F031DB" w14:textId="77777777" w:rsidR="00B42F2B" w:rsidRPr="001223AC" w:rsidRDefault="00B42F2B" w:rsidP="00B42F2B">
            <w:pPr>
              <w:jc w:val="center"/>
              <w:rPr>
                <w:rFonts w:cs="Arial"/>
                <w:sz w:val="18"/>
                <w:szCs w:val="18"/>
              </w:rPr>
            </w:pPr>
            <w:r w:rsidRPr="001223AC">
              <w:rPr>
                <w:rFonts w:cs="Arial"/>
                <w:sz w:val="18"/>
                <w:szCs w:val="18"/>
              </w:rPr>
              <w:t>80.9%</w:t>
            </w:r>
          </w:p>
        </w:tc>
      </w:tr>
      <w:tr w:rsidR="00B42F2B" w:rsidRPr="001223AC" w14:paraId="0BD4F7B0" w14:textId="77777777" w:rsidTr="00B42F2B">
        <w:trPr>
          <w:jc w:val="center"/>
        </w:trPr>
        <w:tc>
          <w:tcPr>
            <w:tcW w:w="1372" w:type="dxa"/>
            <w:vAlign w:val="bottom"/>
          </w:tcPr>
          <w:p w14:paraId="6A481FA4" w14:textId="77777777" w:rsidR="00B42F2B" w:rsidRPr="001223AC" w:rsidRDefault="00B42F2B" w:rsidP="00B42F2B">
            <w:pPr>
              <w:rPr>
                <w:rFonts w:cs="Arial"/>
                <w:sz w:val="18"/>
                <w:szCs w:val="18"/>
              </w:rPr>
            </w:pPr>
            <w:r w:rsidRPr="001223AC">
              <w:rPr>
                <w:rFonts w:cs="Arial"/>
                <w:sz w:val="18"/>
                <w:szCs w:val="18"/>
              </w:rPr>
              <w:t>Illinois</w:t>
            </w:r>
          </w:p>
        </w:tc>
        <w:tc>
          <w:tcPr>
            <w:tcW w:w="925" w:type="dxa"/>
            <w:vAlign w:val="bottom"/>
          </w:tcPr>
          <w:p w14:paraId="6BF2C5D8" w14:textId="77777777" w:rsidR="00B42F2B" w:rsidRPr="001223AC" w:rsidRDefault="00B42F2B" w:rsidP="00B42F2B">
            <w:pPr>
              <w:jc w:val="center"/>
              <w:rPr>
                <w:rFonts w:cs="Arial"/>
                <w:sz w:val="18"/>
                <w:szCs w:val="18"/>
              </w:rPr>
            </w:pPr>
            <w:r w:rsidRPr="001223AC">
              <w:rPr>
                <w:rFonts w:cs="Arial"/>
                <w:sz w:val="18"/>
                <w:szCs w:val="18"/>
              </w:rPr>
              <w:t>78.0%</w:t>
            </w:r>
          </w:p>
        </w:tc>
        <w:tc>
          <w:tcPr>
            <w:tcW w:w="925" w:type="dxa"/>
            <w:vAlign w:val="bottom"/>
          </w:tcPr>
          <w:p w14:paraId="5B9CE58E" w14:textId="77777777" w:rsidR="00B42F2B" w:rsidRPr="001223AC" w:rsidRDefault="00B42F2B" w:rsidP="00B42F2B">
            <w:pPr>
              <w:jc w:val="center"/>
              <w:rPr>
                <w:rFonts w:cs="Arial"/>
                <w:sz w:val="18"/>
                <w:szCs w:val="18"/>
              </w:rPr>
            </w:pPr>
            <w:r w:rsidRPr="001223AC">
              <w:rPr>
                <w:rFonts w:cs="Arial"/>
                <w:sz w:val="18"/>
                <w:szCs w:val="18"/>
              </w:rPr>
              <w:t>77.9%</w:t>
            </w:r>
          </w:p>
        </w:tc>
        <w:tc>
          <w:tcPr>
            <w:tcW w:w="875" w:type="dxa"/>
          </w:tcPr>
          <w:p w14:paraId="2D1F5C9E" w14:textId="77777777" w:rsidR="00B42F2B" w:rsidRPr="001223AC" w:rsidRDefault="00B42F2B" w:rsidP="00B42F2B">
            <w:pPr>
              <w:jc w:val="center"/>
              <w:rPr>
                <w:rFonts w:cs="Arial"/>
                <w:sz w:val="18"/>
                <w:szCs w:val="18"/>
              </w:rPr>
            </w:pPr>
            <w:r w:rsidRPr="001223AC">
              <w:rPr>
                <w:rFonts w:cs="Arial"/>
                <w:sz w:val="18"/>
                <w:szCs w:val="18"/>
              </w:rPr>
              <w:t>78.1%</w:t>
            </w:r>
          </w:p>
        </w:tc>
        <w:tc>
          <w:tcPr>
            <w:tcW w:w="798" w:type="dxa"/>
          </w:tcPr>
          <w:p w14:paraId="2730DFAF" w14:textId="77777777" w:rsidR="00B42F2B" w:rsidRPr="001223AC" w:rsidRDefault="00B42F2B" w:rsidP="00B42F2B">
            <w:pPr>
              <w:jc w:val="center"/>
              <w:rPr>
                <w:rFonts w:cs="Arial"/>
                <w:sz w:val="18"/>
                <w:szCs w:val="18"/>
              </w:rPr>
            </w:pPr>
            <w:r w:rsidRPr="001223AC">
              <w:rPr>
                <w:rFonts w:cs="Arial"/>
                <w:sz w:val="18"/>
                <w:szCs w:val="18"/>
              </w:rPr>
              <w:t>78.9%</w:t>
            </w:r>
          </w:p>
        </w:tc>
        <w:tc>
          <w:tcPr>
            <w:tcW w:w="798" w:type="dxa"/>
          </w:tcPr>
          <w:p w14:paraId="1901FE97" w14:textId="77777777" w:rsidR="00B42F2B" w:rsidRPr="001223AC" w:rsidRDefault="00B42F2B" w:rsidP="00B42F2B">
            <w:pPr>
              <w:jc w:val="center"/>
              <w:rPr>
                <w:rFonts w:cs="Arial"/>
                <w:sz w:val="18"/>
                <w:szCs w:val="18"/>
              </w:rPr>
            </w:pPr>
            <w:r w:rsidRPr="001223AC">
              <w:rPr>
                <w:rFonts w:cs="Arial"/>
                <w:sz w:val="18"/>
                <w:szCs w:val="18"/>
              </w:rPr>
              <w:t>78.6%</w:t>
            </w:r>
          </w:p>
        </w:tc>
        <w:tc>
          <w:tcPr>
            <w:tcW w:w="798" w:type="dxa"/>
          </w:tcPr>
          <w:p w14:paraId="7C909B4D" w14:textId="77777777" w:rsidR="00B42F2B" w:rsidRPr="001223AC" w:rsidRDefault="00B42F2B" w:rsidP="00B42F2B">
            <w:pPr>
              <w:jc w:val="center"/>
              <w:rPr>
                <w:rFonts w:cs="Arial"/>
                <w:sz w:val="18"/>
                <w:szCs w:val="18"/>
              </w:rPr>
            </w:pPr>
            <w:r w:rsidRPr="001223AC">
              <w:rPr>
                <w:rFonts w:cs="Arial"/>
                <w:sz w:val="18"/>
                <w:szCs w:val="18"/>
              </w:rPr>
              <w:t>78.0%</w:t>
            </w:r>
          </w:p>
        </w:tc>
        <w:tc>
          <w:tcPr>
            <w:tcW w:w="798" w:type="dxa"/>
          </w:tcPr>
          <w:p w14:paraId="52A2DEDE" w14:textId="77777777" w:rsidR="00B42F2B" w:rsidRPr="001223AC" w:rsidRDefault="00B42F2B" w:rsidP="00B42F2B">
            <w:pPr>
              <w:jc w:val="center"/>
              <w:rPr>
                <w:rFonts w:cs="Arial"/>
                <w:sz w:val="18"/>
                <w:szCs w:val="18"/>
              </w:rPr>
            </w:pPr>
            <w:r w:rsidRPr="001223AC">
              <w:rPr>
                <w:rFonts w:cs="Arial"/>
                <w:sz w:val="18"/>
                <w:szCs w:val="18"/>
              </w:rPr>
              <w:t>78.3%</w:t>
            </w:r>
          </w:p>
        </w:tc>
        <w:tc>
          <w:tcPr>
            <w:tcW w:w="757" w:type="dxa"/>
          </w:tcPr>
          <w:p w14:paraId="4D4CDB44" w14:textId="77777777" w:rsidR="00B42F2B" w:rsidRPr="001223AC" w:rsidRDefault="00B42F2B" w:rsidP="00B42F2B">
            <w:pPr>
              <w:jc w:val="center"/>
              <w:rPr>
                <w:rFonts w:cs="Arial"/>
                <w:sz w:val="18"/>
                <w:szCs w:val="18"/>
              </w:rPr>
            </w:pPr>
            <w:r w:rsidRPr="001223AC">
              <w:rPr>
                <w:rFonts w:cs="Arial"/>
                <w:sz w:val="18"/>
                <w:szCs w:val="18"/>
              </w:rPr>
              <w:t>77.8%</w:t>
            </w:r>
          </w:p>
        </w:tc>
        <w:tc>
          <w:tcPr>
            <w:tcW w:w="722" w:type="dxa"/>
          </w:tcPr>
          <w:p w14:paraId="188499C5" w14:textId="77777777" w:rsidR="00B42F2B" w:rsidRPr="001223AC" w:rsidRDefault="00B42F2B" w:rsidP="00B42F2B">
            <w:pPr>
              <w:jc w:val="center"/>
              <w:rPr>
                <w:rFonts w:cs="Arial"/>
                <w:sz w:val="18"/>
                <w:szCs w:val="18"/>
              </w:rPr>
            </w:pPr>
            <w:r w:rsidRPr="001223AC">
              <w:rPr>
                <w:rFonts w:cs="Arial"/>
                <w:sz w:val="18"/>
                <w:szCs w:val="18"/>
              </w:rPr>
              <w:t>77.5%</w:t>
            </w:r>
          </w:p>
        </w:tc>
        <w:tc>
          <w:tcPr>
            <w:tcW w:w="582" w:type="dxa"/>
          </w:tcPr>
          <w:p w14:paraId="320BDAC8" w14:textId="77777777" w:rsidR="00B42F2B" w:rsidRPr="001223AC" w:rsidRDefault="00B42F2B" w:rsidP="00B42F2B">
            <w:pPr>
              <w:jc w:val="center"/>
              <w:rPr>
                <w:rFonts w:cs="Arial"/>
                <w:sz w:val="18"/>
                <w:szCs w:val="18"/>
              </w:rPr>
            </w:pPr>
            <w:r w:rsidRPr="001223AC">
              <w:rPr>
                <w:rFonts w:cs="Arial"/>
                <w:sz w:val="18"/>
                <w:szCs w:val="18"/>
              </w:rPr>
              <w:t>77.3%</w:t>
            </w:r>
          </w:p>
        </w:tc>
      </w:tr>
      <w:tr w:rsidR="00B42F2B" w:rsidRPr="001223AC" w14:paraId="5DA36AAF" w14:textId="77777777" w:rsidTr="00B42F2B">
        <w:trPr>
          <w:jc w:val="center"/>
        </w:trPr>
        <w:tc>
          <w:tcPr>
            <w:tcW w:w="1372" w:type="dxa"/>
            <w:vAlign w:val="bottom"/>
          </w:tcPr>
          <w:p w14:paraId="042EC3ED" w14:textId="77777777" w:rsidR="00B42F2B" w:rsidRPr="001223AC" w:rsidRDefault="00B42F2B" w:rsidP="00B42F2B">
            <w:pPr>
              <w:rPr>
                <w:rFonts w:cs="Arial"/>
                <w:sz w:val="18"/>
                <w:szCs w:val="18"/>
              </w:rPr>
            </w:pPr>
            <w:r w:rsidRPr="001223AC">
              <w:rPr>
                <w:rFonts w:cs="Arial"/>
                <w:sz w:val="18"/>
                <w:szCs w:val="18"/>
              </w:rPr>
              <w:t>Texas</w:t>
            </w:r>
          </w:p>
        </w:tc>
        <w:tc>
          <w:tcPr>
            <w:tcW w:w="925" w:type="dxa"/>
            <w:vAlign w:val="bottom"/>
          </w:tcPr>
          <w:p w14:paraId="111F1C4A" w14:textId="77777777" w:rsidR="00B42F2B" w:rsidRPr="001223AC" w:rsidRDefault="00B42F2B" w:rsidP="00B42F2B">
            <w:pPr>
              <w:jc w:val="center"/>
              <w:rPr>
                <w:rFonts w:cs="Arial"/>
                <w:sz w:val="18"/>
                <w:szCs w:val="18"/>
              </w:rPr>
            </w:pPr>
            <w:r w:rsidRPr="001223AC">
              <w:rPr>
                <w:rFonts w:cs="Arial"/>
                <w:sz w:val="18"/>
                <w:szCs w:val="18"/>
              </w:rPr>
              <w:t>73.0%</w:t>
            </w:r>
          </w:p>
        </w:tc>
        <w:tc>
          <w:tcPr>
            <w:tcW w:w="925" w:type="dxa"/>
            <w:vAlign w:val="bottom"/>
          </w:tcPr>
          <w:p w14:paraId="718CF768" w14:textId="77777777" w:rsidR="00B42F2B" w:rsidRPr="001223AC" w:rsidRDefault="00B42F2B" w:rsidP="00B42F2B">
            <w:pPr>
              <w:jc w:val="center"/>
              <w:rPr>
                <w:rFonts w:cs="Arial"/>
                <w:sz w:val="18"/>
                <w:szCs w:val="18"/>
              </w:rPr>
            </w:pPr>
            <w:r w:rsidRPr="001223AC">
              <w:rPr>
                <w:rFonts w:cs="Arial"/>
                <w:sz w:val="18"/>
                <w:szCs w:val="18"/>
              </w:rPr>
              <w:t>71.9%</w:t>
            </w:r>
          </w:p>
        </w:tc>
        <w:tc>
          <w:tcPr>
            <w:tcW w:w="875" w:type="dxa"/>
          </w:tcPr>
          <w:p w14:paraId="47FC3748" w14:textId="77777777" w:rsidR="00B42F2B" w:rsidRPr="001223AC" w:rsidRDefault="00B42F2B" w:rsidP="00B42F2B">
            <w:pPr>
              <w:jc w:val="center"/>
              <w:rPr>
                <w:rFonts w:cs="Arial"/>
                <w:sz w:val="18"/>
                <w:szCs w:val="18"/>
              </w:rPr>
            </w:pPr>
            <w:r w:rsidRPr="001223AC">
              <w:rPr>
                <w:rFonts w:cs="Arial"/>
                <w:sz w:val="18"/>
                <w:szCs w:val="18"/>
              </w:rPr>
              <w:t>71.6%</w:t>
            </w:r>
          </w:p>
        </w:tc>
        <w:tc>
          <w:tcPr>
            <w:tcW w:w="798" w:type="dxa"/>
          </w:tcPr>
          <w:p w14:paraId="31E1B194" w14:textId="77777777" w:rsidR="00B42F2B" w:rsidRPr="001223AC" w:rsidRDefault="00B42F2B" w:rsidP="00B42F2B">
            <w:pPr>
              <w:jc w:val="center"/>
              <w:rPr>
                <w:rFonts w:cs="Arial"/>
                <w:sz w:val="18"/>
                <w:szCs w:val="18"/>
              </w:rPr>
            </w:pPr>
            <w:r w:rsidRPr="001223AC">
              <w:rPr>
                <w:rFonts w:cs="Arial"/>
                <w:sz w:val="18"/>
                <w:szCs w:val="18"/>
              </w:rPr>
              <w:t>73.2%</w:t>
            </w:r>
          </w:p>
        </w:tc>
        <w:tc>
          <w:tcPr>
            <w:tcW w:w="798" w:type="dxa"/>
          </w:tcPr>
          <w:p w14:paraId="3A664E3D" w14:textId="77777777" w:rsidR="00B42F2B" w:rsidRPr="001223AC" w:rsidRDefault="00B42F2B" w:rsidP="00B42F2B">
            <w:pPr>
              <w:jc w:val="center"/>
              <w:rPr>
                <w:rFonts w:cs="Arial"/>
                <w:sz w:val="18"/>
                <w:szCs w:val="18"/>
              </w:rPr>
            </w:pPr>
            <w:r w:rsidRPr="001223AC">
              <w:rPr>
                <w:rFonts w:cs="Arial"/>
                <w:sz w:val="18"/>
                <w:szCs w:val="18"/>
              </w:rPr>
              <w:t>73.4%</w:t>
            </w:r>
          </w:p>
        </w:tc>
        <w:tc>
          <w:tcPr>
            <w:tcW w:w="798" w:type="dxa"/>
          </w:tcPr>
          <w:p w14:paraId="01D43AFA" w14:textId="77777777" w:rsidR="00B42F2B" w:rsidRPr="001223AC" w:rsidRDefault="00B42F2B" w:rsidP="00B42F2B">
            <w:pPr>
              <w:jc w:val="center"/>
              <w:rPr>
                <w:rFonts w:cs="Arial"/>
                <w:sz w:val="18"/>
                <w:szCs w:val="18"/>
              </w:rPr>
            </w:pPr>
            <w:r w:rsidRPr="001223AC">
              <w:rPr>
                <w:rFonts w:cs="Arial"/>
                <w:sz w:val="18"/>
                <w:szCs w:val="18"/>
              </w:rPr>
              <w:t>71.2%</w:t>
            </w:r>
          </w:p>
        </w:tc>
        <w:tc>
          <w:tcPr>
            <w:tcW w:w="798" w:type="dxa"/>
          </w:tcPr>
          <w:p w14:paraId="45E740DE" w14:textId="77777777" w:rsidR="00B42F2B" w:rsidRPr="001223AC" w:rsidRDefault="00B42F2B" w:rsidP="00B42F2B">
            <w:pPr>
              <w:jc w:val="center"/>
              <w:rPr>
                <w:rFonts w:cs="Arial"/>
                <w:sz w:val="18"/>
                <w:szCs w:val="18"/>
              </w:rPr>
            </w:pPr>
            <w:r w:rsidRPr="001223AC">
              <w:rPr>
                <w:rFonts w:cs="Arial"/>
                <w:sz w:val="18"/>
                <w:szCs w:val="18"/>
              </w:rPr>
              <w:t>71.1%</w:t>
            </w:r>
          </w:p>
        </w:tc>
        <w:tc>
          <w:tcPr>
            <w:tcW w:w="757" w:type="dxa"/>
          </w:tcPr>
          <w:p w14:paraId="53B05965" w14:textId="77777777" w:rsidR="00B42F2B" w:rsidRPr="001223AC" w:rsidRDefault="00B42F2B" w:rsidP="00B42F2B">
            <w:pPr>
              <w:jc w:val="center"/>
              <w:rPr>
                <w:rFonts w:cs="Arial"/>
                <w:sz w:val="18"/>
                <w:szCs w:val="18"/>
              </w:rPr>
            </w:pPr>
            <w:r w:rsidRPr="001223AC">
              <w:rPr>
                <w:rFonts w:cs="Arial"/>
                <w:sz w:val="18"/>
                <w:szCs w:val="18"/>
              </w:rPr>
              <w:t>71.9%</w:t>
            </w:r>
          </w:p>
        </w:tc>
        <w:tc>
          <w:tcPr>
            <w:tcW w:w="722" w:type="dxa"/>
          </w:tcPr>
          <w:p w14:paraId="2F6252E1" w14:textId="77777777" w:rsidR="00B42F2B" w:rsidRPr="001223AC" w:rsidRDefault="00B42F2B" w:rsidP="00B42F2B">
            <w:pPr>
              <w:jc w:val="center"/>
              <w:rPr>
                <w:rFonts w:cs="Arial"/>
                <w:sz w:val="18"/>
                <w:szCs w:val="18"/>
              </w:rPr>
            </w:pPr>
            <w:r w:rsidRPr="001223AC">
              <w:rPr>
                <w:rFonts w:cs="Arial"/>
                <w:sz w:val="18"/>
                <w:szCs w:val="18"/>
              </w:rPr>
              <w:t>72.2%</w:t>
            </w:r>
          </w:p>
        </w:tc>
        <w:tc>
          <w:tcPr>
            <w:tcW w:w="582" w:type="dxa"/>
          </w:tcPr>
          <w:p w14:paraId="6A125DBF" w14:textId="77777777" w:rsidR="00B42F2B" w:rsidRPr="001223AC" w:rsidRDefault="00B42F2B" w:rsidP="00B42F2B">
            <w:pPr>
              <w:jc w:val="center"/>
              <w:rPr>
                <w:rFonts w:cs="Arial"/>
                <w:sz w:val="18"/>
                <w:szCs w:val="18"/>
              </w:rPr>
            </w:pPr>
            <w:r w:rsidRPr="001223AC">
              <w:rPr>
                <w:rFonts w:cs="Arial"/>
                <w:sz w:val="18"/>
                <w:szCs w:val="18"/>
              </w:rPr>
              <w:t>70.6%</w:t>
            </w:r>
          </w:p>
        </w:tc>
      </w:tr>
    </w:tbl>
    <w:p w14:paraId="6140B6E8" w14:textId="77777777" w:rsidR="00B42F2B" w:rsidRPr="00B42F2B" w:rsidRDefault="00B42F2B" w:rsidP="00B42F2B">
      <w:pPr>
        <w:rPr>
          <w:rFonts w:cs="Arial"/>
        </w:rPr>
      </w:pPr>
    </w:p>
    <w:p w14:paraId="0AB5BB60" w14:textId="77777777" w:rsidR="00B42F2B" w:rsidRPr="001223AC" w:rsidRDefault="00B42F2B" w:rsidP="00B42F2B">
      <w:pPr>
        <w:rPr>
          <w:rFonts w:cs="Arial"/>
          <w:sz w:val="18"/>
        </w:rPr>
      </w:pPr>
      <w:r w:rsidRPr="001223AC">
        <w:rPr>
          <w:rFonts w:cs="Arial"/>
          <w:sz w:val="18"/>
        </w:rPr>
        <w:t xml:space="preserve">Sources:  </w:t>
      </w:r>
    </w:p>
    <w:p w14:paraId="78E20439" w14:textId="26C489A0" w:rsidR="00B42F2B" w:rsidRPr="001223AC" w:rsidRDefault="00B42F2B" w:rsidP="001D03A8">
      <w:pPr>
        <w:widowControl/>
        <w:numPr>
          <w:ilvl w:val="0"/>
          <w:numId w:val="3"/>
        </w:numPr>
        <w:spacing w:before="0" w:after="0"/>
        <w:rPr>
          <w:rFonts w:cs="Arial"/>
          <w:b/>
          <w:sz w:val="18"/>
        </w:rPr>
      </w:pPr>
      <w:r w:rsidRPr="001223AC">
        <w:rPr>
          <w:rFonts w:cs="Arial"/>
          <w:sz w:val="18"/>
        </w:rPr>
        <w:t>Population estimates for July</w:t>
      </w:r>
      <w:r w:rsidR="00E11FB9">
        <w:rPr>
          <w:rFonts w:cs="Arial"/>
          <w:sz w:val="18"/>
        </w:rPr>
        <w:t xml:space="preserve"> </w:t>
      </w:r>
      <w:r w:rsidRPr="001223AC">
        <w:rPr>
          <w:rFonts w:cs="Arial"/>
          <w:sz w:val="18"/>
        </w:rPr>
        <w:t>1, 2014 released December 2014 by the U.S. Census Bureau, Population Division.</w:t>
      </w:r>
    </w:p>
    <w:p w14:paraId="11C9014F" w14:textId="77777777" w:rsidR="00B42F2B" w:rsidRPr="001223AC" w:rsidRDefault="00B42F2B" w:rsidP="001D03A8">
      <w:pPr>
        <w:widowControl/>
        <w:numPr>
          <w:ilvl w:val="0"/>
          <w:numId w:val="3"/>
        </w:numPr>
        <w:spacing w:before="0" w:after="0"/>
        <w:rPr>
          <w:rFonts w:cs="Arial"/>
          <w:b/>
          <w:sz w:val="18"/>
        </w:rPr>
      </w:pPr>
      <w:r w:rsidRPr="001223AC">
        <w:rPr>
          <w:rFonts w:cs="Arial"/>
          <w:sz w:val="18"/>
        </w:rPr>
        <w:t>Utilization rates for 2006 through 2008: “Nursing Home Data Compendium” by CMS, 2009 Edition.</w:t>
      </w:r>
    </w:p>
    <w:p w14:paraId="6743FE40" w14:textId="77777777" w:rsidR="00B42F2B" w:rsidRPr="001223AC" w:rsidRDefault="00B42F2B" w:rsidP="001D03A8">
      <w:pPr>
        <w:widowControl/>
        <w:numPr>
          <w:ilvl w:val="0"/>
          <w:numId w:val="3"/>
        </w:numPr>
        <w:spacing w:before="0" w:after="0"/>
        <w:rPr>
          <w:rFonts w:cs="Arial"/>
          <w:b/>
          <w:sz w:val="18"/>
        </w:rPr>
      </w:pPr>
      <w:r w:rsidRPr="001223AC">
        <w:rPr>
          <w:rFonts w:cs="Arial"/>
          <w:sz w:val="18"/>
        </w:rPr>
        <w:t>Occupancy rates for 2009, 2010, 2011, 2012, 2013, and 2014 are as of June of each year and as of March for 2015:  “OSCAR Data Report:  Nursing Facility Operational Characteristics Report” by American Health Care Association Research Department, June 2009, 2010, 2011, 2012, 2013, 2014 and March 2015 Updates.</w:t>
      </w:r>
    </w:p>
    <w:p w14:paraId="367DD330" w14:textId="77777777" w:rsidR="00B42F2B" w:rsidRPr="00B42F2B" w:rsidRDefault="00B42F2B" w:rsidP="00B42F2B">
      <w:pPr>
        <w:rPr>
          <w:rFonts w:cs="Arial"/>
        </w:rPr>
      </w:pPr>
    </w:p>
    <w:p w14:paraId="141BAE88" w14:textId="0FC24D5F" w:rsidR="00B42F2B" w:rsidRPr="00B42F2B" w:rsidRDefault="00B42F2B" w:rsidP="001223AC">
      <w:pPr>
        <w:spacing w:before="0" w:after="0"/>
        <w:rPr>
          <w:rFonts w:cs="Arial"/>
          <w:b/>
        </w:rPr>
      </w:pPr>
      <w:r w:rsidRPr="00B42F2B">
        <w:rPr>
          <w:rFonts w:cs="Arial"/>
        </w:rPr>
        <w:br w:type="page"/>
      </w:r>
      <w:r w:rsidRPr="00B42F2B">
        <w:rPr>
          <w:rFonts w:cs="Arial"/>
        </w:rPr>
        <w:lastRenderedPageBreak/>
        <w:t>We also analyzed Washington’s nursing facility capacity on a per capita basis compared with similar states.  Table 2.6 shows the number of nursing facility beds per 1000 population age 65 and older and age 85</w:t>
      </w:r>
      <w:r w:rsidRPr="00B42F2B">
        <w:rPr>
          <w:rStyle w:val="FootnoteReference"/>
          <w:rFonts w:cs="Arial"/>
        </w:rPr>
        <w:footnoteReference w:id="4"/>
      </w:r>
      <w:r w:rsidRPr="00B42F2B">
        <w:rPr>
          <w:rFonts w:cs="Arial"/>
        </w:rPr>
        <w:t xml:space="preserve"> and older in 201</w:t>
      </w:r>
      <w:r w:rsidR="00501BAE">
        <w:rPr>
          <w:rFonts w:cs="Arial"/>
        </w:rPr>
        <w:t>5</w:t>
      </w:r>
      <w:r w:rsidRPr="00B42F2B">
        <w:rPr>
          <w:rFonts w:cs="Arial"/>
        </w:rPr>
        <w:t xml:space="preserve"> for states in CMS Region X.  Of the four states in Region X, Washington had more beds per capita than all but Idaho.       </w:t>
      </w:r>
      <w:r w:rsidRPr="00B42F2B">
        <w:rPr>
          <w:rFonts w:cs="Arial"/>
          <w:b/>
        </w:rPr>
        <w:t xml:space="preserve"> </w:t>
      </w:r>
    </w:p>
    <w:p w14:paraId="050365EF" w14:textId="77777777" w:rsidR="00B42F2B" w:rsidRPr="00B42F2B" w:rsidRDefault="00B42F2B" w:rsidP="001223AC">
      <w:pPr>
        <w:spacing w:before="0" w:after="0"/>
        <w:rPr>
          <w:rFonts w:cs="Arial"/>
          <w:b/>
        </w:rPr>
      </w:pPr>
    </w:p>
    <w:p w14:paraId="6E6A4316" w14:textId="77777777" w:rsidR="00B42F2B" w:rsidRPr="00B42F2B" w:rsidRDefault="00B42F2B" w:rsidP="001223AC">
      <w:pPr>
        <w:spacing w:before="0" w:after="0"/>
        <w:ind w:left="1100" w:hanging="1100"/>
        <w:rPr>
          <w:rFonts w:cs="Arial"/>
          <w:b/>
        </w:rPr>
      </w:pPr>
      <w:r w:rsidRPr="00B42F2B">
        <w:rPr>
          <w:rFonts w:cs="Arial"/>
          <w:b/>
        </w:rPr>
        <w:t>Table 2.6:  Nursing Facility Beds per Capita for Senior Population for States in</w:t>
      </w:r>
    </w:p>
    <w:p w14:paraId="7D9C84D8" w14:textId="2C1EF3DB" w:rsidR="00B42F2B" w:rsidRPr="00B42F2B" w:rsidRDefault="00B42F2B" w:rsidP="001223AC">
      <w:pPr>
        <w:spacing w:before="0" w:after="0"/>
        <w:ind w:left="1100" w:hanging="20"/>
        <w:rPr>
          <w:rFonts w:cs="Arial"/>
          <w:b/>
        </w:rPr>
      </w:pPr>
      <w:r w:rsidRPr="00B42F2B">
        <w:rPr>
          <w:rFonts w:cs="Arial"/>
          <w:b/>
        </w:rPr>
        <w:t>CMS Region X – 201</w:t>
      </w:r>
      <w:r w:rsidR="00501BAE">
        <w:rPr>
          <w:rFonts w:cs="Arial"/>
          <w:b/>
        </w:rPr>
        <w:t>5</w:t>
      </w:r>
    </w:p>
    <w:p w14:paraId="78A15B5C" w14:textId="77777777" w:rsidR="00B42F2B" w:rsidRPr="00B42F2B" w:rsidRDefault="00B42F2B" w:rsidP="00B42F2B">
      <w:pPr>
        <w:rPr>
          <w:rFonts w:cs="Arial"/>
        </w:rPr>
      </w:pPr>
    </w:p>
    <w:tbl>
      <w:tblPr>
        <w:tblW w:w="829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40"/>
        <w:gridCol w:w="2430"/>
      </w:tblGrid>
      <w:tr w:rsidR="00B42F2B" w:rsidRPr="001223AC" w14:paraId="42405204" w14:textId="77777777" w:rsidTr="00B42F2B">
        <w:tc>
          <w:tcPr>
            <w:tcW w:w="3528" w:type="dxa"/>
            <w:vAlign w:val="bottom"/>
          </w:tcPr>
          <w:p w14:paraId="613AD33A" w14:textId="77777777" w:rsidR="00B42F2B" w:rsidRPr="001223AC" w:rsidRDefault="00B42F2B" w:rsidP="00B42F2B">
            <w:pPr>
              <w:rPr>
                <w:rFonts w:cs="Arial"/>
                <w:b/>
                <w:sz w:val="20"/>
              </w:rPr>
            </w:pPr>
            <w:r w:rsidRPr="001223AC">
              <w:rPr>
                <w:rFonts w:cs="Arial"/>
                <w:b/>
                <w:sz w:val="20"/>
              </w:rPr>
              <w:t>State</w:t>
            </w:r>
          </w:p>
        </w:tc>
        <w:tc>
          <w:tcPr>
            <w:tcW w:w="2340" w:type="dxa"/>
            <w:vAlign w:val="bottom"/>
          </w:tcPr>
          <w:p w14:paraId="28C64D2F" w14:textId="77777777" w:rsidR="00B42F2B" w:rsidRPr="001223AC" w:rsidRDefault="00B42F2B" w:rsidP="00B42F2B">
            <w:pPr>
              <w:jc w:val="center"/>
              <w:rPr>
                <w:rFonts w:cs="Arial"/>
                <w:b/>
                <w:sz w:val="20"/>
              </w:rPr>
            </w:pPr>
            <w:r w:rsidRPr="001223AC">
              <w:rPr>
                <w:rFonts w:cs="Arial"/>
                <w:b/>
                <w:sz w:val="20"/>
              </w:rPr>
              <w:t>Beds per 1000 Population Age 65 and Older</w:t>
            </w:r>
          </w:p>
        </w:tc>
        <w:tc>
          <w:tcPr>
            <w:tcW w:w="2430" w:type="dxa"/>
          </w:tcPr>
          <w:p w14:paraId="5A8BDA3E" w14:textId="77777777" w:rsidR="00B42F2B" w:rsidRPr="001223AC" w:rsidRDefault="00B42F2B" w:rsidP="00B42F2B">
            <w:pPr>
              <w:jc w:val="center"/>
              <w:rPr>
                <w:rFonts w:cs="Arial"/>
                <w:b/>
                <w:sz w:val="20"/>
              </w:rPr>
            </w:pPr>
            <w:r w:rsidRPr="001223AC">
              <w:rPr>
                <w:rFonts w:cs="Arial"/>
                <w:b/>
                <w:sz w:val="20"/>
              </w:rPr>
              <w:t>Beds per 1000 Population Age 85 and Older</w:t>
            </w:r>
          </w:p>
        </w:tc>
      </w:tr>
      <w:tr w:rsidR="00B42F2B" w:rsidRPr="001223AC" w14:paraId="4B497039" w14:textId="77777777" w:rsidTr="00B42F2B">
        <w:tc>
          <w:tcPr>
            <w:tcW w:w="3528" w:type="dxa"/>
            <w:tcBorders>
              <w:bottom w:val="single" w:sz="4" w:space="0" w:color="auto"/>
            </w:tcBorders>
            <w:vAlign w:val="bottom"/>
          </w:tcPr>
          <w:p w14:paraId="389746F5" w14:textId="77777777" w:rsidR="00B42F2B" w:rsidRPr="001223AC" w:rsidRDefault="00B42F2B" w:rsidP="00B42F2B">
            <w:pPr>
              <w:rPr>
                <w:rFonts w:cs="Arial"/>
                <w:sz w:val="20"/>
              </w:rPr>
            </w:pPr>
            <w:r w:rsidRPr="001223AC">
              <w:rPr>
                <w:rFonts w:cs="Arial"/>
                <w:sz w:val="20"/>
              </w:rPr>
              <w:t>Idaho</w:t>
            </w:r>
          </w:p>
        </w:tc>
        <w:tc>
          <w:tcPr>
            <w:tcW w:w="2340" w:type="dxa"/>
            <w:tcBorders>
              <w:bottom w:val="single" w:sz="4" w:space="0" w:color="auto"/>
            </w:tcBorders>
          </w:tcPr>
          <w:p w14:paraId="1E8A073D" w14:textId="3A7DD0D5" w:rsidR="00B42F2B" w:rsidRPr="001223AC" w:rsidRDefault="00B42F2B" w:rsidP="00B42F2B">
            <w:pPr>
              <w:jc w:val="center"/>
              <w:rPr>
                <w:rFonts w:cs="Arial"/>
                <w:sz w:val="20"/>
              </w:rPr>
            </w:pPr>
            <w:r w:rsidRPr="001223AC">
              <w:rPr>
                <w:rFonts w:cs="Arial"/>
                <w:sz w:val="20"/>
              </w:rPr>
              <w:t xml:space="preserve"> 2</w:t>
            </w:r>
            <w:r w:rsidR="00501BAE">
              <w:rPr>
                <w:rFonts w:cs="Arial"/>
                <w:sz w:val="20"/>
              </w:rPr>
              <w:t>4.4</w:t>
            </w:r>
            <w:r w:rsidRPr="001223AC">
              <w:rPr>
                <w:rFonts w:cs="Arial"/>
                <w:sz w:val="20"/>
              </w:rPr>
              <w:t xml:space="preserve"> </w:t>
            </w:r>
          </w:p>
        </w:tc>
        <w:tc>
          <w:tcPr>
            <w:tcW w:w="2430" w:type="dxa"/>
            <w:tcBorders>
              <w:bottom w:val="single" w:sz="4" w:space="0" w:color="auto"/>
            </w:tcBorders>
          </w:tcPr>
          <w:p w14:paraId="304467A8" w14:textId="07C13EAB" w:rsidR="00B42F2B" w:rsidRPr="001223AC" w:rsidRDefault="00B42F2B" w:rsidP="00B42F2B">
            <w:pPr>
              <w:jc w:val="center"/>
              <w:rPr>
                <w:rFonts w:cs="Arial"/>
                <w:sz w:val="20"/>
              </w:rPr>
            </w:pPr>
            <w:r w:rsidRPr="001223AC">
              <w:rPr>
                <w:rFonts w:cs="Arial"/>
                <w:sz w:val="20"/>
              </w:rPr>
              <w:t xml:space="preserve"> 21</w:t>
            </w:r>
            <w:r w:rsidR="00501BAE">
              <w:rPr>
                <w:rFonts w:cs="Arial"/>
                <w:sz w:val="20"/>
              </w:rPr>
              <w:t>3.0</w:t>
            </w:r>
            <w:r w:rsidRPr="001223AC">
              <w:rPr>
                <w:rFonts w:cs="Arial"/>
                <w:sz w:val="20"/>
              </w:rPr>
              <w:t xml:space="preserve"> </w:t>
            </w:r>
          </w:p>
        </w:tc>
      </w:tr>
      <w:tr w:rsidR="00B42F2B" w:rsidRPr="001223AC" w14:paraId="25A87CA5" w14:textId="77777777" w:rsidTr="00B42F2B">
        <w:tc>
          <w:tcPr>
            <w:tcW w:w="3528" w:type="dxa"/>
            <w:shd w:val="pct15" w:color="auto" w:fill="auto"/>
            <w:vAlign w:val="bottom"/>
          </w:tcPr>
          <w:p w14:paraId="5B630C87" w14:textId="77777777" w:rsidR="00B42F2B" w:rsidRPr="001223AC" w:rsidRDefault="00B42F2B" w:rsidP="00B42F2B">
            <w:pPr>
              <w:rPr>
                <w:rFonts w:cs="Arial"/>
                <w:sz w:val="20"/>
              </w:rPr>
            </w:pPr>
            <w:r w:rsidRPr="001223AC">
              <w:rPr>
                <w:rFonts w:cs="Arial"/>
                <w:sz w:val="20"/>
              </w:rPr>
              <w:t>Washington</w:t>
            </w:r>
          </w:p>
        </w:tc>
        <w:tc>
          <w:tcPr>
            <w:tcW w:w="2340" w:type="dxa"/>
            <w:shd w:val="pct15" w:color="auto" w:fill="auto"/>
          </w:tcPr>
          <w:p w14:paraId="01E47E60" w14:textId="1B8DDDF2" w:rsidR="00B42F2B" w:rsidRPr="001223AC" w:rsidRDefault="00B42F2B" w:rsidP="00B42F2B">
            <w:pPr>
              <w:jc w:val="center"/>
              <w:rPr>
                <w:rFonts w:cs="Arial"/>
                <w:sz w:val="20"/>
              </w:rPr>
            </w:pPr>
            <w:r w:rsidRPr="001223AC">
              <w:rPr>
                <w:rFonts w:cs="Arial"/>
                <w:sz w:val="20"/>
              </w:rPr>
              <w:t xml:space="preserve"> 2</w:t>
            </w:r>
            <w:r w:rsidR="00501BAE">
              <w:rPr>
                <w:rFonts w:cs="Arial"/>
                <w:sz w:val="20"/>
              </w:rPr>
              <w:t>0.4</w:t>
            </w:r>
          </w:p>
        </w:tc>
        <w:tc>
          <w:tcPr>
            <w:tcW w:w="2430" w:type="dxa"/>
            <w:shd w:val="pct15" w:color="auto" w:fill="auto"/>
          </w:tcPr>
          <w:p w14:paraId="35D0C87F" w14:textId="2C884CC1" w:rsidR="00B42F2B" w:rsidRPr="001223AC" w:rsidRDefault="00B42F2B" w:rsidP="00B42F2B">
            <w:pPr>
              <w:jc w:val="center"/>
              <w:rPr>
                <w:rFonts w:cs="Arial"/>
                <w:sz w:val="20"/>
              </w:rPr>
            </w:pPr>
            <w:r w:rsidRPr="001223AC">
              <w:rPr>
                <w:rFonts w:cs="Arial"/>
                <w:sz w:val="20"/>
              </w:rPr>
              <w:t xml:space="preserve"> 16</w:t>
            </w:r>
            <w:r w:rsidR="00501BAE">
              <w:rPr>
                <w:rFonts w:cs="Arial"/>
                <w:sz w:val="20"/>
              </w:rPr>
              <w:t>1.6</w:t>
            </w:r>
          </w:p>
        </w:tc>
      </w:tr>
      <w:tr w:rsidR="00B42F2B" w:rsidRPr="001223AC" w14:paraId="335EF872" w14:textId="77777777" w:rsidTr="00B42F2B">
        <w:tc>
          <w:tcPr>
            <w:tcW w:w="3528" w:type="dxa"/>
            <w:vAlign w:val="bottom"/>
          </w:tcPr>
          <w:p w14:paraId="4BC27B84" w14:textId="77777777" w:rsidR="00B42F2B" w:rsidRPr="001223AC" w:rsidRDefault="00B42F2B" w:rsidP="00B42F2B">
            <w:pPr>
              <w:rPr>
                <w:rFonts w:cs="Arial"/>
                <w:sz w:val="20"/>
              </w:rPr>
            </w:pPr>
            <w:r w:rsidRPr="001223AC">
              <w:rPr>
                <w:rFonts w:cs="Arial"/>
                <w:sz w:val="20"/>
              </w:rPr>
              <w:t>Oregon</w:t>
            </w:r>
          </w:p>
        </w:tc>
        <w:tc>
          <w:tcPr>
            <w:tcW w:w="2340" w:type="dxa"/>
          </w:tcPr>
          <w:p w14:paraId="7F094BEB" w14:textId="03F558AA" w:rsidR="00B42F2B" w:rsidRPr="001223AC" w:rsidRDefault="00B42F2B" w:rsidP="00B42F2B">
            <w:pPr>
              <w:jc w:val="center"/>
              <w:rPr>
                <w:rFonts w:cs="Arial"/>
                <w:sz w:val="20"/>
              </w:rPr>
            </w:pPr>
            <w:r w:rsidRPr="001223AC">
              <w:rPr>
                <w:rFonts w:cs="Arial"/>
                <w:sz w:val="20"/>
              </w:rPr>
              <w:t xml:space="preserve"> 1</w:t>
            </w:r>
            <w:r w:rsidR="00501BAE">
              <w:rPr>
                <w:rFonts w:cs="Arial"/>
                <w:sz w:val="20"/>
              </w:rPr>
              <w:t>8.5</w:t>
            </w:r>
            <w:r w:rsidRPr="001223AC">
              <w:rPr>
                <w:rFonts w:cs="Arial"/>
                <w:sz w:val="20"/>
              </w:rPr>
              <w:t xml:space="preserve"> </w:t>
            </w:r>
          </w:p>
        </w:tc>
        <w:tc>
          <w:tcPr>
            <w:tcW w:w="2430" w:type="dxa"/>
          </w:tcPr>
          <w:p w14:paraId="22B275D4" w14:textId="76572F59" w:rsidR="00B42F2B" w:rsidRPr="001223AC" w:rsidRDefault="00B42F2B" w:rsidP="00B42F2B">
            <w:pPr>
              <w:jc w:val="center"/>
              <w:rPr>
                <w:rFonts w:cs="Arial"/>
                <w:sz w:val="20"/>
              </w:rPr>
            </w:pPr>
            <w:r w:rsidRPr="001223AC">
              <w:rPr>
                <w:rFonts w:cs="Arial"/>
                <w:sz w:val="20"/>
              </w:rPr>
              <w:t xml:space="preserve"> 14</w:t>
            </w:r>
            <w:r w:rsidR="00501BAE">
              <w:rPr>
                <w:rFonts w:cs="Arial"/>
                <w:sz w:val="20"/>
              </w:rPr>
              <w:t>5.2</w:t>
            </w:r>
          </w:p>
        </w:tc>
      </w:tr>
      <w:tr w:rsidR="00B42F2B" w:rsidRPr="001223AC" w14:paraId="2933E967" w14:textId="77777777" w:rsidTr="00B42F2B">
        <w:tc>
          <w:tcPr>
            <w:tcW w:w="3528" w:type="dxa"/>
            <w:tcBorders>
              <w:bottom w:val="double" w:sz="4" w:space="0" w:color="auto"/>
            </w:tcBorders>
            <w:vAlign w:val="bottom"/>
          </w:tcPr>
          <w:p w14:paraId="5D6DEA41" w14:textId="77777777" w:rsidR="00B42F2B" w:rsidRPr="001223AC" w:rsidRDefault="00B42F2B" w:rsidP="00B42F2B">
            <w:pPr>
              <w:rPr>
                <w:rFonts w:cs="Arial"/>
                <w:sz w:val="20"/>
              </w:rPr>
            </w:pPr>
            <w:r w:rsidRPr="001223AC">
              <w:rPr>
                <w:rFonts w:cs="Arial"/>
                <w:sz w:val="20"/>
              </w:rPr>
              <w:t>Alaska</w:t>
            </w:r>
          </w:p>
        </w:tc>
        <w:tc>
          <w:tcPr>
            <w:tcW w:w="2340" w:type="dxa"/>
            <w:tcBorders>
              <w:bottom w:val="double" w:sz="4" w:space="0" w:color="auto"/>
            </w:tcBorders>
          </w:tcPr>
          <w:p w14:paraId="5CC0AC55" w14:textId="09C04F03" w:rsidR="00B42F2B" w:rsidRPr="001223AC" w:rsidRDefault="00B42F2B" w:rsidP="00B42F2B">
            <w:pPr>
              <w:jc w:val="center"/>
              <w:rPr>
                <w:rFonts w:cs="Arial"/>
                <w:sz w:val="20"/>
              </w:rPr>
            </w:pPr>
            <w:r w:rsidRPr="001223AC">
              <w:rPr>
                <w:rFonts w:cs="Arial"/>
                <w:sz w:val="20"/>
              </w:rPr>
              <w:t xml:space="preserve"> </w:t>
            </w:r>
            <w:r w:rsidR="00501BAE">
              <w:rPr>
                <w:rFonts w:cs="Arial"/>
                <w:sz w:val="20"/>
              </w:rPr>
              <w:t>9.5</w:t>
            </w:r>
            <w:r w:rsidRPr="001223AC">
              <w:rPr>
                <w:rFonts w:cs="Arial"/>
                <w:sz w:val="20"/>
              </w:rPr>
              <w:t xml:space="preserve"> </w:t>
            </w:r>
          </w:p>
        </w:tc>
        <w:tc>
          <w:tcPr>
            <w:tcW w:w="2430" w:type="dxa"/>
            <w:tcBorders>
              <w:bottom w:val="double" w:sz="4" w:space="0" w:color="auto"/>
            </w:tcBorders>
          </w:tcPr>
          <w:p w14:paraId="66A02838" w14:textId="31A3EC4D" w:rsidR="00B42F2B" w:rsidRPr="001223AC" w:rsidRDefault="00B42F2B" w:rsidP="00B42F2B">
            <w:pPr>
              <w:jc w:val="center"/>
              <w:rPr>
                <w:rFonts w:cs="Arial"/>
                <w:sz w:val="20"/>
              </w:rPr>
            </w:pPr>
            <w:r w:rsidRPr="001223AC">
              <w:rPr>
                <w:rFonts w:cs="Arial"/>
                <w:sz w:val="20"/>
              </w:rPr>
              <w:t xml:space="preserve"> 11</w:t>
            </w:r>
            <w:r w:rsidR="00501BAE">
              <w:rPr>
                <w:rFonts w:cs="Arial"/>
                <w:sz w:val="20"/>
              </w:rPr>
              <w:t>2.9</w:t>
            </w:r>
            <w:r w:rsidRPr="001223AC">
              <w:rPr>
                <w:rFonts w:cs="Arial"/>
                <w:sz w:val="20"/>
              </w:rPr>
              <w:t xml:space="preserve"> </w:t>
            </w:r>
          </w:p>
        </w:tc>
      </w:tr>
      <w:tr w:rsidR="00B42F2B" w:rsidRPr="001223AC" w14:paraId="09016B80" w14:textId="77777777" w:rsidTr="00B42F2B">
        <w:tc>
          <w:tcPr>
            <w:tcW w:w="3528" w:type="dxa"/>
            <w:tcBorders>
              <w:top w:val="double" w:sz="4" w:space="0" w:color="auto"/>
              <w:bottom w:val="double" w:sz="4" w:space="0" w:color="auto"/>
            </w:tcBorders>
            <w:vAlign w:val="bottom"/>
          </w:tcPr>
          <w:p w14:paraId="478DCDF6" w14:textId="77777777" w:rsidR="00B42F2B" w:rsidRPr="001223AC" w:rsidRDefault="00B42F2B" w:rsidP="00B42F2B">
            <w:pPr>
              <w:rPr>
                <w:rFonts w:cs="Arial"/>
                <w:sz w:val="20"/>
              </w:rPr>
            </w:pPr>
            <w:r w:rsidRPr="001223AC">
              <w:rPr>
                <w:rFonts w:cs="Arial"/>
                <w:sz w:val="20"/>
              </w:rPr>
              <w:t>Average for Four States</w:t>
            </w:r>
          </w:p>
        </w:tc>
        <w:tc>
          <w:tcPr>
            <w:tcW w:w="2340" w:type="dxa"/>
            <w:tcBorders>
              <w:top w:val="double" w:sz="4" w:space="0" w:color="auto"/>
              <w:bottom w:val="double" w:sz="4" w:space="0" w:color="auto"/>
            </w:tcBorders>
          </w:tcPr>
          <w:p w14:paraId="26234364" w14:textId="78AD0103" w:rsidR="00B42F2B" w:rsidRPr="001223AC" w:rsidRDefault="00B42F2B" w:rsidP="00B42F2B">
            <w:pPr>
              <w:jc w:val="center"/>
              <w:rPr>
                <w:rFonts w:cs="Arial"/>
                <w:sz w:val="20"/>
              </w:rPr>
            </w:pPr>
            <w:r w:rsidRPr="001223AC">
              <w:rPr>
                <w:rFonts w:cs="Arial"/>
                <w:sz w:val="20"/>
              </w:rPr>
              <w:t xml:space="preserve"> 1</w:t>
            </w:r>
            <w:r w:rsidR="00501BAE">
              <w:rPr>
                <w:rFonts w:cs="Arial"/>
                <w:sz w:val="20"/>
              </w:rPr>
              <w:t>8.2</w:t>
            </w:r>
            <w:r w:rsidRPr="001223AC">
              <w:rPr>
                <w:rFonts w:cs="Arial"/>
                <w:sz w:val="20"/>
              </w:rPr>
              <w:t xml:space="preserve"> </w:t>
            </w:r>
          </w:p>
        </w:tc>
        <w:tc>
          <w:tcPr>
            <w:tcW w:w="2430" w:type="dxa"/>
            <w:tcBorders>
              <w:top w:val="double" w:sz="4" w:space="0" w:color="auto"/>
              <w:bottom w:val="double" w:sz="4" w:space="0" w:color="auto"/>
            </w:tcBorders>
          </w:tcPr>
          <w:p w14:paraId="31DD11D2" w14:textId="200CD564" w:rsidR="00B42F2B" w:rsidRPr="001223AC" w:rsidRDefault="00B42F2B" w:rsidP="00B42F2B">
            <w:pPr>
              <w:jc w:val="center"/>
              <w:rPr>
                <w:rFonts w:cs="Arial"/>
                <w:sz w:val="20"/>
              </w:rPr>
            </w:pPr>
            <w:r w:rsidRPr="001223AC">
              <w:rPr>
                <w:rFonts w:cs="Arial"/>
                <w:sz w:val="20"/>
              </w:rPr>
              <w:t xml:space="preserve"> 1</w:t>
            </w:r>
            <w:r w:rsidR="00501BAE">
              <w:rPr>
                <w:rFonts w:cs="Arial"/>
                <w:sz w:val="20"/>
              </w:rPr>
              <w:t>58.2</w:t>
            </w:r>
            <w:r w:rsidRPr="001223AC">
              <w:rPr>
                <w:rFonts w:cs="Arial"/>
                <w:sz w:val="20"/>
              </w:rPr>
              <w:t xml:space="preserve"> </w:t>
            </w:r>
          </w:p>
        </w:tc>
      </w:tr>
      <w:tr w:rsidR="00B42F2B" w:rsidRPr="001223AC" w14:paraId="58B6F4F6" w14:textId="77777777" w:rsidTr="00B42F2B">
        <w:tc>
          <w:tcPr>
            <w:tcW w:w="3528" w:type="dxa"/>
            <w:tcBorders>
              <w:top w:val="double" w:sz="4" w:space="0" w:color="auto"/>
              <w:bottom w:val="double" w:sz="4" w:space="0" w:color="auto"/>
            </w:tcBorders>
            <w:vAlign w:val="bottom"/>
          </w:tcPr>
          <w:p w14:paraId="1685C88C" w14:textId="77777777" w:rsidR="00B42F2B" w:rsidRPr="001223AC" w:rsidRDefault="00B42F2B" w:rsidP="00B42F2B">
            <w:pPr>
              <w:rPr>
                <w:rFonts w:cs="Arial"/>
                <w:sz w:val="20"/>
              </w:rPr>
            </w:pPr>
            <w:r w:rsidRPr="001223AC">
              <w:rPr>
                <w:rFonts w:cs="Arial"/>
                <w:sz w:val="20"/>
              </w:rPr>
              <w:t>Average for States excluding Washington</w:t>
            </w:r>
          </w:p>
        </w:tc>
        <w:tc>
          <w:tcPr>
            <w:tcW w:w="2340" w:type="dxa"/>
            <w:tcBorders>
              <w:top w:val="double" w:sz="4" w:space="0" w:color="auto"/>
              <w:bottom w:val="double" w:sz="4" w:space="0" w:color="auto"/>
            </w:tcBorders>
          </w:tcPr>
          <w:p w14:paraId="256B5B6F" w14:textId="27631633" w:rsidR="00B42F2B" w:rsidRPr="001223AC" w:rsidRDefault="00B42F2B" w:rsidP="00B42F2B">
            <w:pPr>
              <w:jc w:val="center"/>
              <w:rPr>
                <w:rFonts w:cs="Arial"/>
                <w:sz w:val="20"/>
              </w:rPr>
            </w:pPr>
            <w:r w:rsidRPr="001223AC">
              <w:rPr>
                <w:rFonts w:cs="Arial"/>
                <w:sz w:val="20"/>
              </w:rPr>
              <w:t xml:space="preserve"> 1</w:t>
            </w:r>
            <w:r w:rsidR="00501BAE">
              <w:rPr>
                <w:rFonts w:cs="Arial"/>
                <w:sz w:val="20"/>
              </w:rPr>
              <w:t>7.5</w:t>
            </w:r>
            <w:r w:rsidRPr="001223AC">
              <w:rPr>
                <w:rFonts w:cs="Arial"/>
                <w:sz w:val="20"/>
              </w:rPr>
              <w:t xml:space="preserve"> </w:t>
            </w:r>
          </w:p>
        </w:tc>
        <w:tc>
          <w:tcPr>
            <w:tcW w:w="2430" w:type="dxa"/>
            <w:tcBorders>
              <w:top w:val="double" w:sz="4" w:space="0" w:color="auto"/>
              <w:bottom w:val="double" w:sz="4" w:space="0" w:color="auto"/>
            </w:tcBorders>
          </w:tcPr>
          <w:p w14:paraId="229F6A1F" w14:textId="1F577733" w:rsidR="00B42F2B" w:rsidRPr="001223AC" w:rsidRDefault="00B42F2B" w:rsidP="00B42F2B">
            <w:pPr>
              <w:jc w:val="center"/>
              <w:rPr>
                <w:rFonts w:cs="Arial"/>
                <w:sz w:val="20"/>
              </w:rPr>
            </w:pPr>
            <w:r w:rsidRPr="001223AC">
              <w:rPr>
                <w:rFonts w:cs="Arial"/>
                <w:sz w:val="20"/>
              </w:rPr>
              <w:t xml:space="preserve"> 1</w:t>
            </w:r>
            <w:r w:rsidR="00501BAE">
              <w:rPr>
                <w:rFonts w:cs="Arial"/>
                <w:sz w:val="20"/>
              </w:rPr>
              <w:t>57</w:t>
            </w:r>
            <w:r w:rsidR="00C16C7A">
              <w:rPr>
                <w:rFonts w:cs="Arial"/>
                <w:sz w:val="20"/>
              </w:rPr>
              <w:t>.0</w:t>
            </w:r>
            <w:r w:rsidRPr="001223AC">
              <w:rPr>
                <w:rFonts w:cs="Arial"/>
                <w:sz w:val="20"/>
              </w:rPr>
              <w:t xml:space="preserve"> </w:t>
            </w:r>
          </w:p>
        </w:tc>
      </w:tr>
    </w:tbl>
    <w:p w14:paraId="7DE06911" w14:textId="77777777" w:rsidR="00B42F2B" w:rsidRPr="001223AC" w:rsidRDefault="00B42F2B" w:rsidP="00B42F2B">
      <w:pPr>
        <w:rPr>
          <w:rFonts w:cs="Arial"/>
          <w:sz w:val="20"/>
        </w:rPr>
      </w:pPr>
    </w:p>
    <w:p w14:paraId="252B9A01" w14:textId="77777777" w:rsidR="00B42F2B" w:rsidRPr="001223AC" w:rsidRDefault="00B42F2B" w:rsidP="00B42F2B">
      <w:pPr>
        <w:rPr>
          <w:rFonts w:cs="Arial"/>
          <w:sz w:val="18"/>
        </w:rPr>
      </w:pPr>
      <w:r w:rsidRPr="001223AC">
        <w:rPr>
          <w:rFonts w:cs="Arial"/>
          <w:sz w:val="18"/>
        </w:rPr>
        <w:t xml:space="preserve">Sources:  </w:t>
      </w:r>
    </w:p>
    <w:p w14:paraId="14BFD056" w14:textId="77777777" w:rsidR="00B42F2B" w:rsidRPr="001223AC" w:rsidRDefault="00B42F2B" w:rsidP="001D03A8">
      <w:pPr>
        <w:widowControl/>
        <w:numPr>
          <w:ilvl w:val="0"/>
          <w:numId w:val="3"/>
        </w:numPr>
        <w:spacing w:before="0" w:after="0"/>
        <w:rPr>
          <w:rFonts w:cs="Arial"/>
          <w:sz w:val="18"/>
        </w:rPr>
      </w:pPr>
      <w:r w:rsidRPr="001223AC">
        <w:rPr>
          <w:rFonts w:cs="Arial"/>
          <w:sz w:val="18"/>
        </w:rPr>
        <w:t>States in CMS Region X:  CMS website at http://www.cms.hhs.gov/RegionalOffices/downloads/SeattleRegionalOffice.pdf</w:t>
      </w:r>
    </w:p>
    <w:p w14:paraId="1DA84105" w14:textId="51F47B72" w:rsidR="00B42F2B" w:rsidRPr="001223AC" w:rsidRDefault="00B42F2B" w:rsidP="001D03A8">
      <w:pPr>
        <w:widowControl/>
        <w:numPr>
          <w:ilvl w:val="0"/>
          <w:numId w:val="3"/>
        </w:numPr>
        <w:spacing w:before="0" w:after="0"/>
        <w:rPr>
          <w:rFonts w:cs="Arial"/>
          <w:b/>
          <w:sz w:val="18"/>
        </w:rPr>
      </w:pPr>
      <w:r w:rsidRPr="001223AC">
        <w:rPr>
          <w:rFonts w:cs="Arial"/>
          <w:sz w:val="18"/>
        </w:rPr>
        <w:t>Beds per 1000 Population Age 65 and Older and Beds per 1000 Population Age 85 and Older:  Calculated by Navigant using total beds reported in “OSCAR Data Report:  Nursing Facility Operational Characteristics Report” by American Health Care Association Research Department, March 20015 Update, and population estimates for July 201</w:t>
      </w:r>
      <w:r w:rsidR="00501BAE">
        <w:rPr>
          <w:rFonts w:cs="Arial"/>
          <w:sz w:val="18"/>
        </w:rPr>
        <w:t>5</w:t>
      </w:r>
      <w:r w:rsidRPr="001223AC">
        <w:rPr>
          <w:rFonts w:cs="Arial"/>
          <w:sz w:val="18"/>
        </w:rPr>
        <w:t xml:space="preserve"> released </w:t>
      </w:r>
      <w:r w:rsidR="00501BAE">
        <w:rPr>
          <w:rFonts w:cs="Arial"/>
          <w:sz w:val="18"/>
        </w:rPr>
        <w:t>June</w:t>
      </w:r>
      <w:r w:rsidRPr="001223AC">
        <w:rPr>
          <w:rFonts w:cs="Arial"/>
          <w:sz w:val="18"/>
        </w:rPr>
        <w:t xml:space="preserve"> 201</w:t>
      </w:r>
      <w:r w:rsidR="00501BAE">
        <w:rPr>
          <w:rFonts w:cs="Arial"/>
          <w:sz w:val="18"/>
        </w:rPr>
        <w:t>6</w:t>
      </w:r>
      <w:r w:rsidRPr="001223AC">
        <w:rPr>
          <w:rFonts w:cs="Arial"/>
          <w:sz w:val="18"/>
        </w:rPr>
        <w:t xml:space="preserve"> by the U.S. Census Bureau, Population Division.</w:t>
      </w:r>
    </w:p>
    <w:p w14:paraId="5AD3251F" w14:textId="77777777" w:rsidR="00B42F2B" w:rsidRPr="00B42F2B" w:rsidRDefault="00B42F2B" w:rsidP="00B42F2B">
      <w:pPr>
        <w:ind w:left="720"/>
        <w:rPr>
          <w:rFonts w:cs="Arial"/>
          <w:b/>
        </w:rPr>
      </w:pPr>
    </w:p>
    <w:p w14:paraId="7143FAF6" w14:textId="77777777" w:rsidR="00B42F2B" w:rsidRPr="00B42F2B" w:rsidRDefault="00B42F2B" w:rsidP="00B42F2B">
      <w:pPr>
        <w:rPr>
          <w:rFonts w:cs="Arial"/>
        </w:rPr>
      </w:pPr>
    </w:p>
    <w:p w14:paraId="57FFB45D" w14:textId="77777777" w:rsidR="00B42F2B" w:rsidRPr="00B42F2B" w:rsidRDefault="00B42F2B" w:rsidP="00B42F2B">
      <w:pPr>
        <w:rPr>
          <w:rFonts w:cs="Arial"/>
        </w:rPr>
      </w:pPr>
    </w:p>
    <w:p w14:paraId="07B73D83" w14:textId="77777777" w:rsidR="00B42F2B" w:rsidRPr="00B42F2B" w:rsidRDefault="00B42F2B" w:rsidP="00B42F2B">
      <w:pPr>
        <w:rPr>
          <w:rFonts w:cs="Arial"/>
        </w:rPr>
      </w:pPr>
      <w:r w:rsidRPr="00B42F2B">
        <w:rPr>
          <w:rFonts w:cs="Arial"/>
        </w:rPr>
        <w:br w:type="page"/>
      </w:r>
    </w:p>
    <w:p w14:paraId="1BBF8962" w14:textId="2B309D0E" w:rsidR="00B42F2B" w:rsidRPr="00B42F2B" w:rsidRDefault="00B42F2B" w:rsidP="001223AC">
      <w:pPr>
        <w:spacing w:before="0" w:after="0"/>
        <w:rPr>
          <w:rFonts w:cs="Arial"/>
        </w:rPr>
      </w:pPr>
      <w:r w:rsidRPr="00B42F2B">
        <w:rPr>
          <w:rFonts w:cs="Arial"/>
        </w:rPr>
        <w:lastRenderedPageBreak/>
        <w:t>Table 2.7 shows Washington’s nursing facilities beds per 1000 population aged 65 and older, and aged 85 and older, to the same metrics for all other Western states for 201</w:t>
      </w:r>
      <w:r w:rsidR="00501BAE">
        <w:rPr>
          <w:rFonts w:cs="Arial"/>
        </w:rPr>
        <w:t>5</w:t>
      </w:r>
      <w:r w:rsidRPr="00B42F2B">
        <w:rPr>
          <w:rFonts w:cs="Arial"/>
        </w:rPr>
        <w:t xml:space="preserve"> (excluding Hawaii).  This comparison shows that Washington’s metrics generally fall in the middle of the ranking of all Western states.</w:t>
      </w:r>
    </w:p>
    <w:p w14:paraId="1E063052" w14:textId="77777777" w:rsidR="00B42F2B" w:rsidRPr="00B42F2B" w:rsidRDefault="00B42F2B" w:rsidP="001223AC">
      <w:pPr>
        <w:spacing w:before="0" w:after="0"/>
        <w:rPr>
          <w:rFonts w:cs="Arial"/>
          <w:b/>
        </w:rPr>
      </w:pPr>
    </w:p>
    <w:p w14:paraId="6E788AB6" w14:textId="0305F75C" w:rsidR="00B42F2B" w:rsidRPr="00B42F2B" w:rsidRDefault="00B42F2B" w:rsidP="001223AC">
      <w:pPr>
        <w:spacing w:before="0" w:after="0"/>
        <w:ind w:left="1094" w:hanging="1094"/>
        <w:rPr>
          <w:rFonts w:cs="Arial"/>
          <w:b/>
        </w:rPr>
      </w:pPr>
      <w:r w:rsidRPr="00B42F2B">
        <w:rPr>
          <w:rFonts w:cs="Arial"/>
          <w:b/>
        </w:rPr>
        <w:t>Table 2.7:  Nursing Facility Beds per Capita for Senior Population for Western States – 201</w:t>
      </w:r>
      <w:r w:rsidR="00501BAE">
        <w:rPr>
          <w:rFonts w:cs="Arial"/>
          <w:b/>
        </w:rPr>
        <w:t>5</w:t>
      </w:r>
      <w:r w:rsidRPr="00B42F2B">
        <w:rPr>
          <w:rFonts w:cs="Arial"/>
          <w:b/>
        </w:rPr>
        <w:t xml:space="preserve"> </w:t>
      </w:r>
    </w:p>
    <w:p w14:paraId="216E488D" w14:textId="77777777" w:rsidR="00B42F2B" w:rsidRPr="00B42F2B" w:rsidRDefault="00B42F2B" w:rsidP="00B42F2B">
      <w:pPr>
        <w:rPr>
          <w:rFonts w:cs="Arial"/>
        </w:rPr>
      </w:pPr>
    </w:p>
    <w:tbl>
      <w:tblPr>
        <w:tblW w:w="825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325"/>
        <w:gridCol w:w="2313"/>
      </w:tblGrid>
      <w:tr w:rsidR="00B42F2B" w:rsidRPr="001223AC" w14:paraId="43981364" w14:textId="77777777" w:rsidTr="00B42F2B">
        <w:trPr>
          <w:cantSplit/>
        </w:trPr>
        <w:tc>
          <w:tcPr>
            <w:tcW w:w="3618" w:type="dxa"/>
            <w:vAlign w:val="bottom"/>
          </w:tcPr>
          <w:p w14:paraId="1EE21A5F" w14:textId="77777777" w:rsidR="00B42F2B" w:rsidRPr="001223AC" w:rsidRDefault="00B42F2B" w:rsidP="00B42F2B">
            <w:pPr>
              <w:jc w:val="center"/>
              <w:rPr>
                <w:rFonts w:cs="Arial"/>
                <w:b/>
                <w:sz w:val="20"/>
                <w:szCs w:val="20"/>
              </w:rPr>
            </w:pPr>
            <w:r w:rsidRPr="001223AC">
              <w:rPr>
                <w:rFonts w:cs="Arial"/>
                <w:b/>
                <w:sz w:val="20"/>
                <w:szCs w:val="20"/>
              </w:rPr>
              <w:t>State</w:t>
            </w:r>
          </w:p>
        </w:tc>
        <w:tc>
          <w:tcPr>
            <w:tcW w:w="2325" w:type="dxa"/>
            <w:vAlign w:val="bottom"/>
          </w:tcPr>
          <w:p w14:paraId="631A7D7C" w14:textId="77777777" w:rsidR="00B42F2B" w:rsidRPr="001223AC" w:rsidRDefault="00B42F2B" w:rsidP="00B42F2B">
            <w:pPr>
              <w:jc w:val="center"/>
              <w:rPr>
                <w:rFonts w:cs="Arial"/>
                <w:b/>
                <w:sz w:val="20"/>
                <w:szCs w:val="20"/>
              </w:rPr>
            </w:pPr>
            <w:r w:rsidRPr="001223AC">
              <w:rPr>
                <w:rFonts w:cs="Arial"/>
                <w:b/>
                <w:sz w:val="20"/>
                <w:szCs w:val="20"/>
              </w:rPr>
              <w:t>Beds per 1000 Population Age 65 and Older</w:t>
            </w:r>
          </w:p>
        </w:tc>
        <w:tc>
          <w:tcPr>
            <w:tcW w:w="2313" w:type="dxa"/>
          </w:tcPr>
          <w:p w14:paraId="0A4CE91F" w14:textId="77777777" w:rsidR="00B42F2B" w:rsidRPr="001223AC" w:rsidRDefault="00B42F2B" w:rsidP="00B42F2B">
            <w:pPr>
              <w:jc w:val="center"/>
              <w:rPr>
                <w:rFonts w:cs="Arial"/>
                <w:b/>
                <w:sz w:val="20"/>
                <w:szCs w:val="20"/>
              </w:rPr>
            </w:pPr>
            <w:r w:rsidRPr="001223AC">
              <w:rPr>
                <w:rFonts w:cs="Arial"/>
                <w:b/>
                <w:sz w:val="20"/>
                <w:szCs w:val="20"/>
              </w:rPr>
              <w:t>Beds per 1000 Population Age 85 and Older</w:t>
            </w:r>
          </w:p>
        </w:tc>
      </w:tr>
      <w:tr w:rsidR="00B42F2B" w:rsidRPr="001223AC" w14:paraId="4034A2A3" w14:textId="77777777" w:rsidTr="00B42F2B">
        <w:trPr>
          <w:cantSplit/>
        </w:trPr>
        <w:tc>
          <w:tcPr>
            <w:tcW w:w="3618" w:type="dxa"/>
          </w:tcPr>
          <w:p w14:paraId="3C2CC7F5" w14:textId="77777777" w:rsidR="00B42F2B" w:rsidRPr="001223AC" w:rsidRDefault="00B42F2B" w:rsidP="00B42F2B">
            <w:pPr>
              <w:jc w:val="center"/>
              <w:rPr>
                <w:rFonts w:cs="Arial"/>
                <w:sz w:val="20"/>
                <w:szCs w:val="20"/>
              </w:rPr>
            </w:pPr>
            <w:r w:rsidRPr="001223AC">
              <w:rPr>
                <w:rFonts w:cs="Arial"/>
                <w:sz w:val="20"/>
                <w:szCs w:val="20"/>
              </w:rPr>
              <w:t>Montana</w:t>
            </w:r>
          </w:p>
        </w:tc>
        <w:tc>
          <w:tcPr>
            <w:tcW w:w="2325" w:type="dxa"/>
          </w:tcPr>
          <w:p w14:paraId="1CFFD9AC" w14:textId="16EF2CA9" w:rsidR="00B42F2B" w:rsidRPr="001223AC" w:rsidRDefault="00B42F2B" w:rsidP="00B42F2B">
            <w:pPr>
              <w:jc w:val="center"/>
              <w:rPr>
                <w:rFonts w:cs="Arial"/>
                <w:sz w:val="20"/>
                <w:szCs w:val="20"/>
              </w:rPr>
            </w:pPr>
            <w:r w:rsidRPr="001223AC">
              <w:rPr>
                <w:rFonts w:cs="Arial"/>
                <w:sz w:val="20"/>
                <w:szCs w:val="20"/>
              </w:rPr>
              <w:t xml:space="preserve"> 3</w:t>
            </w:r>
            <w:r w:rsidR="00F95584">
              <w:rPr>
                <w:rFonts w:cs="Arial"/>
                <w:sz w:val="20"/>
                <w:szCs w:val="20"/>
              </w:rPr>
              <w:t>7.8</w:t>
            </w:r>
          </w:p>
        </w:tc>
        <w:tc>
          <w:tcPr>
            <w:tcW w:w="2313" w:type="dxa"/>
          </w:tcPr>
          <w:p w14:paraId="1E4E62E5" w14:textId="709117A0" w:rsidR="00B42F2B" w:rsidRPr="001223AC" w:rsidRDefault="00B42F2B" w:rsidP="00B42F2B">
            <w:pPr>
              <w:jc w:val="center"/>
              <w:rPr>
                <w:rFonts w:cs="Arial"/>
                <w:sz w:val="20"/>
                <w:szCs w:val="20"/>
              </w:rPr>
            </w:pPr>
            <w:r w:rsidRPr="001223AC">
              <w:rPr>
                <w:rFonts w:cs="Arial"/>
                <w:sz w:val="20"/>
                <w:szCs w:val="20"/>
              </w:rPr>
              <w:t xml:space="preserve"> 30</w:t>
            </w:r>
            <w:r w:rsidR="00F95584">
              <w:rPr>
                <w:rFonts w:cs="Arial"/>
                <w:sz w:val="20"/>
                <w:szCs w:val="20"/>
              </w:rPr>
              <w:t>0.2</w:t>
            </w:r>
            <w:r w:rsidRPr="001223AC">
              <w:rPr>
                <w:rFonts w:cs="Arial"/>
                <w:sz w:val="20"/>
                <w:szCs w:val="20"/>
              </w:rPr>
              <w:t xml:space="preserve"> </w:t>
            </w:r>
          </w:p>
        </w:tc>
      </w:tr>
      <w:tr w:rsidR="00B42F2B" w:rsidRPr="001223AC" w14:paraId="494D3BDC" w14:textId="77777777" w:rsidTr="00B42F2B">
        <w:trPr>
          <w:cantSplit/>
        </w:trPr>
        <w:tc>
          <w:tcPr>
            <w:tcW w:w="3618" w:type="dxa"/>
          </w:tcPr>
          <w:p w14:paraId="3E5030F0" w14:textId="77777777" w:rsidR="00B42F2B" w:rsidRPr="001223AC" w:rsidRDefault="00B42F2B" w:rsidP="00B42F2B">
            <w:pPr>
              <w:jc w:val="center"/>
              <w:rPr>
                <w:rFonts w:cs="Arial"/>
                <w:sz w:val="20"/>
                <w:szCs w:val="20"/>
              </w:rPr>
            </w:pPr>
            <w:r w:rsidRPr="001223AC">
              <w:rPr>
                <w:rFonts w:cs="Arial"/>
                <w:sz w:val="20"/>
                <w:szCs w:val="20"/>
              </w:rPr>
              <w:t>Wyoming</w:t>
            </w:r>
          </w:p>
        </w:tc>
        <w:tc>
          <w:tcPr>
            <w:tcW w:w="2325" w:type="dxa"/>
          </w:tcPr>
          <w:p w14:paraId="25724C58" w14:textId="094449DE" w:rsidR="00B42F2B" w:rsidRPr="001223AC" w:rsidRDefault="00B42F2B" w:rsidP="00B42F2B">
            <w:pPr>
              <w:jc w:val="center"/>
              <w:rPr>
                <w:rFonts w:cs="Arial"/>
                <w:sz w:val="20"/>
                <w:szCs w:val="20"/>
              </w:rPr>
            </w:pPr>
            <w:r w:rsidRPr="001223AC">
              <w:rPr>
                <w:rFonts w:cs="Arial"/>
                <w:sz w:val="20"/>
                <w:szCs w:val="20"/>
              </w:rPr>
              <w:t xml:space="preserve"> 3</w:t>
            </w:r>
            <w:r w:rsidR="00F95584">
              <w:rPr>
                <w:rFonts w:cs="Arial"/>
                <w:sz w:val="20"/>
                <w:szCs w:val="20"/>
              </w:rPr>
              <w:t>5.0</w:t>
            </w:r>
            <w:r w:rsidRPr="001223AC">
              <w:rPr>
                <w:rFonts w:cs="Arial"/>
                <w:sz w:val="20"/>
                <w:szCs w:val="20"/>
              </w:rPr>
              <w:t xml:space="preserve"> </w:t>
            </w:r>
          </w:p>
        </w:tc>
        <w:tc>
          <w:tcPr>
            <w:tcW w:w="2313" w:type="dxa"/>
          </w:tcPr>
          <w:p w14:paraId="2CE787B0" w14:textId="1BD27D20" w:rsidR="00B42F2B" w:rsidRPr="001223AC" w:rsidRDefault="00B42F2B" w:rsidP="00B42F2B">
            <w:pPr>
              <w:jc w:val="center"/>
              <w:rPr>
                <w:rFonts w:cs="Arial"/>
                <w:sz w:val="20"/>
                <w:szCs w:val="20"/>
              </w:rPr>
            </w:pPr>
            <w:r w:rsidRPr="001223AC">
              <w:rPr>
                <w:rFonts w:cs="Arial"/>
                <w:sz w:val="20"/>
                <w:szCs w:val="20"/>
              </w:rPr>
              <w:t xml:space="preserve"> 2</w:t>
            </w:r>
            <w:r w:rsidR="00F95584">
              <w:rPr>
                <w:rFonts w:cs="Arial"/>
                <w:sz w:val="20"/>
                <w:szCs w:val="20"/>
              </w:rPr>
              <w:t>88.9</w:t>
            </w:r>
            <w:r w:rsidRPr="001223AC">
              <w:rPr>
                <w:rFonts w:cs="Arial"/>
                <w:sz w:val="20"/>
                <w:szCs w:val="20"/>
              </w:rPr>
              <w:t xml:space="preserve"> </w:t>
            </w:r>
          </w:p>
        </w:tc>
      </w:tr>
      <w:tr w:rsidR="00B42F2B" w:rsidRPr="001223AC" w14:paraId="1EB16941" w14:textId="77777777" w:rsidTr="00B42F2B">
        <w:trPr>
          <w:cantSplit/>
        </w:trPr>
        <w:tc>
          <w:tcPr>
            <w:tcW w:w="3618" w:type="dxa"/>
          </w:tcPr>
          <w:p w14:paraId="32FE475B" w14:textId="77777777" w:rsidR="00B42F2B" w:rsidRPr="001223AC" w:rsidRDefault="00B42F2B" w:rsidP="00B42F2B">
            <w:pPr>
              <w:jc w:val="center"/>
              <w:rPr>
                <w:rFonts w:cs="Arial"/>
                <w:sz w:val="20"/>
                <w:szCs w:val="20"/>
              </w:rPr>
            </w:pPr>
            <w:r w:rsidRPr="001223AC">
              <w:rPr>
                <w:rFonts w:cs="Arial"/>
                <w:sz w:val="20"/>
                <w:szCs w:val="20"/>
              </w:rPr>
              <w:t>Colorado</w:t>
            </w:r>
          </w:p>
        </w:tc>
        <w:tc>
          <w:tcPr>
            <w:tcW w:w="2325" w:type="dxa"/>
          </w:tcPr>
          <w:p w14:paraId="60043F21" w14:textId="7517064B" w:rsidR="00B42F2B" w:rsidRPr="001223AC" w:rsidRDefault="00B42F2B" w:rsidP="00B42F2B">
            <w:pPr>
              <w:jc w:val="center"/>
              <w:rPr>
                <w:rFonts w:cs="Arial"/>
                <w:sz w:val="20"/>
                <w:szCs w:val="20"/>
              </w:rPr>
            </w:pPr>
            <w:r w:rsidRPr="001223AC">
              <w:rPr>
                <w:rFonts w:cs="Arial"/>
                <w:sz w:val="20"/>
                <w:szCs w:val="20"/>
              </w:rPr>
              <w:t xml:space="preserve"> </w:t>
            </w:r>
            <w:r w:rsidR="00F95584">
              <w:rPr>
                <w:rFonts w:cs="Arial"/>
                <w:sz w:val="20"/>
                <w:szCs w:val="20"/>
              </w:rPr>
              <w:t>28.7</w:t>
            </w:r>
            <w:r w:rsidRPr="001223AC">
              <w:rPr>
                <w:rFonts w:cs="Arial"/>
                <w:sz w:val="20"/>
                <w:szCs w:val="20"/>
              </w:rPr>
              <w:t xml:space="preserve"> </w:t>
            </w:r>
          </w:p>
        </w:tc>
        <w:tc>
          <w:tcPr>
            <w:tcW w:w="2313" w:type="dxa"/>
          </w:tcPr>
          <w:p w14:paraId="1DF6C35C" w14:textId="0F596B01" w:rsidR="00B42F2B" w:rsidRPr="001223AC" w:rsidRDefault="00B42F2B" w:rsidP="00B42F2B">
            <w:pPr>
              <w:jc w:val="center"/>
              <w:rPr>
                <w:rFonts w:cs="Arial"/>
                <w:sz w:val="20"/>
                <w:szCs w:val="20"/>
              </w:rPr>
            </w:pPr>
            <w:r w:rsidRPr="001223AC">
              <w:rPr>
                <w:rFonts w:cs="Arial"/>
                <w:sz w:val="20"/>
                <w:szCs w:val="20"/>
              </w:rPr>
              <w:t xml:space="preserve"> 2</w:t>
            </w:r>
            <w:r w:rsidR="00F95584">
              <w:rPr>
                <w:rFonts w:cs="Arial"/>
                <w:sz w:val="20"/>
                <w:szCs w:val="20"/>
              </w:rPr>
              <w:t>43.5</w:t>
            </w:r>
            <w:r w:rsidRPr="001223AC">
              <w:rPr>
                <w:rFonts w:cs="Arial"/>
                <w:sz w:val="20"/>
                <w:szCs w:val="20"/>
              </w:rPr>
              <w:t xml:space="preserve"> </w:t>
            </w:r>
          </w:p>
        </w:tc>
      </w:tr>
      <w:tr w:rsidR="00B42F2B" w:rsidRPr="001223AC" w14:paraId="68AB1BA2" w14:textId="77777777" w:rsidTr="00B42F2B">
        <w:trPr>
          <w:cantSplit/>
        </w:trPr>
        <w:tc>
          <w:tcPr>
            <w:tcW w:w="3618" w:type="dxa"/>
          </w:tcPr>
          <w:p w14:paraId="171FAB5F" w14:textId="77777777" w:rsidR="00B42F2B" w:rsidRPr="001223AC" w:rsidRDefault="00B42F2B" w:rsidP="00B42F2B">
            <w:pPr>
              <w:jc w:val="center"/>
              <w:rPr>
                <w:rFonts w:cs="Arial"/>
                <w:sz w:val="20"/>
                <w:szCs w:val="20"/>
              </w:rPr>
            </w:pPr>
            <w:r w:rsidRPr="001223AC">
              <w:rPr>
                <w:rFonts w:cs="Arial"/>
                <w:sz w:val="20"/>
                <w:szCs w:val="20"/>
              </w:rPr>
              <w:t>Utah</w:t>
            </w:r>
          </w:p>
        </w:tc>
        <w:tc>
          <w:tcPr>
            <w:tcW w:w="2325" w:type="dxa"/>
          </w:tcPr>
          <w:p w14:paraId="34FE1D4D" w14:textId="746AAD4C" w:rsidR="00B42F2B" w:rsidRPr="001223AC" w:rsidRDefault="00B42F2B" w:rsidP="00B42F2B">
            <w:pPr>
              <w:jc w:val="center"/>
              <w:rPr>
                <w:rFonts w:cs="Arial"/>
                <w:sz w:val="20"/>
                <w:szCs w:val="20"/>
              </w:rPr>
            </w:pPr>
            <w:r w:rsidRPr="001223AC">
              <w:rPr>
                <w:rFonts w:cs="Arial"/>
                <w:sz w:val="20"/>
                <w:szCs w:val="20"/>
              </w:rPr>
              <w:t xml:space="preserve"> 2</w:t>
            </w:r>
            <w:r w:rsidR="00F95584">
              <w:rPr>
                <w:rFonts w:cs="Arial"/>
                <w:sz w:val="20"/>
                <w:szCs w:val="20"/>
              </w:rPr>
              <w:t>7.7</w:t>
            </w:r>
            <w:r w:rsidRPr="001223AC">
              <w:rPr>
                <w:rFonts w:cs="Arial"/>
                <w:sz w:val="20"/>
                <w:szCs w:val="20"/>
              </w:rPr>
              <w:t xml:space="preserve"> </w:t>
            </w:r>
          </w:p>
        </w:tc>
        <w:tc>
          <w:tcPr>
            <w:tcW w:w="2313" w:type="dxa"/>
          </w:tcPr>
          <w:p w14:paraId="13B6D8E2" w14:textId="3B8735B2" w:rsidR="00B42F2B" w:rsidRPr="001223AC" w:rsidRDefault="00B42F2B" w:rsidP="00B42F2B">
            <w:pPr>
              <w:jc w:val="center"/>
              <w:rPr>
                <w:rFonts w:cs="Arial"/>
                <w:sz w:val="20"/>
                <w:szCs w:val="20"/>
              </w:rPr>
            </w:pPr>
            <w:r w:rsidRPr="001223AC">
              <w:rPr>
                <w:rFonts w:cs="Arial"/>
                <w:sz w:val="20"/>
                <w:szCs w:val="20"/>
              </w:rPr>
              <w:t xml:space="preserve"> 2</w:t>
            </w:r>
            <w:r w:rsidR="00F95584">
              <w:rPr>
                <w:rFonts w:cs="Arial"/>
                <w:sz w:val="20"/>
                <w:szCs w:val="20"/>
              </w:rPr>
              <w:t>38.8</w:t>
            </w:r>
          </w:p>
        </w:tc>
      </w:tr>
      <w:tr w:rsidR="00B42F2B" w:rsidRPr="001223AC" w14:paraId="7EBC6C73" w14:textId="77777777" w:rsidTr="00B42F2B">
        <w:trPr>
          <w:cantSplit/>
        </w:trPr>
        <w:tc>
          <w:tcPr>
            <w:tcW w:w="3618" w:type="dxa"/>
          </w:tcPr>
          <w:p w14:paraId="07500546" w14:textId="77777777" w:rsidR="00B42F2B" w:rsidRPr="001223AC" w:rsidRDefault="00B42F2B" w:rsidP="00B42F2B">
            <w:pPr>
              <w:jc w:val="center"/>
              <w:rPr>
                <w:rFonts w:cs="Arial"/>
                <w:sz w:val="20"/>
                <w:szCs w:val="20"/>
              </w:rPr>
            </w:pPr>
            <w:r w:rsidRPr="001223AC">
              <w:rPr>
                <w:rFonts w:cs="Arial"/>
                <w:sz w:val="20"/>
                <w:szCs w:val="20"/>
              </w:rPr>
              <w:t>Idaho</w:t>
            </w:r>
          </w:p>
        </w:tc>
        <w:tc>
          <w:tcPr>
            <w:tcW w:w="2325" w:type="dxa"/>
          </w:tcPr>
          <w:p w14:paraId="23E705BB" w14:textId="4D23B585" w:rsidR="00B42F2B" w:rsidRPr="001223AC" w:rsidRDefault="00B42F2B" w:rsidP="00B42F2B">
            <w:pPr>
              <w:jc w:val="center"/>
              <w:rPr>
                <w:rFonts w:cs="Arial"/>
                <w:sz w:val="20"/>
                <w:szCs w:val="20"/>
              </w:rPr>
            </w:pPr>
            <w:r w:rsidRPr="001223AC">
              <w:rPr>
                <w:rFonts w:cs="Arial"/>
                <w:sz w:val="20"/>
                <w:szCs w:val="20"/>
              </w:rPr>
              <w:t xml:space="preserve"> 2</w:t>
            </w:r>
            <w:r w:rsidR="00F95584">
              <w:rPr>
                <w:rFonts w:cs="Arial"/>
                <w:sz w:val="20"/>
                <w:szCs w:val="20"/>
              </w:rPr>
              <w:t>4.4</w:t>
            </w:r>
            <w:r w:rsidRPr="001223AC">
              <w:rPr>
                <w:rFonts w:cs="Arial"/>
                <w:sz w:val="20"/>
                <w:szCs w:val="20"/>
              </w:rPr>
              <w:t xml:space="preserve"> </w:t>
            </w:r>
          </w:p>
        </w:tc>
        <w:tc>
          <w:tcPr>
            <w:tcW w:w="2313" w:type="dxa"/>
          </w:tcPr>
          <w:p w14:paraId="70D38C5B" w14:textId="6DF79092" w:rsidR="00B42F2B" w:rsidRPr="001223AC" w:rsidRDefault="00B42F2B" w:rsidP="00B42F2B">
            <w:pPr>
              <w:jc w:val="center"/>
              <w:rPr>
                <w:rFonts w:cs="Arial"/>
                <w:sz w:val="20"/>
                <w:szCs w:val="20"/>
              </w:rPr>
            </w:pPr>
            <w:r w:rsidRPr="001223AC">
              <w:rPr>
                <w:rFonts w:cs="Arial"/>
                <w:sz w:val="20"/>
                <w:szCs w:val="20"/>
              </w:rPr>
              <w:t xml:space="preserve"> 21</w:t>
            </w:r>
            <w:r w:rsidR="00F95584">
              <w:rPr>
                <w:rFonts w:cs="Arial"/>
                <w:sz w:val="20"/>
                <w:szCs w:val="20"/>
              </w:rPr>
              <w:t>3.0</w:t>
            </w:r>
            <w:r w:rsidRPr="001223AC">
              <w:rPr>
                <w:rFonts w:cs="Arial"/>
                <w:sz w:val="20"/>
                <w:szCs w:val="20"/>
              </w:rPr>
              <w:t xml:space="preserve"> </w:t>
            </w:r>
          </w:p>
        </w:tc>
      </w:tr>
      <w:tr w:rsidR="00B42F2B" w:rsidRPr="001223AC" w14:paraId="2FDF69AC" w14:textId="77777777" w:rsidTr="00B42F2B">
        <w:trPr>
          <w:cantSplit/>
        </w:trPr>
        <w:tc>
          <w:tcPr>
            <w:tcW w:w="3618" w:type="dxa"/>
            <w:tcBorders>
              <w:bottom w:val="single" w:sz="4" w:space="0" w:color="auto"/>
            </w:tcBorders>
          </w:tcPr>
          <w:p w14:paraId="1D997F7A" w14:textId="77777777" w:rsidR="00B42F2B" w:rsidRPr="001223AC" w:rsidRDefault="00B42F2B" w:rsidP="00B42F2B">
            <w:pPr>
              <w:jc w:val="center"/>
              <w:rPr>
                <w:rFonts w:cs="Arial"/>
                <w:sz w:val="20"/>
                <w:szCs w:val="20"/>
              </w:rPr>
            </w:pPr>
            <w:r w:rsidRPr="001223AC">
              <w:rPr>
                <w:rFonts w:cs="Arial"/>
                <w:sz w:val="20"/>
                <w:szCs w:val="20"/>
              </w:rPr>
              <w:t>California</w:t>
            </w:r>
          </w:p>
        </w:tc>
        <w:tc>
          <w:tcPr>
            <w:tcW w:w="2325" w:type="dxa"/>
            <w:tcBorders>
              <w:bottom w:val="single" w:sz="4" w:space="0" w:color="auto"/>
            </w:tcBorders>
          </w:tcPr>
          <w:p w14:paraId="24BC1D00" w14:textId="4D722866" w:rsidR="00B42F2B" w:rsidRPr="001223AC" w:rsidRDefault="00B42F2B" w:rsidP="00B42F2B">
            <w:pPr>
              <w:jc w:val="center"/>
              <w:rPr>
                <w:rFonts w:cs="Arial"/>
                <w:sz w:val="20"/>
                <w:szCs w:val="20"/>
              </w:rPr>
            </w:pPr>
            <w:r w:rsidRPr="001223AC">
              <w:rPr>
                <w:rFonts w:cs="Arial"/>
                <w:sz w:val="20"/>
                <w:szCs w:val="20"/>
              </w:rPr>
              <w:t xml:space="preserve"> 23.</w:t>
            </w:r>
            <w:r w:rsidR="00F95584">
              <w:rPr>
                <w:rFonts w:cs="Arial"/>
                <w:sz w:val="20"/>
                <w:szCs w:val="20"/>
              </w:rPr>
              <w:t>0</w:t>
            </w:r>
            <w:r w:rsidRPr="001223AC">
              <w:rPr>
                <w:rFonts w:cs="Arial"/>
                <w:sz w:val="20"/>
                <w:szCs w:val="20"/>
              </w:rPr>
              <w:t xml:space="preserve"> </w:t>
            </w:r>
          </w:p>
        </w:tc>
        <w:tc>
          <w:tcPr>
            <w:tcW w:w="2313" w:type="dxa"/>
            <w:tcBorders>
              <w:bottom w:val="single" w:sz="4" w:space="0" w:color="auto"/>
            </w:tcBorders>
          </w:tcPr>
          <w:p w14:paraId="5FB14CE2" w14:textId="2F84B888" w:rsidR="00B42F2B" w:rsidRPr="001223AC" w:rsidRDefault="00B42F2B" w:rsidP="00B42F2B">
            <w:pPr>
              <w:jc w:val="center"/>
              <w:rPr>
                <w:rFonts w:cs="Arial"/>
                <w:sz w:val="20"/>
                <w:szCs w:val="20"/>
              </w:rPr>
            </w:pPr>
            <w:r w:rsidRPr="001223AC">
              <w:rPr>
                <w:rFonts w:cs="Arial"/>
                <w:sz w:val="20"/>
                <w:szCs w:val="20"/>
              </w:rPr>
              <w:t xml:space="preserve"> 1</w:t>
            </w:r>
            <w:r w:rsidR="00F95584">
              <w:rPr>
                <w:rFonts w:cs="Arial"/>
                <w:sz w:val="20"/>
                <w:szCs w:val="20"/>
              </w:rPr>
              <w:t>68.4</w:t>
            </w:r>
            <w:r w:rsidRPr="001223AC">
              <w:rPr>
                <w:rFonts w:cs="Arial"/>
                <w:sz w:val="20"/>
                <w:szCs w:val="20"/>
              </w:rPr>
              <w:t xml:space="preserve"> </w:t>
            </w:r>
          </w:p>
        </w:tc>
      </w:tr>
      <w:tr w:rsidR="00B42F2B" w:rsidRPr="001223AC" w14:paraId="2141C676" w14:textId="77777777" w:rsidTr="00B42F2B">
        <w:trPr>
          <w:cantSplit/>
        </w:trPr>
        <w:tc>
          <w:tcPr>
            <w:tcW w:w="3618" w:type="dxa"/>
            <w:shd w:val="clear" w:color="auto" w:fill="auto"/>
          </w:tcPr>
          <w:p w14:paraId="28E5B0B8" w14:textId="77777777" w:rsidR="00B42F2B" w:rsidRPr="001223AC" w:rsidRDefault="00B42F2B" w:rsidP="00B42F2B">
            <w:pPr>
              <w:jc w:val="center"/>
              <w:rPr>
                <w:rFonts w:cs="Arial"/>
                <w:sz w:val="20"/>
                <w:szCs w:val="20"/>
              </w:rPr>
            </w:pPr>
            <w:r w:rsidRPr="001223AC">
              <w:rPr>
                <w:rFonts w:cs="Arial"/>
                <w:sz w:val="20"/>
                <w:szCs w:val="20"/>
              </w:rPr>
              <w:t>New Mexico</w:t>
            </w:r>
          </w:p>
        </w:tc>
        <w:tc>
          <w:tcPr>
            <w:tcW w:w="2325" w:type="dxa"/>
            <w:shd w:val="clear" w:color="auto" w:fill="auto"/>
          </w:tcPr>
          <w:p w14:paraId="0EB95664" w14:textId="11A80D54" w:rsidR="00B42F2B" w:rsidRPr="001223AC" w:rsidRDefault="00B42F2B" w:rsidP="00B42F2B">
            <w:pPr>
              <w:jc w:val="center"/>
              <w:rPr>
                <w:rFonts w:cs="Arial"/>
                <w:sz w:val="20"/>
                <w:szCs w:val="20"/>
              </w:rPr>
            </w:pPr>
            <w:r w:rsidRPr="001223AC">
              <w:rPr>
                <w:rFonts w:cs="Arial"/>
                <w:sz w:val="20"/>
                <w:szCs w:val="20"/>
              </w:rPr>
              <w:t xml:space="preserve"> 2</w:t>
            </w:r>
            <w:r w:rsidR="00F95584">
              <w:rPr>
                <w:rFonts w:cs="Arial"/>
                <w:sz w:val="20"/>
                <w:szCs w:val="20"/>
              </w:rPr>
              <w:t>0.8</w:t>
            </w:r>
            <w:r w:rsidRPr="001223AC">
              <w:rPr>
                <w:rFonts w:cs="Arial"/>
                <w:sz w:val="20"/>
                <w:szCs w:val="20"/>
              </w:rPr>
              <w:t xml:space="preserve"> </w:t>
            </w:r>
          </w:p>
        </w:tc>
        <w:tc>
          <w:tcPr>
            <w:tcW w:w="2313" w:type="dxa"/>
            <w:shd w:val="clear" w:color="auto" w:fill="auto"/>
          </w:tcPr>
          <w:p w14:paraId="7734021B" w14:textId="771413C6" w:rsidR="00B42F2B" w:rsidRPr="001223AC" w:rsidRDefault="00B42F2B" w:rsidP="00B42F2B">
            <w:pPr>
              <w:jc w:val="center"/>
              <w:rPr>
                <w:rFonts w:cs="Arial"/>
                <w:sz w:val="20"/>
                <w:szCs w:val="20"/>
              </w:rPr>
            </w:pPr>
            <w:r w:rsidRPr="001223AC">
              <w:rPr>
                <w:rFonts w:cs="Arial"/>
                <w:sz w:val="20"/>
                <w:szCs w:val="20"/>
              </w:rPr>
              <w:t xml:space="preserve"> 1</w:t>
            </w:r>
            <w:r w:rsidR="00F95584">
              <w:rPr>
                <w:rFonts w:cs="Arial"/>
                <w:sz w:val="20"/>
                <w:szCs w:val="20"/>
              </w:rPr>
              <w:t>77.5</w:t>
            </w:r>
            <w:r w:rsidRPr="001223AC">
              <w:rPr>
                <w:rFonts w:cs="Arial"/>
                <w:sz w:val="20"/>
                <w:szCs w:val="20"/>
              </w:rPr>
              <w:t xml:space="preserve"> </w:t>
            </w:r>
          </w:p>
        </w:tc>
      </w:tr>
      <w:tr w:rsidR="00B42F2B" w:rsidRPr="001223AC" w14:paraId="72A38890" w14:textId="77777777" w:rsidTr="00B42F2B">
        <w:trPr>
          <w:cantSplit/>
        </w:trPr>
        <w:tc>
          <w:tcPr>
            <w:tcW w:w="3618" w:type="dxa"/>
            <w:shd w:val="clear" w:color="auto" w:fill="D9D9D9" w:themeFill="background1" w:themeFillShade="D9"/>
          </w:tcPr>
          <w:p w14:paraId="7367720F" w14:textId="77777777" w:rsidR="00B42F2B" w:rsidRPr="001223AC" w:rsidRDefault="00B42F2B" w:rsidP="00B42F2B">
            <w:pPr>
              <w:jc w:val="center"/>
              <w:rPr>
                <w:rFonts w:cs="Arial"/>
                <w:sz w:val="20"/>
                <w:szCs w:val="20"/>
              </w:rPr>
            </w:pPr>
            <w:r w:rsidRPr="001223AC">
              <w:rPr>
                <w:rFonts w:cs="Arial"/>
                <w:sz w:val="20"/>
                <w:szCs w:val="20"/>
              </w:rPr>
              <w:t>Washington</w:t>
            </w:r>
          </w:p>
        </w:tc>
        <w:tc>
          <w:tcPr>
            <w:tcW w:w="2325" w:type="dxa"/>
            <w:shd w:val="clear" w:color="auto" w:fill="D9D9D9" w:themeFill="background1" w:themeFillShade="D9"/>
          </w:tcPr>
          <w:p w14:paraId="628F9771" w14:textId="58477EFA" w:rsidR="00B42F2B" w:rsidRPr="001223AC" w:rsidRDefault="00B42F2B" w:rsidP="00B42F2B">
            <w:pPr>
              <w:jc w:val="center"/>
              <w:rPr>
                <w:rFonts w:cs="Arial"/>
                <w:sz w:val="20"/>
                <w:szCs w:val="20"/>
              </w:rPr>
            </w:pPr>
            <w:r w:rsidRPr="001223AC">
              <w:rPr>
                <w:rFonts w:cs="Arial"/>
                <w:sz w:val="20"/>
                <w:szCs w:val="20"/>
              </w:rPr>
              <w:t xml:space="preserve"> 2</w:t>
            </w:r>
            <w:r w:rsidR="00F95584">
              <w:rPr>
                <w:rFonts w:cs="Arial"/>
                <w:sz w:val="20"/>
                <w:szCs w:val="20"/>
              </w:rPr>
              <w:t>0.4</w:t>
            </w:r>
            <w:r w:rsidRPr="001223AC">
              <w:rPr>
                <w:rFonts w:cs="Arial"/>
                <w:sz w:val="20"/>
                <w:szCs w:val="20"/>
              </w:rPr>
              <w:t xml:space="preserve"> </w:t>
            </w:r>
          </w:p>
        </w:tc>
        <w:tc>
          <w:tcPr>
            <w:tcW w:w="2313" w:type="dxa"/>
            <w:shd w:val="clear" w:color="auto" w:fill="D9D9D9" w:themeFill="background1" w:themeFillShade="D9"/>
          </w:tcPr>
          <w:p w14:paraId="39B1BCC4" w14:textId="49DF13F6" w:rsidR="00B42F2B" w:rsidRPr="001223AC" w:rsidRDefault="00B42F2B" w:rsidP="00B42F2B">
            <w:pPr>
              <w:jc w:val="center"/>
              <w:rPr>
                <w:rFonts w:cs="Arial"/>
                <w:sz w:val="20"/>
                <w:szCs w:val="20"/>
              </w:rPr>
            </w:pPr>
            <w:r w:rsidRPr="001223AC">
              <w:rPr>
                <w:rFonts w:cs="Arial"/>
                <w:sz w:val="20"/>
                <w:szCs w:val="20"/>
              </w:rPr>
              <w:t xml:space="preserve"> 16</w:t>
            </w:r>
            <w:r w:rsidR="00F95584">
              <w:rPr>
                <w:rFonts w:cs="Arial"/>
                <w:sz w:val="20"/>
                <w:szCs w:val="20"/>
              </w:rPr>
              <w:t>1.6</w:t>
            </w:r>
            <w:r w:rsidRPr="001223AC">
              <w:rPr>
                <w:rFonts w:cs="Arial"/>
                <w:sz w:val="20"/>
                <w:szCs w:val="20"/>
              </w:rPr>
              <w:t xml:space="preserve"> </w:t>
            </w:r>
          </w:p>
        </w:tc>
      </w:tr>
      <w:tr w:rsidR="00B42F2B" w:rsidRPr="001223AC" w14:paraId="57094DE9" w14:textId="77777777" w:rsidTr="00B42F2B">
        <w:trPr>
          <w:cantSplit/>
        </w:trPr>
        <w:tc>
          <w:tcPr>
            <w:tcW w:w="3618" w:type="dxa"/>
          </w:tcPr>
          <w:p w14:paraId="06BAE298" w14:textId="77777777" w:rsidR="00B42F2B" w:rsidRPr="001223AC" w:rsidRDefault="00B42F2B" w:rsidP="00B42F2B">
            <w:pPr>
              <w:jc w:val="center"/>
              <w:rPr>
                <w:rFonts w:cs="Arial"/>
                <w:sz w:val="20"/>
                <w:szCs w:val="20"/>
              </w:rPr>
            </w:pPr>
            <w:r w:rsidRPr="001223AC">
              <w:rPr>
                <w:rFonts w:cs="Arial"/>
                <w:sz w:val="20"/>
                <w:szCs w:val="20"/>
              </w:rPr>
              <w:t>Oregon</w:t>
            </w:r>
          </w:p>
        </w:tc>
        <w:tc>
          <w:tcPr>
            <w:tcW w:w="2325" w:type="dxa"/>
          </w:tcPr>
          <w:p w14:paraId="4A939272" w14:textId="0E0DA7BA" w:rsidR="00B42F2B" w:rsidRPr="001223AC" w:rsidRDefault="00B42F2B" w:rsidP="00B42F2B">
            <w:pPr>
              <w:jc w:val="center"/>
              <w:rPr>
                <w:rFonts w:cs="Arial"/>
                <w:sz w:val="20"/>
                <w:szCs w:val="20"/>
              </w:rPr>
            </w:pPr>
            <w:r w:rsidRPr="001223AC">
              <w:rPr>
                <w:rFonts w:cs="Arial"/>
                <w:sz w:val="20"/>
                <w:szCs w:val="20"/>
              </w:rPr>
              <w:t xml:space="preserve"> 1</w:t>
            </w:r>
            <w:r w:rsidR="00F95584">
              <w:rPr>
                <w:rFonts w:cs="Arial"/>
                <w:sz w:val="20"/>
                <w:szCs w:val="20"/>
              </w:rPr>
              <w:t>8.5</w:t>
            </w:r>
            <w:r w:rsidRPr="001223AC">
              <w:rPr>
                <w:rFonts w:cs="Arial"/>
                <w:sz w:val="20"/>
                <w:szCs w:val="20"/>
              </w:rPr>
              <w:t xml:space="preserve"> </w:t>
            </w:r>
          </w:p>
        </w:tc>
        <w:tc>
          <w:tcPr>
            <w:tcW w:w="2313" w:type="dxa"/>
          </w:tcPr>
          <w:p w14:paraId="1A660638" w14:textId="3CE83880" w:rsidR="00B42F2B" w:rsidRPr="001223AC" w:rsidRDefault="00B42F2B" w:rsidP="00B42F2B">
            <w:pPr>
              <w:jc w:val="center"/>
              <w:rPr>
                <w:rFonts w:cs="Arial"/>
                <w:sz w:val="20"/>
                <w:szCs w:val="20"/>
              </w:rPr>
            </w:pPr>
            <w:r w:rsidRPr="001223AC">
              <w:rPr>
                <w:rFonts w:cs="Arial"/>
                <w:sz w:val="20"/>
                <w:szCs w:val="20"/>
              </w:rPr>
              <w:t xml:space="preserve"> 14</w:t>
            </w:r>
            <w:r w:rsidR="00F95584">
              <w:rPr>
                <w:rFonts w:cs="Arial"/>
                <w:sz w:val="20"/>
                <w:szCs w:val="20"/>
              </w:rPr>
              <w:t>5.2</w:t>
            </w:r>
            <w:r w:rsidRPr="001223AC">
              <w:rPr>
                <w:rFonts w:cs="Arial"/>
                <w:sz w:val="20"/>
                <w:szCs w:val="20"/>
              </w:rPr>
              <w:t xml:space="preserve"> </w:t>
            </w:r>
          </w:p>
        </w:tc>
      </w:tr>
      <w:tr w:rsidR="00B42F2B" w:rsidRPr="001223AC" w14:paraId="0918A900" w14:textId="77777777" w:rsidTr="00B42F2B">
        <w:trPr>
          <w:cantSplit/>
        </w:trPr>
        <w:tc>
          <w:tcPr>
            <w:tcW w:w="3618" w:type="dxa"/>
          </w:tcPr>
          <w:p w14:paraId="1AFECCFF" w14:textId="77777777" w:rsidR="00B42F2B" w:rsidRPr="001223AC" w:rsidRDefault="00B42F2B" w:rsidP="00B42F2B">
            <w:pPr>
              <w:jc w:val="center"/>
              <w:rPr>
                <w:rFonts w:cs="Arial"/>
                <w:sz w:val="20"/>
                <w:szCs w:val="20"/>
              </w:rPr>
            </w:pPr>
            <w:r w:rsidRPr="001223AC">
              <w:rPr>
                <w:rFonts w:cs="Arial"/>
                <w:sz w:val="20"/>
                <w:szCs w:val="20"/>
              </w:rPr>
              <w:t>Arizona</w:t>
            </w:r>
          </w:p>
        </w:tc>
        <w:tc>
          <w:tcPr>
            <w:tcW w:w="2325" w:type="dxa"/>
          </w:tcPr>
          <w:p w14:paraId="3C0B14F3" w14:textId="33CC6D9A" w:rsidR="00B42F2B" w:rsidRPr="001223AC" w:rsidRDefault="00B42F2B" w:rsidP="00B42F2B">
            <w:pPr>
              <w:jc w:val="center"/>
              <w:rPr>
                <w:rFonts w:cs="Arial"/>
                <w:sz w:val="20"/>
                <w:szCs w:val="20"/>
              </w:rPr>
            </w:pPr>
            <w:r w:rsidRPr="001223AC">
              <w:rPr>
                <w:rFonts w:cs="Arial"/>
                <w:sz w:val="20"/>
                <w:szCs w:val="20"/>
              </w:rPr>
              <w:t xml:space="preserve"> 1</w:t>
            </w:r>
            <w:r w:rsidR="00F95584">
              <w:rPr>
                <w:rFonts w:cs="Arial"/>
                <w:sz w:val="20"/>
                <w:szCs w:val="20"/>
              </w:rPr>
              <w:t>4.7</w:t>
            </w:r>
            <w:r w:rsidRPr="001223AC">
              <w:rPr>
                <w:rFonts w:cs="Arial"/>
                <w:sz w:val="20"/>
                <w:szCs w:val="20"/>
              </w:rPr>
              <w:t xml:space="preserve"> </w:t>
            </w:r>
          </w:p>
        </w:tc>
        <w:tc>
          <w:tcPr>
            <w:tcW w:w="2313" w:type="dxa"/>
          </w:tcPr>
          <w:p w14:paraId="102F7E9B" w14:textId="44958463" w:rsidR="00B42F2B" w:rsidRPr="001223AC" w:rsidRDefault="00B42F2B" w:rsidP="00B42F2B">
            <w:pPr>
              <w:jc w:val="center"/>
              <w:rPr>
                <w:rFonts w:cs="Arial"/>
                <w:sz w:val="20"/>
                <w:szCs w:val="20"/>
              </w:rPr>
            </w:pPr>
            <w:r w:rsidRPr="001223AC">
              <w:rPr>
                <w:rFonts w:cs="Arial"/>
                <w:sz w:val="20"/>
                <w:szCs w:val="20"/>
              </w:rPr>
              <w:t xml:space="preserve"> 1</w:t>
            </w:r>
            <w:r w:rsidR="00F95584">
              <w:rPr>
                <w:rFonts w:cs="Arial"/>
                <w:sz w:val="20"/>
                <w:szCs w:val="20"/>
              </w:rPr>
              <w:t>25.8</w:t>
            </w:r>
            <w:r w:rsidRPr="001223AC">
              <w:rPr>
                <w:rFonts w:cs="Arial"/>
                <w:sz w:val="20"/>
                <w:szCs w:val="20"/>
              </w:rPr>
              <w:t xml:space="preserve"> </w:t>
            </w:r>
          </w:p>
        </w:tc>
      </w:tr>
      <w:tr w:rsidR="00B42F2B" w:rsidRPr="001223AC" w14:paraId="78FBCFA8" w14:textId="77777777" w:rsidTr="00B42F2B">
        <w:trPr>
          <w:cantSplit/>
        </w:trPr>
        <w:tc>
          <w:tcPr>
            <w:tcW w:w="3618" w:type="dxa"/>
          </w:tcPr>
          <w:p w14:paraId="12180A51" w14:textId="77777777" w:rsidR="00B42F2B" w:rsidRPr="001223AC" w:rsidRDefault="00B42F2B" w:rsidP="00B42F2B">
            <w:pPr>
              <w:jc w:val="center"/>
              <w:rPr>
                <w:rFonts w:cs="Arial"/>
                <w:sz w:val="20"/>
                <w:szCs w:val="20"/>
              </w:rPr>
            </w:pPr>
            <w:r w:rsidRPr="001223AC">
              <w:rPr>
                <w:rFonts w:cs="Arial"/>
                <w:sz w:val="20"/>
                <w:szCs w:val="20"/>
              </w:rPr>
              <w:t>Nevada</w:t>
            </w:r>
          </w:p>
        </w:tc>
        <w:tc>
          <w:tcPr>
            <w:tcW w:w="2325" w:type="dxa"/>
          </w:tcPr>
          <w:p w14:paraId="3F508A6F" w14:textId="3704A2D5" w:rsidR="00B42F2B" w:rsidRPr="001223AC" w:rsidRDefault="00B42F2B" w:rsidP="00B42F2B">
            <w:pPr>
              <w:jc w:val="center"/>
              <w:rPr>
                <w:rFonts w:cs="Arial"/>
                <w:sz w:val="20"/>
                <w:szCs w:val="20"/>
              </w:rPr>
            </w:pPr>
            <w:r w:rsidRPr="001223AC">
              <w:rPr>
                <w:rFonts w:cs="Arial"/>
                <w:sz w:val="20"/>
                <w:szCs w:val="20"/>
              </w:rPr>
              <w:t xml:space="preserve"> 1</w:t>
            </w:r>
            <w:r w:rsidR="00F95584">
              <w:rPr>
                <w:rFonts w:cs="Arial"/>
                <w:sz w:val="20"/>
                <w:szCs w:val="20"/>
              </w:rPr>
              <w:t>4.3</w:t>
            </w:r>
            <w:r w:rsidRPr="001223AC">
              <w:rPr>
                <w:rFonts w:cs="Arial"/>
                <w:sz w:val="20"/>
                <w:szCs w:val="20"/>
              </w:rPr>
              <w:t xml:space="preserve"> </w:t>
            </w:r>
          </w:p>
        </w:tc>
        <w:tc>
          <w:tcPr>
            <w:tcW w:w="2313" w:type="dxa"/>
          </w:tcPr>
          <w:p w14:paraId="0FDBA955" w14:textId="47E78930" w:rsidR="00B42F2B" w:rsidRPr="001223AC" w:rsidRDefault="00B42F2B" w:rsidP="00B42F2B">
            <w:pPr>
              <w:jc w:val="center"/>
              <w:rPr>
                <w:rFonts w:cs="Arial"/>
                <w:sz w:val="20"/>
                <w:szCs w:val="20"/>
              </w:rPr>
            </w:pPr>
            <w:r w:rsidRPr="001223AC">
              <w:rPr>
                <w:rFonts w:cs="Arial"/>
                <w:sz w:val="20"/>
                <w:szCs w:val="20"/>
              </w:rPr>
              <w:t xml:space="preserve"> 1</w:t>
            </w:r>
            <w:r w:rsidR="00F95584">
              <w:rPr>
                <w:rFonts w:cs="Arial"/>
                <w:sz w:val="20"/>
                <w:szCs w:val="20"/>
              </w:rPr>
              <w:t>52.5</w:t>
            </w:r>
            <w:r w:rsidRPr="001223AC">
              <w:rPr>
                <w:rFonts w:cs="Arial"/>
                <w:sz w:val="20"/>
                <w:szCs w:val="20"/>
              </w:rPr>
              <w:t xml:space="preserve"> </w:t>
            </w:r>
          </w:p>
        </w:tc>
      </w:tr>
      <w:tr w:rsidR="00B42F2B" w:rsidRPr="001223AC" w14:paraId="7E74DEAC" w14:textId="77777777" w:rsidTr="00B42F2B">
        <w:trPr>
          <w:cantSplit/>
        </w:trPr>
        <w:tc>
          <w:tcPr>
            <w:tcW w:w="3618" w:type="dxa"/>
            <w:tcBorders>
              <w:bottom w:val="double" w:sz="4" w:space="0" w:color="auto"/>
            </w:tcBorders>
          </w:tcPr>
          <w:p w14:paraId="6F5A5F8F" w14:textId="77777777" w:rsidR="00B42F2B" w:rsidRPr="001223AC" w:rsidRDefault="00B42F2B" w:rsidP="00B42F2B">
            <w:pPr>
              <w:jc w:val="center"/>
              <w:rPr>
                <w:rFonts w:cs="Arial"/>
                <w:sz w:val="20"/>
                <w:szCs w:val="20"/>
              </w:rPr>
            </w:pPr>
            <w:r w:rsidRPr="001223AC">
              <w:rPr>
                <w:rFonts w:cs="Arial"/>
                <w:sz w:val="20"/>
                <w:szCs w:val="20"/>
              </w:rPr>
              <w:t>Alaska</w:t>
            </w:r>
          </w:p>
        </w:tc>
        <w:tc>
          <w:tcPr>
            <w:tcW w:w="2325" w:type="dxa"/>
            <w:tcBorders>
              <w:bottom w:val="double" w:sz="4" w:space="0" w:color="auto"/>
            </w:tcBorders>
          </w:tcPr>
          <w:p w14:paraId="7910D0C8" w14:textId="1886DF0A" w:rsidR="00B42F2B" w:rsidRPr="001223AC" w:rsidRDefault="00B42F2B" w:rsidP="00B42F2B">
            <w:pPr>
              <w:jc w:val="center"/>
              <w:rPr>
                <w:rFonts w:cs="Arial"/>
                <w:sz w:val="20"/>
                <w:szCs w:val="20"/>
              </w:rPr>
            </w:pPr>
            <w:r w:rsidRPr="001223AC">
              <w:rPr>
                <w:rFonts w:cs="Arial"/>
                <w:sz w:val="20"/>
                <w:szCs w:val="20"/>
              </w:rPr>
              <w:t xml:space="preserve"> </w:t>
            </w:r>
            <w:r w:rsidR="00F95584">
              <w:rPr>
                <w:rFonts w:cs="Arial"/>
                <w:sz w:val="20"/>
                <w:szCs w:val="20"/>
              </w:rPr>
              <w:t>9.5</w:t>
            </w:r>
            <w:r w:rsidRPr="001223AC">
              <w:rPr>
                <w:rFonts w:cs="Arial"/>
                <w:sz w:val="20"/>
                <w:szCs w:val="20"/>
              </w:rPr>
              <w:t xml:space="preserve"> </w:t>
            </w:r>
          </w:p>
        </w:tc>
        <w:tc>
          <w:tcPr>
            <w:tcW w:w="2313" w:type="dxa"/>
            <w:tcBorders>
              <w:bottom w:val="double" w:sz="4" w:space="0" w:color="auto"/>
            </w:tcBorders>
          </w:tcPr>
          <w:p w14:paraId="15266EC9" w14:textId="09274BFE" w:rsidR="00B42F2B" w:rsidRPr="001223AC" w:rsidRDefault="00B42F2B" w:rsidP="00B42F2B">
            <w:pPr>
              <w:jc w:val="center"/>
              <w:rPr>
                <w:rFonts w:cs="Arial"/>
                <w:sz w:val="20"/>
                <w:szCs w:val="20"/>
              </w:rPr>
            </w:pPr>
            <w:r w:rsidRPr="001223AC">
              <w:rPr>
                <w:rFonts w:cs="Arial"/>
                <w:sz w:val="20"/>
                <w:szCs w:val="20"/>
              </w:rPr>
              <w:t xml:space="preserve"> </w:t>
            </w:r>
            <w:r w:rsidR="00F95584">
              <w:rPr>
                <w:rFonts w:cs="Arial"/>
                <w:sz w:val="20"/>
                <w:szCs w:val="20"/>
              </w:rPr>
              <w:t>112.9</w:t>
            </w:r>
            <w:r w:rsidRPr="001223AC">
              <w:rPr>
                <w:rFonts w:cs="Arial"/>
                <w:sz w:val="20"/>
                <w:szCs w:val="20"/>
              </w:rPr>
              <w:t xml:space="preserve"> </w:t>
            </w:r>
          </w:p>
        </w:tc>
      </w:tr>
      <w:tr w:rsidR="00B42F2B" w:rsidRPr="001223AC" w14:paraId="183CF063" w14:textId="77777777" w:rsidTr="00B42F2B">
        <w:trPr>
          <w:cantSplit/>
        </w:trPr>
        <w:tc>
          <w:tcPr>
            <w:tcW w:w="3618" w:type="dxa"/>
            <w:tcBorders>
              <w:top w:val="double" w:sz="4" w:space="0" w:color="auto"/>
              <w:bottom w:val="double" w:sz="4" w:space="0" w:color="auto"/>
            </w:tcBorders>
            <w:vAlign w:val="bottom"/>
          </w:tcPr>
          <w:p w14:paraId="648F5B87" w14:textId="77777777" w:rsidR="00B42F2B" w:rsidRPr="001223AC" w:rsidRDefault="00B42F2B" w:rsidP="00B42F2B">
            <w:pPr>
              <w:rPr>
                <w:rFonts w:cs="Arial"/>
                <w:sz w:val="20"/>
                <w:szCs w:val="20"/>
              </w:rPr>
            </w:pPr>
            <w:r w:rsidRPr="001223AC">
              <w:rPr>
                <w:rFonts w:cs="Arial"/>
                <w:sz w:val="20"/>
                <w:szCs w:val="20"/>
              </w:rPr>
              <w:t>Average for Twelve States</w:t>
            </w:r>
          </w:p>
        </w:tc>
        <w:tc>
          <w:tcPr>
            <w:tcW w:w="2325" w:type="dxa"/>
            <w:tcBorders>
              <w:top w:val="double" w:sz="4" w:space="0" w:color="auto"/>
              <w:bottom w:val="double" w:sz="4" w:space="0" w:color="auto"/>
            </w:tcBorders>
          </w:tcPr>
          <w:p w14:paraId="6AB72B5F" w14:textId="439AFC15" w:rsidR="00B42F2B" w:rsidRPr="001223AC" w:rsidRDefault="00B42F2B" w:rsidP="00B42F2B">
            <w:pPr>
              <w:jc w:val="center"/>
              <w:rPr>
                <w:rFonts w:cs="Arial"/>
                <w:sz w:val="20"/>
                <w:szCs w:val="20"/>
              </w:rPr>
            </w:pPr>
            <w:r w:rsidRPr="001223AC">
              <w:rPr>
                <w:rFonts w:cs="Arial"/>
                <w:sz w:val="20"/>
                <w:szCs w:val="20"/>
              </w:rPr>
              <w:t xml:space="preserve"> 2</w:t>
            </w:r>
            <w:r w:rsidR="00F95584">
              <w:rPr>
                <w:rFonts w:cs="Arial"/>
                <w:sz w:val="20"/>
                <w:szCs w:val="20"/>
              </w:rPr>
              <w:t>2.9</w:t>
            </w:r>
            <w:r w:rsidRPr="001223AC">
              <w:rPr>
                <w:rFonts w:cs="Arial"/>
                <w:sz w:val="20"/>
                <w:szCs w:val="20"/>
              </w:rPr>
              <w:t xml:space="preserve"> </w:t>
            </w:r>
          </w:p>
        </w:tc>
        <w:tc>
          <w:tcPr>
            <w:tcW w:w="2313" w:type="dxa"/>
            <w:tcBorders>
              <w:top w:val="double" w:sz="4" w:space="0" w:color="auto"/>
              <w:bottom w:val="double" w:sz="4" w:space="0" w:color="auto"/>
            </w:tcBorders>
          </w:tcPr>
          <w:p w14:paraId="1007D9D8" w14:textId="2BC57CEF" w:rsidR="00B42F2B" w:rsidRPr="001223AC" w:rsidRDefault="00B42F2B" w:rsidP="00B42F2B">
            <w:pPr>
              <w:jc w:val="center"/>
              <w:rPr>
                <w:rFonts w:cs="Arial"/>
                <w:sz w:val="20"/>
                <w:szCs w:val="20"/>
              </w:rPr>
            </w:pPr>
            <w:r w:rsidRPr="001223AC">
              <w:rPr>
                <w:rFonts w:cs="Arial"/>
                <w:sz w:val="20"/>
                <w:szCs w:val="20"/>
              </w:rPr>
              <w:t xml:space="preserve"> 19</w:t>
            </w:r>
            <w:r w:rsidR="00F95584">
              <w:rPr>
                <w:rFonts w:cs="Arial"/>
                <w:sz w:val="20"/>
                <w:szCs w:val="20"/>
              </w:rPr>
              <w:t>4.0</w:t>
            </w:r>
            <w:r w:rsidRPr="001223AC">
              <w:rPr>
                <w:rFonts w:cs="Arial"/>
                <w:sz w:val="20"/>
                <w:szCs w:val="20"/>
              </w:rPr>
              <w:t xml:space="preserve"> </w:t>
            </w:r>
          </w:p>
        </w:tc>
      </w:tr>
      <w:tr w:rsidR="00B42F2B" w:rsidRPr="001223AC" w14:paraId="356518A2" w14:textId="77777777" w:rsidTr="00B42F2B">
        <w:trPr>
          <w:cantSplit/>
        </w:trPr>
        <w:tc>
          <w:tcPr>
            <w:tcW w:w="3618" w:type="dxa"/>
            <w:tcBorders>
              <w:top w:val="double" w:sz="4" w:space="0" w:color="auto"/>
              <w:bottom w:val="double" w:sz="4" w:space="0" w:color="auto"/>
            </w:tcBorders>
            <w:vAlign w:val="bottom"/>
          </w:tcPr>
          <w:p w14:paraId="74DED34A" w14:textId="77777777" w:rsidR="00B42F2B" w:rsidRPr="001223AC" w:rsidRDefault="00B42F2B" w:rsidP="00B42F2B">
            <w:pPr>
              <w:rPr>
                <w:rFonts w:cs="Arial"/>
                <w:sz w:val="20"/>
                <w:szCs w:val="20"/>
              </w:rPr>
            </w:pPr>
            <w:r w:rsidRPr="001223AC">
              <w:rPr>
                <w:rFonts w:cs="Arial"/>
                <w:sz w:val="20"/>
                <w:szCs w:val="20"/>
              </w:rPr>
              <w:t>Average for States excluding Washington</w:t>
            </w:r>
          </w:p>
        </w:tc>
        <w:tc>
          <w:tcPr>
            <w:tcW w:w="2325" w:type="dxa"/>
            <w:tcBorders>
              <w:top w:val="double" w:sz="4" w:space="0" w:color="auto"/>
              <w:bottom w:val="double" w:sz="4" w:space="0" w:color="auto"/>
            </w:tcBorders>
          </w:tcPr>
          <w:p w14:paraId="235CA91B" w14:textId="5256A55B" w:rsidR="00B42F2B" w:rsidRPr="001223AC" w:rsidRDefault="00B42F2B" w:rsidP="00B42F2B">
            <w:pPr>
              <w:jc w:val="center"/>
              <w:rPr>
                <w:rFonts w:cs="Arial"/>
                <w:sz w:val="20"/>
                <w:szCs w:val="20"/>
              </w:rPr>
            </w:pPr>
            <w:r w:rsidRPr="001223AC">
              <w:rPr>
                <w:rFonts w:cs="Arial"/>
                <w:sz w:val="20"/>
                <w:szCs w:val="20"/>
              </w:rPr>
              <w:t xml:space="preserve"> 2</w:t>
            </w:r>
            <w:r w:rsidR="00F95584">
              <w:rPr>
                <w:rFonts w:cs="Arial"/>
                <w:sz w:val="20"/>
                <w:szCs w:val="20"/>
              </w:rPr>
              <w:t>4.1</w:t>
            </w:r>
            <w:r w:rsidRPr="001223AC">
              <w:rPr>
                <w:rFonts w:cs="Arial"/>
                <w:sz w:val="20"/>
                <w:szCs w:val="20"/>
              </w:rPr>
              <w:t xml:space="preserve"> </w:t>
            </w:r>
          </w:p>
        </w:tc>
        <w:tc>
          <w:tcPr>
            <w:tcW w:w="2313" w:type="dxa"/>
            <w:tcBorders>
              <w:top w:val="double" w:sz="4" w:space="0" w:color="auto"/>
              <w:bottom w:val="double" w:sz="4" w:space="0" w:color="auto"/>
            </w:tcBorders>
          </w:tcPr>
          <w:p w14:paraId="34D047F4" w14:textId="6112674D" w:rsidR="00B42F2B" w:rsidRPr="001223AC" w:rsidRDefault="00B42F2B" w:rsidP="00B42F2B">
            <w:pPr>
              <w:jc w:val="center"/>
              <w:rPr>
                <w:rFonts w:cs="Arial"/>
                <w:sz w:val="20"/>
                <w:szCs w:val="20"/>
              </w:rPr>
            </w:pPr>
            <w:r w:rsidRPr="001223AC">
              <w:rPr>
                <w:rFonts w:cs="Arial"/>
                <w:sz w:val="20"/>
                <w:szCs w:val="20"/>
              </w:rPr>
              <w:t xml:space="preserve"> 20</w:t>
            </w:r>
            <w:r w:rsidR="00F95584">
              <w:rPr>
                <w:rFonts w:cs="Arial"/>
                <w:sz w:val="20"/>
                <w:szCs w:val="20"/>
              </w:rPr>
              <w:t>1.4</w:t>
            </w:r>
            <w:r w:rsidRPr="001223AC">
              <w:rPr>
                <w:rFonts w:cs="Arial"/>
                <w:sz w:val="20"/>
                <w:szCs w:val="20"/>
              </w:rPr>
              <w:t xml:space="preserve"> </w:t>
            </w:r>
          </w:p>
        </w:tc>
      </w:tr>
    </w:tbl>
    <w:p w14:paraId="026ED326" w14:textId="77777777" w:rsidR="00B42F2B" w:rsidRPr="001223AC" w:rsidRDefault="00B42F2B" w:rsidP="00B42F2B">
      <w:pPr>
        <w:rPr>
          <w:rFonts w:cs="Arial"/>
          <w:sz w:val="18"/>
        </w:rPr>
      </w:pPr>
    </w:p>
    <w:p w14:paraId="70A7198A" w14:textId="77777777" w:rsidR="00B42F2B" w:rsidRPr="001223AC" w:rsidRDefault="00B42F2B" w:rsidP="00B42F2B">
      <w:pPr>
        <w:rPr>
          <w:rFonts w:cs="Arial"/>
          <w:sz w:val="18"/>
        </w:rPr>
      </w:pPr>
      <w:r w:rsidRPr="001223AC">
        <w:rPr>
          <w:rFonts w:cs="Arial"/>
          <w:sz w:val="18"/>
        </w:rPr>
        <w:t xml:space="preserve">Sources:  </w:t>
      </w:r>
    </w:p>
    <w:p w14:paraId="558BC0F0" w14:textId="1A11ED9C" w:rsidR="00B42F2B" w:rsidRPr="001223AC" w:rsidRDefault="00B42F2B" w:rsidP="001D03A8">
      <w:pPr>
        <w:widowControl/>
        <w:numPr>
          <w:ilvl w:val="0"/>
          <w:numId w:val="3"/>
        </w:numPr>
        <w:spacing w:before="0" w:after="0"/>
        <w:rPr>
          <w:rFonts w:cs="Arial"/>
          <w:sz w:val="18"/>
        </w:rPr>
      </w:pPr>
      <w:r w:rsidRPr="001223AC">
        <w:rPr>
          <w:rFonts w:cs="Arial"/>
          <w:sz w:val="18"/>
        </w:rPr>
        <w:t>The Western states listed above were identified and selected by Navigant.</w:t>
      </w:r>
    </w:p>
    <w:p w14:paraId="6D75A70E" w14:textId="430D8900" w:rsidR="00B42F2B" w:rsidRPr="001223AC" w:rsidRDefault="00B42F2B" w:rsidP="001D03A8">
      <w:pPr>
        <w:widowControl/>
        <w:numPr>
          <w:ilvl w:val="0"/>
          <w:numId w:val="3"/>
        </w:numPr>
        <w:spacing w:before="0" w:after="0"/>
        <w:rPr>
          <w:rFonts w:cs="Arial"/>
          <w:b/>
          <w:sz w:val="18"/>
        </w:rPr>
      </w:pPr>
      <w:r w:rsidRPr="001223AC">
        <w:rPr>
          <w:rFonts w:cs="Arial"/>
          <w:sz w:val="18"/>
        </w:rPr>
        <w:t>Beds per 1000 Population Age 65 and Older and Beds per 1000 Population Age 85 and Older:  Calculated by Navigant using total beds reported in “OSCAR Data Report:  Nursing Facility Operational Characteristics Report” by American Health Care Association Research Department, March 2015 Update, and population estimates for July</w:t>
      </w:r>
      <w:r w:rsidR="00F95584">
        <w:rPr>
          <w:rFonts w:cs="Arial"/>
          <w:sz w:val="18"/>
        </w:rPr>
        <w:t xml:space="preserve"> </w:t>
      </w:r>
      <w:r w:rsidRPr="001223AC">
        <w:rPr>
          <w:rFonts w:cs="Arial"/>
          <w:sz w:val="18"/>
        </w:rPr>
        <w:t>1, 201</w:t>
      </w:r>
      <w:r w:rsidR="00F95584">
        <w:rPr>
          <w:rFonts w:cs="Arial"/>
          <w:sz w:val="18"/>
        </w:rPr>
        <w:t>5</w:t>
      </w:r>
      <w:r w:rsidRPr="001223AC">
        <w:rPr>
          <w:rFonts w:cs="Arial"/>
          <w:sz w:val="18"/>
        </w:rPr>
        <w:t xml:space="preserve"> released </w:t>
      </w:r>
      <w:r w:rsidR="00F95584">
        <w:rPr>
          <w:rFonts w:cs="Arial"/>
          <w:sz w:val="18"/>
        </w:rPr>
        <w:t>June</w:t>
      </w:r>
      <w:r w:rsidRPr="001223AC">
        <w:rPr>
          <w:rFonts w:cs="Arial"/>
          <w:sz w:val="18"/>
        </w:rPr>
        <w:t xml:space="preserve"> 201</w:t>
      </w:r>
      <w:r w:rsidR="00F95584">
        <w:rPr>
          <w:rFonts w:cs="Arial"/>
          <w:sz w:val="18"/>
        </w:rPr>
        <w:t>6</w:t>
      </w:r>
      <w:r w:rsidRPr="001223AC">
        <w:rPr>
          <w:rFonts w:cs="Arial"/>
          <w:sz w:val="18"/>
        </w:rPr>
        <w:t xml:space="preserve"> by the U.S. Census Bureau, Population Division.</w:t>
      </w:r>
    </w:p>
    <w:p w14:paraId="5596A531" w14:textId="77777777" w:rsidR="001223AC" w:rsidRPr="001223AC" w:rsidRDefault="001223AC" w:rsidP="001223AC">
      <w:pPr>
        <w:widowControl/>
        <w:spacing w:before="0" w:after="0"/>
        <w:ind w:left="720"/>
        <w:rPr>
          <w:rFonts w:cs="Arial"/>
          <w:b/>
          <w:sz w:val="18"/>
        </w:rPr>
      </w:pPr>
    </w:p>
    <w:p w14:paraId="4013FCEE" w14:textId="77777777" w:rsidR="0060029B" w:rsidRDefault="0060029B">
      <w:pPr>
        <w:widowControl/>
        <w:spacing w:before="0" w:after="160" w:line="259" w:lineRule="auto"/>
        <w:rPr>
          <w:rFonts w:cs="Arial"/>
        </w:rPr>
      </w:pPr>
      <w:r>
        <w:rPr>
          <w:rFonts w:cs="Arial"/>
        </w:rPr>
        <w:br w:type="page"/>
      </w:r>
    </w:p>
    <w:p w14:paraId="0F4C323A" w14:textId="24573188" w:rsidR="00B42F2B" w:rsidRDefault="00B42F2B" w:rsidP="001223AC">
      <w:pPr>
        <w:tabs>
          <w:tab w:val="left" w:pos="1800"/>
        </w:tabs>
        <w:spacing w:before="0" w:after="0"/>
        <w:rPr>
          <w:rFonts w:cs="Arial"/>
        </w:rPr>
      </w:pPr>
      <w:r w:rsidRPr="00B42F2B">
        <w:rPr>
          <w:rFonts w:cs="Arial"/>
        </w:rPr>
        <w:lastRenderedPageBreak/>
        <w:t>Table 2.7 also shows that there is a significant range of values, which may be affected by the level to which each state has invested in alternative non-institutional home and community-based options.  In other words, if more options are available to persons in states with alternative residential settings, it would be reasonable to assume that fewer nursing facility beds would be needed.</w:t>
      </w:r>
    </w:p>
    <w:p w14:paraId="59DB1E16" w14:textId="77777777" w:rsidR="0060029B" w:rsidRDefault="0060029B" w:rsidP="001223AC">
      <w:pPr>
        <w:tabs>
          <w:tab w:val="left" w:pos="1800"/>
        </w:tabs>
        <w:spacing w:before="0" w:after="0"/>
        <w:rPr>
          <w:rFonts w:cs="Arial"/>
        </w:rPr>
      </w:pPr>
    </w:p>
    <w:p w14:paraId="33C0DCE6" w14:textId="3665D3BC" w:rsidR="00B42F2B" w:rsidRDefault="00B42F2B" w:rsidP="001223AC">
      <w:pPr>
        <w:tabs>
          <w:tab w:val="left" w:pos="1800"/>
        </w:tabs>
        <w:spacing w:before="0" w:after="0"/>
        <w:rPr>
          <w:rFonts w:cs="Arial"/>
        </w:rPr>
      </w:pPr>
      <w:r w:rsidRPr="00B42F2B">
        <w:rPr>
          <w:rFonts w:cs="Arial"/>
        </w:rPr>
        <w:t xml:space="preserve">Based on 2013 data retrieved </w:t>
      </w:r>
      <w:r w:rsidR="00E643E6">
        <w:rPr>
          <w:rFonts w:cs="Arial"/>
        </w:rPr>
        <w:t>in September</w:t>
      </w:r>
      <w:r w:rsidRPr="00B42F2B">
        <w:rPr>
          <w:rFonts w:cs="Arial"/>
        </w:rPr>
        <w:t xml:space="preserve"> 201</w:t>
      </w:r>
      <w:r w:rsidR="00E643E6">
        <w:rPr>
          <w:rFonts w:cs="Arial"/>
        </w:rPr>
        <w:t>6</w:t>
      </w:r>
      <w:r w:rsidRPr="00B42F2B">
        <w:rPr>
          <w:rFonts w:cs="Arial"/>
        </w:rPr>
        <w:t xml:space="preserve"> made available by AARP, Washington is fourth in the nation in Medicaid home and community-based services spending for older people and adults with physical disabilities as a percentage of total long-term care spending.  Figure 2.1 illustrates how Washington has used its 2013 Medicaid long-term care dollars for home and community-based services compared to nursing facility services.</w:t>
      </w:r>
    </w:p>
    <w:p w14:paraId="08E7330F" w14:textId="77777777" w:rsidR="001223AC" w:rsidRPr="00B42F2B" w:rsidRDefault="001223AC" w:rsidP="001223AC">
      <w:pPr>
        <w:tabs>
          <w:tab w:val="left" w:pos="1800"/>
        </w:tabs>
        <w:spacing w:before="0" w:after="0"/>
        <w:rPr>
          <w:rFonts w:cs="Arial"/>
        </w:rPr>
      </w:pPr>
    </w:p>
    <w:p w14:paraId="289E6F36" w14:textId="77777777" w:rsidR="00B42F2B" w:rsidRPr="00B42F2B" w:rsidRDefault="00B42F2B" w:rsidP="001223AC">
      <w:pPr>
        <w:tabs>
          <w:tab w:val="left" w:pos="1800"/>
        </w:tabs>
        <w:spacing w:before="0" w:after="0"/>
        <w:ind w:left="1080" w:hanging="1080"/>
        <w:rPr>
          <w:rFonts w:cs="Arial"/>
          <w:b/>
        </w:rPr>
      </w:pPr>
      <w:r w:rsidRPr="00B42F2B">
        <w:rPr>
          <w:rFonts w:cs="Arial"/>
          <w:b/>
        </w:rPr>
        <w:t>Figure 2.1: Medicaid Long-Term Spending for Seniors and Adults with Physical Disabilities in Washington</w:t>
      </w:r>
    </w:p>
    <w:p w14:paraId="611D3D43" w14:textId="77777777" w:rsidR="00B42F2B" w:rsidRPr="00B42F2B" w:rsidRDefault="00B42F2B" w:rsidP="00B42F2B">
      <w:pPr>
        <w:tabs>
          <w:tab w:val="left" w:pos="1800"/>
        </w:tabs>
        <w:spacing w:before="240" w:after="240"/>
        <w:ind w:left="1080" w:hanging="1080"/>
        <w:rPr>
          <w:rFonts w:cs="Arial"/>
          <w:b/>
        </w:rPr>
      </w:pPr>
    </w:p>
    <w:p w14:paraId="39C41A97" w14:textId="77777777" w:rsidR="00B42F2B" w:rsidRPr="00B42F2B" w:rsidRDefault="00B42F2B" w:rsidP="00B42F2B">
      <w:pPr>
        <w:tabs>
          <w:tab w:val="left" w:pos="1800"/>
        </w:tabs>
        <w:jc w:val="center"/>
        <w:rPr>
          <w:rFonts w:cs="Arial"/>
        </w:rPr>
      </w:pPr>
      <w:r w:rsidRPr="00B42F2B">
        <w:rPr>
          <w:rFonts w:cs="Arial"/>
          <w:noProof/>
        </w:rPr>
        <w:drawing>
          <wp:inline distT="0" distB="0" distL="0" distR="0" wp14:anchorId="09E7F82F" wp14:editId="2328CF49">
            <wp:extent cx="3993515" cy="2428875"/>
            <wp:effectExtent l="0" t="0" r="698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33CF83C" w14:textId="77777777" w:rsidR="00B42F2B" w:rsidRPr="00B42F2B" w:rsidRDefault="00B42F2B" w:rsidP="00B42F2B">
      <w:pPr>
        <w:rPr>
          <w:rFonts w:cs="Arial"/>
        </w:rPr>
      </w:pPr>
    </w:p>
    <w:p w14:paraId="450BE66B" w14:textId="77777777" w:rsidR="00B42F2B" w:rsidRPr="001223AC" w:rsidRDefault="00B42F2B" w:rsidP="00B42F2B">
      <w:pPr>
        <w:rPr>
          <w:rFonts w:cs="Arial"/>
          <w:sz w:val="18"/>
        </w:rPr>
      </w:pPr>
      <w:r w:rsidRPr="001223AC">
        <w:rPr>
          <w:rFonts w:cs="Arial"/>
          <w:sz w:val="18"/>
        </w:rPr>
        <w:t xml:space="preserve">Source: </w:t>
      </w:r>
    </w:p>
    <w:p w14:paraId="59E72A4D" w14:textId="53C718AB" w:rsidR="00B42F2B" w:rsidRPr="00B42F2B" w:rsidRDefault="003F1427" w:rsidP="00B42F2B">
      <w:pPr>
        <w:rPr>
          <w:rFonts w:cs="Arial"/>
        </w:rPr>
      </w:pPr>
      <w:r w:rsidRPr="003F1427">
        <w:rPr>
          <w:rFonts w:cs="Arial"/>
          <w:sz w:val="18"/>
        </w:rPr>
        <w:t>"AARP Public Policy Institute | Medicaid LTSS Spending for Older People and Adults with Physical Disabilities, by Type of Service." AARP Public Policy Ins</w:t>
      </w:r>
      <w:r>
        <w:rPr>
          <w:rFonts w:cs="Arial"/>
          <w:sz w:val="18"/>
        </w:rPr>
        <w:t xml:space="preserve">titute. Web. </w:t>
      </w:r>
      <w:r w:rsidRPr="003F1427">
        <w:rPr>
          <w:rFonts w:cs="Arial"/>
          <w:sz w:val="18"/>
        </w:rPr>
        <w:t xml:space="preserve">Sept. 2016. </w:t>
      </w:r>
      <w:r w:rsidR="00B42F2B" w:rsidRPr="00B42F2B">
        <w:rPr>
          <w:rFonts w:cs="Arial"/>
        </w:rPr>
        <w:br w:type="page"/>
      </w:r>
    </w:p>
    <w:p w14:paraId="144EB8FF" w14:textId="77777777" w:rsidR="00B42F2B" w:rsidRDefault="00B42F2B" w:rsidP="001223AC">
      <w:pPr>
        <w:tabs>
          <w:tab w:val="left" w:pos="1800"/>
        </w:tabs>
        <w:spacing w:before="0" w:after="0"/>
        <w:rPr>
          <w:rFonts w:cs="Arial"/>
        </w:rPr>
      </w:pPr>
      <w:r w:rsidRPr="00B42F2B">
        <w:rPr>
          <w:rFonts w:cs="Arial"/>
        </w:rPr>
        <w:lastRenderedPageBreak/>
        <w:t xml:space="preserve">Figure 2.2 makes the same comparison nationally for 2013, which, when compared to Washington, illustrates that Washington has committed a significantly higher percentage of its Medicaid long-term care resources to alternative settings. </w:t>
      </w:r>
    </w:p>
    <w:p w14:paraId="2B1BCD21" w14:textId="77777777" w:rsidR="001223AC" w:rsidRPr="00B42F2B" w:rsidRDefault="001223AC" w:rsidP="001223AC">
      <w:pPr>
        <w:tabs>
          <w:tab w:val="left" w:pos="1800"/>
        </w:tabs>
        <w:spacing w:before="0" w:after="0"/>
        <w:rPr>
          <w:rFonts w:cs="Arial"/>
          <w:b/>
        </w:rPr>
      </w:pPr>
    </w:p>
    <w:p w14:paraId="64993132" w14:textId="77777777" w:rsidR="00B42F2B" w:rsidRPr="00B42F2B" w:rsidRDefault="00B42F2B" w:rsidP="001223AC">
      <w:pPr>
        <w:tabs>
          <w:tab w:val="left" w:pos="1800"/>
        </w:tabs>
        <w:spacing w:before="0" w:after="0"/>
        <w:ind w:left="1080" w:hanging="1080"/>
        <w:rPr>
          <w:rFonts w:cs="Arial"/>
          <w:b/>
        </w:rPr>
      </w:pPr>
      <w:r w:rsidRPr="00B42F2B">
        <w:rPr>
          <w:rFonts w:cs="Arial"/>
          <w:b/>
        </w:rPr>
        <w:t>Figure 2.2: Medicaid Long-Term Spending for Seniors and Adults with Physical Disabilities in the United States</w:t>
      </w:r>
    </w:p>
    <w:p w14:paraId="64012C92" w14:textId="77777777" w:rsidR="00B42F2B" w:rsidRPr="00B42F2B" w:rsidRDefault="00B42F2B" w:rsidP="00B42F2B">
      <w:pPr>
        <w:tabs>
          <w:tab w:val="left" w:pos="1800"/>
        </w:tabs>
        <w:spacing w:after="240"/>
        <w:ind w:left="1080" w:hanging="1080"/>
        <w:rPr>
          <w:rFonts w:cs="Arial"/>
          <w:b/>
        </w:rPr>
      </w:pPr>
    </w:p>
    <w:p w14:paraId="1C17BBFA" w14:textId="77777777" w:rsidR="00B42F2B" w:rsidRPr="00B42F2B" w:rsidRDefault="00B42F2B" w:rsidP="00B42F2B">
      <w:pPr>
        <w:tabs>
          <w:tab w:val="left" w:pos="1800"/>
        </w:tabs>
        <w:spacing w:after="240"/>
        <w:ind w:left="1080" w:hanging="1080"/>
        <w:jc w:val="center"/>
        <w:rPr>
          <w:rFonts w:cs="Arial"/>
          <w:b/>
        </w:rPr>
      </w:pPr>
      <w:r w:rsidRPr="00B42F2B">
        <w:rPr>
          <w:rFonts w:cs="Arial"/>
          <w:noProof/>
        </w:rPr>
        <w:drawing>
          <wp:inline distT="0" distB="0" distL="0" distR="0" wp14:anchorId="6FA4DD70" wp14:editId="22CFFB30">
            <wp:extent cx="3855456" cy="2340610"/>
            <wp:effectExtent l="0" t="0" r="12065"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B42F2B">
        <w:rPr>
          <w:rFonts w:cs="Arial"/>
          <w:noProof/>
        </w:rPr>
        <w:t xml:space="preserve"> </w:t>
      </w:r>
    </w:p>
    <w:p w14:paraId="55931E9D" w14:textId="77777777" w:rsidR="00B42F2B" w:rsidRPr="00B42F2B" w:rsidRDefault="00B42F2B" w:rsidP="00B42F2B">
      <w:pPr>
        <w:rPr>
          <w:rFonts w:cs="Arial"/>
        </w:rPr>
      </w:pPr>
    </w:p>
    <w:p w14:paraId="080A611A" w14:textId="77777777" w:rsidR="00B42F2B" w:rsidRPr="001223AC" w:rsidRDefault="00B42F2B" w:rsidP="00B42F2B">
      <w:pPr>
        <w:rPr>
          <w:rFonts w:cs="Arial"/>
          <w:sz w:val="18"/>
        </w:rPr>
      </w:pPr>
      <w:r w:rsidRPr="001223AC">
        <w:rPr>
          <w:rFonts w:cs="Arial"/>
          <w:sz w:val="18"/>
        </w:rPr>
        <w:t>Source:</w:t>
      </w:r>
    </w:p>
    <w:p w14:paraId="419E587B" w14:textId="4A3AC35D" w:rsidR="001223AC" w:rsidRPr="001223AC" w:rsidRDefault="003F1427" w:rsidP="001223AC">
      <w:pPr>
        <w:rPr>
          <w:rFonts w:cs="Arial"/>
          <w:sz w:val="18"/>
        </w:rPr>
      </w:pPr>
      <w:r w:rsidRPr="003F1427">
        <w:rPr>
          <w:rFonts w:cs="Arial"/>
          <w:sz w:val="18"/>
        </w:rPr>
        <w:t>"AARP Public Policy Institute | Medicaid LTSS Spending for Older People and Adults with Physical Disabilities, by Type of Service." AARP Public Policy Ins</w:t>
      </w:r>
      <w:r>
        <w:rPr>
          <w:rFonts w:cs="Arial"/>
          <w:sz w:val="18"/>
        </w:rPr>
        <w:t xml:space="preserve">titute. Web. </w:t>
      </w:r>
      <w:r w:rsidRPr="003F1427">
        <w:rPr>
          <w:rFonts w:cs="Arial"/>
          <w:sz w:val="18"/>
        </w:rPr>
        <w:t>Sept. 2016.</w:t>
      </w:r>
    </w:p>
    <w:p w14:paraId="72B544F1" w14:textId="77777777" w:rsidR="00B42F2B" w:rsidRDefault="00B42F2B" w:rsidP="001223AC">
      <w:pPr>
        <w:spacing w:before="0" w:after="0"/>
        <w:rPr>
          <w:rFonts w:cs="Arial"/>
        </w:rPr>
      </w:pPr>
      <w:r w:rsidRPr="00B42F2B">
        <w:rPr>
          <w:rFonts w:cs="Arial"/>
        </w:rPr>
        <w:t xml:space="preserve">Understanding that comparisons of nursing facility beds per 1,000 aged population might be affected by the extent to which alternative residential settings are available, we analyzed Washington’s nursing facility capacity on a per capita basis compared with states that have made a similar commitment to these alternatives.  To make this comparison, we identified other states that have spent more than 40 percent of Medicaid long-term care funds on home and community-based services.  </w:t>
      </w:r>
    </w:p>
    <w:p w14:paraId="2F22BEB9" w14:textId="77777777" w:rsidR="001223AC" w:rsidRPr="00B42F2B" w:rsidRDefault="001223AC" w:rsidP="001223AC">
      <w:pPr>
        <w:spacing w:before="0" w:after="0"/>
        <w:rPr>
          <w:rFonts w:cs="Arial"/>
        </w:rPr>
      </w:pPr>
    </w:p>
    <w:p w14:paraId="0AEC4E37" w14:textId="77777777" w:rsidR="0060029B" w:rsidRDefault="0060029B">
      <w:pPr>
        <w:widowControl/>
        <w:spacing w:before="0" w:after="160" w:line="259" w:lineRule="auto"/>
        <w:rPr>
          <w:rFonts w:cs="Arial"/>
        </w:rPr>
      </w:pPr>
      <w:r>
        <w:rPr>
          <w:rFonts w:cs="Arial"/>
        </w:rPr>
        <w:br w:type="page"/>
      </w:r>
    </w:p>
    <w:p w14:paraId="672B8A0D" w14:textId="4B766475" w:rsidR="00B42F2B" w:rsidRPr="00B42F2B" w:rsidRDefault="00B42F2B" w:rsidP="0060029B">
      <w:pPr>
        <w:spacing w:before="0" w:after="0"/>
        <w:rPr>
          <w:rFonts w:cs="Arial"/>
          <w:b/>
        </w:rPr>
      </w:pPr>
      <w:r w:rsidRPr="00B42F2B">
        <w:rPr>
          <w:rFonts w:cs="Arial"/>
        </w:rPr>
        <w:lastRenderedPageBreak/>
        <w:t xml:space="preserve">Table 2.8 compares the number of beds in Washington per 1,000 population age 65 and age 85 and older to other states in the country that have spent more than 40 percent of their Medicaid long-term care dollars on home and community-based alternatives.  This table shows that, when sorted by beds per 1,000 population age 65 and older and aged 85 and older, Washington falls in the middle of the ranking. </w:t>
      </w:r>
    </w:p>
    <w:p w14:paraId="0C5BF2C3" w14:textId="4B65A558" w:rsidR="00B42F2B" w:rsidRPr="00B42F2B" w:rsidRDefault="00B42F2B" w:rsidP="00B42F2B">
      <w:pPr>
        <w:spacing w:before="240" w:after="240"/>
        <w:ind w:left="1100" w:hanging="1100"/>
        <w:rPr>
          <w:rFonts w:cs="Arial"/>
          <w:b/>
        </w:rPr>
      </w:pPr>
      <w:r w:rsidRPr="00B42F2B">
        <w:rPr>
          <w:rFonts w:cs="Arial"/>
          <w:b/>
        </w:rPr>
        <w:t>Table 2.8:  Nursing Facility Beds per Capita for Senior Population in 201</w:t>
      </w:r>
      <w:r w:rsidR="003F1427">
        <w:rPr>
          <w:rFonts w:cs="Arial"/>
          <w:b/>
        </w:rPr>
        <w:t>5</w:t>
      </w:r>
      <w:r w:rsidRPr="00B42F2B">
        <w:rPr>
          <w:rFonts w:cs="Arial"/>
          <w:b/>
        </w:rPr>
        <w:t xml:space="preserve"> for States that spent more than 40 Percent of Medicaid long-term funds on HCBS </w:t>
      </w:r>
    </w:p>
    <w:tbl>
      <w:tblPr>
        <w:tblW w:w="8028"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1442"/>
        <w:gridCol w:w="1508"/>
        <w:gridCol w:w="1757"/>
      </w:tblGrid>
      <w:tr w:rsidR="00B42F2B" w:rsidRPr="001223AC" w14:paraId="5DE83327" w14:textId="77777777" w:rsidTr="00B42F2B">
        <w:trPr>
          <w:cantSplit/>
          <w:tblHeader/>
        </w:trPr>
        <w:tc>
          <w:tcPr>
            <w:tcW w:w="3321" w:type="dxa"/>
            <w:vAlign w:val="bottom"/>
          </w:tcPr>
          <w:p w14:paraId="3E7CD4BE" w14:textId="77777777" w:rsidR="00B42F2B" w:rsidRPr="001223AC" w:rsidRDefault="00B42F2B" w:rsidP="00B42F2B">
            <w:pPr>
              <w:jc w:val="center"/>
              <w:rPr>
                <w:rFonts w:cs="Arial"/>
                <w:b/>
                <w:sz w:val="20"/>
                <w:szCs w:val="20"/>
              </w:rPr>
            </w:pPr>
            <w:r w:rsidRPr="001223AC">
              <w:rPr>
                <w:rFonts w:cs="Arial"/>
                <w:b/>
                <w:sz w:val="20"/>
                <w:szCs w:val="20"/>
              </w:rPr>
              <w:t>State</w:t>
            </w:r>
          </w:p>
        </w:tc>
        <w:tc>
          <w:tcPr>
            <w:tcW w:w="1442" w:type="dxa"/>
            <w:vAlign w:val="bottom"/>
          </w:tcPr>
          <w:p w14:paraId="55FA55D0" w14:textId="77777777" w:rsidR="00B42F2B" w:rsidRPr="001223AC" w:rsidRDefault="00B42F2B" w:rsidP="00B42F2B">
            <w:pPr>
              <w:jc w:val="center"/>
              <w:rPr>
                <w:rFonts w:cs="Arial"/>
                <w:b/>
                <w:sz w:val="20"/>
                <w:szCs w:val="20"/>
              </w:rPr>
            </w:pPr>
            <w:r w:rsidRPr="001223AC">
              <w:rPr>
                <w:rFonts w:cs="Arial"/>
                <w:b/>
                <w:sz w:val="20"/>
                <w:szCs w:val="20"/>
              </w:rPr>
              <w:t>Percentage of Medicaid Funds Spent on HCBS</w:t>
            </w:r>
          </w:p>
        </w:tc>
        <w:tc>
          <w:tcPr>
            <w:tcW w:w="1508" w:type="dxa"/>
            <w:vAlign w:val="bottom"/>
          </w:tcPr>
          <w:p w14:paraId="7FBAEFC4" w14:textId="158503A7" w:rsidR="00B42F2B" w:rsidRPr="001223AC" w:rsidRDefault="00B42F2B" w:rsidP="00B42F2B">
            <w:pPr>
              <w:jc w:val="center"/>
              <w:rPr>
                <w:rFonts w:cs="Arial"/>
                <w:b/>
                <w:sz w:val="20"/>
                <w:szCs w:val="20"/>
              </w:rPr>
            </w:pPr>
            <w:r w:rsidRPr="001223AC">
              <w:rPr>
                <w:rFonts w:cs="Arial"/>
                <w:b/>
                <w:sz w:val="20"/>
                <w:szCs w:val="20"/>
              </w:rPr>
              <w:t>201</w:t>
            </w:r>
            <w:r w:rsidR="003F1427">
              <w:rPr>
                <w:rFonts w:cs="Arial"/>
                <w:b/>
                <w:sz w:val="20"/>
                <w:szCs w:val="20"/>
              </w:rPr>
              <w:t>5</w:t>
            </w:r>
            <w:r w:rsidRPr="001223AC">
              <w:rPr>
                <w:rFonts w:cs="Arial"/>
                <w:b/>
                <w:sz w:val="20"/>
                <w:szCs w:val="20"/>
              </w:rPr>
              <w:t xml:space="preserve"> Beds per 1,000 Population Age 65 and Older</w:t>
            </w:r>
          </w:p>
        </w:tc>
        <w:tc>
          <w:tcPr>
            <w:tcW w:w="1757" w:type="dxa"/>
            <w:vAlign w:val="bottom"/>
          </w:tcPr>
          <w:p w14:paraId="418D1EED" w14:textId="2AE9D99D" w:rsidR="00B42F2B" w:rsidRPr="001223AC" w:rsidRDefault="00B42F2B" w:rsidP="00B42F2B">
            <w:pPr>
              <w:jc w:val="center"/>
              <w:rPr>
                <w:rFonts w:cs="Arial"/>
                <w:b/>
                <w:sz w:val="20"/>
                <w:szCs w:val="20"/>
              </w:rPr>
            </w:pPr>
            <w:r w:rsidRPr="001223AC">
              <w:rPr>
                <w:rFonts w:cs="Arial"/>
                <w:b/>
                <w:sz w:val="20"/>
                <w:szCs w:val="20"/>
              </w:rPr>
              <w:t>201</w:t>
            </w:r>
            <w:r w:rsidR="003F1427">
              <w:rPr>
                <w:rFonts w:cs="Arial"/>
                <w:b/>
                <w:sz w:val="20"/>
                <w:szCs w:val="20"/>
              </w:rPr>
              <w:t>5</w:t>
            </w:r>
            <w:r w:rsidRPr="001223AC">
              <w:rPr>
                <w:rFonts w:cs="Arial"/>
                <w:b/>
                <w:sz w:val="20"/>
                <w:szCs w:val="20"/>
              </w:rPr>
              <w:t xml:space="preserve"> Beds per 1,000 Population Age 85 and Older</w:t>
            </w:r>
          </w:p>
        </w:tc>
      </w:tr>
      <w:tr w:rsidR="00B42F2B" w:rsidRPr="001223AC" w14:paraId="22EC8F3A" w14:textId="77777777" w:rsidTr="00B42F2B">
        <w:trPr>
          <w:cantSplit/>
        </w:trPr>
        <w:tc>
          <w:tcPr>
            <w:tcW w:w="3321" w:type="dxa"/>
            <w:tcBorders>
              <w:top w:val="single" w:sz="4" w:space="0" w:color="auto"/>
              <w:left w:val="single" w:sz="4" w:space="0" w:color="auto"/>
              <w:bottom w:val="single" w:sz="4" w:space="0" w:color="auto"/>
              <w:right w:val="nil"/>
            </w:tcBorders>
            <w:shd w:val="clear" w:color="auto" w:fill="auto"/>
            <w:vAlign w:val="bottom"/>
          </w:tcPr>
          <w:p w14:paraId="2FFF3CD4" w14:textId="77777777" w:rsidR="00B42F2B" w:rsidRPr="001223AC" w:rsidRDefault="00B42F2B" w:rsidP="00B42F2B">
            <w:pPr>
              <w:rPr>
                <w:rFonts w:cs="Arial"/>
                <w:sz w:val="20"/>
                <w:szCs w:val="20"/>
              </w:rPr>
            </w:pPr>
            <w:r w:rsidRPr="001223AC">
              <w:rPr>
                <w:rFonts w:cs="Arial"/>
                <w:sz w:val="20"/>
                <w:szCs w:val="20"/>
              </w:rPr>
              <w:t>Texas</w:t>
            </w:r>
          </w:p>
        </w:tc>
        <w:tc>
          <w:tcPr>
            <w:tcW w:w="1442" w:type="dxa"/>
          </w:tcPr>
          <w:p w14:paraId="6DCD6CCD" w14:textId="77777777" w:rsidR="00B42F2B" w:rsidRPr="001223AC" w:rsidRDefault="00B42F2B" w:rsidP="00B42F2B">
            <w:pPr>
              <w:jc w:val="center"/>
              <w:rPr>
                <w:rFonts w:cs="Arial"/>
                <w:sz w:val="20"/>
                <w:szCs w:val="20"/>
              </w:rPr>
            </w:pPr>
            <w:r w:rsidRPr="001223AC">
              <w:rPr>
                <w:rFonts w:cs="Arial"/>
                <w:sz w:val="20"/>
                <w:szCs w:val="20"/>
              </w:rPr>
              <w:t>54%</w:t>
            </w:r>
          </w:p>
        </w:tc>
        <w:tc>
          <w:tcPr>
            <w:tcW w:w="1508" w:type="dxa"/>
          </w:tcPr>
          <w:p w14:paraId="7CD3E1DD" w14:textId="684E1B7F" w:rsidR="00B42F2B" w:rsidRPr="001223AC" w:rsidRDefault="00B42F2B" w:rsidP="00B42F2B">
            <w:pPr>
              <w:jc w:val="center"/>
              <w:rPr>
                <w:rFonts w:cs="Arial"/>
                <w:sz w:val="20"/>
                <w:szCs w:val="20"/>
              </w:rPr>
            </w:pPr>
            <w:r w:rsidRPr="001223AC">
              <w:rPr>
                <w:rFonts w:cs="Arial"/>
                <w:sz w:val="20"/>
                <w:szCs w:val="20"/>
              </w:rPr>
              <w:t xml:space="preserve"> 4</w:t>
            </w:r>
            <w:r w:rsidR="003F1427">
              <w:rPr>
                <w:rFonts w:cs="Arial"/>
                <w:sz w:val="20"/>
                <w:szCs w:val="20"/>
              </w:rPr>
              <w:t>0.9</w:t>
            </w:r>
            <w:r w:rsidRPr="001223AC">
              <w:rPr>
                <w:rFonts w:cs="Arial"/>
                <w:sz w:val="20"/>
                <w:szCs w:val="20"/>
              </w:rPr>
              <w:t xml:space="preserve"> </w:t>
            </w:r>
          </w:p>
        </w:tc>
        <w:tc>
          <w:tcPr>
            <w:tcW w:w="1757" w:type="dxa"/>
          </w:tcPr>
          <w:p w14:paraId="678CE2FA" w14:textId="1781D193" w:rsidR="00B42F2B" w:rsidRPr="001223AC" w:rsidRDefault="00B42F2B" w:rsidP="00B42F2B">
            <w:pPr>
              <w:jc w:val="center"/>
              <w:rPr>
                <w:rFonts w:cs="Arial"/>
                <w:sz w:val="20"/>
                <w:szCs w:val="20"/>
              </w:rPr>
            </w:pPr>
            <w:r w:rsidRPr="001223AC">
              <w:rPr>
                <w:rFonts w:cs="Arial"/>
                <w:sz w:val="20"/>
                <w:szCs w:val="20"/>
              </w:rPr>
              <w:t xml:space="preserve"> 3</w:t>
            </w:r>
            <w:r w:rsidR="003F1427">
              <w:rPr>
                <w:rFonts w:cs="Arial"/>
                <w:sz w:val="20"/>
                <w:szCs w:val="20"/>
              </w:rPr>
              <w:t>52.4</w:t>
            </w:r>
            <w:r w:rsidRPr="001223AC">
              <w:rPr>
                <w:rFonts w:cs="Arial"/>
                <w:sz w:val="20"/>
                <w:szCs w:val="20"/>
              </w:rPr>
              <w:t xml:space="preserve"> </w:t>
            </w:r>
          </w:p>
        </w:tc>
      </w:tr>
      <w:tr w:rsidR="00B42F2B" w:rsidRPr="001223AC" w14:paraId="3B5C59CE" w14:textId="77777777" w:rsidTr="00B42F2B">
        <w:trPr>
          <w:cantSplit/>
        </w:trPr>
        <w:tc>
          <w:tcPr>
            <w:tcW w:w="3321" w:type="dxa"/>
            <w:tcBorders>
              <w:top w:val="nil"/>
              <w:left w:val="single" w:sz="4" w:space="0" w:color="auto"/>
              <w:bottom w:val="single" w:sz="4" w:space="0" w:color="auto"/>
              <w:right w:val="nil"/>
            </w:tcBorders>
            <w:shd w:val="clear" w:color="auto" w:fill="auto"/>
            <w:vAlign w:val="bottom"/>
          </w:tcPr>
          <w:p w14:paraId="683F67F4" w14:textId="77777777" w:rsidR="00B42F2B" w:rsidRPr="001223AC" w:rsidRDefault="00B42F2B" w:rsidP="00B42F2B">
            <w:pPr>
              <w:rPr>
                <w:rFonts w:cs="Arial"/>
                <w:sz w:val="20"/>
                <w:szCs w:val="20"/>
              </w:rPr>
            </w:pPr>
            <w:r w:rsidRPr="001223AC">
              <w:rPr>
                <w:rFonts w:cs="Arial"/>
                <w:sz w:val="20"/>
                <w:szCs w:val="20"/>
              </w:rPr>
              <w:t>Minnesota</w:t>
            </w:r>
          </w:p>
        </w:tc>
        <w:tc>
          <w:tcPr>
            <w:tcW w:w="1442" w:type="dxa"/>
          </w:tcPr>
          <w:p w14:paraId="6383EB35" w14:textId="77777777" w:rsidR="00B42F2B" w:rsidRPr="001223AC" w:rsidRDefault="00B42F2B" w:rsidP="00B42F2B">
            <w:pPr>
              <w:jc w:val="center"/>
              <w:rPr>
                <w:rFonts w:cs="Arial"/>
                <w:sz w:val="20"/>
                <w:szCs w:val="20"/>
              </w:rPr>
            </w:pPr>
            <w:r w:rsidRPr="001223AC">
              <w:rPr>
                <w:rFonts w:cs="Arial"/>
                <w:sz w:val="20"/>
                <w:szCs w:val="20"/>
              </w:rPr>
              <w:t>67%</w:t>
            </w:r>
          </w:p>
        </w:tc>
        <w:tc>
          <w:tcPr>
            <w:tcW w:w="1508" w:type="dxa"/>
          </w:tcPr>
          <w:p w14:paraId="56E33BDA" w14:textId="6A51A03C" w:rsidR="00B42F2B" w:rsidRPr="001223AC" w:rsidRDefault="00B42F2B" w:rsidP="00B42F2B">
            <w:pPr>
              <w:jc w:val="center"/>
              <w:rPr>
                <w:rFonts w:cs="Arial"/>
                <w:sz w:val="20"/>
                <w:szCs w:val="20"/>
              </w:rPr>
            </w:pPr>
            <w:r w:rsidRPr="001223AC">
              <w:rPr>
                <w:rFonts w:cs="Arial"/>
                <w:sz w:val="20"/>
                <w:szCs w:val="20"/>
              </w:rPr>
              <w:t xml:space="preserve"> 3</w:t>
            </w:r>
            <w:r w:rsidR="003F1427">
              <w:rPr>
                <w:rFonts w:cs="Arial"/>
                <w:sz w:val="20"/>
                <w:szCs w:val="20"/>
              </w:rPr>
              <w:t>6.7</w:t>
            </w:r>
          </w:p>
        </w:tc>
        <w:tc>
          <w:tcPr>
            <w:tcW w:w="1757" w:type="dxa"/>
          </w:tcPr>
          <w:p w14:paraId="667BEDBD" w14:textId="587D019A" w:rsidR="00B42F2B" w:rsidRPr="001223AC" w:rsidRDefault="00B42F2B" w:rsidP="00B42F2B">
            <w:pPr>
              <w:jc w:val="center"/>
              <w:rPr>
                <w:rFonts w:cs="Arial"/>
                <w:sz w:val="20"/>
                <w:szCs w:val="20"/>
              </w:rPr>
            </w:pPr>
            <w:r w:rsidRPr="001223AC">
              <w:rPr>
                <w:rFonts w:cs="Arial"/>
                <w:sz w:val="20"/>
                <w:szCs w:val="20"/>
              </w:rPr>
              <w:t xml:space="preserve"> 2</w:t>
            </w:r>
            <w:r w:rsidR="003F1427">
              <w:rPr>
                <w:rFonts w:cs="Arial"/>
                <w:sz w:val="20"/>
                <w:szCs w:val="20"/>
              </w:rPr>
              <w:t>49.9</w:t>
            </w:r>
          </w:p>
        </w:tc>
      </w:tr>
      <w:tr w:rsidR="00B42F2B" w:rsidRPr="001223AC" w14:paraId="76132026" w14:textId="77777777" w:rsidTr="00B42F2B">
        <w:trPr>
          <w:cantSplit/>
        </w:trPr>
        <w:tc>
          <w:tcPr>
            <w:tcW w:w="3321" w:type="dxa"/>
            <w:tcBorders>
              <w:top w:val="nil"/>
              <w:left w:val="single" w:sz="4" w:space="0" w:color="auto"/>
              <w:bottom w:val="single" w:sz="4" w:space="0" w:color="auto"/>
              <w:right w:val="nil"/>
            </w:tcBorders>
            <w:shd w:val="clear" w:color="auto" w:fill="auto"/>
            <w:vAlign w:val="bottom"/>
          </w:tcPr>
          <w:p w14:paraId="60EE0E1F" w14:textId="77777777" w:rsidR="00B42F2B" w:rsidRPr="001223AC" w:rsidRDefault="00B42F2B" w:rsidP="00B42F2B">
            <w:pPr>
              <w:rPr>
                <w:rFonts w:cs="Arial"/>
                <w:sz w:val="20"/>
                <w:szCs w:val="20"/>
              </w:rPr>
            </w:pPr>
            <w:r w:rsidRPr="001223AC">
              <w:rPr>
                <w:rFonts w:cs="Arial"/>
                <w:sz w:val="20"/>
                <w:szCs w:val="20"/>
              </w:rPr>
              <w:t>California</w:t>
            </w:r>
          </w:p>
        </w:tc>
        <w:tc>
          <w:tcPr>
            <w:tcW w:w="1442" w:type="dxa"/>
            <w:tcBorders>
              <w:bottom w:val="single" w:sz="4" w:space="0" w:color="auto"/>
            </w:tcBorders>
          </w:tcPr>
          <w:p w14:paraId="27A0B6BF" w14:textId="77777777" w:rsidR="00B42F2B" w:rsidRPr="001223AC" w:rsidRDefault="00B42F2B" w:rsidP="00B42F2B">
            <w:pPr>
              <w:jc w:val="center"/>
              <w:rPr>
                <w:rFonts w:cs="Arial"/>
                <w:sz w:val="20"/>
                <w:szCs w:val="20"/>
              </w:rPr>
            </w:pPr>
            <w:r w:rsidRPr="001223AC">
              <w:rPr>
                <w:rFonts w:cs="Arial"/>
                <w:sz w:val="20"/>
                <w:szCs w:val="20"/>
              </w:rPr>
              <w:t>57%</w:t>
            </w:r>
          </w:p>
        </w:tc>
        <w:tc>
          <w:tcPr>
            <w:tcW w:w="1508" w:type="dxa"/>
            <w:tcBorders>
              <w:bottom w:val="single" w:sz="4" w:space="0" w:color="auto"/>
            </w:tcBorders>
          </w:tcPr>
          <w:p w14:paraId="5B8F7E0C" w14:textId="4EB348B0" w:rsidR="00B42F2B" w:rsidRPr="001223AC" w:rsidRDefault="00B42F2B" w:rsidP="00B42F2B">
            <w:pPr>
              <w:jc w:val="center"/>
              <w:rPr>
                <w:rFonts w:cs="Arial"/>
                <w:sz w:val="20"/>
                <w:szCs w:val="20"/>
              </w:rPr>
            </w:pPr>
            <w:r w:rsidRPr="001223AC">
              <w:rPr>
                <w:rFonts w:cs="Arial"/>
                <w:sz w:val="20"/>
                <w:szCs w:val="20"/>
              </w:rPr>
              <w:t xml:space="preserve"> 23.</w:t>
            </w:r>
            <w:r w:rsidR="003F1427">
              <w:rPr>
                <w:rFonts w:cs="Arial"/>
                <w:sz w:val="20"/>
                <w:szCs w:val="20"/>
              </w:rPr>
              <w:t>0</w:t>
            </w:r>
          </w:p>
        </w:tc>
        <w:tc>
          <w:tcPr>
            <w:tcW w:w="1757" w:type="dxa"/>
            <w:tcBorders>
              <w:bottom w:val="single" w:sz="4" w:space="0" w:color="auto"/>
            </w:tcBorders>
          </w:tcPr>
          <w:p w14:paraId="2AE38932" w14:textId="4EF85650" w:rsidR="00B42F2B" w:rsidRPr="001223AC" w:rsidRDefault="00B42F2B" w:rsidP="00B42F2B">
            <w:pPr>
              <w:jc w:val="center"/>
              <w:rPr>
                <w:rFonts w:cs="Arial"/>
                <w:sz w:val="20"/>
                <w:szCs w:val="20"/>
              </w:rPr>
            </w:pPr>
            <w:r w:rsidRPr="001223AC">
              <w:rPr>
                <w:rFonts w:cs="Arial"/>
                <w:sz w:val="20"/>
                <w:szCs w:val="20"/>
              </w:rPr>
              <w:t xml:space="preserve"> 1</w:t>
            </w:r>
            <w:r w:rsidR="003F1427">
              <w:rPr>
                <w:rFonts w:cs="Arial"/>
                <w:sz w:val="20"/>
                <w:szCs w:val="20"/>
              </w:rPr>
              <w:t>68.4</w:t>
            </w:r>
          </w:p>
        </w:tc>
      </w:tr>
      <w:tr w:rsidR="00B42F2B" w:rsidRPr="001223AC" w14:paraId="0ECF8501" w14:textId="77777777" w:rsidTr="00B42F2B">
        <w:trPr>
          <w:cantSplit/>
        </w:trPr>
        <w:tc>
          <w:tcPr>
            <w:tcW w:w="3321" w:type="dxa"/>
            <w:tcBorders>
              <w:top w:val="nil"/>
              <w:left w:val="single" w:sz="4" w:space="0" w:color="auto"/>
              <w:bottom w:val="single" w:sz="4" w:space="0" w:color="auto"/>
              <w:right w:val="nil"/>
            </w:tcBorders>
            <w:shd w:val="clear" w:color="auto" w:fill="auto"/>
            <w:vAlign w:val="bottom"/>
          </w:tcPr>
          <w:p w14:paraId="56C53B9A" w14:textId="77777777" w:rsidR="00B42F2B" w:rsidRPr="001223AC" w:rsidRDefault="00B42F2B" w:rsidP="00B42F2B">
            <w:pPr>
              <w:rPr>
                <w:rFonts w:cs="Arial"/>
                <w:sz w:val="20"/>
                <w:szCs w:val="20"/>
              </w:rPr>
            </w:pPr>
            <w:r w:rsidRPr="001223AC">
              <w:rPr>
                <w:rFonts w:cs="Arial"/>
                <w:sz w:val="20"/>
                <w:szCs w:val="20"/>
              </w:rPr>
              <w:t>New Mexico</w:t>
            </w:r>
          </w:p>
        </w:tc>
        <w:tc>
          <w:tcPr>
            <w:tcW w:w="1442" w:type="dxa"/>
            <w:shd w:val="clear" w:color="auto" w:fill="auto"/>
          </w:tcPr>
          <w:p w14:paraId="678C6F11" w14:textId="77777777" w:rsidR="00B42F2B" w:rsidRPr="001223AC" w:rsidRDefault="00B42F2B" w:rsidP="00B42F2B">
            <w:pPr>
              <w:jc w:val="center"/>
              <w:rPr>
                <w:rFonts w:cs="Arial"/>
                <w:sz w:val="20"/>
                <w:szCs w:val="20"/>
              </w:rPr>
            </w:pPr>
            <w:r w:rsidRPr="001223AC">
              <w:rPr>
                <w:rFonts w:cs="Arial"/>
                <w:sz w:val="20"/>
                <w:szCs w:val="20"/>
              </w:rPr>
              <w:t>94%</w:t>
            </w:r>
          </w:p>
        </w:tc>
        <w:tc>
          <w:tcPr>
            <w:tcW w:w="1508" w:type="dxa"/>
            <w:shd w:val="clear" w:color="auto" w:fill="auto"/>
          </w:tcPr>
          <w:p w14:paraId="118DBD24" w14:textId="281414C1" w:rsidR="00B42F2B" w:rsidRPr="001223AC" w:rsidRDefault="00B42F2B" w:rsidP="00B42F2B">
            <w:pPr>
              <w:jc w:val="center"/>
              <w:rPr>
                <w:rFonts w:cs="Arial"/>
                <w:sz w:val="20"/>
                <w:szCs w:val="20"/>
              </w:rPr>
            </w:pPr>
            <w:r w:rsidRPr="001223AC">
              <w:rPr>
                <w:rFonts w:cs="Arial"/>
                <w:sz w:val="20"/>
                <w:szCs w:val="20"/>
              </w:rPr>
              <w:t xml:space="preserve"> 2</w:t>
            </w:r>
            <w:r w:rsidR="003F1427">
              <w:rPr>
                <w:rFonts w:cs="Arial"/>
                <w:sz w:val="20"/>
                <w:szCs w:val="20"/>
              </w:rPr>
              <w:t>0.8</w:t>
            </w:r>
          </w:p>
        </w:tc>
        <w:tc>
          <w:tcPr>
            <w:tcW w:w="1757" w:type="dxa"/>
            <w:shd w:val="clear" w:color="auto" w:fill="auto"/>
          </w:tcPr>
          <w:p w14:paraId="059DB904" w14:textId="256CF3DA" w:rsidR="00B42F2B" w:rsidRPr="001223AC" w:rsidRDefault="00B42F2B" w:rsidP="00B42F2B">
            <w:pPr>
              <w:jc w:val="center"/>
              <w:rPr>
                <w:rFonts w:cs="Arial"/>
                <w:sz w:val="20"/>
                <w:szCs w:val="20"/>
              </w:rPr>
            </w:pPr>
            <w:r w:rsidRPr="001223AC">
              <w:rPr>
                <w:rFonts w:cs="Arial"/>
                <w:sz w:val="20"/>
                <w:szCs w:val="20"/>
              </w:rPr>
              <w:t xml:space="preserve"> 1</w:t>
            </w:r>
            <w:r w:rsidR="003F1427">
              <w:rPr>
                <w:rFonts w:cs="Arial"/>
                <w:sz w:val="20"/>
                <w:szCs w:val="20"/>
              </w:rPr>
              <w:t>77.5</w:t>
            </w:r>
          </w:p>
        </w:tc>
      </w:tr>
      <w:tr w:rsidR="00B42F2B" w:rsidRPr="001223AC" w14:paraId="4D06BD81" w14:textId="77777777" w:rsidTr="00B42F2B">
        <w:trPr>
          <w:cantSplit/>
        </w:trPr>
        <w:tc>
          <w:tcPr>
            <w:tcW w:w="3321" w:type="dxa"/>
            <w:tcBorders>
              <w:top w:val="nil"/>
              <w:left w:val="single" w:sz="4" w:space="0" w:color="auto"/>
              <w:bottom w:val="single" w:sz="4" w:space="0" w:color="auto"/>
              <w:right w:val="nil"/>
            </w:tcBorders>
            <w:shd w:val="clear" w:color="auto" w:fill="D9D9D9" w:themeFill="background1" w:themeFillShade="D9"/>
            <w:vAlign w:val="bottom"/>
          </w:tcPr>
          <w:p w14:paraId="4A2E33D5" w14:textId="77777777" w:rsidR="00B42F2B" w:rsidRPr="001223AC" w:rsidRDefault="00B42F2B" w:rsidP="00B42F2B">
            <w:pPr>
              <w:rPr>
                <w:rFonts w:cs="Arial"/>
                <w:sz w:val="20"/>
                <w:szCs w:val="20"/>
              </w:rPr>
            </w:pPr>
            <w:r w:rsidRPr="001223AC">
              <w:rPr>
                <w:rFonts w:cs="Arial"/>
                <w:sz w:val="20"/>
                <w:szCs w:val="20"/>
              </w:rPr>
              <w:t>Washington</w:t>
            </w:r>
          </w:p>
        </w:tc>
        <w:tc>
          <w:tcPr>
            <w:tcW w:w="1442" w:type="dxa"/>
            <w:shd w:val="clear" w:color="auto" w:fill="D9D9D9" w:themeFill="background1" w:themeFillShade="D9"/>
          </w:tcPr>
          <w:p w14:paraId="69873C42" w14:textId="77777777" w:rsidR="00B42F2B" w:rsidRPr="001223AC" w:rsidRDefault="00B42F2B" w:rsidP="00B42F2B">
            <w:pPr>
              <w:jc w:val="center"/>
              <w:rPr>
                <w:rFonts w:cs="Arial"/>
                <w:sz w:val="20"/>
                <w:szCs w:val="20"/>
              </w:rPr>
            </w:pPr>
            <w:r w:rsidRPr="001223AC">
              <w:rPr>
                <w:rFonts w:cs="Arial"/>
                <w:sz w:val="20"/>
                <w:szCs w:val="20"/>
              </w:rPr>
              <w:t>62%</w:t>
            </w:r>
          </w:p>
        </w:tc>
        <w:tc>
          <w:tcPr>
            <w:tcW w:w="1508" w:type="dxa"/>
            <w:shd w:val="clear" w:color="auto" w:fill="D9D9D9" w:themeFill="background1" w:themeFillShade="D9"/>
          </w:tcPr>
          <w:p w14:paraId="041F8D91" w14:textId="5FD3AD76" w:rsidR="00B42F2B" w:rsidRPr="001223AC" w:rsidRDefault="00B42F2B" w:rsidP="00B42F2B">
            <w:pPr>
              <w:jc w:val="center"/>
              <w:rPr>
                <w:rFonts w:cs="Arial"/>
                <w:sz w:val="20"/>
                <w:szCs w:val="20"/>
              </w:rPr>
            </w:pPr>
            <w:r w:rsidRPr="001223AC">
              <w:rPr>
                <w:rFonts w:cs="Arial"/>
                <w:sz w:val="20"/>
                <w:szCs w:val="20"/>
              </w:rPr>
              <w:t xml:space="preserve"> 2</w:t>
            </w:r>
            <w:r w:rsidR="00AC5A99">
              <w:rPr>
                <w:rFonts w:cs="Arial"/>
                <w:sz w:val="20"/>
                <w:szCs w:val="20"/>
              </w:rPr>
              <w:t>0.4</w:t>
            </w:r>
          </w:p>
        </w:tc>
        <w:tc>
          <w:tcPr>
            <w:tcW w:w="1757" w:type="dxa"/>
            <w:shd w:val="clear" w:color="auto" w:fill="D9D9D9" w:themeFill="background1" w:themeFillShade="D9"/>
          </w:tcPr>
          <w:p w14:paraId="4986A222" w14:textId="56B27BB5" w:rsidR="00B42F2B" w:rsidRPr="001223AC" w:rsidRDefault="00B42F2B" w:rsidP="00B42F2B">
            <w:pPr>
              <w:jc w:val="center"/>
              <w:rPr>
                <w:rFonts w:cs="Arial"/>
                <w:sz w:val="20"/>
                <w:szCs w:val="20"/>
              </w:rPr>
            </w:pPr>
            <w:r w:rsidRPr="001223AC">
              <w:rPr>
                <w:rFonts w:cs="Arial"/>
                <w:sz w:val="20"/>
                <w:szCs w:val="20"/>
              </w:rPr>
              <w:t xml:space="preserve"> 16</w:t>
            </w:r>
            <w:r w:rsidR="00AC5A99">
              <w:rPr>
                <w:rFonts w:cs="Arial"/>
                <w:sz w:val="20"/>
                <w:szCs w:val="20"/>
              </w:rPr>
              <w:t>1.6</w:t>
            </w:r>
            <w:r w:rsidRPr="001223AC">
              <w:rPr>
                <w:rFonts w:cs="Arial"/>
                <w:sz w:val="20"/>
                <w:szCs w:val="20"/>
              </w:rPr>
              <w:t xml:space="preserve"> </w:t>
            </w:r>
          </w:p>
        </w:tc>
      </w:tr>
      <w:tr w:rsidR="00B42F2B" w:rsidRPr="001223AC" w14:paraId="769DC0B4" w14:textId="77777777" w:rsidTr="00B42F2B">
        <w:trPr>
          <w:cantSplit/>
        </w:trPr>
        <w:tc>
          <w:tcPr>
            <w:tcW w:w="3321" w:type="dxa"/>
            <w:tcBorders>
              <w:top w:val="nil"/>
              <w:left w:val="single" w:sz="4" w:space="0" w:color="auto"/>
              <w:bottom w:val="single" w:sz="4" w:space="0" w:color="auto"/>
              <w:right w:val="nil"/>
            </w:tcBorders>
            <w:shd w:val="clear" w:color="auto" w:fill="auto"/>
            <w:vAlign w:val="bottom"/>
          </w:tcPr>
          <w:p w14:paraId="16A0DED3" w14:textId="77777777" w:rsidR="00B42F2B" w:rsidRPr="001223AC" w:rsidRDefault="00B42F2B" w:rsidP="00B42F2B">
            <w:pPr>
              <w:rPr>
                <w:rFonts w:cs="Arial"/>
                <w:sz w:val="20"/>
                <w:szCs w:val="20"/>
              </w:rPr>
            </w:pPr>
            <w:r w:rsidRPr="001223AC">
              <w:rPr>
                <w:rFonts w:cs="Arial"/>
                <w:sz w:val="20"/>
                <w:szCs w:val="20"/>
              </w:rPr>
              <w:t>Oregon</w:t>
            </w:r>
          </w:p>
        </w:tc>
        <w:tc>
          <w:tcPr>
            <w:tcW w:w="1442" w:type="dxa"/>
          </w:tcPr>
          <w:p w14:paraId="3490F9C7" w14:textId="77777777" w:rsidR="00B42F2B" w:rsidRPr="001223AC" w:rsidRDefault="00B42F2B" w:rsidP="00B42F2B">
            <w:pPr>
              <w:jc w:val="center"/>
              <w:rPr>
                <w:rFonts w:cs="Arial"/>
                <w:sz w:val="20"/>
                <w:szCs w:val="20"/>
              </w:rPr>
            </w:pPr>
            <w:r w:rsidRPr="001223AC">
              <w:rPr>
                <w:rFonts w:cs="Arial"/>
                <w:sz w:val="20"/>
                <w:szCs w:val="20"/>
              </w:rPr>
              <w:t>61%</w:t>
            </w:r>
          </w:p>
        </w:tc>
        <w:tc>
          <w:tcPr>
            <w:tcW w:w="1508" w:type="dxa"/>
          </w:tcPr>
          <w:p w14:paraId="38CB18D1" w14:textId="1840A18D" w:rsidR="00B42F2B" w:rsidRPr="001223AC" w:rsidRDefault="00B42F2B" w:rsidP="00B42F2B">
            <w:pPr>
              <w:jc w:val="center"/>
              <w:rPr>
                <w:rFonts w:cs="Arial"/>
                <w:sz w:val="20"/>
                <w:szCs w:val="20"/>
              </w:rPr>
            </w:pPr>
            <w:r w:rsidRPr="001223AC">
              <w:rPr>
                <w:rFonts w:cs="Arial"/>
                <w:sz w:val="20"/>
                <w:szCs w:val="20"/>
              </w:rPr>
              <w:t xml:space="preserve"> 1</w:t>
            </w:r>
            <w:r w:rsidR="00AC5A99">
              <w:rPr>
                <w:rFonts w:cs="Arial"/>
                <w:sz w:val="20"/>
                <w:szCs w:val="20"/>
              </w:rPr>
              <w:t>8.5</w:t>
            </w:r>
          </w:p>
        </w:tc>
        <w:tc>
          <w:tcPr>
            <w:tcW w:w="1757" w:type="dxa"/>
          </w:tcPr>
          <w:p w14:paraId="6283D560" w14:textId="02826D0D" w:rsidR="00B42F2B" w:rsidRPr="001223AC" w:rsidRDefault="00B42F2B" w:rsidP="00B42F2B">
            <w:pPr>
              <w:jc w:val="center"/>
              <w:rPr>
                <w:rFonts w:cs="Arial"/>
                <w:sz w:val="20"/>
                <w:szCs w:val="20"/>
              </w:rPr>
            </w:pPr>
            <w:r w:rsidRPr="001223AC">
              <w:rPr>
                <w:rFonts w:cs="Arial"/>
                <w:sz w:val="20"/>
                <w:szCs w:val="20"/>
              </w:rPr>
              <w:t xml:space="preserve"> 14</w:t>
            </w:r>
            <w:r w:rsidR="00AC5A99">
              <w:rPr>
                <w:rFonts w:cs="Arial"/>
                <w:sz w:val="20"/>
                <w:szCs w:val="20"/>
              </w:rPr>
              <w:t>5.2</w:t>
            </w:r>
          </w:p>
        </w:tc>
      </w:tr>
      <w:tr w:rsidR="00B42F2B" w:rsidRPr="001223AC" w14:paraId="2C53B8EF" w14:textId="77777777" w:rsidTr="00B42F2B">
        <w:trPr>
          <w:cantSplit/>
        </w:trPr>
        <w:tc>
          <w:tcPr>
            <w:tcW w:w="3321" w:type="dxa"/>
            <w:tcBorders>
              <w:top w:val="nil"/>
              <w:left w:val="single" w:sz="4" w:space="0" w:color="auto"/>
              <w:bottom w:val="single" w:sz="4" w:space="0" w:color="auto"/>
              <w:right w:val="nil"/>
            </w:tcBorders>
            <w:shd w:val="clear" w:color="auto" w:fill="auto"/>
            <w:vAlign w:val="bottom"/>
          </w:tcPr>
          <w:p w14:paraId="1CF6AAC2" w14:textId="77777777" w:rsidR="00B42F2B" w:rsidRPr="001223AC" w:rsidRDefault="00B42F2B" w:rsidP="00B42F2B">
            <w:pPr>
              <w:rPr>
                <w:rFonts w:cs="Arial"/>
                <w:sz w:val="20"/>
                <w:szCs w:val="20"/>
              </w:rPr>
            </w:pPr>
            <w:r w:rsidRPr="001223AC">
              <w:rPr>
                <w:rFonts w:cs="Arial"/>
                <w:sz w:val="20"/>
                <w:szCs w:val="20"/>
              </w:rPr>
              <w:t>Arizona</w:t>
            </w:r>
          </w:p>
        </w:tc>
        <w:tc>
          <w:tcPr>
            <w:tcW w:w="1442" w:type="dxa"/>
          </w:tcPr>
          <w:p w14:paraId="3E01A793" w14:textId="77777777" w:rsidR="00B42F2B" w:rsidRPr="001223AC" w:rsidRDefault="00B42F2B" w:rsidP="00B42F2B">
            <w:pPr>
              <w:jc w:val="center"/>
              <w:rPr>
                <w:rFonts w:cs="Arial"/>
                <w:sz w:val="20"/>
                <w:szCs w:val="20"/>
              </w:rPr>
            </w:pPr>
            <w:r w:rsidRPr="001223AC">
              <w:rPr>
                <w:rFonts w:cs="Arial"/>
                <w:sz w:val="20"/>
                <w:szCs w:val="20"/>
              </w:rPr>
              <w:t>44%</w:t>
            </w:r>
          </w:p>
        </w:tc>
        <w:tc>
          <w:tcPr>
            <w:tcW w:w="1508" w:type="dxa"/>
          </w:tcPr>
          <w:p w14:paraId="608676BC" w14:textId="609E427E" w:rsidR="00B42F2B" w:rsidRPr="001223AC" w:rsidRDefault="00B42F2B" w:rsidP="00B42F2B">
            <w:pPr>
              <w:jc w:val="center"/>
              <w:rPr>
                <w:rFonts w:cs="Arial"/>
                <w:sz w:val="20"/>
                <w:szCs w:val="20"/>
              </w:rPr>
            </w:pPr>
            <w:r w:rsidRPr="001223AC">
              <w:rPr>
                <w:rFonts w:cs="Arial"/>
                <w:sz w:val="20"/>
                <w:szCs w:val="20"/>
              </w:rPr>
              <w:t xml:space="preserve"> 1</w:t>
            </w:r>
            <w:r w:rsidR="00AC5A99">
              <w:rPr>
                <w:rFonts w:cs="Arial"/>
                <w:sz w:val="20"/>
                <w:szCs w:val="20"/>
              </w:rPr>
              <w:t>4.7</w:t>
            </w:r>
          </w:p>
        </w:tc>
        <w:tc>
          <w:tcPr>
            <w:tcW w:w="1757" w:type="dxa"/>
          </w:tcPr>
          <w:p w14:paraId="2185FD50" w14:textId="3269D383" w:rsidR="00B42F2B" w:rsidRPr="001223AC" w:rsidRDefault="00B42F2B" w:rsidP="00B42F2B">
            <w:pPr>
              <w:jc w:val="center"/>
              <w:rPr>
                <w:rFonts w:cs="Arial"/>
                <w:sz w:val="20"/>
                <w:szCs w:val="20"/>
              </w:rPr>
            </w:pPr>
            <w:r w:rsidRPr="001223AC">
              <w:rPr>
                <w:rFonts w:cs="Arial"/>
                <w:sz w:val="20"/>
                <w:szCs w:val="20"/>
              </w:rPr>
              <w:t xml:space="preserve"> 1</w:t>
            </w:r>
            <w:r w:rsidR="00AC5A99">
              <w:rPr>
                <w:rFonts w:cs="Arial"/>
                <w:sz w:val="20"/>
                <w:szCs w:val="20"/>
              </w:rPr>
              <w:t>25.8</w:t>
            </w:r>
          </w:p>
        </w:tc>
      </w:tr>
      <w:tr w:rsidR="00B42F2B" w:rsidRPr="001223AC" w14:paraId="30ADF3B6" w14:textId="77777777" w:rsidTr="00B42F2B">
        <w:trPr>
          <w:cantSplit/>
        </w:trPr>
        <w:tc>
          <w:tcPr>
            <w:tcW w:w="3321" w:type="dxa"/>
            <w:tcBorders>
              <w:top w:val="nil"/>
              <w:left w:val="single" w:sz="4" w:space="0" w:color="auto"/>
              <w:bottom w:val="single" w:sz="4" w:space="0" w:color="auto"/>
              <w:right w:val="nil"/>
            </w:tcBorders>
            <w:shd w:val="clear" w:color="auto" w:fill="auto"/>
            <w:vAlign w:val="bottom"/>
          </w:tcPr>
          <w:p w14:paraId="22EA7E9F" w14:textId="77777777" w:rsidR="00B42F2B" w:rsidRPr="001223AC" w:rsidRDefault="00B42F2B" w:rsidP="00B42F2B">
            <w:pPr>
              <w:rPr>
                <w:rFonts w:cs="Arial"/>
                <w:sz w:val="20"/>
                <w:szCs w:val="20"/>
              </w:rPr>
            </w:pPr>
            <w:r w:rsidRPr="001223AC">
              <w:rPr>
                <w:rFonts w:cs="Arial"/>
                <w:sz w:val="20"/>
                <w:szCs w:val="20"/>
              </w:rPr>
              <w:t>Alaska</w:t>
            </w:r>
          </w:p>
        </w:tc>
        <w:tc>
          <w:tcPr>
            <w:tcW w:w="1442" w:type="dxa"/>
            <w:tcBorders>
              <w:bottom w:val="double" w:sz="4" w:space="0" w:color="auto"/>
            </w:tcBorders>
          </w:tcPr>
          <w:p w14:paraId="19084C6A" w14:textId="77777777" w:rsidR="00B42F2B" w:rsidRPr="001223AC" w:rsidRDefault="00B42F2B" w:rsidP="00B42F2B">
            <w:pPr>
              <w:jc w:val="center"/>
              <w:rPr>
                <w:rFonts w:cs="Arial"/>
                <w:sz w:val="20"/>
                <w:szCs w:val="20"/>
              </w:rPr>
            </w:pPr>
            <w:r w:rsidRPr="001223AC">
              <w:rPr>
                <w:rFonts w:cs="Arial"/>
                <w:sz w:val="20"/>
                <w:szCs w:val="20"/>
              </w:rPr>
              <w:t>63%</w:t>
            </w:r>
          </w:p>
        </w:tc>
        <w:tc>
          <w:tcPr>
            <w:tcW w:w="1508" w:type="dxa"/>
            <w:tcBorders>
              <w:bottom w:val="double" w:sz="4" w:space="0" w:color="auto"/>
            </w:tcBorders>
          </w:tcPr>
          <w:p w14:paraId="6E685041" w14:textId="20E41D1C" w:rsidR="00B42F2B" w:rsidRPr="001223AC" w:rsidRDefault="00B42F2B" w:rsidP="00B42F2B">
            <w:pPr>
              <w:jc w:val="center"/>
              <w:rPr>
                <w:rFonts w:cs="Arial"/>
                <w:sz w:val="20"/>
                <w:szCs w:val="20"/>
              </w:rPr>
            </w:pPr>
            <w:r w:rsidRPr="001223AC">
              <w:rPr>
                <w:rFonts w:cs="Arial"/>
                <w:sz w:val="20"/>
                <w:szCs w:val="20"/>
              </w:rPr>
              <w:t xml:space="preserve"> </w:t>
            </w:r>
            <w:r w:rsidR="00AC5A99">
              <w:rPr>
                <w:rFonts w:cs="Arial"/>
                <w:sz w:val="20"/>
                <w:szCs w:val="20"/>
              </w:rPr>
              <w:t>9.5</w:t>
            </w:r>
          </w:p>
        </w:tc>
        <w:tc>
          <w:tcPr>
            <w:tcW w:w="1757" w:type="dxa"/>
            <w:tcBorders>
              <w:bottom w:val="double" w:sz="4" w:space="0" w:color="auto"/>
            </w:tcBorders>
          </w:tcPr>
          <w:p w14:paraId="32DBADF9" w14:textId="6A3D90D0" w:rsidR="00B42F2B" w:rsidRPr="001223AC" w:rsidRDefault="00B42F2B" w:rsidP="00B42F2B">
            <w:pPr>
              <w:jc w:val="center"/>
              <w:rPr>
                <w:rFonts w:cs="Arial"/>
                <w:sz w:val="20"/>
                <w:szCs w:val="20"/>
              </w:rPr>
            </w:pPr>
            <w:r w:rsidRPr="001223AC">
              <w:rPr>
                <w:rFonts w:cs="Arial"/>
                <w:sz w:val="20"/>
                <w:szCs w:val="20"/>
              </w:rPr>
              <w:t xml:space="preserve"> 11</w:t>
            </w:r>
            <w:r w:rsidR="00AC5A99">
              <w:rPr>
                <w:rFonts w:cs="Arial"/>
                <w:sz w:val="20"/>
                <w:szCs w:val="20"/>
              </w:rPr>
              <w:t>2.9</w:t>
            </w:r>
          </w:p>
        </w:tc>
      </w:tr>
      <w:tr w:rsidR="00B42F2B" w:rsidRPr="001223AC" w14:paraId="6F7275D2" w14:textId="77777777" w:rsidTr="00B42F2B">
        <w:trPr>
          <w:cantSplit/>
        </w:trPr>
        <w:tc>
          <w:tcPr>
            <w:tcW w:w="3321" w:type="dxa"/>
            <w:tcBorders>
              <w:top w:val="double" w:sz="4" w:space="0" w:color="auto"/>
              <w:bottom w:val="double" w:sz="4" w:space="0" w:color="auto"/>
            </w:tcBorders>
            <w:vAlign w:val="bottom"/>
          </w:tcPr>
          <w:p w14:paraId="1C6B672F" w14:textId="77777777" w:rsidR="00B42F2B" w:rsidRPr="001223AC" w:rsidRDefault="00B42F2B" w:rsidP="00B42F2B">
            <w:pPr>
              <w:rPr>
                <w:rFonts w:cs="Arial"/>
                <w:sz w:val="20"/>
                <w:szCs w:val="20"/>
              </w:rPr>
            </w:pPr>
            <w:r w:rsidRPr="001223AC">
              <w:rPr>
                <w:rFonts w:cs="Arial"/>
                <w:sz w:val="20"/>
                <w:szCs w:val="20"/>
              </w:rPr>
              <w:t>Average for Eight States</w:t>
            </w:r>
          </w:p>
        </w:tc>
        <w:tc>
          <w:tcPr>
            <w:tcW w:w="1442" w:type="dxa"/>
            <w:tcBorders>
              <w:top w:val="double" w:sz="4" w:space="0" w:color="auto"/>
              <w:bottom w:val="double" w:sz="4" w:space="0" w:color="auto"/>
            </w:tcBorders>
          </w:tcPr>
          <w:p w14:paraId="5F623649" w14:textId="77777777" w:rsidR="00B42F2B" w:rsidRPr="001223AC" w:rsidRDefault="00B42F2B" w:rsidP="00B42F2B">
            <w:pPr>
              <w:jc w:val="center"/>
              <w:rPr>
                <w:rFonts w:cs="Arial"/>
                <w:sz w:val="20"/>
                <w:szCs w:val="20"/>
              </w:rPr>
            </w:pPr>
            <w:r w:rsidRPr="001223AC">
              <w:rPr>
                <w:rFonts w:cs="Arial"/>
                <w:sz w:val="20"/>
                <w:szCs w:val="20"/>
              </w:rPr>
              <w:t>63%</w:t>
            </w:r>
          </w:p>
        </w:tc>
        <w:tc>
          <w:tcPr>
            <w:tcW w:w="1508" w:type="dxa"/>
            <w:tcBorders>
              <w:top w:val="double" w:sz="4" w:space="0" w:color="auto"/>
              <w:bottom w:val="double" w:sz="4" w:space="0" w:color="auto"/>
            </w:tcBorders>
          </w:tcPr>
          <w:p w14:paraId="55C981E8" w14:textId="56E96D01" w:rsidR="00B42F2B" w:rsidRPr="001223AC" w:rsidRDefault="00B42F2B" w:rsidP="00B42F2B">
            <w:pPr>
              <w:jc w:val="center"/>
              <w:rPr>
                <w:rFonts w:cs="Arial"/>
                <w:sz w:val="20"/>
                <w:szCs w:val="20"/>
              </w:rPr>
            </w:pPr>
            <w:r w:rsidRPr="001223AC">
              <w:rPr>
                <w:rFonts w:cs="Arial"/>
                <w:sz w:val="20"/>
                <w:szCs w:val="20"/>
              </w:rPr>
              <w:t xml:space="preserve"> 2</w:t>
            </w:r>
            <w:r w:rsidR="00AC5A99">
              <w:rPr>
                <w:rFonts w:cs="Arial"/>
                <w:sz w:val="20"/>
                <w:szCs w:val="20"/>
              </w:rPr>
              <w:t>3.1</w:t>
            </w:r>
          </w:p>
        </w:tc>
        <w:tc>
          <w:tcPr>
            <w:tcW w:w="1757" w:type="dxa"/>
            <w:tcBorders>
              <w:top w:val="double" w:sz="4" w:space="0" w:color="auto"/>
              <w:bottom w:val="double" w:sz="4" w:space="0" w:color="auto"/>
            </w:tcBorders>
          </w:tcPr>
          <w:p w14:paraId="2E8996FF" w14:textId="5407995A" w:rsidR="00B42F2B" w:rsidRPr="001223AC" w:rsidRDefault="00B42F2B" w:rsidP="00B42F2B">
            <w:pPr>
              <w:jc w:val="center"/>
              <w:rPr>
                <w:rFonts w:cs="Arial"/>
                <w:sz w:val="20"/>
                <w:szCs w:val="20"/>
              </w:rPr>
            </w:pPr>
            <w:r w:rsidRPr="001223AC">
              <w:rPr>
                <w:rFonts w:cs="Arial"/>
                <w:sz w:val="20"/>
                <w:szCs w:val="20"/>
              </w:rPr>
              <w:t xml:space="preserve"> 1</w:t>
            </w:r>
            <w:r w:rsidR="00AC5A99">
              <w:rPr>
                <w:rFonts w:cs="Arial"/>
                <w:sz w:val="20"/>
                <w:szCs w:val="20"/>
              </w:rPr>
              <w:t>86.7</w:t>
            </w:r>
          </w:p>
        </w:tc>
      </w:tr>
      <w:tr w:rsidR="00B42F2B" w:rsidRPr="001223AC" w14:paraId="73D7C801" w14:textId="77777777" w:rsidTr="00B42F2B">
        <w:trPr>
          <w:cantSplit/>
        </w:trPr>
        <w:tc>
          <w:tcPr>
            <w:tcW w:w="3321" w:type="dxa"/>
            <w:tcBorders>
              <w:top w:val="double" w:sz="4" w:space="0" w:color="auto"/>
              <w:bottom w:val="double" w:sz="4" w:space="0" w:color="auto"/>
            </w:tcBorders>
            <w:vAlign w:val="bottom"/>
          </w:tcPr>
          <w:p w14:paraId="151EFA8B" w14:textId="77777777" w:rsidR="00B42F2B" w:rsidRPr="001223AC" w:rsidRDefault="00B42F2B" w:rsidP="00B42F2B">
            <w:pPr>
              <w:rPr>
                <w:rFonts w:cs="Arial"/>
                <w:sz w:val="20"/>
                <w:szCs w:val="20"/>
              </w:rPr>
            </w:pPr>
            <w:r w:rsidRPr="001223AC">
              <w:rPr>
                <w:rFonts w:cs="Arial"/>
                <w:sz w:val="20"/>
                <w:szCs w:val="20"/>
              </w:rPr>
              <w:t>Average for States excluding Washington</w:t>
            </w:r>
          </w:p>
        </w:tc>
        <w:tc>
          <w:tcPr>
            <w:tcW w:w="1442" w:type="dxa"/>
            <w:tcBorders>
              <w:top w:val="double" w:sz="4" w:space="0" w:color="auto"/>
              <w:bottom w:val="double" w:sz="4" w:space="0" w:color="auto"/>
            </w:tcBorders>
          </w:tcPr>
          <w:p w14:paraId="607E66B5" w14:textId="77777777" w:rsidR="00B42F2B" w:rsidRPr="001223AC" w:rsidRDefault="00B42F2B" w:rsidP="00B42F2B">
            <w:pPr>
              <w:jc w:val="center"/>
              <w:rPr>
                <w:rFonts w:cs="Arial"/>
                <w:sz w:val="20"/>
                <w:szCs w:val="20"/>
              </w:rPr>
            </w:pPr>
            <w:r w:rsidRPr="001223AC">
              <w:rPr>
                <w:rFonts w:cs="Arial"/>
                <w:sz w:val="20"/>
                <w:szCs w:val="20"/>
              </w:rPr>
              <w:t>63%</w:t>
            </w:r>
          </w:p>
        </w:tc>
        <w:tc>
          <w:tcPr>
            <w:tcW w:w="1508" w:type="dxa"/>
            <w:tcBorders>
              <w:top w:val="double" w:sz="4" w:space="0" w:color="auto"/>
              <w:bottom w:val="double" w:sz="4" w:space="0" w:color="auto"/>
            </w:tcBorders>
          </w:tcPr>
          <w:p w14:paraId="6C372124" w14:textId="4292F14E" w:rsidR="00B42F2B" w:rsidRPr="001223AC" w:rsidRDefault="00B42F2B" w:rsidP="00B42F2B">
            <w:pPr>
              <w:jc w:val="center"/>
              <w:rPr>
                <w:rFonts w:cs="Arial"/>
                <w:sz w:val="20"/>
                <w:szCs w:val="20"/>
              </w:rPr>
            </w:pPr>
            <w:r w:rsidRPr="001223AC">
              <w:rPr>
                <w:rFonts w:cs="Arial"/>
                <w:sz w:val="20"/>
                <w:szCs w:val="20"/>
              </w:rPr>
              <w:t xml:space="preserve"> 2</w:t>
            </w:r>
            <w:r w:rsidR="00AC5A99">
              <w:rPr>
                <w:rFonts w:cs="Arial"/>
                <w:sz w:val="20"/>
                <w:szCs w:val="20"/>
              </w:rPr>
              <w:t>3.4</w:t>
            </w:r>
          </w:p>
        </w:tc>
        <w:tc>
          <w:tcPr>
            <w:tcW w:w="1757" w:type="dxa"/>
            <w:tcBorders>
              <w:top w:val="double" w:sz="4" w:space="0" w:color="auto"/>
              <w:bottom w:val="double" w:sz="4" w:space="0" w:color="auto"/>
            </w:tcBorders>
          </w:tcPr>
          <w:p w14:paraId="19FF57CB" w14:textId="26787A06" w:rsidR="00B42F2B" w:rsidRPr="001223AC" w:rsidRDefault="00B42F2B" w:rsidP="00B42F2B">
            <w:pPr>
              <w:jc w:val="center"/>
              <w:rPr>
                <w:rFonts w:cs="Arial"/>
                <w:sz w:val="20"/>
                <w:szCs w:val="20"/>
              </w:rPr>
            </w:pPr>
            <w:r w:rsidRPr="001223AC">
              <w:rPr>
                <w:rFonts w:cs="Arial"/>
                <w:sz w:val="20"/>
                <w:szCs w:val="20"/>
              </w:rPr>
              <w:t xml:space="preserve"> 19</w:t>
            </w:r>
            <w:r w:rsidR="00AC5A99">
              <w:rPr>
                <w:rFonts w:cs="Arial"/>
                <w:sz w:val="20"/>
                <w:szCs w:val="20"/>
              </w:rPr>
              <w:t>0.3</w:t>
            </w:r>
          </w:p>
        </w:tc>
      </w:tr>
    </w:tbl>
    <w:p w14:paraId="3820D695" w14:textId="77777777" w:rsidR="00B42F2B" w:rsidRPr="00B42F2B" w:rsidRDefault="00B42F2B" w:rsidP="00B42F2B">
      <w:pPr>
        <w:rPr>
          <w:rFonts w:cs="Arial"/>
        </w:rPr>
      </w:pPr>
    </w:p>
    <w:p w14:paraId="5ED4F4A8" w14:textId="77777777" w:rsidR="00B42F2B" w:rsidRPr="001223AC" w:rsidRDefault="00B42F2B" w:rsidP="00B42F2B">
      <w:pPr>
        <w:rPr>
          <w:rFonts w:cs="Arial"/>
          <w:sz w:val="18"/>
        </w:rPr>
      </w:pPr>
      <w:r w:rsidRPr="001223AC">
        <w:rPr>
          <w:rFonts w:cs="Arial"/>
          <w:sz w:val="18"/>
        </w:rPr>
        <w:t xml:space="preserve">Sources:  </w:t>
      </w:r>
    </w:p>
    <w:p w14:paraId="2ABACBC4" w14:textId="77777777" w:rsidR="00B42F2B" w:rsidRPr="001223AC" w:rsidRDefault="00B42F2B" w:rsidP="001D03A8">
      <w:pPr>
        <w:widowControl/>
        <w:numPr>
          <w:ilvl w:val="0"/>
          <w:numId w:val="3"/>
        </w:numPr>
        <w:spacing w:before="0" w:after="0"/>
        <w:rPr>
          <w:rFonts w:cs="Arial"/>
          <w:sz w:val="18"/>
        </w:rPr>
      </w:pPr>
      <w:r w:rsidRPr="001223AC">
        <w:rPr>
          <w:rFonts w:cs="Arial"/>
          <w:sz w:val="18"/>
        </w:rPr>
        <w:t>The states listed above were identified by Navigant by calculating AARP data ”Medicaid LTSS Spending for Older People and Adults with Physical Disabilities, by Type of Service”</w:t>
      </w:r>
      <w:r w:rsidRPr="001223AC" w:rsidDel="002871B7">
        <w:rPr>
          <w:rFonts w:cs="Arial"/>
          <w:sz w:val="18"/>
        </w:rPr>
        <w:t xml:space="preserve"> </w:t>
      </w:r>
      <w:r w:rsidRPr="001223AC">
        <w:rPr>
          <w:rFonts w:cs="Arial"/>
          <w:sz w:val="18"/>
        </w:rPr>
        <w:t>as having spent more than 40 percent of their Medicaid long-term care funds on home and community-based services.</w:t>
      </w:r>
    </w:p>
    <w:p w14:paraId="5B27E5E8" w14:textId="230B7FF6" w:rsidR="00B42F2B" w:rsidRPr="001223AC" w:rsidRDefault="00B42F2B" w:rsidP="001D03A8">
      <w:pPr>
        <w:widowControl/>
        <w:numPr>
          <w:ilvl w:val="0"/>
          <w:numId w:val="3"/>
        </w:numPr>
        <w:spacing w:before="0" w:after="0"/>
        <w:rPr>
          <w:rFonts w:cs="Arial"/>
          <w:sz w:val="18"/>
        </w:rPr>
      </w:pPr>
      <w:r w:rsidRPr="001223AC">
        <w:rPr>
          <w:rFonts w:cs="Arial"/>
          <w:sz w:val="18"/>
        </w:rPr>
        <w:t xml:space="preserve">The Percentage of Medicaid Funds Spent on HCBS Waivers:  </w:t>
      </w:r>
      <w:r w:rsidR="00AC5A99" w:rsidRPr="003F1427">
        <w:rPr>
          <w:rFonts w:cs="Arial"/>
          <w:sz w:val="18"/>
        </w:rPr>
        <w:t>"AARP Public Policy Institute | Medicaid LTSS Spending for Older People and Adults with Physical Disabilities, by Type of Service." AARP Public Policy Ins</w:t>
      </w:r>
      <w:r w:rsidR="00AC5A99">
        <w:rPr>
          <w:rFonts w:cs="Arial"/>
          <w:sz w:val="18"/>
        </w:rPr>
        <w:t xml:space="preserve">titute. Web. </w:t>
      </w:r>
      <w:r w:rsidR="00AC5A99" w:rsidRPr="003F1427">
        <w:rPr>
          <w:rFonts w:cs="Arial"/>
          <w:sz w:val="18"/>
        </w:rPr>
        <w:t>Sept. 2016.</w:t>
      </w:r>
      <w:r w:rsidR="00AC5A99" w:rsidRPr="001223AC" w:rsidDel="00AC5A99">
        <w:rPr>
          <w:rFonts w:cs="Arial"/>
          <w:sz w:val="18"/>
        </w:rPr>
        <w:t xml:space="preserve"> </w:t>
      </w:r>
    </w:p>
    <w:p w14:paraId="24ABEEF7" w14:textId="6FE3C9B8" w:rsidR="00B42F2B" w:rsidRPr="001223AC" w:rsidRDefault="00B42F2B" w:rsidP="001D03A8">
      <w:pPr>
        <w:widowControl/>
        <w:numPr>
          <w:ilvl w:val="0"/>
          <w:numId w:val="3"/>
        </w:numPr>
        <w:spacing w:before="0" w:after="0"/>
        <w:rPr>
          <w:rFonts w:cs="Arial"/>
          <w:b/>
          <w:sz w:val="18"/>
        </w:rPr>
      </w:pPr>
      <w:r w:rsidRPr="001223AC">
        <w:rPr>
          <w:rFonts w:cs="Arial"/>
          <w:sz w:val="18"/>
        </w:rPr>
        <w:t>Beds per 1000 Population Age 65 and Older and Beds per 1,000 Population Age 85 and Older:  Calculated by Navigant using total beds reported in “OSCAR Data Report:  Nursing Facility Operational Characteristics Report” by American Health Care Association Research Department, March 2015 Update, and population estimates for July 1, 201</w:t>
      </w:r>
      <w:r w:rsidR="00AC5A99">
        <w:rPr>
          <w:rFonts w:cs="Arial"/>
          <w:sz w:val="18"/>
        </w:rPr>
        <w:t>5</w:t>
      </w:r>
      <w:r w:rsidRPr="001223AC">
        <w:rPr>
          <w:rFonts w:cs="Arial"/>
          <w:sz w:val="18"/>
        </w:rPr>
        <w:t xml:space="preserve"> released </w:t>
      </w:r>
      <w:r w:rsidR="00AC5A99">
        <w:rPr>
          <w:rFonts w:cs="Arial"/>
          <w:sz w:val="18"/>
        </w:rPr>
        <w:t>June</w:t>
      </w:r>
      <w:r w:rsidRPr="001223AC">
        <w:rPr>
          <w:rFonts w:cs="Arial"/>
          <w:sz w:val="18"/>
        </w:rPr>
        <w:t xml:space="preserve"> 201</w:t>
      </w:r>
      <w:r w:rsidR="00AC5A99">
        <w:rPr>
          <w:rFonts w:cs="Arial"/>
          <w:sz w:val="18"/>
        </w:rPr>
        <w:t>6</w:t>
      </w:r>
      <w:r w:rsidRPr="001223AC">
        <w:rPr>
          <w:rFonts w:cs="Arial"/>
          <w:sz w:val="18"/>
        </w:rPr>
        <w:t xml:space="preserve"> by the U.S. Census Bureau, Population Division.</w:t>
      </w:r>
    </w:p>
    <w:p w14:paraId="72FB52F8" w14:textId="77777777" w:rsidR="00B42F2B" w:rsidRPr="00B42F2B" w:rsidRDefault="00B42F2B" w:rsidP="00B42F2B">
      <w:pPr>
        <w:spacing w:before="240"/>
        <w:rPr>
          <w:rFonts w:cs="Arial"/>
        </w:rPr>
      </w:pPr>
    </w:p>
    <w:p w14:paraId="2EAADABF" w14:textId="77777777" w:rsidR="00B42F2B" w:rsidRPr="00B42F2B" w:rsidRDefault="00B42F2B" w:rsidP="00B42F2B">
      <w:pPr>
        <w:rPr>
          <w:rFonts w:cs="Arial"/>
        </w:rPr>
      </w:pPr>
      <w:r w:rsidRPr="00B42F2B">
        <w:rPr>
          <w:rFonts w:cs="Arial"/>
        </w:rPr>
        <w:br w:type="page"/>
      </w:r>
    </w:p>
    <w:p w14:paraId="6B96A587" w14:textId="77777777" w:rsidR="00B42F2B" w:rsidRDefault="00B42F2B" w:rsidP="001223AC">
      <w:pPr>
        <w:spacing w:before="0" w:after="0"/>
        <w:rPr>
          <w:rFonts w:cs="Arial"/>
          <w:b/>
        </w:rPr>
      </w:pPr>
      <w:r w:rsidRPr="00B42F2B">
        <w:rPr>
          <w:rFonts w:cs="Arial"/>
        </w:rPr>
        <w:lastRenderedPageBreak/>
        <w:t xml:space="preserve">We also analyzed Washington’s nursing facility capacity on a per capita basis with comparable states in close proximity to Washington that spent more than 50 percent of Medicaid long-term care funds on home and community-based services.  Table 2.9 shows that Washington has a comparable number of beds per 1,000 population age 65 and older and age 85 and older to those ratios in California and Oregon.      </w:t>
      </w:r>
      <w:r w:rsidRPr="00B42F2B">
        <w:rPr>
          <w:rFonts w:cs="Arial"/>
          <w:b/>
        </w:rPr>
        <w:t xml:space="preserve"> </w:t>
      </w:r>
    </w:p>
    <w:p w14:paraId="0D592B93" w14:textId="77777777" w:rsidR="001223AC" w:rsidRPr="00B42F2B" w:rsidRDefault="001223AC" w:rsidP="001223AC">
      <w:pPr>
        <w:spacing w:before="0" w:after="0"/>
        <w:rPr>
          <w:rFonts w:cs="Arial"/>
          <w:b/>
        </w:rPr>
      </w:pPr>
    </w:p>
    <w:p w14:paraId="30E95FE0" w14:textId="77777777" w:rsidR="00B42F2B" w:rsidRPr="00B42F2B" w:rsidRDefault="00B42F2B" w:rsidP="001223AC">
      <w:pPr>
        <w:spacing w:before="0" w:after="0"/>
        <w:ind w:left="1100" w:hanging="1100"/>
        <w:rPr>
          <w:rFonts w:cs="Arial"/>
          <w:b/>
        </w:rPr>
      </w:pPr>
      <w:r w:rsidRPr="00B42F2B">
        <w:rPr>
          <w:rFonts w:cs="Arial"/>
          <w:b/>
        </w:rPr>
        <w:t>Table 2.9:  Nursing Facility Beds per Capita for Senior Population for California, Washington and Oregon</w:t>
      </w:r>
    </w:p>
    <w:p w14:paraId="040FD411" w14:textId="77777777" w:rsidR="00B42F2B" w:rsidRPr="00B42F2B" w:rsidRDefault="00B42F2B" w:rsidP="00B42F2B">
      <w:pPr>
        <w:rPr>
          <w:rFonts w:cs="Arial"/>
        </w:rPr>
      </w:pP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4"/>
        <w:gridCol w:w="1544"/>
        <w:gridCol w:w="1530"/>
        <w:gridCol w:w="1710"/>
      </w:tblGrid>
      <w:tr w:rsidR="00B42F2B" w:rsidRPr="001223AC" w14:paraId="0004AB94" w14:textId="77777777" w:rsidTr="00B42F2B">
        <w:trPr>
          <w:cantSplit/>
          <w:tblHeader/>
          <w:jc w:val="center"/>
        </w:trPr>
        <w:tc>
          <w:tcPr>
            <w:tcW w:w="3694" w:type="dxa"/>
            <w:vAlign w:val="bottom"/>
          </w:tcPr>
          <w:p w14:paraId="6E4752C9" w14:textId="77777777" w:rsidR="00B42F2B" w:rsidRPr="001223AC" w:rsidRDefault="00B42F2B" w:rsidP="00B42F2B">
            <w:pPr>
              <w:jc w:val="center"/>
              <w:rPr>
                <w:rFonts w:cs="Arial"/>
                <w:b/>
                <w:sz w:val="20"/>
              </w:rPr>
            </w:pPr>
            <w:r w:rsidRPr="001223AC">
              <w:rPr>
                <w:rFonts w:cs="Arial"/>
                <w:b/>
                <w:sz w:val="20"/>
              </w:rPr>
              <w:t>State</w:t>
            </w:r>
          </w:p>
        </w:tc>
        <w:tc>
          <w:tcPr>
            <w:tcW w:w="1544" w:type="dxa"/>
            <w:vAlign w:val="bottom"/>
          </w:tcPr>
          <w:p w14:paraId="413FD537" w14:textId="77777777" w:rsidR="00B42F2B" w:rsidRPr="001223AC" w:rsidRDefault="00B42F2B" w:rsidP="00B42F2B">
            <w:pPr>
              <w:jc w:val="center"/>
              <w:rPr>
                <w:rFonts w:cs="Arial"/>
                <w:b/>
                <w:sz w:val="20"/>
              </w:rPr>
            </w:pPr>
            <w:r w:rsidRPr="001223AC">
              <w:rPr>
                <w:rFonts w:cs="Arial"/>
                <w:b/>
                <w:sz w:val="20"/>
              </w:rPr>
              <w:t>Percentage of Medicaid Funds Spent on HCBS</w:t>
            </w:r>
          </w:p>
        </w:tc>
        <w:tc>
          <w:tcPr>
            <w:tcW w:w="1530" w:type="dxa"/>
            <w:vAlign w:val="bottom"/>
          </w:tcPr>
          <w:p w14:paraId="48E383E9" w14:textId="10BE9C05" w:rsidR="00B42F2B" w:rsidRPr="001223AC" w:rsidRDefault="00B42F2B" w:rsidP="00B42F2B">
            <w:pPr>
              <w:jc w:val="center"/>
              <w:rPr>
                <w:rFonts w:cs="Arial"/>
                <w:b/>
                <w:sz w:val="20"/>
              </w:rPr>
            </w:pPr>
            <w:r w:rsidRPr="001223AC">
              <w:rPr>
                <w:rFonts w:cs="Arial"/>
                <w:b/>
                <w:sz w:val="20"/>
              </w:rPr>
              <w:t>201</w:t>
            </w:r>
            <w:r w:rsidR="00AC5A99">
              <w:rPr>
                <w:rFonts w:cs="Arial"/>
                <w:b/>
                <w:sz w:val="20"/>
              </w:rPr>
              <w:t>5</w:t>
            </w:r>
            <w:r w:rsidRPr="001223AC">
              <w:rPr>
                <w:rFonts w:cs="Arial"/>
                <w:b/>
                <w:sz w:val="20"/>
              </w:rPr>
              <w:t xml:space="preserve"> Beds per 1,000 Population Age 65 and Older</w:t>
            </w:r>
          </w:p>
        </w:tc>
        <w:tc>
          <w:tcPr>
            <w:tcW w:w="1710" w:type="dxa"/>
            <w:vAlign w:val="bottom"/>
          </w:tcPr>
          <w:p w14:paraId="5B484ED2" w14:textId="7B742F2C" w:rsidR="00B42F2B" w:rsidRPr="001223AC" w:rsidRDefault="00B42F2B" w:rsidP="00B42F2B">
            <w:pPr>
              <w:jc w:val="center"/>
              <w:rPr>
                <w:rFonts w:cs="Arial"/>
                <w:b/>
                <w:sz w:val="20"/>
              </w:rPr>
            </w:pPr>
            <w:r w:rsidRPr="001223AC">
              <w:rPr>
                <w:rFonts w:cs="Arial"/>
                <w:b/>
                <w:sz w:val="20"/>
              </w:rPr>
              <w:t>201</w:t>
            </w:r>
            <w:r w:rsidR="00AC5A99">
              <w:rPr>
                <w:rFonts w:cs="Arial"/>
                <w:b/>
                <w:sz w:val="20"/>
              </w:rPr>
              <w:t>5</w:t>
            </w:r>
            <w:r w:rsidRPr="001223AC">
              <w:rPr>
                <w:rFonts w:cs="Arial"/>
                <w:b/>
                <w:sz w:val="20"/>
              </w:rPr>
              <w:t xml:space="preserve"> Beds per 1,000 Population Age 85 and Older</w:t>
            </w:r>
          </w:p>
        </w:tc>
      </w:tr>
      <w:tr w:rsidR="00B42F2B" w:rsidRPr="001223AC" w14:paraId="27D46307" w14:textId="77777777" w:rsidTr="00B42F2B">
        <w:trPr>
          <w:cantSplit/>
          <w:jc w:val="center"/>
        </w:trPr>
        <w:tc>
          <w:tcPr>
            <w:tcW w:w="3694" w:type="dxa"/>
            <w:tcBorders>
              <w:bottom w:val="single" w:sz="4" w:space="0" w:color="auto"/>
            </w:tcBorders>
            <w:vAlign w:val="bottom"/>
          </w:tcPr>
          <w:p w14:paraId="4E3705B6" w14:textId="77777777" w:rsidR="00B42F2B" w:rsidRPr="001223AC" w:rsidRDefault="00B42F2B" w:rsidP="00B42F2B">
            <w:pPr>
              <w:rPr>
                <w:rFonts w:cs="Arial"/>
                <w:sz w:val="20"/>
              </w:rPr>
            </w:pPr>
            <w:r w:rsidRPr="001223AC">
              <w:rPr>
                <w:rFonts w:cs="Arial"/>
                <w:sz w:val="20"/>
              </w:rPr>
              <w:t>California</w:t>
            </w:r>
          </w:p>
        </w:tc>
        <w:tc>
          <w:tcPr>
            <w:tcW w:w="1544" w:type="dxa"/>
            <w:tcBorders>
              <w:bottom w:val="single" w:sz="4" w:space="0" w:color="auto"/>
            </w:tcBorders>
          </w:tcPr>
          <w:p w14:paraId="2FE2F2C2" w14:textId="77777777" w:rsidR="00B42F2B" w:rsidRPr="001223AC" w:rsidRDefault="00B42F2B" w:rsidP="00B42F2B">
            <w:pPr>
              <w:jc w:val="center"/>
              <w:rPr>
                <w:rFonts w:cs="Arial"/>
                <w:sz w:val="20"/>
              </w:rPr>
            </w:pPr>
            <w:r w:rsidRPr="001223AC">
              <w:rPr>
                <w:rFonts w:cs="Arial"/>
                <w:sz w:val="20"/>
              </w:rPr>
              <w:t>57%</w:t>
            </w:r>
          </w:p>
        </w:tc>
        <w:tc>
          <w:tcPr>
            <w:tcW w:w="1530" w:type="dxa"/>
            <w:tcBorders>
              <w:bottom w:val="single" w:sz="4" w:space="0" w:color="auto"/>
            </w:tcBorders>
          </w:tcPr>
          <w:p w14:paraId="3087C36F" w14:textId="3342B681" w:rsidR="00B42F2B" w:rsidRPr="001223AC" w:rsidRDefault="00B42F2B" w:rsidP="00B42F2B">
            <w:pPr>
              <w:jc w:val="center"/>
              <w:rPr>
                <w:rFonts w:cs="Arial"/>
                <w:sz w:val="20"/>
              </w:rPr>
            </w:pPr>
            <w:r w:rsidRPr="001223AC">
              <w:rPr>
                <w:rFonts w:cs="Arial"/>
                <w:sz w:val="20"/>
              </w:rPr>
              <w:t xml:space="preserve"> 23.</w:t>
            </w:r>
            <w:r w:rsidR="002F4433">
              <w:rPr>
                <w:rFonts w:cs="Arial"/>
                <w:sz w:val="20"/>
              </w:rPr>
              <w:t>0</w:t>
            </w:r>
            <w:r w:rsidRPr="001223AC">
              <w:rPr>
                <w:rFonts w:cs="Arial"/>
                <w:sz w:val="20"/>
              </w:rPr>
              <w:t xml:space="preserve"> </w:t>
            </w:r>
          </w:p>
        </w:tc>
        <w:tc>
          <w:tcPr>
            <w:tcW w:w="1710" w:type="dxa"/>
            <w:tcBorders>
              <w:bottom w:val="single" w:sz="4" w:space="0" w:color="auto"/>
            </w:tcBorders>
          </w:tcPr>
          <w:p w14:paraId="636153B0" w14:textId="21602EBC" w:rsidR="00B42F2B" w:rsidRPr="001223AC" w:rsidRDefault="00B42F2B" w:rsidP="00B42F2B">
            <w:pPr>
              <w:jc w:val="center"/>
              <w:rPr>
                <w:rFonts w:cs="Arial"/>
                <w:sz w:val="20"/>
              </w:rPr>
            </w:pPr>
            <w:r w:rsidRPr="001223AC">
              <w:rPr>
                <w:rFonts w:cs="Arial"/>
                <w:sz w:val="20"/>
              </w:rPr>
              <w:t xml:space="preserve"> 1</w:t>
            </w:r>
            <w:r w:rsidR="002F4433">
              <w:rPr>
                <w:rFonts w:cs="Arial"/>
                <w:sz w:val="20"/>
              </w:rPr>
              <w:t>68.4</w:t>
            </w:r>
          </w:p>
        </w:tc>
      </w:tr>
      <w:tr w:rsidR="00B42F2B" w:rsidRPr="001223AC" w14:paraId="7E49886D" w14:textId="77777777" w:rsidTr="00B42F2B">
        <w:trPr>
          <w:cantSplit/>
          <w:jc w:val="center"/>
        </w:trPr>
        <w:tc>
          <w:tcPr>
            <w:tcW w:w="3694" w:type="dxa"/>
            <w:shd w:val="pct15" w:color="auto" w:fill="auto"/>
            <w:vAlign w:val="bottom"/>
          </w:tcPr>
          <w:p w14:paraId="19E7C016" w14:textId="77777777" w:rsidR="00B42F2B" w:rsidRPr="001223AC" w:rsidRDefault="00B42F2B" w:rsidP="00B42F2B">
            <w:pPr>
              <w:rPr>
                <w:rFonts w:cs="Arial"/>
                <w:sz w:val="20"/>
              </w:rPr>
            </w:pPr>
            <w:r w:rsidRPr="001223AC">
              <w:rPr>
                <w:rFonts w:cs="Arial"/>
                <w:sz w:val="20"/>
              </w:rPr>
              <w:t>Washington</w:t>
            </w:r>
          </w:p>
        </w:tc>
        <w:tc>
          <w:tcPr>
            <w:tcW w:w="1544" w:type="dxa"/>
            <w:shd w:val="pct15" w:color="auto" w:fill="auto"/>
          </w:tcPr>
          <w:p w14:paraId="6AC0DCD6" w14:textId="77777777" w:rsidR="00B42F2B" w:rsidRPr="001223AC" w:rsidRDefault="00B42F2B" w:rsidP="00B42F2B">
            <w:pPr>
              <w:jc w:val="center"/>
              <w:rPr>
                <w:rFonts w:cs="Arial"/>
                <w:sz w:val="20"/>
              </w:rPr>
            </w:pPr>
            <w:r w:rsidRPr="001223AC">
              <w:rPr>
                <w:rFonts w:cs="Arial"/>
                <w:sz w:val="20"/>
              </w:rPr>
              <w:t>62%</w:t>
            </w:r>
          </w:p>
        </w:tc>
        <w:tc>
          <w:tcPr>
            <w:tcW w:w="1530" w:type="dxa"/>
            <w:shd w:val="pct15" w:color="auto" w:fill="auto"/>
          </w:tcPr>
          <w:p w14:paraId="03E4FD93" w14:textId="01ED9ACC" w:rsidR="00B42F2B" w:rsidRPr="001223AC" w:rsidRDefault="00B42F2B" w:rsidP="00B42F2B">
            <w:pPr>
              <w:jc w:val="center"/>
              <w:rPr>
                <w:rFonts w:cs="Arial"/>
                <w:sz w:val="20"/>
              </w:rPr>
            </w:pPr>
            <w:r w:rsidRPr="001223AC">
              <w:rPr>
                <w:rFonts w:cs="Arial"/>
                <w:sz w:val="20"/>
              </w:rPr>
              <w:t xml:space="preserve"> 2</w:t>
            </w:r>
            <w:r w:rsidR="002F4433">
              <w:rPr>
                <w:rFonts w:cs="Arial"/>
                <w:sz w:val="20"/>
              </w:rPr>
              <w:t>0.4</w:t>
            </w:r>
          </w:p>
        </w:tc>
        <w:tc>
          <w:tcPr>
            <w:tcW w:w="1710" w:type="dxa"/>
            <w:shd w:val="pct15" w:color="auto" w:fill="auto"/>
          </w:tcPr>
          <w:p w14:paraId="02E09F3D" w14:textId="135835F1" w:rsidR="00B42F2B" w:rsidRPr="001223AC" w:rsidRDefault="00B42F2B" w:rsidP="00B42F2B">
            <w:pPr>
              <w:jc w:val="center"/>
              <w:rPr>
                <w:rFonts w:cs="Arial"/>
                <w:sz w:val="20"/>
              </w:rPr>
            </w:pPr>
            <w:r w:rsidRPr="001223AC">
              <w:rPr>
                <w:rFonts w:cs="Arial"/>
                <w:sz w:val="20"/>
              </w:rPr>
              <w:t xml:space="preserve"> 16</w:t>
            </w:r>
            <w:r w:rsidR="002F4433">
              <w:rPr>
                <w:rFonts w:cs="Arial"/>
                <w:sz w:val="20"/>
              </w:rPr>
              <w:t>1.6</w:t>
            </w:r>
          </w:p>
        </w:tc>
      </w:tr>
      <w:tr w:rsidR="00B42F2B" w:rsidRPr="001223AC" w14:paraId="0E4C7DE5" w14:textId="77777777" w:rsidTr="00B42F2B">
        <w:trPr>
          <w:cantSplit/>
          <w:jc w:val="center"/>
        </w:trPr>
        <w:tc>
          <w:tcPr>
            <w:tcW w:w="3694" w:type="dxa"/>
            <w:tcBorders>
              <w:bottom w:val="double" w:sz="4" w:space="0" w:color="auto"/>
            </w:tcBorders>
            <w:vAlign w:val="bottom"/>
          </w:tcPr>
          <w:p w14:paraId="6603B050" w14:textId="77777777" w:rsidR="00B42F2B" w:rsidRPr="001223AC" w:rsidRDefault="00B42F2B" w:rsidP="00B42F2B">
            <w:pPr>
              <w:rPr>
                <w:rFonts w:cs="Arial"/>
                <w:sz w:val="20"/>
              </w:rPr>
            </w:pPr>
            <w:r w:rsidRPr="001223AC">
              <w:rPr>
                <w:rFonts w:cs="Arial"/>
                <w:sz w:val="20"/>
              </w:rPr>
              <w:t>Oregon</w:t>
            </w:r>
          </w:p>
        </w:tc>
        <w:tc>
          <w:tcPr>
            <w:tcW w:w="1544" w:type="dxa"/>
            <w:tcBorders>
              <w:bottom w:val="double" w:sz="4" w:space="0" w:color="auto"/>
            </w:tcBorders>
          </w:tcPr>
          <w:p w14:paraId="368FE16D" w14:textId="77777777" w:rsidR="00B42F2B" w:rsidRPr="001223AC" w:rsidRDefault="00B42F2B" w:rsidP="00B42F2B">
            <w:pPr>
              <w:jc w:val="center"/>
              <w:rPr>
                <w:rFonts w:cs="Arial"/>
                <w:sz w:val="20"/>
              </w:rPr>
            </w:pPr>
            <w:r w:rsidRPr="001223AC">
              <w:rPr>
                <w:rFonts w:cs="Arial"/>
                <w:sz w:val="20"/>
              </w:rPr>
              <w:t>61%</w:t>
            </w:r>
          </w:p>
        </w:tc>
        <w:tc>
          <w:tcPr>
            <w:tcW w:w="1530" w:type="dxa"/>
            <w:tcBorders>
              <w:bottom w:val="double" w:sz="4" w:space="0" w:color="auto"/>
            </w:tcBorders>
          </w:tcPr>
          <w:p w14:paraId="48C7EFCF" w14:textId="3A1A0A03" w:rsidR="00B42F2B" w:rsidRPr="001223AC" w:rsidRDefault="00B42F2B" w:rsidP="00B42F2B">
            <w:pPr>
              <w:jc w:val="center"/>
              <w:rPr>
                <w:rFonts w:cs="Arial"/>
                <w:sz w:val="20"/>
              </w:rPr>
            </w:pPr>
            <w:r w:rsidRPr="001223AC">
              <w:rPr>
                <w:rFonts w:cs="Arial"/>
                <w:sz w:val="20"/>
              </w:rPr>
              <w:t xml:space="preserve"> 1</w:t>
            </w:r>
            <w:r w:rsidR="002F4433">
              <w:rPr>
                <w:rFonts w:cs="Arial"/>
                <w:sz w:val="20"/>
              </w:rPr>
              <w:t>8.5</w:t>
            </w:r>
          </w:p>
        </w:tc>
        <w:tc>
          <w:tcPr>
            <w:tcW w:w="1710" w:type="dxa"/>
            <w:tcBorders>
              <w:bottom w:val="double" w:sz="4" w:space="0" w:color="auto"/>
            </w:tcBorders>
          </w:tcPr>
          <w:p w14:paraId="3947B08A" w14:textId="13FEED0F" w:rsidR="00B42F2B" w:rsidRPr="001223AC" w:rsidRDefault="00B42F2B" w:rsidP="00B42F2B">
            <w:pPr>
              <w:jc w:val="center"/>
              <w:rPr>
                <w:rFonts w:cs="Arial"/>
                <w:sz w:val="20"/>
              </w:rPr>
            </w:pPr>
            <w:r w:rsidRPr="001223AC">
              <w:rPr>
                <w:rFonts w:cs="Arial"/>
                <w:sz w:val="20"/>
              </w:rPr>
              <w:t xml:space="preserve"> 14</w:t>
            </w:r>
            <w:r w:rsidR="002F4433">
              <w:rPr>
                <w:rFonts w:cs="Arial"/>
                <w:sz w:val="20"/>
              </w:rPr>
              <w:t>5.2</w:t>
            </w:r>
          </w:p>
        </w:tc>
      </w:tr>
      <w:tr w:rsidR="00B42F2B" w:rsidRPr="001223AC" w14:paraId="5E116814" w14:textId="77777777" w:rsidTr="00B42F2B">
        <w:trPr>
          <w:cantSplit/>
          <w:jc w:val="center"/>
        </w:trPr>
        <w:tc>
          <w:tcPr>
            <w:tcW w:w="3694" w:type="dxa"/>
            <w:tcBorders>
              <w:top w:val="double" w:sz="4" w:space="0" w:color="auto"/>
              <w:bottom w:val="double" w:sz="4" w:space="0" w:color="auto"/>
            </w:tcBorders>
            <w:vAlign w:val="bottom"/>
          </w:tcPr>
          <w:p w14:paraId="278672EA" w14:textId="77777777" w:rsidR="00B42F2B" w:rsidRPr="001223AC" w:rsidRDefault="00B42F2B" w:rsidP="00B42F2B">
            <w:pPr>
              <w:rPr>
                <w:rFonts w:cs="Arial"/>
                <w:sz w:val="20"/>
              </w:rPr>
            </w:pPr>
            <w:r w:rsidRPr="001223AC">
              <w:rPr>
                <w:rFonts w:cs="Arial"/>
                <w:sz w:val="20"/>
              </w:rPr>
              <w:t>Average for Three States</w:t>
            </w:r>
          </w:p>
        </w:tc>
        <w:tc>
          <w:tcPr>
            <w:tcW w:w="1544" w:type="dxa"/>
            <w:tcBorders>
              <w:top w:val="double" w:sz="4" w:space="0" w:color="auto"/>
              <w:bottom w:val="double" w:sz="4" w:space="0" w:color="auto"/>
            </w:tcBorders>
          </w:tcPr>
          <w:p w14:paraId="6BF341BD" w14:textId="77777777" w:rsidR="00B42F2B" w:rsidRPr="001223AC" w:rsidRDefault="00B42F2B" w:rsidP="00B42F2B">
            <w:pPr>
              <w:jc w:val="center"/>
              <w:rPr>
                <w:rFonts w:cs="Arial"/>
                <w:sz w:val="20"/>
              </w:rPr>
            </w:pPr>
            <w:r w:rsidRPr="001223AC">
              <w:rPr>
                <w:rFonts w:cs="Arial"/>
                <w:sz w:val="20"/>
              </w:rPr>
              <w:t>60%</w:t>
            </w:r>
          </w:p>
        </w:tc>
        <w:tc>
          <w:tcPr>
            <w:tcW w:w="1530" w:type="dxa"/>
            <w:tcBorders>
              <w:top w:val="double" w:sz="4" w:space="0" w:color="auto"/>
              <w:bottom w:val="double" w:sz="4" w:space="0" w:color="auto"/>
            </w:tcBorders>
          </w:tcPr>
          <w:p w14:paraId="6E2DDB7B" w14:textId="35D9155E" w:rsidR="00B42F2B" w:rsidRPr="001223AC" w:rsidRDefault="00B42F2B" w:rsidP="00B42F2B">
            <w:pPr>
              <w:jc w:val="center"/>
              <w:rPr>
                <w:rFonts w:cs="Arial"/>
                <w:sz w:val="20"/>
              </w:rPr>
            </w:pPr>
            <w:r w:rsidRPr="001223AC">
              <w:rPr>
                <w:rFonts w:cs="Arial"/>
                <w:sz w:val="20"/>
              </w:rPr>
              <w:t xml:space="preserve"> 2</w:t>
            </w:r>
            <w:r w:rsidR="002F4433">
              <w:rPr>
                <w:rFonts w:cs="Arial"/>
                <w:sz w:val="20"/>
              </w:rPr>
              <w:t>0.6</w:t>
            </w:r>
          </w:p>
        </w:tc>
        <w:tc>
          <w:tcPr>
            <w:tcW w:w="1710" w:type="dxa"/>
            <w:tcBorders>
              <w:top w:val="double" w:sz="4" w:space="0" w:color="auto"/>
              <w:bottom w:val="double" w:sz="4" w:space="0" w:color="auto"/>
            </w:tcBorders>
          </w:tcPr>
          <w:p w14:paraId="7049E635" w14:textId="64158479" w:rsidR="00B42F2B" w:rsidRPr="001223AC" w:rsidRDefault="00B42F2B" w:rsidP="00B42F2B">
            <w:pPr>
              <w:jc w:val="center"/>
              <w:rPr>
                <w:rFonts w:cs="Arial"/>
                <w:sz w:val="20"/>
              </w:rPr>
            </w:pPr>
            <w:r w:rsidRPr="001223AC">
              <w:rPr>
                <w:rFonts w:cs="Arial"/>
                <w:sz w:val="20"/>
              </w:rPr>
              <w:t xml:space="preserve"> 1</w:t>
            </w:r>
            <w:r w:rsidR="002F4433">
              <w:rPr>
                <w:rFonts w:cs="Arial"/>
                <w:sz w:val="20"/>
              </w:rPr>
              <w:t>58.4</w:t>
            </w:r>
          </w:p>
        </w:tc>
      </w:tr>
      <w:tr w:rsidR="00B42F2B" w:rsidRPr="001223AC" w14:paraId="6DAE2CE1" w14:textId="77777777" w:rsidTr="00B42F2B">
        <w:trPr>
          <w:cantSplit/>
          <w:jc w:val="center"/>
        </w:trPr>
        <w:tc>
          <w:tcPr>
            <w:tcW w:w="3694" w:type="dxa"/>
            <w:tcBorders>
              <w:top w:val="double" w:sz="4" w:space="0" w:color="auto"/>
              <w:bottom w:val="double" w:sz="4" w:space="0" w:color="auto"/>
            </w:tcBorders>
            <w:vAlign w:val="bottom"/>
          </w:tcPr>
          <w:p w14:paraId="5CD2A599" w14:textId="77777777" w:rsidR="00B42F2B" w:rsidRPr="001223AC" w:rsidRDefault="00B42F2B" w:rsidP="00B42F2B">
            <w:pPr>
              <w:rPr>
                <w:rFonts w:cs="Arial"/>
                <w:sz w:val="20"/>
              </w:rPr>
            </w:pPr>
            <w:r w:rsidRPr="001223AC">
              <w:rPr>
                <w:rFonts w:cs="Arial"/>
                <w:sz w:val="20"/>
              </w:rPr>
              <w:t>Average for States excluding Washington</w:t>
            </w:r>
          </w:p>
        </w:tc>
        <w:tc>
          <w:tcPr>
            <w:tcW w:w="1544" w:type="dxa"/>
            <w:tcBorders>
              <w:top w:val="double" w:sz="4" w:space="0" w:color="auto"/>
              <w:bottom w:val="double" w:sz="4" w:space="0" w:color="auto"/>
            </w:tcBorders>
          </w:tcPr>
          <w:p w14:paraId="1827D2B9" w14:textId="77777777" w:rsidR="00B42F2B" w:rsidRPr="001223AC" w:rsidRDefault="00B42F2B" w:rsidP="00B42F2B">
            <w:pPr>
              <w:jc w:val="center"/>
              <w:rPr>
                <w:rFonts w:cs="Arial"/>
                <w:sz w:val="20"/>
              </w:rPr>
            </w:pPr>
            <w:r w:rsidRPr="001223AC">
              <w:rPr>
                <w:rFonts w:cs="Arial"/>
                <w:sz w:val="20"/>
              </w:rPr>
              <w:t>59%</w:t>
            </w:r>
          </w:p>
        </w:tc>
        <w:tc>
          <w:tcPr>
            <w:tcW w:w="1530" w:type="dxa"/>
            <w:tcBorders>
              <w:top w:val="double" w:sz="4" w:space="0" w:color="auto"/>
              <w:bottom w:val="double" w:sz="4" w:space="0" w:color="auto"/>
            </w:tcBorders>
          </w:tcPr>
          <w:p w14:paraId="4ACBCB83" w14:textId="2888012E" w:rsidR="00B42F2B" w:rsidRPr="001223AC" w:rsidRDefault="00B42F2B" w:rsidP="00B42F2B">
            <w:pPr>
              <w:jc w:val="center"/>
              <w:rPr>
                <w:rFonts w:cs="Arial"/>
                <w:sz w:val="20"/>
              </w:rPr>
            </w:pPr>
            <w:r w:rsidRPr="001223AC">
              <w:rPr>
                <w:rFonts w:cs="Arial"/>
                <w:sz w:val="20"/>
              </w:rPr>
              <w:t xml:space="preserve"> 2</w:t>
            </w:r>
            <w:r w:rsidR="002F4433">
              <w:rPr>
                <w:rFonts w:cs="Arial"/>
                <w:sz w:val="20"/>
              </w:rPr>
              <w:t>1.7</w:t>
            </w:r>
          </w:p>
        </w:tc>
        <w:tc>
          <w:tcPr>
            <w:tcW w:w="1710" w:type="dxa"/>
            <w:tcBorders>
              <w:top w:val="double" w:sz="4" w:space="0" w:color="auto"/>
              <w:bottom w:val="double" w:sz="4" w:space="0" w:color="auto"/>
            </w:tcBorders>
          </w:tcPr>
          <w:p w14:paraId="074B454C" w14:textId="04A218C8" w:rsidR="00B42F2B" w:rsidRPr="001223AC" w:rsidRDefault="00B42F2B" w:rsidP="00B42F2B">
            <w:pPr>
              <w:jc w:val="center"/>
              <w:rPr>
                <w:rFonts w:cs="Arial"/>
                <w:sz w:val="20"/>
              </w:rPr>
            </w:pPr>
            <w:r w:rsidRPr="001223AC">
              <w:rPr>
                <w:rFonts w:cs="Arial"/>
                <w:sz w:val="20"/>
              </w:rPr>
              <w:t xml:space="preserve"> 16</w:t>
            </w:r>
            <w:r w:rsidR="002F4433">
              <w:rPr>
                <w:rFonts w:cs="Arial"/>
                <w:sz w:val="20"/>
              </w:rPr>
              <w:t>5.0</w:t>
            </w:r>
          </w:p>
        </w:tc>
      </w:tr>
    </w:tbl>
    <w:p w14:paraId="4DFC9D63" w14:textId="77777777" w:rsidR="00B42F2B" w:rsidRPr="00B42F2B" w:rsidRDefault="00B42F2B" w:rsidP="00B42F2B">
      <w:pPr>
        <w:rPr>
          <w:rFonts w:cs="Arial"/>
        </w:rPr>
      </w:pPr>
    </w:p>
    <w:p w14:paraId="6F2EBD4C" w14:textId="77777777" w:rsidR="00B42F2B" w:rsidRPr="001223AC" w:rsidRDefault="00B42F2B" w:rsidP="00B42F2B">
      <w:pPr>
        <w:rPr>
          <w:rFonts w:cs="Arial"/>
          <w:sz w:val="18"/>
        </w:rPr>
      </w:pPr>
      <w:r w:rsidRPr="001223AC">
        <w:rPr>
          <w:rFonts w:cs="Arial"/>
          <w:sz w:val="18"/>
        </w:rPr>
        <w:t xml:space="preserve">Sources:  </w:t>
      </w:r>
    </w:p>
    <w:p w14:paraId="6F2100BF" w14:textId="77777777" w:rsidR="00B42F2B" w:rsidRPr="001223AC" w:rsidRDefault="00B42F2B" w:rsidP="001D03A8">
      <w:pPr>
        <w:widowControl/>
        <w:numPr>
          <w:ilvl w:val="0"/>
          <w:numId w:val="3"/>
        </w:numPr>
        <w:spacing w:before="0" w:after="0"/>
        <w:rPr>
          <w:rFonts w:cs="Arial"/>
          <w:sz w:val="18"/>
        </w:rPr>
      </w:pPr>
      <w:r w:rsidRPr="001223AC">
        <w:rPr>
          <w:rFonts w:cs="Arial"/>
          <w:sz w:val="18"/>
        </w:rPr>
        <w:t>The states listed above were identified by Navigant Consulting, Inc. due to their proximity to Washington and having spent more than 50 percent of Medicaid funds on HCBS waivers.</w:t>
      </w:r>
    </w:p>
    <w:p w14:paraId="60268E34" w14:textId="0678F9A1" w:rsidR="00B42F2B" w:rsidRPr="001223AC" w:rsidRDefault="00B42F2B" w:rsidP="001D03A8">
      <w:pPr>
        <w:widowControl/>
        <w:numPr>
          <w:ilvl w:val="0"/>
          <w:numId w:val="3"/>
        </w:numPr>
        <w:spacing w:before="0" w:after="0"/>
        <w:rPr>
          <w:rFonts w:cs="Arial"/>
          <w:sz w:val="18"/>
        </w:rPr>
      </w:pPr>
      <w:r w:rsidRPr="001223AC">
        <w:rPr>
          <w:rFonts w:cs="Arial"/>
          <w:sz w:val="18"/>
        </w:rPr>
        <w:t xml:space="preserve">The Percentage of Medicaid Funds Spent on HCBS was calculated by Navigant using data from:  </w:t>
      </w:r>
      <w:r w:rsidR="00AC5A99" w:rsidRPr="003F1427">
        <w:rPr>
          <w:rFonts w:cs="Arial"/>
          <w:sz w:val="18"/>
        </w:rPr>
        <w:t>"AARP Public Policy Institute | Medicaid LTSS Spending for Older People and Adults with Physical Disabilities, by Type of Service." AARP Public Policy Ins</w:t>
      </w:r>
      <w:r w:rsidR="00AC5A99">
        <w:rPr>
          <w:rFonts w:cs="Arial"/>
          <w:sz w:val="18"/>
        </w:rPr>
        <w:t xml:space="preserve">titute. Web. </w:t>
      </w:r>
      <w:r w:rsidR="00AC5A99" w:rsidRPr="003F1427">
        <w:rPr>
          <w:rFonts w:cs="Arial"/>
          <w:sz w:val="18"/>
        </w:rPr>
        <w:t>Sept. 2016.</w:t>
      </w:r>
      <w:r w:rsidR="00AC5A99" w:rsidRPr="001223AC" w:rsidDel="00AC5A99">
        <w:rPr>
          <w:rFonts w:cs="Arial"/>
          <w:sz w:val="18"/>
        </w:rPr>
        <w:t xml:space="preserve"> </w:t>
      </w:r>
    </w:p>
    <w:p w14:paraId="19322311" w14:textId="43B95700" w:rsidR="00F42FF1" w:rsidRDefault="00B42F2B" w:rsidP="00F42FF1">
      <w:pPr>
        <w:widowControl/>
        <w:numPr>
          <w:ilvl w:val="0"/>
          <w:numId w:val="3"/>
        </w:numPr>
        <w:spacing w:before="0" w:after="0"/>
        <w:rPr>
          <w:rFonts w:cs="Arial"/>
          <w:b/>
          <w:sz w:val="18"/>
        </w:rPr>
      </w:pPr>
      <w:r w:rsidRPr="001223AC">
        <w:rPr>
          <w:rFonts w:cs="Arial"/>
          <w:sz w:val="18"/>
        </w:rPr>
        <w:t>Beds per 1,000 Population Age 65 and Older and Beds per 1,000 Population Age 85 and Older:  Calculated by Navigant using total beds reported in “OSCAR Data Report:  Nursing Facility Operational Characteristics Report” by American Health Care Association Research Department, March 2015 Update, and population estimates for July</w:t>
      </w:r>
      <w:r w:rsidR="00AC5A99">
        <w:rPr>
          <w:rFonts w:cs="Arial"/>
          <w:sz w:val="18"/>
        </w:rPr>
        <w:t xml:space="preserve"> </w:t>
      </w:r>
      <w:r w:rsidRPr="001223AC">
        <w:rPr>
          <w:rFonts w:cs="Arial"/>
          <w:sz w:val="18"/>
        </w:rPr>
        <w:t>1, 201</w:t>
      </w:r>
      <w:r w:rsidR="00AC5A99">
        <w:rPr>
          <w:rFonts w:cs="Arial"/>
          <w:sz w:val="18"/>
        </w:rPr>
        <w:t>5</w:t>
      </w:r>
      <w:r w:rsidRPr="001223AC">
        <w:rPr>
          <w:rFonts w:cs="Arial"/>
          <w:sz w:val="18"/>
        </w:rPr>
        <w:t xml:space="preserve"> released </w:t>
      </w:r>
      <w:r w:rsidR="00344D77">
        <w:rPr>
          <w:rFonts w:cs="Arial"/>
          <w:sz w:val="18"/>
        </w:rPr>
        <w:t>June</w:t>
      </w:r>
      <w:r w:rsidRPr="001223AC">
        <w:rPr>
          <w:rFonts w:cs="Arial"/>
          <w:sz w:val="18"/>
        </w:rPr>
        <w:t xml:space="preserve"> 201</w:t>
      </w:r>
      <w:r w:rsidR="00AC5A99">
        <w:rPr>
          <w:rFonts w:cs="Arial"/>
          <w:sz w:val="18"/>
        </w:rPr>
        <w:t>6</w:t>
      </w:r>
      <w:r w:rsidRPr="001223AC">
        <w:rPr>
          <w:rFonts w:cs="Arial"/>
          <w:sz w:val="18"/>
        </w:rPr>
        <w:t xml:space="preserve"> by the U.S. Census Bureau, Population Division.</w:t>
      </w:r>
    </w:p>
    <w:p w14:paraId="3A081150" w14:textId="77777777" w:rsidR="00F42FF1" w:rsidRPr="00F42FF1" w:rsidRDefault="00F42FF1" w:rsidP="00F42FF1">
      <w:pPr>
        <w:widowControl/>
        <w:spacing w:before="0" w:after="0"/>
        <w:ind w:left="720"/>
        <w:rPr>
          <w:rFonts w:cs="Arial"/>
          <w:b/>
          <w:sz w:val="18"/>
        </w:rPr>
      </w:pPr>
    </w:p>
    <w:p w14:paraId="722F0C65" w14:textId="77777777" w:rsidR="00B42F2B" w:rsidRPr="00B42F2B" w:rsidRDefault="00B42F2B" w:rsidP="001223AC">
      <w:pPr>
        <w:spacing w:before="0" w:after="0"/>
        <w:rPr>
          <w:rFonts w:cs="Arial"/>
          <w:b/>
        </w:rPr>
      </w:pPr>
      <w:r w:rsidRPr="00B42F2B">
        <w:rPr>
          <w:rFonts w:cs="Arial"/>
          <w:b/>
        </w:rPr>
        <w:t>Conclusion</w:t>
      </w:r>
    </w:p>
    <w:p w14:paraId="11FB7CA6" w14:textId="77777777" w:rsidR="00B42F2B" w:rsidRPr="00B42F2B" w:rsidRDefault="00B42F2B" w:rsidP="001223AC">
      <w:pPr>
        <w:spacing w:before="0" w:after="0"/>
        <w:rPr>
          <w:rFonts w:cs="Arial"/>
        </w:rPr>
      </w:pPr>
    </w:p>
    <w:p w14:paraId="77E9ACD1" w14:textId="43F8F4D1" w:rsidR="00B42F2B" w:rsidRPr="00B42F2B" w:rsidRDefault="00B42F2B" w:rsidP="001223AC">
      <w:pPr>
        <w:spacing w:before="0" w:after="0"/>
        <w:rPr>
          <w:rFonts w:cs="Arial"/>
        </w:rPr>
      </w:pPr>
      <w:r w:rsidRPr="00B42F2B">
        <w:rPr>
          <w:rFonts w:cs="Arial"/>
        </w:rPr>
        <w:t>Based on the analyses described in this section, it appears that there is sufficient access to nursing facility beds in Washington State.  Between 2006 and 201</w:t>
      </w:r>
      <w:r w:rsidR="00344D77">
        <w:rPr>
          <w:rFonts w:cs="Arial"/>
        </w:rPr>
        <w:t>5</w:t>
      </w:r>
      <w:r w:rsidRPr="00B42F2B">
        <w:rPr>
          <w:rFonts w:cs="Arial"/>
        </w:rPr>
        <w:t xml:space="preserve">, </w:t>
      </w:r>
      <w:r w:rsidR="004C35B2">
        <w:rPr>
          <w:rFonts w:cs="Arial"/>
        </w:rPr>
        <w:t xml:space="preserve">while </w:t>
      </w:r>
      <w:r w:rsidRPr="00B42F2B">
        <w:rPr>
          <w:rFonts w:cs="Arial"/>
        </w:rPr>
        <w:t xml:space="preserve">the total number of beds decreased </w:t>
      </w:r>
      <w:r w:rsidR="00E11FB9">
        <w:rPr>
          <w:rFonts w:cs="Arial"/>
        </w:rPr>
        <w:t>by 7.6 percent</w:t>
      </w:r>
      <w:r w:rsidRPr="00B42F2B">
        <w:rPr>
          <w:rFonts w:cs="Arial"/>
        </w:rPr>
        <w:t>, nursing facility occupancy rates decreased and the total number of unfilled beds increased each year, except in 2009, 2012, and 2014 when unfilled beds decreased slightly, 1.7 percent from 2008, 0.3 percent from 2011, and 9 percent from 2013.  There appears to be some capacity in virtually every county across the State.</w:t>
      </w:r>
    </w:p>
    <w:p w14:paraId="5A97B6D3" w14:textId="77777777" w:rsidR="00B42F2B" w:rsidRPr="00B42F2B" w:rsidRDefault="00B42F2B" w:rsidP="001223AC">
      <w:pPr>
        <w:spacing w:before="0" w:after="0"/>
        <w:rPr>
          <w:rFonts w:cs="Arial"/>
        </w:rPr>
      </w:pPr>
    </w:p>
    <w:p w14:paraId="02481DCB" w14:textId="2481E859" w:rsidR="00A448C5" w:rsidRPr="002F4433" w:rsidRDefault="00B42F2B" w:rsidP="001223AC">
      <w:pPr>
        <w:spacing w:before="0" w:after="0"/>
        <w:rPr>
          <w:rFonts w:cs="Arial"/>
        </w:rPr>
      </w:pPr>
      <w:r w:rsidRPr="00B42F2B">
        <w:rPr>
          <w:rFonts w:cs="Arial"/>
        </w:rPr>
        <w:t>Washington’s total bed capacity per 1,000 aged population, which is purposefully restricted based on the WAC (which is supported by the State’s nursing home industry), is very comparable to other states that have made similar commitments to home and community-based services options.</w:t>
      </w:r>
      <w:r w:rsidR="00A448C5" w:rsidRPr="00B42F2B">
        <w:rPr>
          <w:rFonts w:cs="Arial"/>
          <w:highlight w:val="yellow"/>
        </w:rPr>
        <w:br w:type="page"/>
      </w:r>
    </w:p>
    <w:p w14:paraId="23AB9B30" w14:textId="2416A785" w:rsidR="00C453C4" w:rsidRPr="007F314F" w:rsidRDefault="00C453C4" w:rsidP="002F0570">
      <w:pPr>
        <w:pStyle w:val="Heading1"/>
        <w:tabs>
          <w:tab w:val="left" w:pos="2160"/>
        </w:tabs>
        <w:spacing w:before="360"/>
      </w:pPr>
      <w:bookmarkStart w:id="3" w:name="_Toc443652682"/>
      <w:r>
        <w:lastRenderedPageBreak/>
        <w:t xml:space="preserve">Section </w:t>
      </w:r>
      <w:r w:rsidR="002F0570">
        <w:t>III</w:t>
      </w:r>
      <w:r w:rsidR="008B33DD">
        <w:t xml:space="preserve">:  </w:t>
      </w:r>
      <w:r w:rsidR="001223AC">
        <w:t>Quality</w:t>
      </w:r>
      <w:bookmarkEnd w:id="3"/>
    </w:p>
    <w:p w14:paraId="096D3AE3" w14:textId="77777777" w:rsidR="001223AC" w:rsidRPr="001223AC" w:rsidRDefault="001223AC" w:rsidP="00EF3028">
      <w:pPr>
        <w:spacing w:before="0" w:after="0"/>
        <w:rPr>
          <w:rFonts w:cs="Arial"/>
        </w:rPr>
      </w:pPr>
      <w:r w:rsidRPr="001223AC">
        <w:rPr>
          <w:rFonts w:cs="Arial"/>
        </w:rPr>
        <w:t xml:space="preserve">In the previous section we analyzed whether Washington’s Medicaid payment methodology for nursing facilities supports sufficient access to care for Washington’s Medicaid beneficiaries.  In this section, we analyze whether Washington’s Medicaid payment methodology supports provision of care at an acceptable level of quality.  </w:t>
      </w:r>
    </w:p>
    <w:p w14:paraId="3E78D4A8" w14:textId="77777777" w:rsidR="001223AC" w:rsidRPr="001223AC" w:rsidRDefault="001223AC" w:rsidP="00EF3028">
      <w:pPr>
        <w:spacing w:before="0" w:after="0"/>
        <w:ind w:left="720"/>
        <w:rPr>
          <w:rFonts w:cs="Arial"/>
        </w:rPr>
      </w:pPr>
    </w:p>
    <w:p w14:paraId="3C8301BB" w14:textId="77777777" w:rsidR="001223AC" w:rsidRPr="001223AC" w:rsidRDefault="001223AC" w:rsidP="001223AC">
      <w:pPr>
        <w:tabs>
          <w:tab w:val="left" w:pos="1800"/>
        </w:tabs>
        <w:spacing w:before="0" w:after="0"/>
        <w:rPr>
          <w:rFonts w:cs="Arial"/>
          <w:b/>
        </w:rPr>
      </w:pPr>
      <w:r w:rsidRPr="001223AC">
        <w:rPr>
          <w:rFonts w:cs="Arial"/>
          <w:b/>
        </w:rPr>
        <w:t>Comparative Analysis of Quality in Washington and Other States</w:t>
      </w:r>
    </w:p>
    <w:p w14:paraId="08E62E77" w14:textId="77777777" w:rsidR="001223AC" w:rsidRPr="001223AC" w:rsidRDefault="001223AC" w:rsidP="001223AC">
      <w:pPr>
        <w:tabs>
          <w:tab w:val="left" w:pos="1800"/>
        </w:tabs>
        <w:spacing w:before="0" w:after="0"/>
        <w:rPr>
          <w:rFonts w:cs="Arial"/>
        </w:rPr>
      </w:pPr>
    </w:p>
    <w:p w14:paraId="0191424F" w14:textId="77777777" w:rsidR="001223AC" w:rsidRPr="001223AC" w:rsidRDefault="001223AC" w:rsidP="001223AC">
      <w:pPr>
        <w:pStyle w:val="FootnoteText"/>
        <w:rPr>
          <w:rFonts w:ascii="Arial" w:hAnsi="Arial" w:cs="Arial"/>
          <w:color w:val="555759" w:themeColor="text2"/>
          <w:sz w:val="22"/>
          <w:szCs w:val="22"/>
        </w:rPr>
      </w:pPr>
      <w:r w:rsidRPr="001223AC">
        <w:rPr>
          <w:rFonts w:ascii="Arial" w:hAnsi="Arial" w:cs="Arial"/>
          <w:color w:val="555759" w:themeColor="text2"/>
          <w:sz w:val="22"/>
          <w:szCs w:val="22"/>
        </w:rPr>
        <w:t>Our analysis was intended to determine if the level of quality provided in Washington’s nursing facilities is acceptable when compared with other states.  To make this comparison, we analyzed data on deficiencies cited in nursing facility surveys for the Medicare and Medicaid programs and compiled by the Centers for Medicare and Medicaid Services (CMS) and reported in its annual Nursing Home Data Compendium.</w:t>
      </w:r>
      <w:r w:rsidRPr="001223AC">
        <w:rPr>
          <w:rStyle w:val="FootnoteReference"/>
          <w:rFonts w:ascii="Arial" w:hAnsi="Arial" w:cs="Arial"/>
          <w:color w:val="555759" w:themeColor="text2"/>
          <w:sz w:val="22"/>
          <w:szCs w:val="22"/>
        </w:rPr>
        <w:footnoteReference w:id="5"/>
      </w:r>
      <w:r w:rsidRPr="001223AC">
        <w:rPr>
          <w:rFonts w:ascii="Arial" w:hAnsi="Arial" w:cs="Arial"/>
          <w:color w:val="555759" w:themeColor="text2"/>
          <w:sz w:val="22"/>
          <w:szCs w:val="22"/>
        </w:rPr>
        <w:t xml:space="preserve">   </w:t>
      </w:r>
    </w:p>
    <w:p w14:paraId="3CA97138" w14:textId="77777777" w:rsidR="001223AC" w:rsidRPr="001223AC" w:rsidRDefault="001223AC" w:rsidP="001223AC">
      <w:pPr>
        <w:pStyle w:val="FootnoteText"/>
        <w:rPr>
          <w:rFonts w:ascii="Arial" w:hAnsi="Arial" w:cs="Arial"/>
          <w:color w:val="555759" w:themeColor="text2"/>
          <w:sz w:val="22"/>
          <w:szCs w:val="22"/>
        </w:rPr>
      </w:pPr>
    </w:p>
    <w:p w14:paraId="4B6944BD" w14:textId="40D4D995" w:rsidR="001223AC" w:rsidRPr="001223AC" w:rsidRDefault="001223AC" w:rsidP="001223AC">
      <w:pPr>
        <w:tabs>
          <w:tab w:val="left" w:pos="1800"/>
        </w:tabs>
        <w:spacing w:before="0" w:after="0"/>
        <w:rPr>
          <w:rFonts w:cs="Arial"/>
        </w:rPr>
      </w:pPr>
      <w:r w:rsidRPr="001223AC">
        <w:rPr>
          <w:rFonts w:cs="Arial"/>
        </w:rPr>
        <w:t xml:space="preserve">To add context to this analysis, we first compared the basic care needs of residents in Washington’s nursing facilities to those in nursing facilities in other states that have made significant commitments to home and community-based service options.  To measure care needs, we examined the percentage of residents in each state that required assistance with one of the five Activities of Daily Living (ADL), otherwise referred to as ADL impairments, which were published in the CMS’ </w:t>
      </w:r>
      <w:r w:rsidRPr="001223AC">
        <w:rPr>
          <w:rFonts w:cs="Arial"/>
          <w:i/>
        </w:rPr>
        <w:t>201</w:t>
      </w:r>
      <w:r w:rsidR="0042503E">
        <w:rPr>
          <w:rFonts w:cs="Arial"/>
          <w:i/>
        </w:rPr>
        <w:t>5</w:t>
      </w:r>
      <w:r w:rsidRPr="001223AC">
        <w:rPr>
          <w:rFonts w:cs="Arial"/>
          <w:i/>
        </w:rPr>
        <w:t xml:space="preserve"> Nursing Home Data Compendium</w:t>
      </w:r>
      <w:r w:rsidRPr="001223AC">
        <w:rPr>
          <w:rFonts w:cs="Arial"/>
        </w:rPr>
        <w:t>.  The five ADLs analyzed in that publication were:</w:t>
      </w:r>
    </w:p>
    <w:p w14:paraId="207EF256" w14:textId="77777777" w:rsidR="001223AC" w:rsidRPr="001223AC" w:rsidRDefault="001223AC" w:rsidP="001223AC">
      <w:pPr>
        <w:tabs>
          <w:tab w:val="left" w:pos="1800"/>
        </w:tabs>
        <w:spacing w:before="0" w:after="0"/>
        <w:rPr>
          <w:rFonts w:cs="Arial"/>
        </w:rPr>
      </w:pPr>
    </w:p>
    <w:p w14:paraId="41238164" w14:textId="77777777" w:rsidR="001223AC" w:rsidRPr="001223AC" w:rsidRDefault="001223AC" w:rsidP="001D03A8">
      <w:pPr>
        <w:pStyle w:val="ListParagraph"/>
        <w:widowControl/>
        <w:numPr>
          <w:ilvl w:val="0"/>
          <w:numId w:val="4"/>
        </w:numPr>
        <w:tabs>
          <w:tab w:val="left" w:pos="1800"/>
        </w:tabs>
        <w:spacing w:before="0" w:after="0"/>
        <w:rPr>
          <w:rFonts w:cs="Arial"/>
        </w:rPr>
      </w:pPr>
      <w:r w:rsidRPr="001223AC">
        <w:rPr>
          <w:rFonts w:cs="Arial"/>
        </w:rPr>
        <w:t>Mobility</w:t>
      </w:r>
    </w:p>
    <w:p w14:paraId="0A27C35B" w14:textId="77777777" w:rsidR="001223AC" w:rsidRPr="001223AC" w:rsidRDefault="001223AC" w:rsidP="001D03A8">
      <w:pPr>
        <w:pStyle w:val="ListParagraph"/>
        <w:widowControl/>
        <w:numPr>
          <w:ilvl w:val="0"/>
          <w:numId w:val="4"/>
        </w:numPr>
        <w:tabs>
          <w:tab w:val="left" w:pos="1800"/>
        </w:tabs>
        <w:spacing w:before="0" w:after="0"/>
        <w:rPr>
          <w:rFonts w:cs="Arial"/>
        </w:rPr>
      </w:pPr>
      <w:r w:rsidRPr="001223AC">
        <w:rPr>
          <w:rFonts w:cs="Arial"/>
        </w:rPr>
        <w:t>Dressing</w:t>
      </w:r>
    </w:p>
    <w:p w14:paraId="327E2E5C" w14:textId="77777777" w:rsidR="001223AC" w:rsidRPr="001223AC" w:rsidRDefault="001223AC" w:rsidP="001D03A8">
      <w:pPr>
        <w:pStyle w:val="ListParagraph"/>
        <w:widowControl/>
        <w:numPr>
          <w:ilvl w:val="0"/>
          <w:numId w:val="4"/>
        </w:numPr>
        <w:tabs>
          <w:tab w:val="left" w:pos="1800"/>
        </w:tabs>
        <w:spacing w:before="0" w:after="0"/>
        <w:rPr>
          <w:rFonts w:cs="Arial"/>
        </w:rPr>
      </w:pPr>
      <w:r w:rsidRPr="001223AC">
        <w:rPr>
          <w:rFonts w:cs="Arial"/>
        </w:rPr>
        <w:t>Eating</w:t>
      </w:r>
    </w:p>
    <w:p w14:paraId="2DC55105" w14:textId="77777777" w:rsidR="001223AC" w:rsidRPr="001223AC" w:rsidRDefault="001223AC" w:rsidP="001D03A8">
      <w:pPr>
        <w:pStyle w:val="ListParagraph"/>
        <w:widowControl/>
        <w:numPr>
          <w:ilvl w:val="0"/>
          <w:numId w:val="4"/>
        </w:numPr>
        <w:tabs>
          <w:tab w:val="left" w:pos="1800"/>
        </w:tabs>
        <w:spacing w:before="0" w:after="0"/>
        <w:rPr>
          <w:rFonts w:cs="Arial"/>
        </w:rPr>
      </w:pPr>
      <w:r w:rsidRPr="001223AC">
        <w:rPr>
          <w:rFonts w:cs="Arial"/>
        </w:rPr>
        <w:t>Transferring</w:t>
      </w:r>
    </w:p>
    <w:p w14:paraId="05C1FF3E" w14:textId="77777777" w:rsidR="001223AC" w:rsidRPr="001223AC" w:rsidRDefault="001223AC" w:rsidP="001D03A8">
      <w:pPr>
        <w:pStyle w:val="ListParagraph"/>
        <w:widowControl/>
        <w:numPr>
          <w:ilvl w:val="0"/>
          <w:numId w:val="4"/>
        </w:numPr>
        <w:tabs>
          <w:tab w:val="left" w:pos="1800"/>
        </w:tabs>
        <w:spacing w:before="0" w:after="0"/>
        <w:rPr>
          <w:rFonts w:cs="Arial"/>
        </w:rPr>
      </w:pPr>
      <w:r w:rsidRPr="001223AC">
        <w:rPr>
          <w:rFonts w:cs="Arial"/>
        </w:rPr>
        <w:t>Toileting</w:t>
      </w:r>
    </w:p>
    <w:p w14:paraId="7E699981" w14:textId="77777777" w:rsidR="001223AC" w:rsidRPr="001223AC" w:rsidRDefault="001223AC" w:rsidP="001223AC">
      <w:pPr>
        <w:tabs>
          <w:tab w:val="left" w:pos="1800"/>
        </w:tabs>
        <w:spacing w:before="0" w:after="0"/>
        <w:rPr>
          <w:rFonts w:cs="Arial"/>
        </w:rPr>
      </w:pPr>
    </w:p>
    <w:p w14:paraId="3432DB9B" w14:textId="77777777" w:rsidR="001223AC" w:rsidRPr="001223AC" w:rsidRDefault="001223AC" w:rsidP="001223AC">
      <w:pPr>
        <w:tabs>
          <w:tab w:val="left" w:pos="1800"/>
        </w:tabs>
        <w:spacing w:before="0" w:after="0"/>
        <w:rPr>
          <w:rFonts w:cs="Arial"/>
        </w:rPr>
      </w:pPr>
      <w:r w:rsidRPr="001223AC">
        <w:rPr>
          <w:rFonts w:cs="Arial"/>
        </w:rPr>
        <w:t xml:space="preserve">ADL impairments were identified for each of these activities if a resident required extensive assistance with that activity.   </w:t>
      </w:r>
    </w:p>
    <w:p w14:paraId="1E1F98F6" w14:textId="77777777" w:rsidR="001223AC" w:rsidRPr="001223AC" w:rsidRDefault="001223AC" w:rsidP="001223AC">
      <w:pPr>
        <w:tabs>
          <w:tab w:val="left" w:pos="1800"/>
        </w:tabs>
        <w:spacing w:before="0" w:after="0"/>
        <w:rPr>
          <w:rFonts w:cs="Arial"/>
        </w:rPr>
      </w:pPr>
    </w:p>
    <w:p w14:paraId="3D3BCC11" w14:textId="77777777" w:rsidR="001223AC" w:rsidRDefault="001223AC" w:rsidP="001223AC">
      <w:pPr>
        <w:tabs>
          <w:tab w:val="left" w:pos="1800"/>
        </w:tabs>
        <w:spacing w:before="0" w:after="0"/>
        <w:rPr>
          <w:rFonts w:cs="Arial"/>
        </w:rPr>
      </w:pPr>
      <w:r w:rsidRPr="001223AC">
        <w:rPr>
          <w:rFonts w:cs="Arial"/>
        </w:rPr>
        <w:t>As shown in Table 3.1, among states identified as having spent more than 40 percent of their Medicaid long-term care funds on home and community-based services, Washington has the highest percentage of residents with 4 or more ADL impairments in nursing facilities.  This generally indicates that Washington has been effective in transitioning residents into appropriate non-institutional environments, and that those cared for in nursing facility settings generally have higher ADL impairments.</w:t>
      </w:r>
    </w:p>
    <w:p w14:paraId="3A107295" w14:textId="77777777" w:rsidR="001223AC" w:rsidRDefault="001223AC" w:rsidP="001223AC">
      <w:pPr>
        <w:tabs>
          <w:tab w:val="left" w:pos="1800"/>
        </w:tabs>
        <w:spacing w:before="0" w:after="0"/>
        <w:rPr>
          <w:rFonts w:cs="Arial"/>
        </w:rPr>
      </w:pPr>
    </w:p>
    <w:p w14:paraId="24087FC5" w14:textId="77777777" w:rsidR="001223AC" w:rsidRDefault="001223AC" w:rsidP="001223AC">
      <w:pPr>
        <w:tabs>
          <w:tab w:val="left" w:pos="1800"/>
        </w:tabs>
        <w:spacing w:before="0" w:after="0"/>
        <w:rPr>
          <w:rFonts w:cs="Arial"/>
        </w:rPr>
      </w:pPr>
    </w:p>
    <w:p w14:paraId="751A6089" w14:textId="77777777" w:rsidR="001223AC" w:rsidRDefault="001223AC" w:rsidP="001223AC">
      <w:pPr>
        <w:tabs>
          <w:tab w:val="left" w:pos="1800"/>
        </w:tabs>
        <w:spacing w:before="0" w:after="0"/>
        <w:rPr>
          <w:rFonts w:cs="Arial"/>
        </w:rPr>
      </w:pPr>
    </w:p>
    <w:p w14:paraId="0FF65BE9" w14:textId="77777777" w:rsidR="001223AC" w:rsidRDefault="001223AC" w:rsidP="001223AC">
      <w:pPr>
        <w:tabs>
          <w:tab w:val="left" w:pos="1800"/>
        </w:tabs>
        <w:spacing w:before="0" w:after="0"/>
        <w:rPr>
          <w:rFonts w:cs="Arial"/>
        </w:rPr>
      </w:pPr>
    </w:p>
    <w:p w14:paraId="1DEDFE36" w14:textId="77777777" w:rsidR="008B33DD" w:rsidRDefault="008B33DD" w:rsidP="001223AC">
      <w:pPr>
        <w:tabs>
          <w:tab w:val="left" w:pos="1800"/>
        </w:tabs>
        <w:spacing w:before="0" w:after="0"/>
        <w:rPr>
          <w:rFonts w:cs="Arial"/>
        </w:rPr>
      </w:pPr>
    </w:p>
    <w:p w14:paraId="7930C219" w14:textId="77777777" w:rsidR="001223AC" w:rsidRDefault="001223AC" w:rsidP="001223AC">
      <w:pPr>
        <w:tabs>
          <w:tab w:val="left" w:pos="1800"/>
        </w:tabs>
        <w:spacing w:before="0" w:after="0"/>
        <w:rPr>
          <w:rFonts w:cs="Arial"/>
        </w:rPr>
      </w:pPr>
    </w:p>
    <w:p w14:paraId="5E932BB9" w14:textId="77777777" w:rsidR="001223AC" w:rsidRPr="001223AC" w:rsidRDefault="001223AC" w:rsidP="001223AC">
      <w:pPr>
        <w:tabs>
          <w:tab w:val="left" w:pos="1800"/>
        </w:tabs>
        <w:spacing w:before="0" w:after="0"/>
        <w:rPr>
          <w:rFonts w:cs="Arial"/>
        </w:rPr>
      </w:pPr>
    </w:p>
    <w:p w14:paraId="4F012EC0" w14:textId="77777777" w:rsidR="001223AC" w:rsidRPr="001223AC" w:rsidRDefault="001223AC" w:rsidP="001223AC">
      <w:pPr>
        <w:tabs>
          <w:tab w:val="left" w:pos="1800"/>
        </w:tabs>
        <w:spacing w:before="0" w:after="0"/>
        <w:ind w:left="1080" w:hanging="1080"/>
        <w:rPr>
          <w:rFonts w:cs="Arial"/>
          <w:b/>
        </w:rPr>
      </w:pPr>
    </w:p>
    <w:p w14:paraId="7B6B4DB8" w14:textId="40ABF2EF" w:rsidR="001223AC" w:rsidRPr="001223AC" w:rsidRDefault="001223AC" w:rsidP="001223AC">
      <w:pPr>
        <w:tabs>
          <w:tab w:val="left" w:pos="1800"/>
        </w:tabs>
        <w:spacing w:before="0" w:after="0"/>
        <w:ind w:left="1080" w:hanging="1080"/>
        <w:rPr>
          <w:rFonts w:cs="Arial"/>
          <w:b/>
        </w:rPr>
      </w:pPr>
      <w:r w:rsidRPr="001223AC">
        <w:rPr>
          <w:rFonts w:cs="Arial"/>
          <w:b/>
        </w:rPr>
        <w:lastRenderedPageBreak/>
        <w:t>Table 3.1:  Distribution of Activity of Daily Living (ADL) Impairment in Nursing Home Residents – 201</w:t>
      </w:r>
      <w:r w:rsidR="002F4433">
        <w:rPr>
          <w:rFonts w:cs="Arial"/>
          <w:b/>
        </w:rPr>
        <w:t>4</w:t>
      </w:r>
    </w:p>
    <w:p w14:paraId="5E91811B" w14:textId="77777777" w:rsidR="001223AC" w:rsidRPr="00195381" w:rsidRDefault="001223AC" w:rsidP="001223AC">
      <w:pPr>
        <w:tabs>
          <w:tab w:val="left" w:pos="1800"/>
        </w:tabs>
        <w:rPr>
          <w:rFonts w:ascii="Palatino Linotype" w:hAnsi="Palatino Linotype"/>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4"/>
        <w:gridCol w:w="1196"/>
        <w:gridCol w:w="1188"/>
        <w:gridCol w:w="1080"/>
      </w:tblGrid>
      <w:tr w:rsidR="001223AC" w:rsidRPr="001223AC" w14:paraId="4791F4D3" w14:textId="77777777" w:rsidTr="001223AC">
        <w:trPr>
          <w:trHeight w:val="440"/>
        </w:trPr>
        <w:tc>
          <w:tcPr>
            <w:tcW w:w="3664" w:type="dxa"/>
            <w:vAlign w:val="bottom"/>
          </w:tcPr>
          <w:p w14:paraId="0F12CCFE" w14:textId="77777777" w:rsidR="001223AC" w:rsidRPr="001223AC" w:rsidRDefault="001223AC" w:rsidP="001223AC">
            <w:pPr>
              <w:jc w:val="center"/>
              <w:rPr>
                <w:rFonts w:cs="Arial"/>
                <w:b/>
                <w:sz w:val="20"/>
                <w:szCs w:val="20"/>
              </w:rPr>
            </w:pPr>
          </w:p>
        </w:tc>
        <w:tc>
          <w:tcPr>
            <w:tcW w:w="3464" w:type="dxa"/>
            <w:gridSpan w:val="3"/>
          </w:tcPr>
          <w:p w14:paraId="5F4EDA21" w14:textId="77777777" w:rsidR="001223AC" w:rsidRPr="001223AC" w:rsidRDefault="001223AC" w:rsidP="001223AC">
            <w:pPr>
              <w:jc w:val="center"/>
              <w:rPr>
                <w:rFonts w:cs="Arial"/>
                <w:b/>
                <w:sz w:val="20"/>
                <w:szCs w:val="20"/>
              </w:rPr>
            </w:pPr>
            <w:r w:rsidRPr="001223AC">
              <w:rPr>
                <w:rFonts w:cs="Arial"/>
                <w:b/>
                <w:noProof/>
                <w:sz w:val="20"/>
                <w:szCs w:val="20"/>
              </w:rPr>
              <mc:AlternateContent>
                <mc:Choice Requires="wps">
                  <w:drawing>
                    <wp:anchor distT="0" distB="0" distL="114300" distR="114300" simplePos="0" relativeHeight="251664384" behindDoc="0" locked="0" layoutInCell="1" allowOverlap="1" wp14:anchorId="1FE430B0" wp14:editId="102C9806">
                      <wp:simplePos x="0" y="0"/>
                      <wp:positionH relativeFrom="column">
                        <wp:posOffset>81280</wp:posOffset>
                      </wp:positionH>
                      <wp:positionV relativeFrom="paragraph">
                        <wp:posOffset>261620</wp:posOffset>
                      </wp:positionV>
                      <wp:extent cx="2025015" cy="0"/>
                      <wp:effectExtent l="14605" t="13970" r="8255" b="1460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015"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5E1F248" id="_x0000_t32" coordsize="21600,21600" o:spt="32" o:oned="t" path="m,l21600,21600e" filled="f">
                      <v:path arrowok="t" fillok="f" o:connecttype="none"/>
                      <o:lock v:ext="edit" shapetype="t"/>
                    </v:shapetype>
                    <v:shape id="AutoShape 16" o:spid="_x0000_s1026" type="#_x0000_t32" style="position:absolute;margin-left:6.4pt;margin-top:20.6pt;width:159.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" strokeweight="1pt">
                      <v:shadow color="#7f7f7f" opacity=".5" offset="1pt"/>
                    </v:shape>
                  </w:pict>
                </mc:Fallback>
              </mc:AlternateContent>
            </w:r>
            <w:r w:rsidRPr="001223AC">
              <w:rPr>
                <w:rFonts w:cs="Arial"/>
                <w:b/>
                <w:sz w:val="20"/>
                <w:szCs w:val="20"/>
              </w:rPr>
              <w:t>Number of ADL Impairment</w:t>
            </w:r>
          </w:p>
          <w:p w14:paraId="6F13041E" w14:textId="77777777" w:rsidR="001223AC" w:rsidRPr="001223AC" w:rsidRDefault="001223AC" w:rsidP="001223AC">
            <w:pPr>
              <w:jc w:val="center"/>
              <w:rPr>
                <w:rFonts w:cs="Arial"/>
                <w:b/>
                <w:sz w:val="20"/>
                <w:szCs w:val="20"/>
              </w:rPr>
            </w:pPr>
            <w:r w:rsidRPr="001223AC">
              <w:rPr>
                <w:rFonts w:cs="Arial"/>
                <w:b/>
                <w:sz w:val="20"/>
                <w:szCs w:val="20"/>
              </w:rPr>
              <w:t>Percent of Residents</w:t>
            </w:r>
          </w:p>
        </w:tc>
      </w:tr>
      <w:tr w:rsidR="001223AC" w:rsidRPr="001223AC" w14:paraId="321ECDAA" w14:textId="77777777" w:rsidTr="001223AC">
        <w:trPr>
          <w:trHeight w:val="440"/>
        </w:trPr>
        <w:tc>
          <w:tcPr>
            <w:tcW w:w="3664" w:type="dxa"/>
            <w:vAlign w:val="bottom"/>
          </w:tcPr>
          <w:p w14:paraId="456A1B4B" w14:textId="77777777" w:rsidR="001223AC" w:rsidRPr="001223AC" w:rsidRDefault="001223AC" w:rsidP="001223AC">
            <w:pPr>
              <w:jc w:val="center"/>
              <w:rPr>
                <w:rFonts w:cs="Arial"/>
                <w:b/>
                <w:sz w:val="20"/>
                <w:szCs w:val="20"/>
              </w:rPr>
            </w:pPr>
            <w:r w:rsidRPr="001223AC">
              <w:rPr>
                <w:rFonts w:cs="Arial"/>
                <w:b/>
                <w:sz w:val="20"/>
                <w:szCs w:val="20"/>
              </w:rPr>
              <w:t>State</w:t>
            </w:r>
          </w:p>
        </w:tc>
        <w:tc>
          <w:tcPr>
            <w:tcW w:w="1196" w:type="dxa"/>
          </w:tcPr>
          <w:p w14:paraId="12A5E185" w14:textId="77777777" w:rsidR="001223AC" w:rsidRPr="001223AC" w:rsidRDefault="001223AC" w:rsidP="001223AC">
            <w:pPr>
              <w:jc w:val="center"/>
              <w:rPr>
                <w:rFonts w:cs="Arial"/>
                <w:b/>
                <w:sz w:val="20"/>
                <w:szCs w:val="20"/>
              </w:rPr>
            </w:pPr>
            <w:r w:rsidRPr="001223AC">
              <w:rPr>
                <w:rFonts w:cs="Arial"/>
                <w:b/>
                <w:sz w:val="20"/>
                <w:szCs w:val="20"/>
              </w:rPr>
              <w:t>0</w:t>
            </w:r>
          </w:p>
        </w:tc>
        <w:tc>
          <w:tcPr>
            <w:tcW w:w="1188" w:type="dxa"/>
          </w:tcPr>
          <w:p w14:paraId="00C9538F" w14:textId="77777777" w:rsidR="001223AC" w:rsidRPr="001223AC" w:rsidRDefault="001223AC" w:rsidP="001223AC">
            <w:pPr>
              <w:jc w:val="center"/>
              <w:rPr>
                <w:rFonts w:cs="Arial"/>
                <w:b/>
                <w:sz w:val="20"/>
                <w:szCs w:val="20"/>
              </w:rPr>
            </w:pPr>
            <w:r w:rsidRPr="001223AC">
              <w:rPr>
                <w:rFonts w:cs="Arial"/>
                <w:b/>
                <w:sz w:val="20"/>
                <w:szCs w:val="20"/>
              </w:rPr>
              <w:t>1-3</w:t>
            </w:r>
          </w:p>
        </w:tc>
        <w:tc>
          <w:tcPr>
            <w:tcW w:w="1080" w:type="dxa"/>
            <w:vAlign w:val="bottom"/>
          </w:tcPr>
          <w:p w14:paraId="469736D1" w14:textId="77777777" w:rsidR="001223AC" w:rsidRPr="001223AC" w:rsidRDefault="001223AC" w:rsidP="001223AC">
            <w:pPr>
              <w:jc w:val="center"/>
              <w:rPr>
                <w:rFonts w:cs="Arial"/>
                <w:b/>
                <w:sz w:val="20"/>
                <w:szCs w:val="20"/>
              </w:rPr>
            </w:pPr>
            <w:r w:rsidRPr="001223AC">
              <w:rPr>
                <w:rFonts w:cs="Arial"/>
                <w:b/>
                <w:sz w:val="20"/>
                <w:szCs w:val="20"/>
              </w:rPr>
              <w:t>4 and 5</w:t>
            </w:r>
          </w:p>
        </w:tc>
      </w:tr>
      <w:tr w:rsidR="001223AC" w:rsidRPr="001223AC" w14:paraId="7226FE0C" w14:textId="77777777" w:rsidTr="001223AC">
        <w:tc>
          <w:tcPr>
            <w:tcW w:w="3664" w:type="dxa"/>
            <w:shd w:val="pct15" w:color="auto" w:fill="auto"/>
            <w:vAlign w:val="bottom"/>
          </w:tcPr>
          <w:p w14:paraId="62C4BA9D" w14:textId="77777777" w:rsidR="001223AC" w:rsidRPr="001223AC" w:rsidRDefault="001223AC" w:rsidP="001223AC">
            <w:pPr>
              <w:rPr>
                <w:rFonts w:cs="Arial"/>
                <w:sz w:val="20"/>
                <w:szCs w:val="20"/>
              </w:rPr>
            </w:pPr>
            <w:r w:rsidRPr="001223AC">
              <w:rPr>
                <w:rFonts w:cs="Arial"/>
                <w:sz w:val="20"/>
                <w:szCs w:val="20"/>
              </w:rPr>
              <w:t>Washington</w:t>
            </w:r>
          </w:p>
        </w:tc>
        <w:tc>
          <w:tcPr>
            <w:tcW w:w="1196" w:type="dxa"/>
            <w:shd w:val="pct15" w:color="auto" w:fill="auto"/>
            <w:vAlign w:val="center"/>
          </w:tcPr>
          <w:p w14:paraId="3037FA4B" w14:textId="79794E90" w:rsidR="001223AC" w:rsidRPr="001223AC" w:rsidRDefault="001223AC" w:rsidP="001223AC">
            <w:pPr>
              <w:jc w:val="center"/>
              <w:rPr>
                <w:rFonts w:cs="Arial"/>
                <w:sz w:val="20"/>
                <w:szCs w:val="20"/>
              </w:rPr>
            </w:pPr>
            <w:r w:rsidRPr="001223AC">
              <w:rPr>
                <w:rFonts w:cs="Arial"/>
                <w:sz w:val="20"/>
                <w:szCs w:val="20"/>
              </w:rPr>
              <w:t>1</w:t>
            </w:r>
            <w:r w:rsidR="002F4433">
              <w:rPr>
                <w:rFonts w:cs="Arial"/>
                <w:sz w:val="20"/>
                <w:szCs w:val="20"/>
              </w:rPr>
              <w:t>2.0</w:t>
            </w:r>
            <w:r w:rsidR="0099135B">
              <w:rPr>
                <w:rFonts w:cs="Arial"/>
                <w:sz w:val="20"/>
                <w:szCs w:val="20"/>
              </w:rPr>
              <w:t>%</w:t>
            </w:r>
          </w:p>
        </w:tc>
        <w:tc>
          <w:tcPr>
            <w:tcW w:w="1188" w:type="dxa"/>
            <w:shd w:val="pct15" w:color="auto" w:fill="auto"/>
            <w:vAlign w:val="center"/>
          </w:tcPr>
          <w:p w14:paraId="6E89E03E" w14:textId="6DCE53D0" w:rsidR="001223AC" w:rsidRPr="001223AC" w:rsidRDefault="001223AC" w:rsidP="001223AC">
            <w:pPr>
              <w:jc w:val="center"/>
              <w:rPr>
                <w:rFonts w:cs="Arial"/>
                <w:sz w:val="20"/>
                <w:szCs w:val="20"/>
              </w:rPr>
            </w:pPr>
            <w:r w:rsidRPr="001223AC">
              <w:rPr>
                <w:rFonts w:cs="Arial"/>
                <w:sz w:val="20"/>
                <w:szCs w:val="20"/>
              </w:rPr>
              <w:t>14</w:t>
            </w:r>
            <w:r w:rsidR="002F4433">
              <w:rPr>
                <w:rFonts w:cs="Arial"/>
                <w:sz w:val="20"/>
                <w:szCs w:val="20"/>
              </w:rPr>
              <w:t>.0</w:t>
            </w:r>
            <w:r w:rsidR="0099135B">
              <w:rPr>
                <w:rFonts w:cs="Arial"/>
                <w:sz w:val="20"/>
                <w:szCs w:val="20"/>
              </w:rPr>
              <w:t>%</w:t>
            </w:r>
          </w:p>
        </w:tc>
        <w:tc>
          <w:tcPr>
            <w:tcW w:w="1080" w:type="dxa"/>
            <w:shd w:val="pct15" w:color="auto" w:fill="auto"/>
            <w:vAlign w:val="center"/>
          </w:tcPr>
          <w:p w14:paraId="3A6C91ED" w14:textId="7DD7F900" w:rsidR="001223AC" w:rsidRPr="001223AC" w:rsidRDefault="001223AC" w:rsidP="001223AC">
            <w:pPr>
              <w:jc w:val="center"/>
              <w:rPr>
                <w:rFonts w:cs="Arial"/>
                <w:sz w:val="20"/>
                <w:szCs w:val="20"/>
              </w:rPr>
            </w:pPr>
            <w:r w:rsidRPr="001223AC">
              <w:rPr>
                <w:rFonts w:cs="Arial"/>
                <w:sz w:val="20"/>
                <w:szCs w:val="20"/>
              </w:rPr>
              <w:t>74.</w:t>
            </w:r>
            <w:r w:rsidR="002F4433">
              <w:rPr>
                <w:rFonts w:cs="Arial"/>
                <w:sz w:val="20"/>
                <w:szCs w:val="20"/>
              </w:rPr>
              <w:t>1</w:t>
            </w:r>
            <w:r w:rsidR="0099135B">
              <w:rPr>
                <w:rFonts w:cs="Arial"/>
                <w:sz w:val="20"/>
                <w:szCs w:val="20"/>
              </w:rPr>
              <w:t>%</w:t>
            </w:r>
          </w:p>
        </w:tc>
      </w:tr>
      <w:tr w:rsidR="001223AC" w:rsidRPr="001223AC" w14:paraId="788D01B0" w14:textId="77777777" w:rsidTr="001223AC">
        <w:tc>
          <w:tcPr>
            <w:tcW w:w="3664" w:type="dxa"/>
            <w:tcBorders>
              <w:bottom w:val="single" w:sz="4" w:space="0" w:color="auto"/>
            </w:tcBorders>
            <w:vAlign w:val="bottom"/>
          </w:tcPr>
          <w:p w14:paraId="5CED011A" w14:textId="77777777" w:rsidR="001223AC" w:rsidRPr="001223AC" w:rsidRDefault="001223AC" w:rsidP="001223AC">
            <w:pPr>
              <w:rPr>
                <w:rFonts w:cs="Arial"/>
                <w:sz w:val="20"/>
                <w:szCs w:val="20"/>
              </w:rPr>
            </w:pPr>
            <w:r w:rsidRPr="001223AC">
              <w:rPr>
                <w:rFonts w:cs="Arial"/>
                <w:sz w:val="20"/>
                <w:szCs w:val="20"/>
              </w:rPr>
              <w:t>California</w:t>
            </w:r>
          </w:p>
        </w:tc>
        <w:tc>
          <w:tcPr>
            <w:tcW w:w="1196" w:type="dxa"/>
            <w:tcBorders>
              <w:bottom w:val="single" w:sz="4" w:space="0" w:color="auto"/>
            </w:tcBorders>
            <w:vAlign w:val="center"/>
          </w:tcPr>
          <w:p w14:paraId="0B502E45" w14:textId="3DC7EEDC" w:rsidR="001223AC" w:rsidRPr="001223AC" w:rsidRDefault="001223AC" w:rsidP="001223AC">
            <w:pPr>
              <w:jc w:val="center"/>
              <w:rPr>
                <w:rFonts w:cs="Arial"/>
                <w:sz w:val="20"/>
                <w:szCs w:val="20"/>
              </w:rPr>
            </w:pPr>
            <w:r w:rsidRPr="001223AC">
              <w:rPr>
                <w:rFonts w:cs="Arial"/>
                <w:sz w:val="20"/>
                <w:szCs w:val="20"/>
              </w:rPr>
              <w:t>1</w:t>
            </w:r>
            <w:r w:rsidR="002F4433">
              <w:rPr>
                <w:rFonts w:cs="Arial"/>
                <w:sz w:val="20"/>
                <w:szCs w:val="20"/>
              </w:rPr>
              <w:t>7</w:t>
            </w:r>
            <w:r w:rsidRPr="001223AC">
              <w:rPr>
                <w:rFonts w:cs="Arial"/>
                <w:sz w:val="20"/>
                <w:szCs w:val="20"/>
              </w:rPr>
              <w:t>.6</w:t>
            </w:r>
            <w:r w:rsidR="0099135B">
              <w:rPr>
                <w:rFonts w:cs="Arial"/>
                <w:sz w:val="20"/>
                <w:szCs w:val="20"/>
              </w:rPr>
              <w:t>%</w:t>
            </w:r>
          </w:p>
        </w:tc>
        <w:tc>
          <w:tcPr>
            <w:tcW w:w="1188" w:type="dxa"/>
            <w:tcBorders>
              <w:bottom w:val="single" w:sz="4" w:space="0" w:color="auto"/>
            </w:tcBorders>
            <w:vAlign w:val="center"/>
          </w:tcPr>
          <w:p w14:paraId="1E0BCF28" w14:textId="1F7243B5" w:rsidR="001223AC" w:rsidRPr="001223AC" w:rsidRDefault="001223AC" w:rsidP="001223AC">
            <w:pPr>
              <w:jc w:val="center"/>
              <w:rPr>
                <w:rFonts w:cs="Arial"/>
                <w:sz w:val="20"/>
                <w:szCs w:val="20"/>
              </w:rPr>
            </w:pPr>
            <w:r w:rsidRPr="001223AC">
              <w:rPr>
                <w:rFonts w:cs="Arial"/>
                <w:sz w:val="20"/>
                <w:szCs w:val="20"/>
              </w:rPr>
              <w:t>16.</w:t>
            </w:r>
            <w:r w:rsidR="002F4433">
              <w:rPr>
                <w:rFonts w:cs="Arial"/>
                <w:sz w:val="20"/>
                <w:szCs w:val="20"/>
              </w:rPr>
              <w:t>1</w:t>
            </w:r>
            <w:r w:rsidR="0099135B">
              <w:rPr>
                <w:rFonts w:cs="Arial"/>
                <w:sz w:val="20"/>
                <w:szCs w:val="20"/>
              </w:rPr>
              <w:t>%</w:t>
            </w:r>
          </w:p>
        </w:tc>
        <w:tc>
          <w:tcPr>
            <w:tcW w:w="1080" w:type="dxa"/>
            <w:tcBorders>
              <w:bottom w:val="single" w:sz="4" w:space="0" w:color="auto"/>
            </w:tcBorders>
            <w:vAlign w:val="center"/>
          </w:tcPr>
          <w:p w14:paraId="4616ECF3" w14:textId="61786850" w:rsidR="001223AC" w:rsidRPr="001223AC" w:rsidRDefault="001223AC" w:rsidP="001223AC">
            <w:pPr>
              <w:jc w:val="center"/>
              <w:rPr>
                <w:rFonts w:cs="Arial"/>
                <w:sz w:val="20"/>
                <w:szCs w:val="20"/>
              </w:rPr>
            </w:pPr>
            <w:r w:rsidRPr="001223AC">
              <w:rPr>
                <w:rFonts w:cs="Arial"/>
                <w:sz w:val="20"/>
                <w:szCs w:val="20"/>
              </w:rPr>
              <w:t>6</w:t>
            </w:r>
            <w:r w:rsidR="002F4433">
              <w:rPr>
                <w:rFonts w:cs="Arial"/>
                <w:sz w:val="20"/>
                <w:szCs w:val="20"/>
              </w:rPr>
              <w:t>6.3</w:t>
            </w:r>
            <w:r w:rsidR="0099135B">
              <w:rPr>
                <w:rFonts w:cs="Arial"/>
                <w:sz w:val="20"/>
                <w:szCs w:val="20"/>
              </w:rPr>
              <w:t>%</w:t>
            </w:r>
          </w:p>
        </w:tc>
      </w:tr>
      <w:tr w:rsidR="001223AC" w:rsidRPr="001223AC" w14:paraId="2A0EE605" w14:textId="77777777" w:rsidTr="001223AC">
        <w:tc>
          <w:tcPr>
            <w:tcW w:w="3664" w:type="dxa"/>
            <w:vAlign w:val="bottom"/>
          </w:tcPr>
          <w:p w14:paraId="5486ADDA" w14:textId="77777777" w:rsidR="001223AC" w:rsidRPr="001223AC" w:rsidRDefault="001223AC" w:rsidP="001223AC">
            <w:pPr>
              <w:rPr>
                <w:rFonts w:cs="Arial"/>
                <w:sz w:val="20"/>
                <w:szCs w:val="20"/>
              </w:rPr>
            </w:pPr>
            <w:r w:rsidRPr="001223AC">
              <w:rPr>
                <w:rFonts w:cs="Arial"/>
                <w:sz w:val="20"/>
                <w:szCs w:val="20"/>
              </w:rPr>
              <w:t>Minnesota</w:t>
            </w:r>
          </w:p>
        </w:tc>
        <w:tc>
          <w:tcPr>
            <w:tcW w:w="1196" w:type="dxa"/>
            <w:vAlign w:val="center"/>
          </w:tcPr>
          <w:p w14:paraId="4DC87A35" w14:textId="3A235433" w:rsidR="001223AC" w:rsidRPr="001223AC" w:rsidRDefault="001223AC" w:rsidP="001223AC">
            <w:pPr>
              <w:jc w:val="center"/>
              <w:rPr>
                <w:rFonts w:cs="Arial"/>
                <w:sz w:val="20"/>
                <w:szCs w:val="20"/>
              </w:rPr>
            </w:pPr>
            <w:r w:rsidRPr="001223AC">
              <w:rPr>
                <w:rFonts w:cs="Arial"/>
                <w:sz w:val="20"/>
                <w:szCs w:val="20"/>
              </w:rPr>
              <w:t>18</w:t>
            </w:r>
            <w:r w:rsidR="002F4433">
              <w:rPr>
                <w:rFonts w:cs="Arial"/>
                <w:sz w:val="20"/>
                <w:szCs w:val="20"/>
              </w:rPr>
              <w:t>.0</w:t>
            </w:r>
            <w:r w:rsidR="0099135B">
              <w:rPr>
                <w:rFonts w:cs="Arial"/>
                <w:sz w:val="20"/>
                <w:szCs w:val="20"/>
              </w:rPr>
              <w:t>%</w:t>
            </w:r>
          </w:p>
        </w:tc>
        <w:tc>
          <w:tcPr>
            <w:tcW w:w="1188" w:type="dxa"/>
            <w:vAlign w:val="center"/>
          </w:tcPr>
          <w:p w14:paraId="1F052051" w14:textId="7D9C3504" w:rsidR="001223AC" w:rsidRPr="001223AC" w:rsidRDefault="001223AC" w:rsidP="001223AC">
            <w:pPr>
              <w:jc w:val="center"/>
              <w:rPr>
                <w:rFonts w:cs="Arial"/>
                <w:sz w:val="20"/>
                <w:szCs w:val="20"/>
              </w:rPr>
            </w:pPr>
            <w:r w:rsidRPr="001223AC">
              <w:rPr>
                <w:rFonts w:cs="Arial"/>
                <w:sz w:val="20"/>
                <w:szCs w:val="20"/>
              </w:rPr>
              <w:t>17.</w:t>
            </w:r>
            <w:r w:rsidR="002F4433">
              <w:rPr>
                <w:rFonts w:cs="Arial"/>
                <w:sz w:val="20"/>
                <w:szCs w:val="20"/>
              </w:rPr>
              <w:t>3</w:t>
            </w:r>
            <w:r w:rsidR="0099135B">
              <w:rPr>
                <w:rFonts w:cs="Arial"/>
                <w:sz w:val="20"/>
                <w:szCs w:val="20"/>
              </w:rPr>
              <w:t>%</w:t>
            </w:r>
          </w:p>
        </w:tc>
        <w:tc>
          <w:tcPr>
            <w:tcW w:w="1080" w:type="dxa"/>
            <w:vAlign w:val="center"/>
          </w:tcPr>
          <w:p w14:paraId="22B58DD5" w14:textId="6346B3E1" w:rsidR="001223AC" w:rsidRPr="001223AC" w:rsidRDefault="001223AC" w:rsidP="001223AC">
            <w:pPr>
              <w:jc w:val="center"/>
              <w:rPr>
                <w:rFonts w:cs="Arial"/>
                <w:sz w:val="20"/>
                <w:szCs w:val="20"/>
              </w:rPr>
            </w:pPr>
            <w:r w:rsidRPr="001223AC">
              <w:rPr>
                <w:rFonts w:cs="Arial"/>
                <w:sz w:val="20"/>
                <w:szCs w:val="20"/>
              </w:rPr>
              <w:t>64.</w:t>
            </w:r>
            <w:r w:rsidR="002F4433">
              <w:rPr>
                <w:rFonts w:cs="Arial"/>
                <w:sz w:val="20"/>
                <w:szCs w:val="20"/>
              </w:rPr>
              <w:t>6</w:t>
            </w:r>
            <w:r w:rsidR="0099135B">
              <w:rPr>
                <w:rFonts w:cs="Arial"/>
                <w:sz w:val="20"/>
                <w:szCs w:val="20"/>
              </w:rPr>
              <w:t>%</w:t>
            </w:r>
          </w:p>
        </w:tc>
      </w:tr>
      <w:tr w:rsidR="001223AC" w:rsidRPr="001223AC" w14:paraId="78F80411" w14:textId="77777777" w:rsidTr="001223AC">
        <w:tc>
          <w:tcPr>
            <w:tcW w:w="3664" w:type="dxa"/>
            <w:vAlign w:val="bottom"/>
          </w:tcPr>
          <w:p w14:paraId="189B05CA" w14:textId="77777777" w:rsidR="001223AC" w:rsidRPr="001223AC" w:rsidRDefault="001223AC" w:rsidP="001223AC">
            <w:pPr>
              <w:rPr>
                <w:rFonts w:cs="Arial"/>
                <w:sz w:val="20"/>
                <w:szCs w:val="20"/>
              </w:rPr>
            </w:pPr>
            <w:r w:rsidRPr="001223AC">
              <w:rPr>
                <w:rFonts w:cs="Arial"/>
                <w:sz w:val="20"/>
                <w:szCs w:val="20"/>
              </w:rPr>
              <w:t>New Mexico</w:t>
            </w:r>
          </w:p>
        </w:tc>
        <w:tc>
          <w:tcPr>
            <w:tcW w:w="1196" w:type="dxa"/>
            <w:vAlign w:val="center"/>
          </w:tcPr>
          <w:p w14:paraId="0E39E429" w14:textId="7862000A" w:rsidR="001223AC" w:rsidRPr="001223AC" w:rsidRDefault="001223AC" w:rsidP="001223AC">
            <w:pPr>
              <w:jc w:val="center"/>
              <w:rPr>
                <w:rFonts w:cs="Arial"/>
                <w:sz w:val="20"/>
                <w:szCs w:val="20"/>
              </w:rPr>
            </w:pPr>
            <w:r w:rsidRPr="001223AC">
              <w:rPr>
                <w:rFonts w:cs="Arial"/>
                <w:sz w:val="20"/>
                <w:szCs w:val="20"/>
              </w:rPr>
              <w:t>2</w:t>
            </w:r>
            <w:r w:rsidR="002F4433">
              <w:rPr>
                <w:rFonts w:cs="Arial"/>
                <w:sz w:val="20"/>
                <w:szCs w:val="20"/>
              </w:rPr>
              <w:t>7.2</w:t>
            </w:r>
            <w:r w:rsidR="0099135B">
              <w:rPr>
                <w:rFonts w:cs="Arial"/>
                <w:sz w:val="20"/>
                <w:szCs w:val="20"/>
              </w:rPr>
              <w:t>%</w:t>
            </w:r>
          </w:p>
        </w:tc>
        <w:tc>
          <w:tcPr>
            <w:tcW w:w="1188" w:type="dxa"/>
            <w:vAlign w:val="center"/>
          </w:tcPr>
          <w:p w14:paraId="5DF2C133" w14:textId="6CAAD87B" w:rsidR="001223AC" w:rsidRPr="001223AC" w:rsidRDefault="001223AC" w:rsidP="001223AC">
            <w:pPr>
              <w:jc w:val="center"/>
              <w:rPr>
                <w:rFonts w:cs="Arial"/>
                <w:sz w:val="20"/>
                <w:szCs w:val="20"/>
              </w:rPr>
            </w:pPr>
            <w:r w:rsidRPr="001223AC">
              <w:rPr>
                <w:rFonts w:cs="Arial"/>
                <w:sz w:val="20"/>
                <w:szCs w:val="20"/>
              </w:rPr>
              <w:t>1</w:t>
            </w:r>
            <w:r w:rsidR="002F4433">
              <w:rPr>
                <w:rFonts w:cs="Arial"/>
                <w:sz w:val="20"/>
                <w:szCs w:val="20"/>
              </w:rPr>
              <w:t>8.9</w:t>
            </w:r>
            <w:r w:rsidR="0099135B">
              <w:rPr>
                <w:rFonts w:cs="Arial"/>
                <w:sz w:val="20"/>
                <w:szCs w:val="20"/>
              </w:rPr>
              <w:t>%</w:t>
            </w:r>
          </w:p>
        </w:tc>
        <w:tc>
          <w:tcPr>
            <w:tcW w:w="1080" w:type="dxa"/>
            <w:vAlign w:val="center"/>
          </w:tcPr>
          <w:p w14:paraId="44EAA63B" w14:textId="2A6FB161" w:rsidR="001223AC" w:rsidRPr="001223AC" w:rsidRDefault="001223AC" w:rsidP="001223AC">
            <w:pPr>
              <w:jc w:val="center"/>
              <w:rPr>
                <w:rFonts w:cs="Arial"/>
                <w:sz w:val="20"/>
                <w:szCs w:val="20"/>
              </w:rPr>
            </w:pPr>
            <w:r w:rsidRPr="001223AC">
              <w:rPr>
                <w:rFonts w:cs="Arial"/>
                <w:sz w:val="20"/>
                <w:szCs w:val="20"/>
              </w:rPr>
              <w:t>5</w:t>
            </w:r>
            <w:r w:rsidR="002F4433">
              <w:rPr>
                <w:rFonts w:cs="Arial"/>
                <w:sz w:val="20"/>
                <w:szCs w:val="20"/>
              </w:rPr>
              <w:t>3.9</w:t>
            </w:r>
            <w:r w:rsidR="0099135B">
              <w:rPr>
                <w:rFonts w:cs="Arial"/>
                <w:sz w:val="20"/>
                <w:szCs w:val="20"/>
              </w:rPr>
              <w:t>%</w:t>
            </w:r>
          </w:p>
        </w:tc>
      </w:tr>
      <w:tr w:rsidR="001223AC" w:rsidRPr="001223AC" w14:paraId="62280B4D" w14:textId="77777777" w:rsidTr="001223AC">
        <w:tc>
          <w:tcPr>
            <w:tcW w:w="3664" w:type="dxa"/>
            <w:vAlign w:val="bottom"/>
          </w:tcPr>
          <w:p w14:paraId="5DC0E9D3" w14:textId="77777777" w:rsidR="001223AC" w:rsidRPr="001223AC" w:rsidRDefault="001223AC" w:rsidP="001223AC">
            <w:pPr>
              <w:rPr>
                <w:rFonts w:cs="Arial"/>
                <w:sz w:val="20"/>
                <w:szCs w:val="20"/>
              </w:rPr>
            </w:pPr>
            <w:r w:rsidRPr="001223AC">
              <w:rPr>
                <w:rFonts w:cs="Arial"/>
                <w:sz w:val="20"/>
                <w:szCs w:val="20"/>
              </w:rPr>
              <w:t>Oregon</w:t>
            </w:r>
          </w:p>
        </w:tc>
        <w:tc>
          <w:tcPr>
            <w:tcW w:w="1196" w:type="dxa"/>
            <w:vAlign w:val="center"/>
          </w:tcPr>
          <w:p w14:paraId="4CD721FD" w14:textId="62A885D4" w:rsidR="001223AC" w:rsidRPr="001223AC" w:rsidRDefault="001223AC" w:rsidP="001223AC">
            <w:pPr>
              <w:jc w:val="center"/>
              <w:rPr>
                <w:rFonts w:cs="Arial"/>
                <w:sz w:val="20"/>
                <w:szCs w:val="20"/>
              </w:rPr>
            </w:pPr>
            <w:r w:rsidRPr="001223AC">
              <w:rPr>
                <w:rFonts w:cs="Arial"/>
                <w:sz w:val="20"/>
                <w:szCs w:val="20"/>
              </w:rPr>
              <w:t>1</w:t>
            </w:r>
            <w:r w:rsidR="002F4433">
              <w:rPr>
                <w:rFonts w:cs="Arial"/>
                <w:sz w:val="20"/>
                <w:szCs w:val="20"/>
              </w:rPr>
              <w:t>4.9</w:t>
            </w:r>
            <w:r w:rsidR="0099135B">
              <w:rPr>
                <w:rFonts w:cs="Arial"/>
                <w:sz w:val="20"/>
                <w:szCs w:val="20"/>
              </w:rPr>
              <w:t>%</w:t>
            </w:r>
          </w:p>
        </w:tc>
        <w:tc>
          <w:tcPr>
            <w:tcW w:w="1188" w:type="dxa"/>
            <w:vAlign w:val="center"/>
          </w:tcPr>
          <w:p w14:paraId="743FB4AF" w14:textId="713FD49A" w:rsidR="001223AC" w:rsidRPr="001223AC" w:rsidRDefault="001223AC" w:rsidP="001223AC">
            <w:pPr>
              <w:jc w:val="center"/>
              <w:rPr>
                <w:rFonts w:cs="Arial"/>
                <w:sz w:val="20"/>
                <w:szCs w:val="20"/>
              </w:rPr>
            </w:pPr>
            <w:r w:rsidRPr="001223AC">
              <w:rPr>
                <w:rFonts w:cs="Arial"/>
                <w:sz w:val="20"/>
                <w:szCs w:val="20"/>
              </w:rPr>
              <w:t>1</w:t>
            </w:r>
            <w:r w:rsidR="002F4433">
              <w:rPr>
                <w:rFonts w:cs="Arial"/>
                <w:sz w:val="20"/>
                <w:szCs w:val="20"/>
              </w:rPr>
              <w:t>6.7</w:t>
            </w:r>
            <w:r w:rsidR="0099135B">
              <w:rPr>
                <w:rFonts w:cs="Arial"/>
                <w:sz w:val="20"/>
                <w:szCs w:val="20"/>
              </w:rPr>
              <w:t>%</w:t>
            </w:r>
          </w:p>
        </w:tc>
        <w:tc>
          <w:tcPr>
            <w:tcW w:w="1080" w:type="dxa"/>
            <w:vAlign w:val="center"/>
          </w:tcPr>
          <w:p w14:paraId="4B038C3E" w14:textId="19F4ACA2" w:rsidR="001223AC" w:rsidRPr="001223AC" w:rsidRDefault="001223AC" w:rsidP="001223AC">
            <w:pPr>
              <w:jc w:val="center"/>
              <w:rPr>
                <w:rFonts w:cs="Arial"/>
                <w:sz w:val="20"/>
                <w:szCs w:val="20"/>
              </w:rPr>
            </w:pPr>
            <w:r w:rsidRPr="001223AC">
              <w:rPr>
                <w:rFonts w:cs="Arial"/>
                <w:sz w:val="20"/>
                <w:szCs w:val="20"/>
              </w:rPr>
              <w:t>6</w:t>
            </w:r>
            <w:r w:rsidR="002F4433">
              <w:rPr>
                <w:rFonts w:cs="Arial"/>
                <w:sz w:val="20"/>
                <w:szCs w:val="20"/>
              </w:rPr>
              <w:t>8.4</w:t>
            </w:r>
            <w:r w:rsidR="0099135B">
              <w:rPr>
                <w:rFonts w:cs="Arial"/>
                <w:sz w:val="20"/>
                <w:szCs w:val="20"/>
              </w:rPr>
              <w:t>%</w:t>
            </w:r>
          </w:p>
        </w:tc>
      </w:tr>
      <w:tr w:rsidR="001223AC" w:rsidRPr="001223AC" w14:paraId="4330BF71" w14:textId="77777777" w:rsidTr="001223AC">
        <w:tc>
          <w:tcPr>
            <w:tcW w:w="3664" w:type="dxa"/>
            <w:vAlign w:val="bottom"/>
          </w:tcPr>
          <w:p w14:paraId="35466E94" w14:textId="77777777" w:rsidR="001223AC" w:rsidRPr="001223AC" w:rsidRDefault="001223AC" w:rsidP="001223AC">
            <w:pPr>
              <w:rPr>
                <w:rFonts w:cs="Arial"/>
                <w:sz w:val="20"/>
                <w:szCs w:val="20"/>
              </w:rPr>
            </w:pPr>
            <w:r w:rsidRPr="001223AC">
              <w:rPr>
                <w:rFonts w:cs="Arial"/>
                <w:sz w:val="20"/>
                <w:szCs w:val="20"/>
              </w:rPr>
              <w:t>Texas</w:t>
            </w:r>
          </w:p>
        </w:tc>
        <w:tc>
          <w:tcPr>
            <w:tcW w:w="1196" w:type="dxa"/>
            <w:vAlign w:val="center"/>
          </w:tcPr>
          <w:p w14:paraId="6A0CE2EE" w14:textId="7622FC24" w:rsidR="001223AC" w:rsidRPr="001223AC" w:rsidRDefault="001223AC" w:rsidP="001223AC">
            <w:pPr>
              <w:jc w:val="center"/>
              <w:rPr>
                <w:rFonts w:cs="Arial"/>
                <w:sz w:val="20"/>
                <w:szCs w:val="20"/>
              </w:rPr>
            </w:pPr>
            <w:r w:rsidRPr="001223AC">
              <w:rPr>
                <w:rFonts w:cs="Arial"/>
                <w:sz w:val="20"/>
                <w:szCs w:val="20"/>
              </w:rPr>
              <w:t>2</w:t>
            </w:r>
            <w:r w:rsidR="002F4433">
              <w:rPr>
                <w:rFonts w:cs="Arial"/>
                <w:sz w:val="20"/>
                <w:szCs w:val="20"/>
              </w:rPr>
              <w:t>3.9</w:t>
            </w:r>
            <w:r w:rsidR="0099135B">
              <w:rPr>
                <w:rFonts w:cs="Arial"/>
                <w:sz w:val="20"/>
                <w:szCs w:val="20"/>
              </w:rPr>
              <w:t>%</w:t>
            </w:r>
          </w:p>
        </w:tc>
        <w:tc>
          <w:tcPr>
            <w:tcW w:w="1188" w:type="dxa"/>
            <w:vAlign w:val="center"/>
          </w:tcPr>
          <w:p w14:paraId="0B6AA306" w14:textId="38CC03C5" w:rsidR="001223AC" w:rsidRPr="001223AC" w:rsidRDefault="001223AC" w:rsidP="001223AC">
            <w:pPr>
              <w:jc w:val="center"/>
              <w:rPr>
                <w:rFonts w:cs="Arial"/>
                <w:sz w:val="20"/>
                <w:szCs w:val="20"/>
              </w:rPr>
            </w:pPr>
            <w:r w:rsidRPr="001223AC">
              <w:rPr>
                <w:rFonts w:cs="Arial"/>
                <w:sz w:val="20"/>
                <w:szCs w:val="20"/>
              </w:rPr>
              <w:t>17.</w:t>
            </w:r>
            <w:r w:rsidR="002F4433">
              <w:rPr>
                <w:rFonts w:cs="Arial"/>
                <w:sz w:val="20"/>
                <w:szCs w:val="20"/>
              </w:rPr>
              <w:t>1</w:t>
            </w:r>
            <w:r w:rsidR="0099135B">
              <w:rPr>
                <w:rFonts w:cs="Arial"/>
                <w:sz w:val="20"/>
                <w:szCs w:val="20"/>
              </w:rPr>
              <w:t>%</w:t>
            </w:r>
          </w:p>
        </w:tc>
        <w:tc>
          <w:tcPr>
            <w:tcW w:w="1080" w:type="dxa"/>
            <w:vAlign w:val="center"/>
          </w:tcPr>
          <w:p w14:paraId="14FCD980" w14:textId="5A8F86E3" w:rsidR="001223AC" w:rsidRPr="001223AC" w:rsidRDefault="001223AC" w:rsidP="001223AC">
            <w:pPr>
              <w:jc w:val="center"/>
              <w:rPr>
                <w:rFonts w:cs="Arial"/>
                <w:sz w:val="20"/>
                <w:szCs w:val="20"/>
              </w:rPr>
            </w:pPr>
            <w:r w:rsidRPr="001223AC">
              <w:rPr>
                <w:rFonts w:cs="Arial"/>
                <w:sz w:val="20"/>
                <w:szCs w:val="20"/>
              </w:rPr>
              <w:t>58.</w:t>
            </w:r>
            <w:r w:rsidR="002F4433">
              <w:rPr>
                <w:rFonts w:cs="Arial"/>
                <w:sz w:val="20"/>
                <w:szCs w:val="20"/>
              </w:rPr>
              <w:t>9</w:t>
            </w:r>
            <w:r w:rsidR="0099135B">
              <w:rPr>
                <w:rFonts w:cs="Arial"/>
                <w:sz w:val="20"/>
                <w:szCs w:val="20"/>
              </w:rPr>
              <w:t>%</w:t>
            </w:r>
          </w:p>
        </w:tc>
      </w:tr>
      <w:tr w:rsidR="001223AC" w:rsidRPr="001223AC" w14:paraId="24E47AE1" w14:textId="77777777" w:rsidTr="001223AC">
        <w:tc>
          <w:tcPr>
            <w:tcW w:w="3664" w:type="dxa"/>
            <w:vAlign w:val="bottom"/>
          </w:tcPr>
          <w:p w14:paraId="402D37E1" w14:textId="77777777" w:rsidR="001223AC" w:rsidRPr="001223AC" w:rsidRDefault="001223AC" w:rsidP="001223AC">
            <w:pPr>
              <w:rPr>
                <w:rFonts w:cs="Arial"/>
                <w:sz w:val="20"/>
                <w:szCs w:val="20"/>
              </w:rPr>
            </w:pPr>
            <w:r w:rsidRPr="001223AC">
              <w:rPr>
                <w:rFonts w:cs="Arial"/>
                <w:sz w:val="20"/>
                <w:szCs w:val="20"/>
              </w:rPr>
              <w:t>Arizona</w:t>
            </w:r>
          </w:p>
        </w:tc>
        <w:tc>
          <w:tcPr>
            <w:tcW w:w="1196" w:type="dxa"/>
            <w:vAlign w:val="center"/>
          </w:tcPr>
          <w:p w14:paraId="21C586CF" w14:textId="372FE106" w:rsidR="001223AC" w:rsidRPr="001223AC" w:rsidRDefault="001223AC" w:rsidP="001223AC">
            <w:pPr>
              <w:jc w:val="center"/>
              <w:rPr>
                <w:rFonts w:cs="Arial"/>
                <w:sz w:val="20"/>
                <w:szCs w:val="20"/>
              </w:rPr>
            </w:pPr>
            <w:r w:rsidRPr="001223AC">
              <w:rPr>
                <w:rFonts w:cs="Arial"/>
                <w:sz w:val="20"/>
                <w:szCs w:val="20"/>
              </w:rPr>
              <w:t>1</w:t>
            </w:r>
            <w:r w:rsidR="002F4433">
              <w:rPr>
                <w:rFonts w:cs="Arial"/>
                <w:sz w:val="20"/>
                <w:szCs w:val="20"/>
              </w:rPr>
              <w:t>7.7</w:t>
            </w:r>
            <w:r w:rsidR="0099135B">
              <w:rPr>
                <w:rFonts w:cs="Arial"/>
                <w:sz w:val="20"/>
                <w:szCs w:val="20"/>
              </w:rPr>
              <w:t>%</w:t>
            </w:r>
          </w:p>
        </w:tc>
        <w:tc>
          <w:tcPr>
            <w:tcW w:w="1188" w:type="dxa"/>
            <w:vAlign w:val="center"/>
          </w:tcPr>
          <w:p w14:paraId="31D18566" w14:textId="05B95EBB" w:rsidR="001223AC" w:rsidRPr="001223AC" w:rsidRDefault="001223AC" w:rsidP="001223AC">
            <w:pPr>
              <w:jc w:val="center"/>
              <w:rPr>
                <w:rFonts w:cs="Arial"/>
                <w:sz w:val="20"/>
                <w:szCs w:val="20"/>
              </w:rPr>
            </w:pPr>
            <w:r w:rsidRPr="001223AC">
              <w:rPr>
                <w:rFonts w:cs="Arial"/>
                <w:sz w:val="20"/>
                <w:szCs w:val="20"/>
              </w:rPr>
              <w:t>1</w:t>
            </w:r>
            <w:r w:rsidR="002F4433">
              <w:rPr>
                <w:rFonts w:cs="Arial"/>
                <w:sz w:val="20"/>
                <w:szCs w:val="20"/>
              </w:rPr>
              <w:t>8.3</w:t>
            </w:r>
            <w:r w:rsidR="0099135B">
              <w:rPr>
                <w:rFonts w:cs="Arial"/>
                <w:sz w:val="20"/>
                <w:szCs w:val="20"/>
              </w:rPr>
              <w:t>%</w:t>
            </w:r>
          </w:p>
        </w:tc>
        <w:tc>
          <w:tcPr>
            <w:tcW w:w="1080" w:type="dxa"/>
            <w:vAlign w:val="center"/>
          </w:tcPr>
          <w:p w14:paraId="4DF7577F" w14:textId="4F36899B" w:rsidR="001223AC" w:rsidRPr="001223AC" w:rsidRDefault="001223AC" w:rsidP="001223AC">
            <w:pPr>
              <w:jc w:val="center"/>
              <w:rPr>
                <w:rFonts w:cs="Arial"/>
                <w:sz w:val="20"/>
                <w:szCs w:val="20"/>
              </w:rPr>
            </w:pPr>
            <w:r w:rsidRPr="001223AC">
              <w:rPr>
                <w:rFonts w:cs="Arial"/>
                <w:sz w:val="20"/>
                <w:szCs w:val="20"/>
              </w:rPr>
              <w:t>6</w:t>
            </w:r>
            <w:r w:rsidR="002F4433">
              <w:rPr>
                <w:rFonts w:cs="Arial"/>
                <w:sz w:val="20"/>
                <w:szCs w:val="20"/>
              </w:rPr>
              <w:t>4.0</w:t>
            </w:r>
            <w:r w:rsidR="0099135B">
              <w:rPr>
                <w:rFonts w:cs="Arial"/>
                <w:sz w:val="20"/>
                <w:szCs w:val="20"/>
              </w:rPr>
              <w:t>%</w:t>
            </w:r>
          </w:p>
        </w:tc>
      </w:tr>
      <w:tr w:rsidR="001223AC" w:rsidRPr="001223AC" w14:paraId="3FAE58F6" w14:textId="77777777" w:rsidTr="001223AC">
        <w:tc>
          <w:tcPr>
            <w:tcW w:w="3664" w:type="dxa"/>
            <w:tcBorders>
              <w:bottom w:val="double" w:sz="4" w:space="0" w:color="auto"/>
            </w:tcBorders>
            <w:vAlign w:val="bottom"/>
          </w:tcPr>
          <w:p w14:paraId="6C4AD81C" w14:textId="77777777" w:rsidR="001223AC" w:rsidRPr="001223AC" w:rsidRDefault="001223AC" w:rsidP="001223AC">
            <w:pPr>
              <w:rPr>
                <w:rFonts w:cs="Arial"/>
                <w:sz w:val="20"/>
                <w:szCs w:val="20"/>
              </w:rPr>
            </w:pPr>
            <w:r w:rsidRPr="001223AC">
              <w:rPr>
                <w:rFonts w:cs="Arial"/>
                <w:sz w:val="20"/>
                <w:szCs w:val="20"/>
              </w:rPr>
              <w:t>Alaska</w:t>
            </w:r>
          </w:p>
        </w:tc>
        <w:tc>
          <w:tcPr>
            <w:tcW w:w="1196" w:type="dxa"/>
            <w:tcBorders>
              <w:bottom w:val="double" w:sz="4" w:space="0" w:color="auto"/>
            </w:tcBorders>
            <w:vAlign w:val="center"/>
          </w:tcPr>
          <w:p w14:paraId="0E51AA3A" w14:textId="42D8650B" w:rsidR="001223AC" w:rsidRPr="001223AC" w:rsidRDefault="001223AC" w:rsidP="001223AC">
            <w:pPr>
              <w:jc w:val="center"/>
              <w:rPr>
                <w:rFonts w:cs="Arial"/>
                <w:sz w:val="20"/>
                <w:szCs w:val="20"/>
              </w:rPr>
            </w:pPr>
            <w:r w:rsidRPr="001223AC">
              <w:rPr>
                <w:rFonts w:cs="Arial"/>
                <w:sz w:val="20"/>
                <w:szCs w:val="20"/>
              </w:rPr>
              <w:t>2</w:t>
            </w:r>
            <w:r w:rsidR="002F4433">
              <w:rPr>
                <w:rFonts w:cs="Arial"/>
                <w:sz w:val="20"/>
                <w:szCs w:val="20"/>
              </w:rPr>
              <w:t>0.6</w:t>
            </w:r>
            <w:r w:rsidR="0099135B">
              <w:rPr>
                <w:rFonts w:cs="Arial"/>
                <w:sz w:val="20"/>
                <w:szCs w:val="20"/>
              </w:rPr>
              <w:t>%</w:t>
            </w:r>
          </w:p>
        </w:tc>
        <w:tc>
          <w:tcPr>
            <w:tcW w:w="1188" w:type="dxa"/>
            <w:tcBorders>
              <w:bottom w:val="double" w:sz="4" w:space="0" w:color="auto"/>
            </w:tcBorders>
            <w:vAlign w:val="center"/>
          </w:tcPr>
          <w:p w14:paraId="6DFC36E1" w14:textId="3373EE52" w:rsidR="001223AC" w:rsidRPr="001223AC" w:rsidRDefault="001223AC" w:rsidP="001223AC">
            <w:pPr>
              <w:jc w:val="center"/>
              <w:rPr>
                <w:rFonts w:cs="Arial"/>
                <w:sz w:val="20"/>
                <w:szCs w:val="20"/>
              </w:rPr>
            </w:pPr>
            <w:r w:rsidRPr="001223AC">
              <w:rPr>
                <w:rFonts w:cs="Arial"/>
                <w:sz w:val="20"/>
                <w:szCs w:val="20"/>
              </w:rPr>
              <w:t>1</w:t>
            </w:r>
            <w:r w:rsidR="002F4433">
              <w:rPr>
                <w:rFonts w:cs="Arial"/>
                <w:sz w:val="20"/>
                <w:szCs w:val="20"/>
              </w:rPr>
              <w:t>8.3</w:t>
            </w:r>
            <w:r w:rsidR="0099135B">
              <w:rPr>
                <w:rFonts w:cs="Arial"/>
                <w:sz w:val="20"/>
                <w:szCs w:val="20"/>
              </w:rPr>
              <w:t>%</w:t>
            </w:r>
          </w:p>
        </w:tc>
        <w:tc>
          <w:tcPr>
            <w:tcW w:w="1080" w:type="dxa"/>
            <w:tcBorders>
              <w:bottom w:val="double" w:sz="4" w:space="0" w:color="auto"/>
            </w:tcBorders>
            <w:vAlign w:val="center"/>
          </w:tcPr>
          <w:p w14:paraId="7FD23E56" w14:textId="7A49E2A9" w:rsidR="001223AC" w:rsidRPr="001223AC" w:rsidRDefault="002F4433" w:rsidP="001223AC">
            <w:pPr>
              <w:jc w:val="center"/>
              <w:rPr>
                <w:rFonts w:cs="Arial"/>
                <w:sz w:val="20"/>
                <w:szCs w:val="20"/>
              </w:rPr>
            </w:pPr>
            <w:r>
              <w:rPr>
                <w:rFonts w:cs="Arial"/>
                <w:sz w:val="20"/>
                <w:szCs w:val="20"/>
              </w:rPr>
              <w:t>61.1</w:t>
            </w:r>
            <w:r w:rsidR="0099135B">
              <w:rPr>
                <w:rFonts w:cs="Arial"/>
                <w:sz w:val="20"/>
                <w:szCs w:val="20"/>
              </w:rPr>
              <w:t>%</w:t>
            </w:r>
          </w:p>
        </w:tc>
      </w:tr>
      <w:tr w:rsidR="001223AC" w:rsidRPr="001223AC" w14:paraId="537EA37F" w14:textId="77777777" w:rsidTr="001D03A8">
        <w:tc>
          <w:tcPr>
            <w:tcW w:w="3664" w:type="dxa"/>
            <w:tcBorders>
              <w:top w:val="double" w:sz="4" w:space="0" w:color="auto"/>
              <w:bottom w:val="double" w:sz="4" w:space="0" w:color="auto"/>
            </w:tcBorders>
            <w:vAlign w:val="bottom"/>
          </w:tcPr>
          <w:p w14:paraId="1E97A89D" w14:textId="77777777" w:rsidR="001223AC" w:rsidRPr="001223AC" w:rsidRDefault="001223AC" w:rsidP="001223AC">
            <w:pPr>
              <w:rPr>
                <w:rFonts w:cs="Arial"/>
                <w:sz w:val="20"/>
                <w:szCs w:val="20"/>
              </w:rPr>
            </w:pPr>
            <w:r w:rsidRPr="001223AC">
              <w:rPr>
                <w:rFonts w:cs="Arial"/>
                <w:sz w:val="20"/>
                <w:szCs w:val="20"/>
              </w:rPr>
              <w:t>Average for Eight States</w:t>
            </w:r>
          </w:p>
        </w:tc>
        <w:tc>
          <w:tcPr>
            <w:tcW w:w="1196" w:type="dxa"/>
            <w:tcBorders>
              <w:top w:val="double" w:sz="4" w:space="0" w:color="auto"/>
              <w:bottom w:val="double" w:sz="4" w:space="0" w:color="auto"/>
            </w:tcBorders>
            <w:vAlign w:val="center"/>
          </w:tcPr>
          <w:p w14:paraId="3B2C614F" w14:textId="02A923E0" w:rsidR="001223AC" w:rsidRPr="001223AC" w:rsidRDefault="001223AC" w:rsidP="001223AC">
            <w:pPr>
              <w:jc w:val="center"/>
              <w:rPr>
                <w:rFonts w:cs="Arial"/>
                <w:sz w:val="20"/>
                <w:szCs w:val="20"/>
              </w:rPr>
            </w:pPr>
            <w:r w:rsidRPr="001223AC">
              <w:rPr>
                <w:rFonts w:cs="Arial"/>
                <w:sz w:val="20"/>
                <w:szCs w:val="20"/>
              </w:rPr>
              <w:t>19.</w:t>
            </w:r>
            <w:r w:rsidR="002F4433">
              <w:rPr>
                <w:rFonts w:cs="Arial"/>
                <w:sz w:val="20"/>
                <w:szCs w:val="20"/>
              </w:rPr>
              <w:t>0</w:t>
            </w:r>
            <w:r w:rsidR="0099135B">
              <w:rPr>
                <w:rFonts w:cs="Arial"/>
                <w:sz w:val="20"/>
                <w:szCs w:val="20"/>
              </w:rPr>
              <w:t>%</w:t>
            </w:r>
          </w:p>
        </w:tc>
        <w:tc>
          <w:tcPr>
            <w:tcW w:w="1188" w:type="dxa"/>
            <w:tcBorders>
              <w:top w:val="double" w:sz="4" w:space="0" w:color="auto"/>
              <w:bottom w:val="double" w:sz="4" w:space="0" w:color="auto"/>
            </w:tcBorders>
            <w:vAlign w:val="center"/>
          </w:tcPr>
          <w:p w14:paraId="309DD81C" w14:textId="018A9716" w:rsidR="001223AC" w:rsidRPr="001223AC" w:rsidRDefault="001223AC" w:rsidP="001223AC">
            <w:pPr>
              <w:jc w:val="center"/>
              <w:rPr>
                <w:rFonts w:cs="Arial"/>
                <w:sz w:val="20"/>
                <w:szCs w:val="20"/>
              </w:rPr>
            </w:pPr>
            <w:r w:rsidRPr="001223AC">
              <w:rPr>
                <w:rFonts w:cs="Arial"/>
                <w:sz w:val="20"/>
                <w:szCs w:val="20"/>
              </w:rPr>
              <w:t>17.1</w:t>
            </w:r>
            <w:r w:rsidR="0099135B">
              <w:rPr>
                <w:rFonts w:cs="Arial"/>
                <w:sz w:val="20"/>
                <w:szCs w:val="20"/>
              </w:rPr>
              <w:t>%</w:t>
            </w:r>
          </w:p>
        </w:tc>
        <w:tc>
          <w:tcPr>
            <w:tcW w:w="1080" w:type="dxa"/>
            <w:tcBorders>
              <w:top w:val="double" w:sz="4" w:space="0" w:color="auto"/>
              <w:bottom w:val="double" w:sz="4" w:space="0" w:color="auto"/>
            </w:tcBorders>
            <w:vAlign w:val="center"/>
          </w:tcPr>
          <w:p w14:paraId="32787DCB" w14:textId="7F89680C" w:rsidR="001223AC" w:rsidRPr="001223AC" w:rsidRDefault="001223AC" w:rsidP="001223AC">
            <w:pPr>
              <w:jc w:val="center"/>
              <w:rPr>
                <w:rFonts w:cs="Arial"/>
                <w:sz w:val="20"/>
                <w:szCs w:val="20"/>
              </w:rPr>
            </w:pPr>
            <w:r w:rsidRPr="001223AC">
              <w:rPr>
                <w:rFonts w:cs="Arial"/>
                <w:sz w:val="20"/>
                <w:szCs w:val="20"/>
              </w:rPr>
              <w:t>63.</w:t>
            </w:r>
            <w:r w:rsidR="002F4433">
              <w:rPr>
                <w:rFonts w:cs="Arial"/>
                <w:sz w:val="20"/>
                <w:szCs w:val="20"/>
              </w:rPr>
              <w:t>9</w:t>
            </w:r>
            <w:r w:rsidR="0099135B">
              <w:rPr>
                <w:rFonts w:cs="Arial"/>
                <w:sz w:val="20"/>
                <w:szCs w:val="20"/>
              </w:rPr>
              <w:t>%</w:t>
            </w:r>
          </w:p>
        </w:tc>
      </w:tr>
      <w:tr w:rsidR="001223AC" w:rsidRPr="001223AC" w14:paraId="16AF0FCC" w14:textId="77777777" w:rsidTr="001D03A8">
        <w:tc>
          <w:tcPr>
            <w:tcW w:w="3664" w:type="dxa"/>
            <w:tcBorders>
              <w:top w:val="double" w:sz="4" w:space="0" w:color="auto"/>
              <w:bottom w:val="double" w:sz="4" w:space="0" w:color="auto"/>
            </w:tcBorders>
            <w:vAlign w:val="bottom"/>
          </w:tcPr>
          <w:p w14:paraId="3C53154E" w14:textId="77777777" w:rsidR="001223AC" w:rsidRPr="001223AC" w:rsidRDefault="001223AC" w:rsidP="001223AC">
            <w:pPr>
              <w:rPr>
                <w:rFonts w:cs="Arial"/>
                <w:sz w:val="20"/>
                <w:szCs w:val="20"/>
              </w:rPr>
            </w:pPr>
            <w:r w:rsidRPr="001223AC">
              <w:rPr>
                <w:rFonts w:cs="Arial"/>
                <w:sz w:val="20"/>
                <w:szCs w:val="20"/>
              </w:rPr>
              <w:t>Average for States Excluding Washington</w:t>
            </w:r>
          </w:p>
        </w:tc>
        <w:tc>
          <w:tcPr>
            <w:tcW w:w="1196" w:type="dxa"/>
            <w:tcBorders>
              <w:top w:val="double" w:sz="4" w:space="0" w:color="auto"/>
              <w:bottom w:val="double" w:sz="4" w:space="0" w:color="auto"/>
            </w:tcBorders>
            <w:vAlign w:val="center"/>
          </w:tcPr>
          <w:p w14:paraId="5A6526D4" w14:textId="2DD209CA" w:rsidR="001223AC" w:rsidRPr="001223AC" w:rsidRDefault="001223AC" w:rsidP="001223AC">
            <w:pPr>
              <w:jc w:val="center"/>
              <w:rPr>
                <w:rFonts w:cs="Arial"/>
                <w:sz w:val="20"/>
                <w:szCs w:val="20"/>
              </w:rPr>
            </w:pPr>
            <w:r w:rsidRPr="001223AC">
              <w:rPr>
                <w:rFonts w:cs="Arial"/>
                <w:sz w:val="20"/>
                <w:szCs w:val="20"/>
              </w:rPr>
              <w:t>2</w:t>
            </w:r>
            <w:r w:rsidR="002F4433">
              <w:rPr>
                <w:rFonts w:cs="Arial"/>
                <w:sz w:val="20"/>
                <w:szCs w:val="20"/>
              </w:rPr>
              <w:t>0.0</w:t>
            </w:r>
            <w:r w:rsidR="0099135B">
              <w:rPr>
                <w:rFonts w:cs="Arial"/>
                <w:sz w:val="20"/>
                <w:szCs w:val="20"/>
              </w:rPr>
              <w:t>%</w:t>
            </w:r>
          </w:p>
        </w:tc>
        <w:tc>
          <w:tcPr>
            <w:tcW w:w="1188" w:type="dxa"/>
            <w:tcBorders>
              <w:top w:val="double" w:sz="4" w:space="0" w:color="auto"/>
              <w:bottom w:val="double" w:sz="4" w:space="0" w:color="auto"/>
            </w:tcBorders>
            <w:vAlign w:val="center"/>
          </w:tcPr>
          <w:p w14:paraId="758F7684" w14:textId="3CD2CB8F" w:rsidR="001223AC" w:rsidRPr="001223AC" w:rsidRDefault="001223AC" w:rsidP="001223AC">
            <w:pPr>
              <w:jc w:val="center"/>
              <w:rPr>
                <w:rFonts w:cs="Arial"/>
                <w:sz w:val="20"/>
                <w:szCs w:val="20"/>
              </w:rPr>
            </w:pPr>
            <w:r w:rsidRPr="001223AC">
              <w:rPr>
                <w:rFonts w:cs="Arial"/>
                <w:sz w:val="20"/>
                <w:szCs w:val="20"/>
              </w:rPr>
              <w:t>17.</w:t>
            </w:r>
            <w:r w:rsidR="002F4433">
              <w:rPr>
                <w:rFonts w:cs="Arial"/>
                <w:sz w:val="20"/>
                <w:szCs w:val="20"/>
              </w:rPr>
              <w:t>5</w:t>
            </w:r>
            <w:r w:rsidR="0099135B">
              <w:rPr>
                <w:rFonts w:cs="Arial"/>
                <w:sz w:val="20"/>
                <w:szCs w:val="20"/>
              </w:rPr>
              <w:t>%</w:t>
            </w:r>
          </w:p>
        </w:tc>
        <w:tc>
          <w:tcPr>
            <w:tcW w:w="1080" w:type="dxa"/>
            <w:tcBorders>
              <w:top w:val="double" w:sz="4" w:space="0" w:color="auto"/>
              <w:bottom w:val="double" w:sz="4" w:space="0" w:color="auto"/>
            </w:tcBorders>
            <w:vAlign w:val="center"/>
          </w:tcPr>
          <w:p w14:paraId="1BC2AE8D" w14:textId="5569A1E6" w:rsidR="001223AC" w:rsidRPr="001223AC" w:rsidRDefault="001223AC" w:rsidP="001223AC">
            <w:pPr>
              <w:jc w:val="center"/>
              <w:rPr>
                <w:rFonts w:cs="Arial"/>
                <w:sz w:val="20"/>
                <w:szCs w:val="20"/>
              </w:rPr>
            </w:pPr>
            <w:r w:rsidRPr="001223AC">
              <w:rPr>
                <w:rFonts w:cs="Arial"/>
                <w:sz w:val="20"/>
                <w:szCs w:val="20"/>
              </w:rPr>
              <w:t>6</w:t>
            </w:r>
            <w:r w:rsidR="002F4433">
              <w:rPr>
                <w:rFonts w:cs="Arial"/>
                <w:sz w:val="20"/>
                <w:szCs w:val="20"/>
              </w:rPr>
              <w:t>2.5</w:t>
            </w:r>
            <w:r w:rsidR="0099135B">
              <w:rPr>
                <w:rFonts w:cs="Arial"/>
                <w:sz w:val="20"/>
                <w:szCs w:val="20"/>
              </w:rPr>
              <w:t>%</w:t>
            </w:r>
          </w:p>
        </w:tc>
      </w:tr>
    </w:tbl>
    <w:p w14:paraId="54FDBDE7" w14:textId="77777777" w:rsidR="001223AC" w:rsidRDefault="001223AC" w:rsidP="001223AC"/>
    <w:p w14:paraId="256B3AFC" w14:textId="77777777" w:rsidR="001223AC" w:rsidRPr="001223AC" w:rsidRDefault="001223AC" w:rsidP="001223AC">
      <w:pPr>
        <w:rPr>
          <w:rFonts w:cs="Arial"/>
          <w:sz w:val="18"/>
          <w:szCs w:val="18"/>
        </w:rPr>
      </w:pPr>
      <w:r w:rsidRPr="001223AC">
        <w:rPr>
          <w:rFonts w:cs="Arial"/>
          <w:sz w:val="18"/>
          <w:szCs w:val="18"/>
        </w:rPr>
        <w:t>Sources:</w:t>
      </w:r>
    </w:p>
    <w:p w14:paraId="1DC296E3" w14:textId="77777777" w:rsidR="001223AC" w:rsidRPr="001223AC" w:rsidRDefault="001223AC" w:rsidP="001D03A8">
      <w:pPr>
        <w:widowControl/>
        <w:numPr>
          <w:ilvl w:val="0"/>
          <w:numId w:val="3"/>
        </w:numPr>
        <w:spacing w:before="0" w:after="0"/>
        <w:rPr>
          <w:rFonts w:cs="Arial"/>
          <w:sz w:val="18"/>
          <w:szCs w:val="18"/>
        </w:rPr>
      </w:pPr>
      <w:r w:rsidRPr="001223AC">
        <w:rPr>
          <w:rFonts w:cs="Arial"/>
          <w:sz w:val="18"/>
          <w:szCs w:val="18"/>
        </w:rPr>
        <w:t>The states listed above were identified by Navigant by calculating AARP data ”Medicaid LTSS Spending for Older People and Adults with Physical Disabilities, by Type of Service”</w:t>
      </w:r>
      <w:r w:rsidRPr="001223AC" w:rsidDel="002871B7">
        <w:rPr>
          <w:rFonts w:cs="Arial"/>
          <w:sz w:val="18"/>
          <w:szCs w:val="18"/>
        </w:rPr>
        <w:t xml:space="preserve"> </w:t>
      </w:r>
      <w:r w:rsidRPr="001223AC">
        <w:rPr>
          <w:rFonts w:cs="Arial"/>
          <w:sz w:val="18"/>
          <w:szCs w:val="18"/>
        </w:rPr>
        <w:t>as having spent more than 40 percent of their Medicaid long-term care funds on home and community-based services.</w:t>
      </w:r>
    </w:p>
    <w:p w14:paraId="4D2344ED" w14:textId="34504D4A" w:rsidR="001223AC" w:rsidRPr="001223AC" w:rsidRDefault="001223AC" w:rsidP="001D03A8">
      <w:pPr>
        <w:widowControl/>
        <w:numPr>
          <w:ilvl w:val="0"/>
          <w:numId w:val="3"/>
        </w:numPr>
        <w:spacing w:before="0" w:after="0"/>
        <w:rPr>
          <w:rFonts w:cs="Arial"/>
          <w:b/>
          <w:sz w:val="18"/>
          <w:szCs w:val="18"/>
        </w:rPr>
      </w:pPr>
      <w:r w:rsidRPr="001223AC">
        <w:rPr>
          <w:rFonts w:cs="Arial"/>
          <w:sz w:val="18"/>
          <w:szCs w:val="18"/>
        </w:rPr>
        <w:t>Distribution Scope: “Nursing Home Data Compendium” by CMS, 201</w:t>
      </w:r>
      <w:r w:rsidR="002F4433">
        <w:rPr>
          <w:rFonts w:cs="Arial"/>
          <w:sz w:val="18"/>
          <w:szCs w:val="18"/>
        </w:rPr>
        <w:t>5</w:t>
      </w:r>
      <w:r w:rsidRPr="001223AC">
        <w:rPr>
          <w:rFonts w:cs="Arial"/>
          <w:sz w:val="18"/>
          <w:szCs w:val="18"/>
        </w:rPr>
        <w:t xml:space="preserve"> Edition.</w:t>
      </w:r>
    </w:p>
    <w:p w14:paraId="5D18165B" w14:textId="77777777" w:rsidR="001223AC" w:rsidRPr="001223AC" w:rsidRDefault="001223AC" w:rsidP="001223AC">
      <w:pPr>
        <w:autoSpaceDE w:val="0"/>
        <w:autoSpaceDN w:val="0"/>
        <w:adjustRightInd w:val="0"/>
        <w:spacing w:before="0" w:after="0"/>
        <w:rPr>
          <w:rFonts w:cs="Arial"/>
        </w:rPr>
      </w:pPr>
    </w:p>
    <w:p w14:paraId="001E8E3C" w14:textId="71204AD9" w:rsidR="001223AC" w:rsidRPr="001223AC" w:rsidRDefault="001223AC" w:rsidP="001223AC">
      <w:pPr>
        <w:autoSpaceDE w:val="0"/>
        <w:autoSpaceDN w:val="0"/>
        <w:adjustRightInd w:val="0"/>
        <w:spacing w:before="0" w:after="0"/>
        <w:rPr>
          <w:rFonts w:cs="Arial"/>
        </w:rPr>
      </w:pPr>
      <w:r w:rsidRPr="001223AC">
        <w:rPr>
          <w:rFonts w:cs="Arial"/>
        </w:rPr>
        <w:t xml:space="preserve">Understanding that those in nursing facilities in Washington have high needs, we then examined the number and percentage of survey deficiencies in Washington’s nursing facilities.  Surveys are conducted to ensure that nursing facilities are meeting State and federal standards which spell out how care must be provided to nursing home residents. Surveys are performed by teams of State employees (usually three or four people) who are specialists in nursing home care. </w:t>
      </w:r>
      <w:r w:rsidR="008A2F41">
        <w:rPr>
          <w:rFonts w:cs="Arial"/>
        </w:rPr>
        <w:t xml:space="preserve"> </w:t>
      </w:r>
      <w:r w:rsidRPr="001223AC">
        <w:rPr>
          <w:rFonts w:cs="Arial"/>
        </w:rPr>
        <w:t xml:space="preserve">The surveyors have backgrounds in nursing, social work, dietetics, sanitation, health care administration and counseling.  These individuals must pass a test administered by the federal government to qualify as nursing home surveyors.  </w:t>
      </w:r>
    </w:p>
    <w:p w14:paraId="2F4339DD" w14:textId="77777777" w:rsidR="001223AC" w:rsidRPr="001223AC" w:rsidRDefault="001223AC" w:rsidP="001223AC">
      <w:pPr>
        <w:autoSpaceDE w:val="0"/>
        <w:autoSpaceDN w:val="0"/>
        <w:adjustRightInd w:val="0"/>
        <w:spacing w:before="0" w:after="0"/>
        <w:rPr>
          <w:rFonts w:cs="Arial"/>
        </w:rPr>
      </w:pPr>
    </w:p>
    <w:p w14:paraId="410F9141" w14:textId="3FD948EF" w:rsidR="001223AC" w:rsidRPr="001223AC" w:rsidRDefault="001223AC" w:rsidP="001223AC">
      <w:pPr>
        <w:autoSpaceDE w:val="0"/>
        <w:autoSpaceDN w:val="0"/>
        <w:adjustRightInd w:val="0"/>
        <w:spacing w:before="0" w:after="0"/>
        <w:rPr>
          <w:rFonts w:cs="Arial"/>
        </w:rPr>
      </w:pPr>
      <w:r w:rsidRPr="001223AC">
        <w:rPr>
          <w:rFonts w:cs="Arial"/>
        </w:rPr>
        <w:t>A deficiency is a determination by DSHS that a nursing home has violated one or more specific licensure or certification regulations.  Deficiencies range in scope and severity from isolated violations with no actual harm to residents to widespread violations that cause injuries or put residents in immediate jeopardy of harm.  Deficiencies are cited as a result of an on-site inspection.  It is important to note that the severity of survey deficiencies can vary significantly, and that the national average of surveys that resulted in no deficiency in 201</w:t>
      </w:r>
      <w:r w:rsidR="00397D83">
        <w:rPr>
          <w:rFonts w:cs="Arial"/>
        </w:rPr>
        <w:t>4</w:t>
      </w:r>
      <w:r w:rsidRPr="001223AC">
        <w:rPr>
          <w:rFonts w:cs="Arial"/>
        </w:rPr>
        <w:t xml:space="preserve"> was only </w:t>
      </w:r>
      <w:r w:rsidR="00397D83">
        <w:rPr>
          <w:rFonts w:cs="Arial"/>
        </w:rPr>
        <w:t>10.2</w:t>
      </w:r>
      <w:r w:rsidRPr="001223AC">
        <w:rPr>
          <w:rFonts w:cs="Arial"/>
        </w:rPr>
        <w:t xml:space="preserve"> percent (</w:t>
      </w:r>
      <w:r w:rsidR="00397D83">
        <w:rPr>
          <w:rFonts w:cs="Arial"/>
        </w:rPr>
        <w:t>5.4</w:t>
      </w:r>
      <w:r w:rsidRPr="001223AC">
        <w:rPr>
          <w:rFonts w:cs="Arial"/>
        </w:rPr>
        <w:t xml:space="preserve"> percent in Washington).  This means that on average nationally, </w:t>
      </w:r>
      <w:r w:rsidR="00D66CD7">
        <w:rPr>
          <w:rFonts w:cs="Arial"/>
        </w:rPr>
        <w:t>89.8</w:t>
      </w:r>
      <w:r w:rsidRPr="001223AC">
        <w:rPr>
          <w:rFonts w:cs="Arial"/>
        </w:rPr>
        <w:t xml:space="preserve"> percent of all surveys had some deficiency noted (9</w:t>
      </w:r>
      <w:r w:rsidR="00D66CD7">
        <w:rPr>
          <w:rFonts w:cs="Arial"/>
        </w:rPr>
        <w:t>4.6</w:t>
      </w:r>
      <w:r w:rsidRPr="001223AC">
        <w:rPr>
          <w:rFonts w:cs="Arial"/>
        </w:rPr>
        <w:t xml:space="preserve"> percent in Washington).  However, some deficiencies are more serious than others.</w:t>
      </w:r>
    </w:p>
    <w:p w14:paraId="0D4434CC" w14:textId="77777777" w:rsidR="001223AC" w:rsidRPr="001D03A8" w:rsidRDefault="001223AC" w:rsidP="001223AC">
      <w:pPr>
        <w:tabs>
          <w:tab w:val="left" w:pos="1800"/>
        </w:tabs>
        <w:spacing w:before="0" w:after="0"/>
        <w:rPr>
          <w:rFonts w:cs="Arial"/>
        </w:rPr>
      </w:pPr>
      <w:r w:rsidRPr="001D03A8">
        <w:rPr>
          <w:rFonts w:cs="Arial"/>
        </w:rPr>
        <w:lastRenderedPageBreak/>
        <w:t xml:space="preserve"> </w:t>
      </w:r>
    </w:p>
    <w:p w14:paraId="471B27A7" w14:textId="7EE44ADC" w:rsidR="0060029B" w:rsidRDefault="001223AC" w:rsidP="0060029B">
      <w:pPr>
        <w:tabs>
          <w:tab w:val="left" w:pos="1800"/>
        </w:tabs>
        <w:spacing w:before="0" w:after="0"/>
        <w:rPr>
          <w:rFonts w:cs="Arial"/>
        </w:rPr>
      </w:pPr>
      <w:r w:rsidRPr="001D03A8">
        <w:rPr>
          <w:rFonts w:cs="Arial"/>
        </w:rPr>
        <w:t xml:space="preserve">Exhibit 3.1 shows the scope and severity matrix which identifies the scope and severity ratings that can be applied to survey deficiencies for nursing facilities. </w:t>
      </w:r>
      <w:r w:rsidR="008A2F41">
        <w:rPr>
          <w:rFonts w:cs="Arial"/>
        </w:rPr>
        <w:t xml:space="preserve"> </w:t>
      </w:r>
      <w:r w:rsidRPr="001D03A8">
        <w:rPr>
          <w:rFonts w:cs="Arial"/>
        </w:rPr>
        <w:t>A score is assigned to each deficiency based on the level of severity and scope of the deficiency.  The scores range from “A”, being the least serious ranking and “L”, being the most serious ranking.</w:t>
      </w:r>
    </w:p>
    <w:p w14:paraId="0D960A8D" w14:textId="77777777" w:rsidR="0060029B" w:rsidRDefault="0060029B" w:rsidP="0060029B">
      <w:pPr>
        <w:tabs>
          <w:tab w:val="left" w:pos="1800"/>
        </w:tabs>
        <w:spacing w:before="0" w:after="0"/>
        <w:rPr>
          <w:rFonts w:cs="Arial"/>
        </w:rPr>
      </w:pPr>
    </w:p>
    <w:p w14:paraId="184BB77E" w14:textId="77CCF9BF" w:rsidR="001223AC" w:rsidRDefault="001223AC" w:rsidP="0060029B">
      <w:pPr>
        <w:tabs>
          <w:tab w:val="left" w:pos="1800"/>
        </w:tabs>
        <w:spacing w:before="0" w:after="0"/>
        <w:rPr>
          <w:rFonts w:cs="Arial"/>
          <w:b/>
        </w:rPr>
      </w:pPr>
      <w:r w:rsidRPr="001223AC">
        <w:rPr>
          <w:rFonts w:cs="Arial"/>
          <w:b/>
        </w:rPr>
        <w:t>Exhibit 3.1 Scope and Severity Grid for Rating Nursing Home Deficiencies</w:t>
      </w:r>
    </w:p>
    <w:p w14:paraId="64851670" w14:textId="77777777" w:rsidR="00D66CD7" w:rsidRPr="001223AC" w:rsidRDefault="00D66CD7" w:rsidP="0060029B">
      <w:pPr>
        <w:tabs>
          <w:tab w:val="left" w:pos="1800"/>
        </w:tabs>
        <w:spacing w:before="0" w:after="0"/>
        <w:rPr>
          <w:rFonts w:cs="Arial"/>
        </w:rPr>
      </w:pPr>
    </w:p>
    <w:p w14:paraId="2BCB095B" w14:textId="7323E4FD" w:rsidR="001223AC" w:rsidRDefault="00D66CD7" w:rsidP="001223AC">
      <w:pPr>
        <w:tabs>
          <w:tab w:val="left" w:pos="1800"/>
        </w:tabs>
        <w:spacing w:before="0" w:after="0"/>
        <w:rPr>
          <w:rFonts w:cs="Arial"/>
          <w:noProof/>
        </w:rPr>
      </w:pPr>
      <w:r w:rsidRPr="00D66CD7">
        <w:rPr>
          <w:rFonts w:cs="Arial"/>
          <w:noProof/>
        </w:rPr>
        <w:drawing>
          <wp:inline distT="0" distB="0" distL="0" distR="0" wp14:anchorId="3DC38238" wp14:editId="65E02F57">
            <wp:extent cx="5153025" cy="47329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63502" cy="4742605"/>
                    </a:xfrm>
                    <a:prstGeom prst="rect">
                      <a:avLst/>
                    </a:prstGeom>
                    <a:noFill/>
                    <a:ln>
                      <a:noFill/>
                    </a:ln>
                  </pic:spPr>
                </pic:pic>
              </a:graphicData>
            </a:graphic>
          </wp:inline>
        </w:drawing>
      </w:r>
    </w:p>
    <w:p w14:paraId="6936A4E0" w14:textId="77777777" w:rsidR="00D66CD7" w:rsidRPr="001223AC" w:rsidRDefault="00D66CD7" w:rsidP="001223AC">
      <w:pPr>
        <w:tabs>
          <w:tab w:val="left" w:pos="1800"/>
        </w:tabs>
        <w:spacing w:before="0" w:after="0"/>
        <w:rPr>
          <w:rFonts w:cs="Arial"/>
        </w:rPr>
      </w:pPr>
    </w:p>
    <w:p w14:paraId="155E756D" w14:textId="77777777" w:rsidR="00D66CD7" w:rsidRDefault="00D66CD7" w:rsidP="001223AC">
      <w:pPr>
        <w:tabs>
          <w:tab w:val="left" w:pos="1800"/>
        </w:tabs>
        <w:spacing w:before="0" w:after="0"/>
        <w:rPr>
          <w:rFonts w:cs="Arial"/>
          <w:sz w:val="18"/>
        </w:rPr>
      </w:pPr>
    </w:p>
    <w:p w14:paraId="2732C4D2" w14:textId="77777777" w:rsidR="001223AC" w:rsidRPr="001223AC" w:rsidRDefault="001223AC" w:rsidP="001223AC">
      <w:pPr>
        <w:tabs>
          <w:tab w:val="left" w:pos="1800"/>
        </w:tabs>
        <w:spacing w:before="0" w:after="0"/>
        <w:rPr>
          <w:rFonts w:cs="Arial"/>
          <w:sz w:val="18"/>
        </w:rPr>
      </w:pPr>
      <w:r w:rsidRPr="001223AC">
        <w:rPr>
          <w:rFonts w:cs="Arial"/>
          <w:sz w:val="18"/>
        </w:rPr>
        <w:t xml:space="preserve">Source: </w:t>
      </w:r>
    </w:p>
    <w:p w14:paraId="61B5812E" w14:textId="0DCFBFA3" w:rsidR="001223AC" w:rsidRPr="001223AC" w:rsidRDefault="001223AC" w:rsidP="001223AC">
      <w:pPr>
        <w:spacing w:before="0" w:after="0"/>
        <w:rPr>
          <w:rFonts w:cs="Arial"/>
          <w:b/>
          <w:sz w:val="18"/>
        </w:rPr>
      </w:pPr>
      <w:r w:rsidRPr="001223AC">
        <w:rPr>
          <w:rFonts w:cs="Arial"/>
          <w:sz w:val="18"/>
        </w:rPr>
        <w:t>Scope and Severity Grid for Rating Nursing Home Deficiencies: “Nursing Home Data Compendium” by CM</w:t>
      </w:r>
      <w:r w:rsidR="00D66CD7">
        <w:rPr>
          <w:rFonts w:cs="Arial"/>
          <w:sz w:val="18"/>
        </w:rPr>
        <w:t>S, 2015</w:t>
      </w:r>
      <w:r w:rsidRPr="001223AC">
        <w:rPr>
          <w:rFonts w:cs="Arial"/>
          <w:sz w:val="18"/>
        </w:rPr>
        <w:t xml:space="preserve"> Edition.</w:t>
      </w:r>
    </w:p>
    <w:p w14:paraId="0B29BA33" w14:textId="77777777" w:rsidR="001223AC" w:rsidRPr="001223AC" w:rsidRDefault="001223AC" w:rsidP="001223AC">
      <w:pPr>
        <w:autoSpaceDE w:val="0"/>
        <w:autoSpaceDN w:val="0"/>
        <w:adjustRightInd w:val="0"/>
        <w:spacing w:before="0" w:after="0"/>
        <w:rPr>
          <w:rFonts w:cs="Arial"/>
        </w:rPr>
      </w:pPr>
    </w:p>
    <w:p w14:paraId="5AD8ED00" w14:textId="77777777" w:rsidR="001223AC" w:rsidRPr="001D03A8" w:rsidRDefault="001223AC" w:rsidP="001223AC">
      <w:pPr>
        <w:autoSpaceDE w:val="0"/>
        <w:autoSpaceDN w:val="0"/>
        <w:adjustRightInd w:val="0"/>
        <w:spacing w:before="0" w:after="0"/>
        <w:rPr>
          <w:rFonts w:cs="Arial"/>
        </w:rPr>
      </w:pPr>
      <w:r w:rsidRPr="001D03A8">
        <w:rPr>
          <w:rFonts w:cs="Arial"/>
        </w:rPr>
        <w:t xml:space="preserve">To measure the significance of survey deficiencies in Washington nursing facilities, we initially analyzed those that fell into categories H, I, K or L, which we believe to measure the most severe of deficiencies that are not isolated instances.  Table 3.2 shows the percentage of nursing facility survey deficiency citations resulting in the most serious deficiencies that constitute substandard quality of care for Washington and other states identified as having spent more than 40 percent of their Medicaid long-term care funds on home and community-based service options.   </w:t>
      </w:r>
    </w:p>
    <w:p w14:paraId="4F08F4DD" w14:textId="77777777" w:rsidR="001223AC" w:rsidRPr="001D03A8" w:rsidRDefault="001223AC" w:rsidP="001223AC">
      <w:pPr>
        <w:autoSpaceDE w:val="0"/>
        <w:autoSpaceDN w:val="0"/>
        <w:adjustRightInd w:val="0"/>
        <w:spacing w:before="0" w:after="0"/>
        <w:rPr>
          <w:rFonts w:cs="Arial"/>
        </w:rPr>
      </w:pPr>
    </w:p>
    <w:p w14:paraId="64AEA4F4" w14:textId="77777777" w:rsidR="0060029B" w:rsidRDefault="0060029B">
      <w:pPr>
        <w:widowControl/>
        <w:spacing w:before="0" w:after="160" w:line="259" w:lineRule="auto"/>
        <w:rPr>
          <w:rFonts w:cs="Arial"/>
        </w:rPr>
      </w:pPr>
      <w:r>
        <w:rPr>
          <w:rFonts w:cs="Arial"/>
        </w:rPr>
        <w:br w:type="page"/>
      </w:r>
    </w:p>
    <w:p w14:paraId="25A6904A" w14:textId="501F87EE" w:rsidR="001223AC" w:rsidRPr="001D03A8" w:rsidRDefault="001223AC" w:rsidP="001223AC">
      <w:pPr>
        <w:autoSpaceDE w:val="0"/>
        <w:autoSpaceDN w:val="0"/>
        <w:adjustRightInd w:val="0"/>
        <w:spacing w:before="0" w:after="0"/>
        <w:rPr>
          <w:rFonts w:cs="Arial"/>
        </w:rPr>
      </w:pPr>
      <w:r w:rsidRPr="001D03A8">
        <w:rPr>
          <w:rFonts w:cs="Arial"/>
        </w:rPr>
        <w:lastRenderedPageBreak/>
        <w:t>This table shows that the percentage of Washington’s nursing facility survey deficiency citations in these categories were comparable, and often times lower than the percentages of the other states analyzed.</w:t>
      </w:r>
    </w:p>
    <w:p w14:paraId="01FA1DBC" w14:textId="77777777" w:rsidR="001223AC" w:rsidRDefault="001223AC" w:rsidP="001223AC">
      <w:pPr>
        <w:tabs>
          <w:tab w:val="left" w:pos="1800"/>
        </w:tabs>
        <w:spacing w:before="0" w:after="0"/>
        <w:ind w:left="1080" w:hanging="1080"/>
        <w:rPr>
          <w:rFonts w:cs="Arial"/>
          <w:b/>
        </w:rPr>
      </w:pPr>
    </w:p>
    <w:p w14:paraId="73536745" w14:textId="77777777" w:rsidR="001223AC" w:rsidRDefault="001223AC" w:rsidP="001223AC">
      <w:pPr>
        <w:tabs>
          <w:tab w:val="left" w:pos="1800"/>
        </w:tabs>
        <w:spacing w:before="0" w:after="0"/>
        <w:ind w:left="1080" w:hanging="1080"/>
        <w:rPr>
          <w:rFonts w:cs="Arial"/>
          <w:b/>
        </w:rPr>
      </w:pPr>
    </w:p>
    <w:p w14:paraId="0A7B154B" w14:textId="75F77647" w:rsidR="001223AC" w:rsidRPr="001223AC" w:rsidRDefault="001223AC" w:rsidP="0060029B">
      <w:pPr>
        <w:tabs>
          <w:tab w:val="left" w:pos="1800"/>
        </w:tabs>
        <w:spacing w:before="0" w:after="0"/>
        <w:rPr>
          <w:rFonts w:cs="Arial"/>
          <w:b/>
        </w:rPr>
      </w:pPr>
      <w:r w:rsidRPr="001223AC">
        <w:rPr>
          <w:rFonts w:cs="Arial"/>
          <w:b/>
        </w:rPr>
        <w:t>Table 3.2:  Percentage Distribution of Scope and Severity of Health Deficiency Citations in Nursing Homes – 201</w:t>
      </w:r>
      <w:r w:rsidR="00397D83">
        <w:rPr>
          <w:rFonts w:cs="Arial"/>
          <w:b/>
        </w:rPr>
        <w:t>4</w:t>
      </w:r>
    </w:p>
    <w:p w14:paraId="2EECA0A2" w14:textId="77777777" w:rsidR="001223AC" w:rsidRPr="00195381" w:rsidRDefault="001223AC" w:rsidP="001223AC">
      <w:pPr>
        <w:tabs>
          <w:tab w:val="left" w:pos="1800"/>
        </w:tabs>
        <w:rPr>
          <w:rFonts w:ascii="Palatino Linotype" w:hAnsi="Palatino Linotype"/>
        </w:rPr>
      </w:pP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141"/>
        <w:gridCol w:w="1150"/>
        <w:gridCol w:w="1325"/>
        <w:gridCol w:w="1063"/>
      </w:tblGrid>
      <w:tr w:rsidR="001223AC" w:rsidRPr="001D03A8" w14:paraId="6A71F490" w14:textId="77777777" w:rsidTr="001223AC">
        <w:trPr>
          <w:trHeight w:val="440"/>
          <w:jc w:val="center"/>
        </w:trPr>
        <w:tc>
          <w:tcPr>
            <w:tcW w:w="3618" w:type="dxa"/>
            <w:vAlign w:val="bottom"/>
          </w:tcPr>
          <w:p w14:paraId="46DB3E25" w14:textId="77777777" w:rsidR="001223AC" w:rsidRPr="001D03A8" w:rsidRDefault="001223AC" w:rsidP="001223AC">
            <w:pPr>
              <w:jc w:val="center"/>
              <w:rPr>
                <w:rFonts w:cs="Arial"/>
                <w:b/>
                <w:sz w:val="20"/>
                <w:szCs w:val="20"/>
              </w:rPr>
            </w:pPr>
          </w:p>
        </w:tc>
        <w:tc>
          <w:tcPr>
            <w:tcW w:w="4679" w:type="dxa"/>
            <w:gridSpan w:val="4"/>
          </w:tcPr>
          <w:p w14:paraId="63EBDC5E" w14:textId="77777777" w:rsidR="001223AC" w:rsidRPr="001D03A8" w:rsidRDefault="001223AC" w:rsidP="001223AC">
            <w:pPr>
              <w:jc w:val="center"/>
              <w:rPr>
                <w:rFonts w:cs="Arial"/>
                <w:b/>
                <w:sz w:val="20"/>
                <w:szCs w:val="20"/>
              </w:rPr>
            </w:pPr>
            <w:r w:rsidRPr="001D03A8">
              <w:rPr>
                <w:rFonts w:cs="Arial"/>
                <w:b/>
                <w:sz w:val="20"/>
                <w:szCs w:val="20"/>
              </w:rPr>
              <w:t>Distribution by Scope/Severity</w:t>
            </w:r>
          </w:p>
        </w:tc>
      </w:tr>
      <w:tr w:rsidR="001223AC" w:rsidRPr="001D03A8" w14:paraId="2CB6469E" w14:textId="77777777" w:rsidTr="001223AC">
        <w:trPr>
          <w:trHeight w:val="440"/>
          <w:jc w:val="center"/>
        </w:trPr>
        <w:tc>
          <w:tcPr>
            <w:tcW w:w="3618" w:type="dxa"/>
            <w:vAlign w:val="bottom"/>
          </w:tcPr>
          <w:p w14:paraId="30C0202A" w14:textId="77777777" w:rsidR="001223AC" w:rsidRPr="001D03A8" w:rsidRDefault="001223AC" w:rsidP="001223AC">
            <w:pPr>
              <w:jc w:val="center"/>
              <w:rPr>
                <w:rFonts w:cs="Arial"/>
                <w:b/>
                <w:sz w:val="20"/>
                <w:szCs w:val="20"/>
              </w:rPr>
            </w:pPr>
            <w:r w:rsidRPr="001D03A8">
              <w:rPr>
                <w:rFonts w:cs="Arial"/>
                <w:b/>
                <w:sz w:val="20"/>
                <w:szCs w:val="20"/>
              </w:rPr>
              <w:t>State</w:t>
            </w:r>
          </w:p>
        </w:tc>
        <w:tc>
          <w:tcPr>
            <w:tcW w:w="1141" w:type="dxa"/>
          </w:tcPr>
          <w:p w14:paraId="559EBBA8" w14:textId="77777777" w:rsidR="001223AC" w:rsidRPr="001D03A8" w:rsidRDefault="001223AC" w:rsidP="001223AC">
            <w:pPr>
              <w:jc w:val="center"/>
              <w:rPr>
                <w:rFonts w:cs="Arial"/>
                <w:b/>
                <w:sz w:val="20"/>
                <w:szCs w:val="20"/>
              </w:rPr>
            </w:pPr>
            <w:r w:rsidRPr="001D03A8">
              <w:rPr>
                <w:rFonts w:cs="Arial"/>
                <w:b/>
                <w:sz w:val="20"/>
                <w:szCs w:val="20"/>
              </w:rPr>
              <w:t>H</w:t>
            </w:r>
          </w:p>
        </w:tc>
        <w:tc>
          <w:tcPr>
            <w:tcW w:w="1150" w:type="dxa"/>
          </w:tcPr>
          <w:p w14:paraId="4591F20D" w14:textId="77777777" w:rsidR="001223AC" w:rsidRPr="001D03A8" w:rsidRDefault="001223AC" w:rsidP="001223AC">
            <w:pPr>
              <w:jc w:val="center"/>
              <w:rPr>
                <w:rFonts w:cs="Arial"/>
                <w:b/>
                <w:sz w:val="20"/>
                <w:szCs w:val="20"/>
              </w:rPr>
            </w:pPr>
            <w:r w:rsidRPr="001D03A8">
              <w:rPr>
                <w:rFonts w:cs="Arial"/>
                <w:b/>
                <w:sz w:val="20"/>
                <w:szCs w:val="20"/>
              </w:rPr>
              <w:t>I</w:t>
            </w:r>
          </w:p>
        </w:tc>
        <w:tc>
          <w:tcPr>
            <w:tcW w:w="1325" w:type="dxa"/>
          </w:tcPr>
          <w:p w14:paraId="0AFFA448" w14:textId="77777777" w:rsidR="001223AC" w:rsidRPr="001D03A8" w:rsidRDefault="001223AC" w:rsidP="001223AC">
            <w:pPr>
              <w:jc w:val="center"/>
              <w:rPr>
                <w:rFonts w:cs="Arial"/>
                <w:b/>
                <w:sz w:val="20"/>
                <w:szCs w:val="20"/>
              </w:rPr>
            </w:pPr>
            <w:r w:rsidRPr="001D03A8">
              <w:rPr>
                <w:rFonts w:cs="Arial"/>
                <w:b/>
                <w:sz w:val="20"/>
                <w:szCs w:val="20"/>
              </w:rPr>
              <w:t>K</w:t>
            </w:r>
          </w:p>
        </w:tc>
        <w:tc>
          <w:tcPr>
            <w:tcW w:w="1063" w:type="dxa"/>
            <w:vAlign w:val="bottom"/>
          </w:tcPr>
          <w:p w14:paraId="0C4E238B" w14:textId="77777777" w:rsidR="001223AC" w:rsidRPr="001D03A8" w:rsidRDefault="001223AC" w:rsidP="001223AC">
            <w:pPr>
              <w:jc w:val="center"/>
              <w:rPr>
                <w:rFonts w:cs="Arial"/>
                <w:b/>
                <w:sz w:val="20"/>
                <w:szCs w:val="20"/>
              </w:rPr>
            </w:pPr>
            <w:r w:rsidRPr="001D03A8">
              <w:rPr>
                <w:rFonts w:cs="Arial"/>
                <w:b/>
                <w:sz w:val="20"/>
                <w:szCs w:val="20"/>
              </w:rPr>
              <w:t>L</w:t>
            </w:r>
          </w:p>
        </w:tc>
      </w:tr>
      <w:tr w:rsidR="001223AC" w:rsidRPr="001D03A8" w14:paraId="4A6DEE30" w14:textId="77777777" w:rsidTr="001223AC">
        <w:trPr>
          <w:jc w:val="center"/>
        </w:trPr>
        <w:tc>
          <w:tcPr>
            <w:tcW w:w="3618" w:type="dxa"/>
            <w:shd w:val="pct15" w:color="auto" w:fill="auto"/>
            <w:vAlign w:val="bottom"/>
          </w:tcPr>
          <w:p w14:paraId="67BFDAEF" w14:textId="77777777" w:rsidR="001223AC" w:rsidRPr="001D03A8" w:rsidRDefault="001223AC" w:rsidP="001223AC">
            <w:pPr>
              <w:rPr>
                <w:rFonts w:cs="Arial"/>
                <w:sz w:val="20"/>
                <w:szCs w:val="20"/>
              </w:rPr>
            </w:pPr>
            <w:r w:rsidRPr="001D03A8">
              <w:rPr>
                <w:rFonts w:cs="Arial"/>
                <w:sz w:val="20"/>
                <w:szCs w:val="20"/>
              </w:rPr>
              <w:t>Washington</w:t>
            </w:r>
          </w:p>
        </w:tc>
        <w:tc>
          <w:tcPr>
            <w:tcW w:w="1141" w:type="dxa"/>
            <w:shd w:val="pct15" w:color="auto" w:fill="auto"/>
          </w:tcPr>
          <w:p w14:paraId="463F043A" w14:textId="31816620"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1</w:t>
            </w:r>
          </w:p>
        </w:tc>
        <w:tc>
          <w:tcPr>
            <w:tcW w:w="1150" w:type="dxa"/>
            <w:shd w:val="pct15" w:color="auto" w:fill="auto"/>
          </w:tcPr>
          <w:p w14:paraId="7A91F324"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shd w:val="pct15" w:color="auto" w:fill="auto"/>
          </w:tcPr>
          <w:p w14:paraId="4C29B69F" w14:textId="77777777" w:rsidR="001223AC" w:rsidRPr="001D03A8" w:rsidRDefault="001223AC" w:rsidP="001223AC">
            <w:pPr>
              <w:jc w:val="center"/>
              <w:rPr>
                <w:rFonts w:cs="Arial"/>
                <w:sz w:val="20"/>
                <w:szCs w:val="20"/>
              </w:rPr>
            </w:pPr>
            <w:r w:rsidRPr="001D03A8">
              <w:rPr>
                <w:rFonts w:cs="Arial"/>
                <w:sz w:val="20"/>
                <w:szCs w:val="20"/>
              </w:rPr>
              <w:t>0.1</w:t>
            </w:r>
          </w:p>
        </w:tc>
        <w:tc>
          <w:tcPr>
            <w:tcW w:w="1063" w:type="dxa"/>
            <w:shd w:val="pct15" w:color="auto" w:fill="auto"/>
            <w:vAlign w:val="bottom"/>
          </w:tcPr>
          <w:p w14:paraId="774FC60E" w14:textId="77777777" w:rsidR="001223AC" w:rsidRPr="001D03A8" w:rsidRDefault="001223AC" w:rsidP="001223AC">
            <w:pPr>
              <w:jc w:val="center"/>
              <w:rPr>
                <w:rFonts w:cs="Arial"/>
                <w:sz w:val="20"/>
                <w:szCs w:val="20"/>
              </w:rPr>
            </w:pPr>
            <w:r w:rsidRPr="001D03A8">
              <w:rPr>
                <w:rFonts w:cs="Arial"/>
                <w:sz w:val="20"/>
                <w:szCs w:val="20"/>
              </w:rPr>
              <w:t>0.0</w:t>
            </w:r>
          </w:p>
        </w:tc>
      </w:tr>
      <w:tr w:rsidR="001223AC" w:rsidRPr="001D03A8" w14:paraId="0E610B36" w14:textId="77777777" w:rsidTr="001223AC">
        <w:trPr>
          <w:jc w:val="center"/>
        </w:trPr>
        <w:tc>
          <w:tcPr>
            <w:tcW w:w="3618" w:type="dxa"/>
            <w:tcBorders>
              <w:bottom w:val="single" w:sz="4" w:space="0" w:color="auto"/>
            </w:tcBorders>
            <w:vAlign w:val="bottom"/>
          </w:tcPr>
          <w:p w14:paraId="76577EE0" w14:textId="77777777" w:rsidR="001223AC" w:rsidRPr="001D03A8" w:rsidRDefault="001223AC" w:rsidP="001223AC">
            <w:pPr>
              <w:rPr>
                <w:rFonts w:cs="Arial"/>
                <w:sz w:val="20"/>
                <w:szCs w:val="20"/>
              </w:rPr>
            </w:pPr>
            <w:r w:rsidRPr="001D03A8">
              <w:rPr>
                <w:rFonts w:cs="Arial"/>
                <w:sz w:val="20"/>
                <w:szCs w:val="20"/>
              </w:rPr>
              <w:t>California</w:t>
            </w:r>
          </w:p>
        </w:tc>
        <w:tc>
          <w:tcPr>
            <w:tcW w:w="1141" w:type="dxa"/>
            <w:tcBorders>
              <w:bottom w:val="single" w:sz="4" w:space="0" w:color="auto"/>
            </w:tcBorders>
          </w:tcPr>
          <w:p w14:paraId="15AB569B" w14:textId="77777777" w:rsidR="001223AC" w:rsidRPr="001D03A8" w:rsidRDefault="001223AC" w:rsidP="001223AC">
            <w:pPr>
              <w:jc w:val="center"/>
              <w:rPr>
                <w:rFonts w:cs="Arial"/>
                <w:sz w:val="20"/>
                <w:szCs w:val="20"/>
              </w:rPr>
            </w:pPr>
            <w:r w:rsidRPr="001D03A8">
              <w:rPr>
                <w:rFonts w:cs="Arial"/>
                <w:sz w:val="20"/>
                <w:szCs w:val="20"/>
              </w:rPr>
              <w:t>0.1</w:t>
            </w:r>
          </w:p>
        </w:tc>
        <w:tc>
          <w:tcPr>
            <w:tcW w:w="1150" w:type="dxa"/>
            <w:tcBorders>
              <w:bottom w:val="single" w:sz="4" w:space="0" w:color="auto"/>
            </w:tcBorders>
          </w:tcPr>
          <w:p w14:paraId="69263C44"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Borders>
              <w:bottom w:val="single" w:sz="4" w:space="0" w:color="auto"/>
            </w:tcBorders>
          </w:tcPr>
          <w:p w14:paraId="7AE2F33D" w14:textId="77777777" w:rsidR="001223AC" w:rsidRPr="001D03A8" w:rsidRDefault="001223AC" w:rsidP="001223AC">
            <w:pPr>
              <w:jc w:val="center"/>
              <w:rPr>
                <w:rFonts w:cs="Arial"/>
                <w:sz w:val="20"/>
                <w:szCs w:val="20"/>
              </w:rPr>
            </w:pPr>
            <w:r w:rsidRPr="001D03A8">
              <w:rPr>
                <w:rFonts w:cs="Arial"/>
                <w:sz w:val="20"/>
                <w:szCs w:val="20"/>
              </w:rPr>
              <w:t>0.1</w:t>
            </w:r>
          </w:p>
        </w:tc>
        <w:tc>
          <w:tcPr>
            <w:tcW w:w="1063" w:type="dxa"/>
            <w:tcBorders>
              <w:bottom w:val="single" w:sz="4" w:space="0" w:color="auto"/>
            </w:tcBorders>
            <w:vAlign w:val="bottom"/>
          </w:tcPr>
          <w:p w14:paraId="6F9A52A2" w14:textId="77777777" w:rsidR="001223AC" w:rsidRPr="001D03A8" w:rsidRDefault="001223AC" w:rsidP="001223AC">
            <w:pPr>
              <w:jc w:val="center"/>
              <w:rPr>
                <w:rFonts w:cs="Arial"/>
                <w:sz w:val="20"/>
                <w:szCs w:val="20"/>
              </w:rPr>
            </w:pPr>
            <w:r w:rsidRPr="001D03A8">
              <w:rPr>
                <w:rFonts w:cs="Arial"/>
                <w:sz w:val="20"/>
                <w:szCs w:val="20"/>
              </w:rPr>
              <w:t>0.1</w:t>
            </w:r>
          </w:p>
        </w:tc>
      </w:tr>
      <w:tr w:rsidR="001223AC" w:rsidRPr="001D03A8" w14:paraId="3D82C979" w14:textId="77777777" w:rsidTr="001223AC">
        <w:trPr>
          <w:jc w:val="center"/>
        </w:trPr>
        <w:tc>
          <w:tcPr>
            <w:tcW w:w="3618" w:type="dxa"/>
            <w:vAlign w:val="bottom"/>
          </w:tcPr>
          <w:p w14:paraId="3BF7E1EC" w14:textId="77777777" w:rsidR="001223AC" w:rsidRPr="001D03A8" w:rsidRDefault="001223AC" w:rsidP="001223AC">
            <w:pPr>
              <w:rPr>
                <w:rFonts w:cs="Arial"/>
                <w:sz w:val="20"/>
                <w:szCs w:val="20"/>
              </w:rPr>
            </w:pPr>
            <w:r w:rsidRPr="001D03A8">
              <w:rPr>
                <w:rFonts w:cs="Arial"/>
                <w:sz w:val="20"/>
                <w:szCs w:val="20"/>
              </w:rPr>
              <w:t>Minnesota</w:t>
            </w:r>
          </w:p>
        </w:tc>
        <w:tc>
          <w:tcPr>
            <w:tcW w:w="1141" w:type="dxa"/>
          </w:tcPr>
          <w:p w14:paraId="2FA2E344" w14:textId="77777777" w:rsidR="001223AC" w:rsidRPr="001D03A8" w:rsidRDefault="001223AC" w:rsidP="001223AC">
            <w:pPr>
              <w:jc w:val="center"/>
              <w:rPr>
                <w:rFonts w:cs="Arial"/>
                <w:sz w:val="20"/>
                <w:szCs w:val="20"/>
              </w:rPr>
            </w:pPr>
            <w:r w:rsidRPr="001D03A8">
              <w:rPr>
                <w:rFonts w:cs="Arial"/>
                <w:sz w:val="20"/>
                <w:szCs w:val="20"/>
              </w:rPr>
              <w:t>0.1</w:t>
            </w:r>
          </w:p>
        </w:tc>
        <w:tc>
          <w:tcPr>
            <w:tcW w:w="1150" w:type="dxa"/>
          </w:tcPr>
          <w:p w14:paraId="16F57AF4"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Pr>
          <w:p w14:paraId="627A8E8C" w14:textId="4C37957E"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1</w:t>
            </w:r>
          </w:p>
        </w:tc>
        <w:tc>
          <w:tcPr>
            <w:tcW w:w="1063" w:type="dxa"/>
            <w:vAlign w:val="bottom"/>
          </w:tcPr>
          <w:p w14:paraId="12BB7BA3" w14:textId="77777777" w:rsidR="001223AC" w:rsidRPr="001D03A8" w:rsidRDefault="001223AC" w:rsidP="001223AC">
            <w:pPr>
              <w:jc w:val="center"/>
              <w:rPr>
                <w:rFonts w:cs="Arial"/>
                <w:sz w:val="20"/>
                <w:szCs w:val="20"/>
              </w:rPr>
            </w:pPr>
            <w:r w:rsidRPr="001D03A8">
              <w:rPr>
                <w:rFonts w:cs="Arial"/>
                <w:sz w:val="20"/>
                <w:szCs w:val="20"/>
              </w:rPr>
              <w:t>0.0</w:t>
            </w:r>
          </w:p>
        </w:tc>
      </w:tr>
      <w:tr w:rsidR="001223AC" w:rsidRPr="001D03A8" w14:paraId="0193D3B7" w14:textId="77777777" w:rsidTr="001223AC">
        <w:trPr>
          <w:jc w:val="center"/>
        </w:trPr>
        <w:tc>
          <w:tcPr>
            <w:tcW w:w="3618" w:type="dxa"/>
            <w:vAlign w:val="bottom"/>
          </w:tcPr>
          <w:p w14:paraId="5D77F5B5" w14:textId="77777777" w:rsidR="001223AC" w:rsidRPr="001D03A8" w:rsidRDefault="001223AC" w:rsidP="001223AC">
            <w:pPr>
              <w:rPr>
                <w:rFonts w:cs="Arial"/>
                <w:sz w:val="20"/>
                <w:szCs w:val="20"/>
              </w:rPr>
            </w:pPr>
            <w:r w:rsidRPr="001D03A8">
              <w:rPr>
                <w:rFonts w:cs="Arial"/>
                <w:sz w:val="20"/>
                <w:szCs w:val="20"/>
              </w:rPr>
              <w:t>New Mexico</w:t>
            </w:r>
          </w:p>
        </w:tc>
        <w:tc>
          <w:tcPr>
            <w:tcW w:w="1141" w:type="dxa"/>
          </w:tcPr>
          <w:p w14:paraId="5E19F6EC" w14:textId="0B6EE1A3" w:rsidR="001223AC" w:rsidRPr="001D03A8" w:rsidRDefault="00397D83" w:rsidP="001223AC">
            <w:pPr>
              <w:jc w:val="center"/>
              <w:rPr>
                <w:rFonts w:cs="Arial"/>
                <w:sz w:val="20"/>
                <w:szCs w:val="20"/>
              </w:rPr>
            </w:pPr>
            <w:r>
              <w:rPr>
                <w:rFonts w:cs="Arial"/>
                <w:sz w:val="20"/>
                <w:szCs w:val="20"/>
              </w:rPr>
              <w:t>1.3</w:t>
            </w:r>
          </w:p>
        </w:tc>
        <w:tc>
          <w:tcPr>
            <w:tcW w:w="1150" w:type="dxa"/>
          </w:tcPr>
          <w:p w14:paraId="2522913B"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Pr>
          <w:p w14:paraId="3A2A4193" w14:textId="37D2DC0B" w:rsidR="001223AC" w:rsidRPr="001D03A8" w:rsidRDefault="00397D83" w:rsidP="001223AC">
            <w:pPr>
              <w:jc w:val="center"/>
              <w:rPr>
                <w:rFonts w:cs="Arial"/>
                <w:sz w:val="20"/>
                <w:szCs w:val="20"/>
              </w:rPr>
            </w:pPr>
            <w:r>
              <w:rPr>
                <w:rFonts w:cs="Arial"/>
                <w:sz w:val="20"/>
                <w:szCs w:val="20"/>
              </w:rPr>
              <w:t>0.9</w:t>
            </w:r>
          </w:p>
        </w:tc>
        <w:tc>
          <w:tcPr>
            <w:tcW w:w="1063" w:type="dxa"/>
            <w:vAlign w:val="bottom"/>
          </w:tcPr>
          <w:p w14:paraId="022286A3" w14:textId="2F5063D2" w:rsidR="001223AC" w:rsidRPr="001D03A8" w:rsidRDefault="001223AC" w:rsidP="001223AC">
            <w:pPr>
              <w:jc w:val="center"/>
              <w:rPr>
                <w:rFonts w:cs="Arial"/>
                <w:sz w:val="20"/>
                <w:szCs w:val="20"/>
              </w:rPr>
            </w:pPr>
            <w:r w:rsidRPr="001D03A8">
              <w:rPr>
                <w:rFonts w:cs="Arial"/>
                <w:sz w:val="20"/>
                <w:szCs w:val="20"/>
              </w:rPr>
              <w:t>1.</w:t>
            </w:r>
            <w:r w:rsidR="00397D83">
              <w:rPr>
                <w:rFonts w:cs="Arial"/>
                <w:sz w:val="20"/>
                <w:szCs w:val="20"/>
              </w:rPr>
              <w:t>1</w:t>
            </w:r>
          </w:p>
        </w:tc>
      </w:tr>
      <w:tr w:rsidR="001223AC" w:rsidRPr="001D03A8" w14:paraId="1650597C" w14:textId="77777777" w:rsidTr="001223AC">
        <w:trPr>
          <w:jc w:val="center"/>
        </w:trPr>
        <w:tc>
          <w:tcPr>
            <w:tcW w:w="3618" w:type="dxa"/>
            <w:vAlign w:val="bottom"/>
          </w:tcPr>
          <w:p w14:paraId="1F2DC550" w14:textId="77777777" w:rsidR="001223AC" w:rsidRPr="001D03A8" w:rsidRDefault="001223AC" w:rsidP="001223AC">
            <w:pPr>
              <w:rPr>
                <w:rFonts w:cs="Arial"/>
                <w:sz w:val="20"/>
                <w:szCs w:val="20"/>
              </w:rPr>
            </w:pPr>
            <w:r w:rsidRPr="001D03A8">
              <w:rPr>
                <w:rFonts w:cs="Arial"/>
                <w:sz w:val="20"/>
                <w:szCs w:val="20"/>
              </w:rPr>
              <w:t>Oregon</w:t>
            </w:r>
          </w:p>
        </w:tc>
        <w:tc>
          <w:tcPr>
            <w:tcW w:w="1141" w:type="dxa"/>
          </w:tcPr>
          <w:p w14:paraId="39F75085" w14:textId="77777777" w:rsidR="001223AC" w:rsidRPr="001D03A8" w:rsidRDefault="001223AC" w:rsidP="001223AC">
            <w:pPr>
              <w:jc w:val="center"/>
              <w:rPr>
                <w:rFonts w:cs="Arial"/>
                <w:sz w:val="20"/>
                <w:szCs w:val="20"/>
              </w:rPr>
            </w:pPr>
            <w:r w:rsidRPr="001D03A8">
              <w:rPr>
                <w:rFonts w:cs="Arial"/>
                <w:sz w:val="20"/>
                <w:szCs w:val="20"/>
              </w:rPr>
              <w:t>0.0</w:t>
            </w:r>
          </w:p>
        </w:tc>
        <w:tc>
          <w:tcPr>
            <w:tcW w:w="1150" w:type="dxa"/>
          </w:tcPr>
          <w:p w14:paraId="5FD8C96E"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Pr>
          <w:p w14:paraId="1AB471A8" w14:textId="3A123041"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6</w:t>
            </w:r>
          </w:p>
        </w:tc>
        <w:tc>
          <w:tcPr>
            <w:tcW w:w="1063" w:type="dxa"/>
            <w:vAlign w:val="bottom"/>
          </w:tcPr>
          <w:p w14:paraId="1778F4B4" w14:textId="77777777" w:rsidR="001223AC" w:rsidRPr="001D03A8" w:rsidRDefault="001223AC" w:rsidP="001223AC">
            <w:pPr>
              <w:jc w:val="center"/>
              <w:rPr>
                <w:rFonts w:cs="Arial"/>
                <w:sz w:val="20"/>
                <w:szCs w:val="20"/>
              </w:rPr>
            </w:pPr>
            <w:r w:rsidRPr="001D03A8">
              <w:rPr>
                <w:rFonts w:cs="Arial"/>
                <w:sz w:val="20"/>
                <w:szCs w:val="20"/>
              </w:rPr>
              <w:t>0.0</w:t>
            </w:r>
          </w:p>
        </w:tc>
      </w:tr>
      <w:tr w:rsidR="001223AC" w:rsidRPr="001D03A8" w14:paraId="51079FC3" w14:textId="77777777" w:rsidTr="001223AC">
        <w:trPr>
          <w:jc w:val="center"/>
        </w:trPr>
        <w:tc>
          <w:tcPr>
            <w:tcW w:w="3618" w:type="dxa"/>
            <w:vAlign w:val="bottom"/>
          </w:tcPr>
          <w:p w14:paraId="2385B773" w14:textId="77777777" w:rsidR="001223AC" w:rsidRPr="001D03A8" w:rsidRDefault="001223AC" w:rsidP="001223AC">
            <w:pPr>
              <w:rPr>
                <w:rFonts w:cs="Arial"/>
                <w:sz w:val="20"/>
                <w:szCs w:val="20"/>
              </w:rPr>
            </w:pPr>
            <w:r w:rsidRPr="001D03A8">
              <w:rPr>
                <w:rFonts w:cs="Arial"/>
                <w:sz w:val="20"/>
                <w:szCs w:val="20"/>
              </w:rPr>
              <w:t>Texas</w:t>
            </w:r>
          </w:p>
        </w:tc>
        <w:tc>
          <w:tcPr>
            <w:tcW w:w="1141" w:type="dxa"/>
          </w:tcPr>
          <w:p w14:paraId="5BDB829A" w14:textId="66D1F398" w:rsidR="001223AC" w:rsidRPr="001D03A8" w:rsidRDefault="00397D83" w:rsidP="001223AC">
            <w:pPr>
              <w:jc w:val="center"/>
              <w:rPr>
                <w:rFonts w:cs="Arial"/>
                <w:sz w:val="20"/>
                <w:szCs w:val="20"/>
              </w:rPr>
            </w:pPr>
            <w:r>
              <w:rPr>
                <w:rFonts w:cs="Arial"/>
                <w:sz w:val="20"/>
                <w:szCs w:val="20"/>
              </w:rPr>
              <w:t>1.1</w:t>
            </w:r>
          </w:p>
        </w:tc>
        <w:tc>
          <w:tcPr>
            <w:tcW w:w="1150" w:type="dxa"/>
          </w:tcPr>
          <w:p w14:paraId="0F2E4742"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Pr>
          <w:p w14:paraId="7D70655F" w14:textId="1F7B0116" w:rsidR="001223AC" w:rsidRPr="001D03A8" w:rsidRDefault="001223AC" w:rsidP="001223AC">
            <w:pPr>
              <w:jc w:val="center"/>
              <w:rPr>
                <w:rFonts w:cs="Arial"/>
                <w:sz w:val="20"/>
                <w:szCs w:val="20"/>
              </w:rPr>
            </w:pPr>
            <w:r w:rsidRPr="001D03A8">
              <w:rPr>
                <w:rFonts w:cs="Arial"/>
                <w:sz w:val="20"/>
                <w:szCs w:val="20"/>
              </w:rPr>
              <w:t>1.</w:t>
            </w:r>
            <w:r w:rsidR="00397D83">
              <w:rPr>
                <w:rFonts w:cs="Arial"/>
                <w:sz w:val="20"/>
                <w:szCs w:val="20"/>
              </w:rPr>
              <w:t>8</w:t>
            </w:r>
          </w:p>
        </w:tc>
        <w:tc>
          <w:tcPr>
            <w:tcW w:w="1063" w:type="dxa"/>
            <w:vAlign w:val="bottom"/>
          </w:tcPr>
          <w:p w14:paraId="5BEDE8C4" w14:textId="4CE56DED"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4</w:t>
            </w:r>
          </w:p>
        </w:tc>
      </w:tr>
      <w:tr w:rsidR="001223AC" w:rsidRPr="001D03A8" w14:paraId="1C5D3185" w14:textId="77777777" w:rsidTr="001223AC">
        <w:trPr>
          <w:jc w:val="center"/>
        </w:trPr>
        <w:tc>
          <w:tcPr>
            <w:tcW w:w="3618" w:type="dxa"/>
            <w:vAlign w:val="bottom"/>
          </w:tcPr>
          <w:p w14:paraId="2C88DFA5" w14:textId="77777777" w:rsidR="001223AC" w:rsidRPr="001D03A8" w:rsidRDefault="001223AC" w:rsidP="001223AC">
            <w:pPr>
              <w:rPr>
                <w:rFonts w:cs="Arial"/>
                <w:sz w:val="20"/>
                <w:szCs w:val="20"/>
              </w:rPr>
            </w:pPr>
            <w:r w:rsidRPr="001D03A8">
              <w:rPr>
                <w:rFonts w:cs="Arial"/>
                <w:sz w:val="20"/>
                <w:szCs w:val="20"/>
              </w:rPr>
              <w:t>Arizona</w:t>
            </w:r>
          </w:p>
        </w:tc>
        <w:tc>
          <w:tcPr>
            <w:tcW w:w="1141" w:type="dxa"/>
          </w:tcPr>
          <w:p w14:paraId="19F894AF" w14:textId="18B6FB23"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0</w:t>
            </w:r>
          </w:p>
        </w:tc>
        <w:tc>
          <w:tcPr>
            <w:tcW w:w="1150" w:type="dxa"/>
          </w:tcPr>
          <w:p w14:paraId="706CCBF2"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Pr>
          <w:p w14:paraId="18D902F8" w14:textId="3ECD1F9E"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3</w:t>
            </w:r>
          </w:p>
        </w:tc>
        <w:tc>
          <w:tcPr>
            <w:tcW w:w="1063" w:type="dxa"/>
            <w:vAlign w:val="bottom"/>
          </w:tcPr>
          <w:p w14:paraId="5853A7E7" w14:textId="5E42C930"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2</w:t>
            </w:r>
          </w:p>
        </w:tc>
      </w:tr>
      <w:tr w:rsidR="001223AC" w:rsidRPr="001D03A8" w14:paraId="69343561" w14:textId="77777777" w:rsidTr="001223AC">
        <w:trPr>
          <w:jc w:val="center"/>
        </w:trPr>
        <w:tc>
          <w:tcPr>
            <w:tcW w:w="3618" w:type="dxa"/>
            <w:tcBorders>
              <w:bottom w:val="double" w:sz="4" w:space="0" w:color="auto"/>
            </w:tcBorders>
            <w:vAlign w:val="bottom"/>
          </w:tcPr>
          <w:p w14:paraId="3E4184AC" w14:textId="77777777" w:rsidR="001223AC" w:rsidRPr="001D03A8" w:rsidRDefault="001223AC" w:rsidP="001223AC">
            <w:pPr>
              <w:rPr>
                <w:rFonts w:cs="Arial"/>
                <w:sz w:val="20"/>
                <w:szCs w:val="20"/>
              </w:rPr>
            </w:pPr>
            <w:r w:rsidRPr="001D03A8">
              <w:rPr>
                <w:rFonts w:cs="Arial"/>
                <w:sz w:val="20"/>
                <w:szCs w:val="20"/>
              </w:rPr>
              <w:t>Alaska</w:t>
            </w:r>
          </w:p>
        </w:tc>
        <w:tc>
          <w:tcPr>
            <w:tcW w:w="1141" w:type="dxa"/>
            <w:tcBorders>
              <w:bottom w:val="double" w:sz="4" w:space="0" w:color="auto"/>
            </w:tcBorders>
          </w:tcPr>
          <w:p w14:paraId="728B8DA7" w14:textId="432D19A5" w:rsidR="001223AC" w:rsidRPr="001D03A8" w:rsidRDefault="00397D83" w:rsidP="001223AC">
            <w:pPr>
              <w:jc w:val="center"/>
              <w:rPr>
                <w:rFonts w:cs="Arial"/>
                <w:sz w:val="20"/>
                <w:szCs w:val="20"/>
              </w:rPr>
            </w:pPr>
            <w:r>
              <w:rPr>
                <w:rFonts w:cs="Arial"/>
                <w:sz w:val="20"/>
                <w:szCs w:val="20"/>
              </w:rPr>
              <w:t>0.0</w:t>
            </w:r>
          </w:p>
        </w:tc>
        <w:tc>
          <w:tcPr>
            <w:tcW w:w="1150" w:type="dxa"/>
            <w:tcBorders>
              <w:bottom w:val="double" w:sz="4" w:space="0" w:color="auto"/>
            </w:tcBorders>
          </w:tcPr>
          <w:p w14:paraId="6EC63155"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Borders>
              <w:bottom w:val="double" w:sz="4" w:space="0" w:color="auto"/>
            </w:tcBorders>
          </w:tcPr>
          <w:p w14:paraId="445F78D9" w14:textId="343D954D" w:rsidR="001223AC" w:rsidRPr="001D03A8" w:rsidRDefault="00397D83" w:rsidP="001223AC">
            <w:pPr>
              <w:jc w:val="center"/>
              <w:rPr>
                <w:rFonts w:cs="Arial"/>
                <w:sz w:val="20"/>
                <w:szCs w:val="20"/>
              </w:rPr>
            </w:pPr>
            <w:r>
              <w:rPr>
                <w:rFonts w:cs="Arial"/>
                <w:sz w:val="20"/>
                <w:szCs w:val="20"/>
              </w:rPr>
              <w:t>0.5</w:t>
            </w:r>
          </w:p>
        </w:tc>
        <w:tc>
          <w:tcPr>
            <w:tcW w:w="1063" w:type="dxa"/>
            <w:tcBorders>
              <w:bottom w:val="double" w:sz="4" w:space="0" w:color="auto"/>
            </w:tcBorders>
            <w:vAlign w:val="bottom"/>
          </w:tcPr>
          <w:p w14:paraId="1DABF71F" w14:textId="399573F4" w:rsidR="001223AC" w:rsidRPr="001D03A8" w:rsidRDefault="00397D83" w:rsidP="001223AC">
            <w:pPr>
              <w:jc w:val="center"/>
              <w:rPr>
                <w:rFonts w:cs="Arial"/>
                <w:sz w:val="20"/>
                <w:szCs w:val="20"/>
              </w:rPr>
            </w:pPr>
            <w:r>
              <w:rPr>
                <w:rFonts w:cs="Arial"/>
                <w:sz w:val="20"/>
                <w:szCs w:val="20"/>
              </w:rPr>
              <w:t>1.0</w:t>
            </w:r>
          </w:p>
        </w:tc>
      </w:tr>
      <w:tr w:rsidR="001223AC" w:rsidRPr="001D03A8" w14:paraId="7E888B0D" w14:textId="77777777" w:rsidTr="001223AC">
        <w:trPr>
          <w:jc w:val="center"/>
        </w:trPr>
        <w:tc>
          <w:tcPr>
            <w:tcW w:w="3618" w:type="dxa"/>
            <w:tcBorders>
              <w:top w:val="double" w:sz="4" w:space="0" w:color="auto"/>
              <w:bottom w:val="double" w:sz="4" w:space="0" w:color="auto"/>
            </w:tcBorders>
            <w:vAlign w:val="bottom"/>
          </w:tcPr>
          <w:p w14:paraId="12F0B145" w14:textId="77777777" w:rsidR="001223AC" w:rsidRPr="001D03A8" w:rsidRDefault="001223AC" w:rsidP="001223AC">
            <w:pPr>
              <w:rPr>
                <w:rFonts w:cs="Arial"/>
                <w:sz w:val="20"/>
                <w:szCs w:val="20"/>
              </w:rPr>
            </w:pPr>
            <w:r w:rsidRPr="001D03A8">
              <w:rPr>
                <w:rFonts w:cs="Arial"/>
                <w:sz w:val="20"/>
                <w:szCs w:val="20"/>
              </w:rPr>
              <w:t>United States Average</w:t>
            </w:r>
          </w:p>
        </w:tc>
        <w:tc>
          <w:tcPr>
            <w:tcW w:w="1141" w:type="dxa"/>
            <w:tcBorders>
              <w:top w:val="double" w:sz="4" w:space="0" w:color="auto"/>
              <w:bottom w:val="double" w:sz="4" w:space="0" w:color="auto"/>
            </w:tcBorders>
          </w:tcPr>
          <w:p w14:paraId="36CD4E2D" w14:textId="77777777" w:rsidR="001223AC" w:rsidRPr="001D03A8" w:rsidRDefault="001223AC" w:rsidP="001223AC">
            <w:pPr>
              <w:jc w:val="center"/>
              <w:rPr>
                <w:rFonts w:cs="Arial"/>
                <w:sz w:val="20"/>
                <w:szCs w:val="20"/>
              </w:rPr>
            </w:pPr>
            <w:r w:rsidRPr="001D03A8">
              <w:rPr>
                <w:rFonts w:cs="Arial"/>
                <w:sz w:val="20"/>
                <w:szCs w:val="20"/>
              </w:rPr>
              <w:t>0.2</w:t>
            </w:r>
          </w:p>
        </w:tc>
        <w:tc>
          <w:tcPr>
            <w:tcW w:w="1150" w:type="dxa"/>
            <w:tcBorders>
              <w:top w:val="double" w:sz="4" w:space="0" w:color="auto"/>
              <w:bottom w:val="double" w:sz="4" w:space="0" w:color="auto"/>
            </w:tcBorders>
          </w:tcPr>
          <w:p w14:paraId="7D3CF155"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Borders>
              <w:top w:val="double" w:sz="4" w:space="0" w:color="auto"/>
              <w:bottom w:val="double" w:sz="4" w:space="0" w:color="auto"/>
            </w:tcBorders>
          </w:tcPr>
          <w:p w14:paraId="260333AE" w14:textId="77777777" w:rsidR="001223AC" w:rsidRPr="001D03A8" w:rsidRDefault="001223AC" w:rsidP="001223AC">
            <w:pPr>
              <w:jc w:val="center"/>
              <w:rPr>
                <w:rFonts w:cs="Arial"/>
                <w:sz w:val="20"/>
                <w:szCs w:val="20"/>
              </w:rPr>
            </w:pPr>
            <w:r w:rsidRPr="001D03A8">
              <w:rPr>
                <w:rFonts w:cs="Arial"/>
                <w:sz w:val="20"/>
                <w:szCs w:val="20"/>
              </w:rPr>
              <w:t>0.4</w:t>
            </w:r>
          </w:p>
        </w:tc>
        <w:tc>
          <w:tcPr>
            <w:tcW w:w="1063" w:type="dxa"/>
            <w:tcBorders>
              <w:top w:val="double" w:sz="4" w:space="0" w:color="auto"/>
              <w:bottom w:val="double" w:sz="4" w:space="0" w:color="auto"/>
            </w:tcBorders>
            <w:vAlign w:val="bottom"/>
          </w:tcPr>
          <w:p w14:paraId="63E25FF8" w14:textId="358E2E55"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2</w:t>
            </w:r>
          </w:p>
        </w:tc>
      </w:tr>
      <w:tr w:rsidR="001223AC" w:rsidRPr="001D03A8" w14:paraId="7E7DFDD1" w14:textId="77777777" w:rsidTr="001223AC">
        <w:trPr>
          <w:jc w:val="center"/>
        </w:trPr>
        <w:tc>
          <w:tcPr>
            <w:tcW w:w="3618" w:type="dxa"/>
            <w:tcBorders>
              <w:top w:val="double" w:sz="4" w:space="0" w:color="auto"/>
              <w:bottom w:val="double" w:sz="4" w:space="0" w:color="auto"/>
            </w:tcBorders>
            <w:vAlign w:val="bottom"/>
          </w:tcPr>
          <w:p w14:paraId="574B6962" w14:textId="77777777" w:rsidR="001223AC" w:rsidRPr="001D03A8" w:rsidRDefault="001223AC" w:rsidP="001223AC">
            <w:pPr>
              <w:rPr>
                <w:rFonts w:cs="Arial"/>
                <w:sz w:val="20"/>
                <w:szCs w:val="20"/>
              </w:rPr>
            </w:pPr>
            <w:r w:rsidRPr="001D03A8">
              <w:rPr>
                <w:rFonts w:cs="Arial"/>
                <w:sz w:val="20"/>
                <w:szCs w:val="20"/>
              </w:rPr>
              <w:t>Average for Eight States</w:t>
            </w:r>
          </w:p>
        </w:tc>
        <w:tc>
          <w:tcPr>
            <w:tcW w:w="1141" w:type="dxa"/>
            <w:tcBorders>
              <w:top w:val="double" w:sz="4" w:space="0" w:color="auto"/>
              <w:bottom w:val="double" w:sz="4" w:space="0" w:color="auto"/>
            </w:tcBorders>
          </w:tcPr>
          <w:p w14:paraId="0316B197" w14:textId="2A9452CA"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3</w:t>
            </w:r>
          </w:p>
        </w:tc>
        <w:tc>
          <w:tcPr>
            <w:tcW w:w="1150" w:type="dxa"/>
            <w:tcBorders>
              <w:top w:val="double" w:sz="4" w:space="0" w:color="auto"/>
              <w:bottom w:val="double" w:sz="4" w:space="0" w:color="auto"/>
            </w:tcBorders>
          </w:tcPr>
          <w:p w14:paraId="18A7B14B"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Borders>
              <w:top w:val="double" w:sz="4" w:space="0" w:color="auto"/>
              <w:bottom w:val="double" w:sz="4" w:space="0" w:color="auto"/>
            </w:tcBorders>
          </w:tcPr>
          <w:p w14:paraId="74495001" w14:textId="1738D60B" w:rsidR="001223AC" w:rsidRPr="001D03A8" w:rsidRDefault="00397D83" w:rsidP="001223AC">
            <w:pPr>
              <w:jc w:val="center"/>
              <w:rPr>
                <w:rFonts w:cs="Arial"/>
                <w:sz w:val="20"/>
                <w:szCs w:val="20"/>
              </w:rPr>
            </w:pPr>
            <w:r>
              <w:rPr>
                <w:rFonts w:cs="Arial"/>
                <w:sz w:val="20"/>
                <w:szCs w:val="20"/>
              </w:rPr>
              <w:t>0.6</w:t>
            </w:r>
          </w:p>
        </w:tc>
        <w:tc>
          <w:tcPr>
            <w:tcW w:w="1063" w:type="dxa"/>
            <w:tcBorders>
              <w:top w:val="double" w:sz="4" w:space="0" w:color="auto"/>
              <w:bottom w:val="double" w:sz="4" w:space="0" w:color="auto"/>
            </w:tcBorders>
            <w:vAlign w:val="bottom"/>
          </w:tcPr>
          <w:p w14:paraId="3B8F2B54" w14:textId="7A78227C"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4</w:t>
            </w:r>
          </w:p>
        </w:tc>
      </w:tr>
      <w:tr w:rsidR="001D03A8" w:rsidRPr="001D03A8" w14:paraId="6FEBD3FD" w14:textId="77777777" w:rsidTr="001D03A8">
        <w:trPr>
          <w:jc w:val="center"/>
        </w:trPr>
        <w:tc>
          <w:tcPr>
            <w:tcW w:w="3618" w:type="dxa"/>
            <w:tcBorders>
              <w:top w:val="double" w:sz="4" w:space="0" w:color="auto"/>
              <w:bottom w:val="double" w:sz="4" w:space="0" w:color="auto"/>
            </w:tcBorders>
            <w:vAlign w:val="bottom"/>
          </w:tcPr>
          <w:p w14:paraId="427F45FE" w14:textId="77777777" w:rsidR="001223AC" w:rsidRPr="001D03A8" w:rsidRDefault="001223AC" w:rsidP="001223AC">
            <w:pPr>
              <w:rPr>
                <w:rFonts w:cs="Arial"/>
                <w:sz w:val="20"/>
                <w:szCs w:val="20"/>
              </w:rPr>
            </w:pPr>
            <w:r w:rsidRPr="001D03A8">
              <w:rPr>
                <w:rFonts w:cs="Arial"/>
                <w:sz w:val="20"/>
                <w:szCs w:val="20"/>
              </w:rPr>
              <w:t>Average for States excluding Washington</w:t>
            </w:r>
          </w:p>
        </w:tc>
        <w:tc>
          <w:tcPr>
            <w:tcW w:w="1141" w:type="dxa"/>
            <w:tcBorders>
              <w:top w:val="double" w:sz="4" w:space="0" w:color="auto"/>
              <w:bottom w:val="double" w:sz="4" w:space="0" w:color="auto"/>
            </w:tcBorders>
            <w:vAlign w:val="center"/>
          </w:tcPr>
          <w:p w14:paraId="27ACFFE9" w14:textId="6DCFDB9E"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4</w:t>
            </w:r>
          </w:p>
        </w:tc>
        <w:tc>
          <w:tcPr>
            <w:tcW w:w="1150" w:type="dxa"/>
            <w:tcBorders>
              <w:top w:val="double" w:sz="4" w:space="0" w:color="auto"/>
              <w:bottom w:val="double" w:sz="4" w:space="0" w:color="auto"/>
            </w:tcBorders>
            <w:vAlign w:val="center"/>
          </w:tcPr>
          <w:p w14:paraId="32E250EE" w14:textId="77777777" w:rsidR="001223AC" w:rsidRPr="001D03A8" w:rsidRDefault="001223AC" w:rsidP="001223AC">
            <w:pPr>
              <w:jc w:val="center"/>
              <w:rPr>
                <w:rFonts w:cs="Arial"/>
                <w:sz w:val="20"/>
                <w:szCs w:val="20"/>
              </w:rPr>
            </w:pPr>
            <w:r w:rsidRPr="001D03A8">
              <w:rPr>
                <w:rFonts w:cs="Arial"/>
                <w:sz w:val="20"/>
                <w:szCs w:val="20"/>
              </w:rPr>
              <w:t>0.0</w:t>
            </w:r>
          </w:p>
        </w:tc>
        <w:tc>
          <w:tcPr>
            <w:tcW w:w="1325" w:type="dxa"/>
            <w:tcBorders>
              <w:top w:val="double" w:sz="4" w:space="0" w:color="auto"/>
              <w:bottom w:val="double" w:sz="4" w:space="0" w:color="auto"/>
            </w:tcBorders>
            <w:vAlign w:val="center"/>
          </w:tcPr>
          <w:p w14:paraId="2F4798A6" w14:textId="5A291DE1" w:rsidR="001223AC" w:rsidRPr="001D03A8" w:rsidRDefault="00397D83" w:rsidP="001223AC">
            <w:pPr>
              <w:jc w:val="center"/>
              <w:rPr>
                <w:rFonts w:cs="Arial"/>
                <w:sz w:val="20"/>
                <w:szCs w:val="20"/>
              </w:rPr>
            </w:pPr>
            <w:r>
              <w:rPr>
                <w:rFonts w:cs="Arial"/>
                <w:sz w:val="20"/>
                <w:szCs w:val="20"/>
              </w:rPr>
              <w:t>0.6</w:t>
            </w:r>
          </w:p>
        </w:tc>
        <w:tc>
          <w:tcPr>
            <w:tcW w:w="1063" w:type="dxa"/>
            <w:tcBorders>
              <w:top w:val="double" w:sz="4" w:space="0" w:color="auto"/>
              <w:bottom w:val="double" w:sz="4" w:space="0" w:color="auto"/>
            </w:tcBorders>
            <w:vAlign w:val="center"/>
          </w:tcPr>
          <w:p w14:paraId="68B7D824" w14:textId="766C26B6" w:rsidR="001223AC" w:rsidRPr="001D03A8" w:rsidRDefault="001223AC" w:rsidP="001223AC">
            <w:pPr>
              <w:jc w:val="center"/>
              <w:rPr>
                <w:rFonts w:cs="Arial"/>
                <w:sz w:val="20"/>
                <w:szCs w:val="20"/>
              </w:rPr>
            </w:pPr>
            <w:r w:rsidRPr="001D03A8">
              <w:rPr>
                <w:rFonts w:cs="Arial"/>
                <w:sz w:val="20"/>
                <w:szCs w:val="20"/>
              </w:rPr>
              <w:t>0.</w:t>
            </w:r>
            <w:r w:rsidR="00397D83">
              <w:rPr>
                <w:rFonts w:cs="Arial"/>
                <w:sz w:val="20"/>
                <w:szCs w:val="20"/>
              </w:rPr>
              <w:t>4</w:t>
            </w:r>
          </w:p>
        </w:tc>
      </w:tr>
    </w:tbl>
    <w:p w14:paraId="453074DD" w14:textId="77777777" w:rsidR="001223AC" w:rsidRPr="001D03A8" w:rsidRDefault="001223AC" w:rsidP="001223AC">
      <w:pPr>
        <w:spacing w:before="240"/>
        <w:rPr>
          <w:rFonts w:cs="Arial"/>
          <w:sz w:val="18"/>
          <w:szCs w:val="18"/>
        </w:rPr>
      </w:pPr>
      <w:r w:rsidRPr="001D03A8">
        <w:rPr>
          <w:rFonts w:cs="Arial"/>
          <w:sz w:val="18"/>
          <w:szCs w:val="18"/>
        </w:rPr>
        <w:t xml:space="preserve">Sources:  </w:t>
      </w:r>
    </w:p>
    <w:p w14:paraId="6F00281C" w14:textId="77777777" w:rsidR="001223AC" w:rsidRPr="001D03A8" w:rsidRDefault="001223AC" w:rsidP="001D03A8">
      <w:pPr>
        <w:widowControl/>
        <w:numPr>
          <w:ilvl w:val="0"/>
          <w:numId w:val="3"/>
        </w:numPr>
        <w:spacing w:before="0" w:after="0"/>
        <w:rPr>
          <w:rFonts w:cs="Arial"/>
          <w:sz w:val="18"/>
          <w:szCs w:val="18"/>
        </w:rPr>
      </w:pPr>
      <w:r w:rsidRPr="001D03A8">
        <w:rPr>
          <w:rFonts w:cs="Arial"/>
          <w:sz w:val="18"/>
          <w:szCs w:val="18"/>
        </w:rPr>
        <w:t>The states listed above were identified by Navigant by calculating AARP data ”Medicaid LTSS Spending for Older People and Adults with Physical Disabilities, by Type of Service”</w:t>
      </w:r>
      <w:r w:rsidRPr="001D03A8" w:rsidDel="002871B7">
        <w:rPr>
          <w:rFonts w:cs="Arial"/>
          <w:sz w:val="18"/>
          <w:szCs w:val="18"/>
        </w:rPr>
        <w:t xml:space="preserve"> </w:t>
      </w:r>
      <w:r w:rsidRPr="001D03A8">
        <w:rPr>
          <w:rFonts w:cs="Arial"/>
          <w:sz w:val="18"/>
          <w:szCs w:val="18"/>
        </w:rPr>
        <w:t>as having spent more than 40 percent of their Medicaid long-term care funds on home and community-based services.</w:t>
      </w:r>
    </w:p>
    <w:p w14:paraId="740FB49A" w14:textId="2E161C7D" w:rsidR="001223AC" w:rsidRPr="001D03A8" w:rsidRDefault="001223AC" w:rsidP="001D03A8">
      <w:pPr>
        <w:widowControl/>
        <w:numPr>
          <w:ilvl w:val="0"/>
          <w:numId w:val="3"/>
        </w:numPr>
        <w:spacing w:before="0" w:after="0"/>
        <w:rPr>
          <w:rFonts w:cs="Arial"/>
          <w:b/>
          <w:sz w:val="18"/>
          <w:szCs w:val="18"/>
        </w:rPr>
      </w:pPr>
      <w:r w:rsidRPr="001D03A8">
        <w:rPr>
          <w:rFonts w:cs="Arial"/>
          <w:sz w:val="18"/>
          <w:szCs w:val="18"/>
        </w:rPr>
        <w:t>Distribution by Scope/Severity: “Nursing Home Data Compendium” by CMS, 201</w:t>
      </w:r>
      <w:r w:rsidR="00D66CD7">
        <w:rPr>
          <w:rFonts w:cs="Arial"/>
          <w:sz w:val="18"/>
          <w:szCs w:val="18"/>
        </w:rPr>
        <w:t>5</w:t>
      </w:r>
      <w:r w:rsidRPr="001D03A8">
        <w:rPr>
          <w:rFonts w:cs="Arial"/>
          <w:sz w:val="18"/>
          <w:szCs w:val="18"/>
        </w:rPr>
        <w:t xml:space="preserve"> Edition.</w:t>
      </w:r>
    </w:p>
    <w:p w14:paraId="199070A8" w14:textId="77777777" w:rsidR="001223AC" w:rsidRPr="001D03A8" w:rsidRDefault="001223AC" w:rsidP="001D03A8">
      <w:pPr>
        <w:spacing w:before="0" w:after="0"/>
        <w:rPr>
          <w:rFonts w:cs="Arial"/>
        </w:rPr>
      </w:pPr>
    </w:p>
    <w:p w14:paraId="553EA87C" w14:textId="3EC12158" w:rsidR="001223AC" w:rsidRDefault="001223AC" w:rsidP="001D03A8">
      <w:pPr>
        <w:autoSpaceDE w:val="0"/>
        <w:autoSpaceDN w:val="0"/>
        <w:adjustRightInd w:val="0"/>
        <w:spacing w:before="0" w:after="0"/>
        <w:rPr>
          <w:rFonts w:cs="Arial"/>
        </w:rPr>
      </w:pPr>
      <w:r w:rsidRPr="001D03A8">
        <w:rPr>
          <w:rFonts w:cs="Arial"/>
        </w:rPr>
        <w:t>Understanding that these data are from Federal Fiscal Year (FFY) 201</w:t>
      </w:r>
      <w:r w:rsidR="00D66CD7">
        <w:rPr>
          <w:rFonts w:cs="Arial"/>
        </w:rPr>
        <w:t>4</w:t>
      </w:r>
      <w:r w:rsidRPr="001D03A8">
        <w:rPr>
          <w:rFonts w:cs="Arial"/>
        </w:rPr>
        <w:t>, we confirmed with DSHS representatives the distribution of deficiency citations does not change significantly from period to period.</w:t>
      </w:r>
      <w:r w:rsidRPr="007209EE">
        <w:rPr>
          <w:rFonts w:ascii="Palatino Linotype" w:hAnsi="Palatino Linotype"/>
        </w:rPr>
        <w:br w:type="page"/>
      </w:r>
      <w:r w:rsidRPr="001D03A8">
        <w:rPr>
          <w:rFonts w:cs="Arial"/>
        </w:rPr>
        <w:lastRenderedPageBreak/>
        <w:t>Table 3.3 shows the trend in the percentage of nursing facility surveys that indicated health deficiencies in Washington nursing facilities from 200</w:t>
      </w:r>
      <w:r w:rsidR="00C865EE">
        <w:rPr>
          <w:rFonts w:cs="Arial"/>
        </w:rPr>
        <w:t>7</w:t>
      </w:r>
      <w:r w:rsidRPr="001D03A8">
        <w:rPr>
          <w:rFonts w:cs="Arial"/>
        </w:rPr>
        <w:t xml:space="preserve"> to 201</w:t>
      </w:r>
      <w:r w:rsidR="00C865EE">
        <w:rPr>
          <w:rFonts w:cs="Arial"/>
        </w:rPr>
        <w:t>4</w:t>
      </w:r>
      <w:r w:rsidRPr="001D03A8">
        <w:rPr>
          <w:rFonts w:cs="Arial"/>
        </w:rPr>
        <w:t xml:space="preserve">.  This table shows that beginning in 2009, the number of deficiency citations increased slightly through 2012 </w:t>
      </w:r>
      <w:r w:rsidR="00F94AD9">
        <w:rPr>
          <w:rFonts w:cs="Arial"/>
        </w:rPr>
        <w:t xml:space="preserve">and subsequently decreased through 2014 </w:t>
      </w:r>
      <w:r w:rsidRPr="001D03A8">
        <w:rPr>
          <w:rFonts w:cs="Arial"/>
        </w:rPr>
        <w:t xml:space="preserve">for several of the deficiency scopes shown below.  </w:t>
      </w:r>
      <w:r w:rsidR="00233C06">
        <w:rPr>
          <w:rFonts w:cs="Arial"/>
        </w:rPr>
        <w:t>N</w:t>
      </w:r>
      <w:r w:rsidRPr="001D03A8">
        <w:rPr>
          <w:rFonts w:cs="Arial"/>
        </w:rPr>
        <w:t>ote that for the most part, citations were lower in 201</w:t>
      </w:r>
      <w:r w:rsidR="00F94AD9">
        <w:rPr>
          <w:rFonts w:cs="Arial"/>
        </w:rPr>
        <w:t>4</w:t>
      </w:r>
      <w:r w:rsidRPr="001D03A8">
        <w:rPr>
          <w:rFonts w:cs="Arial"/>
        </w:rPr>
        <w:t xml:space="preserve"> than in 201</w:t>
      </w:r>
      <w:r w:rsidR="00F94AD9">
        <w:rPr>
          <w:rFonts w:cs="Arial"/>
        </w:rPr>
        <w:t>3</w:t>
      </w:r>
      <w:r w:rsidRPr="001D03A8">
        <w:rPr>
          <w:rFonts w:cs="Arial"/>
        </w:rPr>
        <w:t>.</w:t>
      </w:r>
    </w:p>
    <w:p w14:paraId="5FD27383" w14:textId="77777777" w:rsidR="001D03A8" w:rsidRPr="001D03A8" w:rsidRDefault="001D03A8" w:rsidP="001D03A8">
      <w:pPr>
        <w:autoSpaceDE w:val="0"/>
        <w:autoSpaceDN w:val="0"/>
        <w:adjustRightInd w:val="0"/>
        <w:spacing w:before="0" w:after="0"/>
        <w:rPr>
          <w:rFonts w:cs="Arial"/>
        </w:rPr>
      </w:pPr>
    </w:p>
    <w:p w14:paraId="27A659F5" w14:textId="4C9F01D5" w:rsidR="001223AC" w:rsidRPr="001D03A8" w:rsidRDefault="001223AC" w:rsidP="001D03A8">
      <w:pPr>
        <w:tabs>
          <w:tab w:val="left" w:pos="1800"/>
        </w:tabs>
        <w:spacing w:before="0" w:after="0"/>
        <w:ind w:left="1080" w:hanging="1080"/>
        <w:rPr>
          <w:rFonts w:cs="Arial"/>
          <w:b/>
        </w:rPr>
      </w:pPr>
      <w:r w:rsidRPr="001D03A8">
        <w:rPr>
          <w:rFonts w:cs="Arial"/>
          <w:b/>
        </w:rPr>
        <w:t xml:space="preserve">Table 3.3:  </w:t>
      </w:r>
      <w:r w:rsidR="00C865EE">
        <w:rPr>
          <w:rFonts w:cs="Arial"/>
          <w:b/>
        </w:rPr>
        <w:t xml:space="preserve">Percentage </w:t>
      </w:r>
      <w:r w:rsidRPr="001D03A8">
        <w:rPr>
          <w:rFonts w:cs="Arial"/>
          <w:b/>
        </w:rPr>
        <w:t>Nursing Home Survey Resulting in Deficiency Citations in Washington – 200</w:t>
      </w:r>
      <w:r w:rsidR="00C865EE">
        <w:rPr>
          <w:rFonts w:cs="Arial"/>
          <w:b/>
        </w:rPr>
        <w:t>7</w:t>
      </w:r>
      <w:r w:rsidRPr="001D03A8">
        <w:rPr>
          <w:rFonts w:cs="Arial"/>
          <w:b/>
        </w:rPr>
        <w:t xml:space="preserve"> to 201</w:t>
      </w:r>
      <w:r w:rsidR="00C865EE">
        <w:rPr>
          <w:rFonts w:cs="Arial"/>
          <w:b/>
        </w:rPr>
        <w:t>4</w:t>
      </w:r>
    </w:p>
    <w:p w14:paraId="33D5DF07" w14:textId="77777777" w:rsidR="001223AC" w:rsidRPr="00195381" w:rsidRDefault="001223AC" w:rsidP="001223AC">
      <w:pPr>
        <w:tabs>
          <w:tab w:val="left" w:pos="1800"/>
        </w:tabs>
        <w:rPr>
          <w:rFonts w:ascii="Palatino Linotype" w:hAnsi="Palatino Linotype"/>
        </w:rPr>
      </w:pP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808"/>
        <w:gridCol w:w="810"/>
        <w:gridCol w:w="810"/>
        <w:gridCol w:w="810"/>
        <w:gridCol w:w="810"/>
        <w:gridCol w:w="810"/>
        <w:gridCol w:w="810"/>
        <w:gridCol w:w="832"/>
      </w:tblGrid>
      <w:tr w:rsidR="00C865EE" w:rsidRPr="001D03A8" w14:paraId="14A194F9" w14:textId="504617A4" w:rsidTr="00F94AD9">
        <w:trPr>
          <w:trHeight w:val="440"/>
          <w:jc w:val="center"/>
        </w:trPr>
        <w:tc>
          <w:tcPr>
            <w:tcW w:w="2517" w:type="dxa"/>
            <w:tcBorders>
              <w:bottom w:val="single" w:sz="4" w:space="0" w:color="auto"/>
            </w:tcBorders>
            <w:vAlign w:val="bottom"/>
          </w:tcPr>
          <w:p w14:paraId="2ED9CCE9" w14:textId="77777777" w:rsidR="00C865EE" w:rsidRPr="001D03A8" w:rsidRDefault="00C865EE" w:rsidP="001223AC">
            <w:pPr>
              <w:jc w:val="center"/>
              <w:rPr>
                <w:rFonts w:cs="Arial"/>
                <w:b/>
                <w:sz w:val="20"/>
                <w:szCs w:val="20"/>
              </w:rPr>
            </w:pPr>
            <w:r w:rsidRPr="001D03A8">
              <w:rPr>
                <w:rFonts w:cs="Arial"/>
                <w:b/>
                <w:sz w:val="20"/>
                <w:szCs w:val="20"/>
              </w:rPr>
              <w:t>Deficiency Scope</w:t>
            </w:r>
          </w:p>
        </w:tc>
        <w:tc>
          <w:tcPr>
            <w:tcW w:w="808" w:type="dxa"/>
            <w:tcBorders>
              <w:bottom w:val="single" w:sz="4" w:space="0" w:color="auto"/>
            </w:tcBorders>
          </w:tcPr>
          <w:p w14:paraId="0D424D8B" w14:textId="77777777" w:rsidR="00C865EE" w:rsidRPr="001D03A8" w:rsidRDefault="00C865EE" w:rsidP="001223AC">
            <w:pPr>
              <w:jc w:val="center"/>
              <w:rPr>
                <w:rFonts w:cs="Arial"/>
                <w:b/>
                <w:sz w:val="20"/>
                <w:szCs w:val="20"/>
              </w:rPr>
            </w:pPr>
            <w:r w:rsidRPr="001D03A8">
              <w:rPr>
                <w:rFonts w:cs="Arial"/>
                <w:b/>
                <w:sz w:val="20"/>
                <w:szCs w:val="20"/>
              </w:rPr>
              <w:t>2007</w:t>
            </w:r>
          </w:p>
        </w:tc>
        <w:tc>
          <w:tcPr>
            <w:tcW w:w="810" w:type="dxa"/>
            <w:tcBorders>
              <w:bottom w:val="single" w:sz="4" w:space="0" w:color="auto"/>
            </w:tcBorders>
            <w:vAlign w:val="bottom"/>
          </w:tcPr>
          <w:p w14:paraId="43A5755C" w14:textId="77777777" w:rsidR="00C865EE" w:rsidRPr="001D03A8" w:rsidRDefault="00C865EE" w:rsidP="001223AC">
            <w:pPr>
              <w:jc w:val="center"/>
              <w:rPr>
                <w:rFonts w:cs="Arial"/>
                <w:b/>
                <w:sz w:val="20"/>
                <w:szCs w:val="20"/>
              </w:rPr>
            </w:pPr>
            <w:r w:rsidRPr="001D03A8">
              <w:rPr>
                <w:rFonts w:cs="Arial"/>
                <w:b/>
                <w:sz w:val="20"/>
                <w:szCs w:val="20"/>
              </w:rPr>
              <w:t>2008</w:t>
            </w:r>
          </w:p>
        </w:tc>
        <w:tc>
          <w:tcPr>
            <w:tcW w:w="810" w:type="dxa"/>
            <w:tcBorders>
              <w:bottom w:val="single" w:sz="4" w:space="0" w:color="auto"/>
            </w:tcBorders>
          </w:tcPr>
          <w:p w14:paraId="3D94162D" w14:textId="77777777" w:rsidR="00C865EE" w:rsidRPr="001D03A8" w:rsidRDefault="00C865EE" w:rsidP="001223AC">
            <w:pPr>
              <w:jc w:val="center"/>
              <w:rPr>
                <w:rFonts w:cs="Arial"/>
                <w:b/>
                <w:sz w:val="20"/>
                <w:szCs w:val="20"/>
              </w:rPr>
            </w:pPr>
            <w:r w:rsidRPr="001D03A8">
              <w:rPr>
                <w:rFonts w:cs="Arial"/>
                <w:b/>
                <w:sz w:val="20"/>
                <w:szCs w:val="20"/>
              </w:rPr>
              <w:t>2009</w:t>
            </w:r>
          </w:p>
        </w:tc>
        <w:tc>
          <w:tcPr>
            <w:tcW w:w="810" w:type="dxa"/>
            <w:tcBorders>
              <w:bottom w:val="single" w:sz="4" w:space="0" w:color="auto"/>
            </w:tcBorders>
          </w:tcPr>
          <w:p w14:paraId="75238852" w14:textId="77777777" w:rsidR="00C865EE" w:rsidRPr="001D03A8" w:rsidRDefault="00C865EE" w:rsidP="001223AC">
            <w:pPr>
              <w:jc w:val="center"/>
              <w:rPr>
                <w:rFonts w:cs="Arial"/>
                <w:b/>
                <w:sz w:val="20"/>
                <w:szCs w:val="20"/>
              </w:rPr>
            </w:pPr>
            <w:r w:rsidRPr="001D03A8">
              <w:rPr>
                <w:rFonts w:cs="Arial"/>
                <w:b/>
                <w:sz w:val="20"/>
                <w:szCs w:val="20"/>
              </w:rPr>
              <w:t>2010</w:t>
            </w:r>
          </w:p>
        </w:tc>
        <w:tc>
          <w:tcPr>
            <w:tcW w:w="810" w:type="dxa"/>
            <w:tcBorders>
              <w:bottom w:val="single" w:sz="4" w:space="0" w:color="auto"/>
            </w:tcBorders>
          </w:tcPr>
          <w:p w14:paraId="6F31B908" w14:textId="77777777" w:rsidR="00C865EE" w:rsidRPr="001D03A8" w:rsidRDefault="00C865EE" w:rsidP="001223AC">
            <w:pPr>
              <w:jc w:val="center"/>
              <w:rPr>
                <w:rFonts w:cs="Arial"/>
                <w:b/>
                <w:sz w:val="20"/>
                <w:szCs w:val="20"/>
              </w:rPr>
            </w:pPr>
            <w:r w:rsidRPr="001D03A8">
              <w:rPr>
                <w:rFonts w:cs="Arial"/>
                <w:b/>
                <w:sz w:val="20"/>
                <w:szCs w:val="20"/>
              </w:rPr>
              <w:t>2011</w:t>
            </w:r>
          </w:p>
        </w:tc>
        <w:tc>
          <w:tcPr>
            <w:tcW w:w="810" w:type="dxa"/>
            <w:tcBorders>
              <w:bottom w:val="single" w:sz="4" w:space="0" w:color="auto"/>
            </w:tcBorders>
          </w:tcPr>
          <w:p w14:paraId="619462DD" w14:textId="77777777" w:rsidR="00C865EE" w:rsidRPr="001D03A8" w:rsidRDefault="00C865EE" w:rsidP="001223AC">
            <w:pPr>
              <w:jc w:val="center"/>
              <w:rPr>
                <w:rFonts w:cs="Arial"/>
                <w:b/>
                <w:sz w:val="20"/>
                <w:szCs w:val="20"/>
              </w:rPr>
            </w:pPr>
            <w:r w:rsidRPr="001D03A8">
              <w:rPr>
                <w:rFonts w:cs="Arial"/>
                <w:b/>
                <w:sz w:val="20"/>
                <w:szCs w:val="20"/>
              </w:rPr>
              <w:t>2012</w:t>
            </w:r>
          </w:p>
        </w:tc>
        <w:tc>
          <w:tcPr>
            <w:tcW w:w="810" w:type="dxa"/>
            <w:tcBorders>
              <w:bottom w:val="single" w:sz="4" w:space="0" w:color="auto"/>
            </w:tcBorders>
          </w:tcPr>
          <w:p w14:paraId="17DA283F" w14:textId="556987AA" w:rsidR="00C865EE" w:rsidRPr="001D03A8" w:rsidRDefault="00C865EE" w:rsidP="001223AC">
            <w:pPr>
              <w:jc w:val="center"/>
              <w:rPr>
                <w:rFonts w:cs="Arial"/>
                <w:b/>
                <w:sz w:val="20"/>
                <w:szCs w:val="20"/>
              </w:rPr>
            </w:pPr>
            <w:r>
              <w:rPr>
                <w:rFonts w:cs="Arial"/>
                <w:b/>
                <w:sz w:val="20"/>
                <w:szCs w:val="20"/>
              </w:rPr>
              <w:t>2013</w:t>
            </w:r>
          </w:p>
        </w:tc>
        <w:tc>
          <w:tcPr>
            <w:tcW w:w="832" w:type="dxa"/>
            <w:tcBorders>
              <w:bottom w:val="single" w:sz="4" w:space="0" w:color="auto"/>
            </w:tcBorders>
          </w:tcPr>
          <w:p w14:paraId="2C05CC51" w14:textId="4C865CB9" w:rsidR="00C865EE" w:rsidRPr="001D03A8" w:rsidRDefault="00C865EE" w:rsidP="001223AC">
            <w:pPr>
              <w:jc w:val="center"/>
              <w:rPr>
                <w:rFonts w:cs="Arial"/>
                <w:b/>
                <w:sz w:val="20"/>
                <w:szCs w:val="20"/>
              </w:rPr>
            </w:pPr>
            <w:r>
              <w:rPr>
                <w:rFonts w:cs="Arial"/>
                <w:b/>
                <w:sz w:val="20"/>
                <w:szCs w:val="20"/>
              </w:rPr>
              <w:t>2014</w:t>
            </w:r>
          </w:p>
        </w:tc>
      </w:tr>
      <w:tr w:rsidR="00C865EE" w:rsidRPr="001D03A8" w14:paraId="253BD032" w14:textId="757BFBD1" w:rsidTr="00F94AD9">
        <w:trPr>
          <w:jc w:val="center"/>
        </w:trPr>
        <w:tc>
          <w:tcPr>
            <w:tcW w:w="2517" w:type="dxa"/>
            <w:shd w:val="clear" w:color="auto" w:fill="auto"/>
            <w:vAlign w:val="bottom"/>
          </w:tcPr>
          <w:p w14:paraId="15DCE263" w14:textId="77777777" w:rsidR="00C865EE" w:rsidRPr="001D03A8" w:rsidRDefault="00C865EE" w:rsidP="001223AC">
            <w:pPr>
              <w:rPr>
                <w:rFonts w:cs="Arial"/>
                <w:sz w:val="20"/>
                <w:szCs w:val="20"/>
              </w:rPr>
            </w:pPr>
            <w:r w:rsidRPr="001D03A8">
              <w:rPr>
                <w:rFonts w:cs="Arial"/>
                <w:sz w:val="20"/>
                <w:szCs w:val="20"/>
              </w:rPr>
              <w:t>Surveys Resulting in a Health Deficiency of Actual Harm or Immediate Jeopardy to Residents</w:t>
            </w:r>
          </w:p>
        </w:tc>
        <w:tc>
          <w:tcPr>
            <w:tcW w:w="808" w:type="dxa"/>
            <w:shd w:val="clear" w:color="auto" w:fill="auto"/>
            <w:vAlign w:val="center"/>
          </w:tcPr>
          <w:p w14:paraId="49E772D8" w14:textId="77777777" w:rsidR="00C865EE" w:rsidRPr="001D03A8" w:rsidRDefault="00C865EE" w:rsidP="001223AC">
            <w:pPr>
              <w:jc w:val="center"/>
              <w:rPr>
                <w:rFonts w:cs="Arial"/>
                <w:sz w:val="20"/>
                <w:szCs w:val="20"/>
              </w:rPr>
            </w:pPr>
            <w:r w:rsidRPr="001D03A8">
              <w:rPr>
                <w:rFonts w:cs="Arial"/>
                <w:sz w:val="20"/>
                <w:szCs w:val="20"/>
              </w:rPr>
              <w:t>24.8</w:t>
            </w:r>
          </w:p>
        </w:tc>
        <w:tc>
          <w:tcPr>
            <w:tcW w:w="810" w:type="dxa"/>
            <w:shd w:val="clear" w:color="auto" w:fill="auto"/>
            <w:vAlign w:val="center"/>
          </w:tcPr>
          <w:p w14:paraId="4F2DAB13" w14:textId="77777777" w:rsidR="00C865EE" w:rsidRPr="001D03A8" w:rsidRDefault="00C865EE" w:rsidP="001223AC">
            <w:pPr>
              <w:jc w:val="center"/>
              <w:rPr>
                <w:rFonts w:cs="Arial"/>
                <w:sz w:val="20"/>
                <w:szCs w:val="20"/>
              </w:rPr>
            </w:pPr>
            <w:r w:rsidRPr="001D03A8">
              <w:rPr>
                <w:rFonts w:cs="Arial"/>
                <w:sz w:val="20"/>
                <w:szCs w:val="20"/>
              </w:rPr>
              <w:t>20.1</w:t>
            </w:r>
          </w:p>
        </w:tc>
        <w:tc>
          <w:tcPr>
            <w:tcW w:w="810" w:type="dxa"/>
            <w:vAlign w:val="center"/>
          </w:tcPr>
          <w:p w14:paraId="2608D33E" w14:textId="77777777" w:rsidR="00C865EE" w:rsidRPr="001D03A8" w:rsidRDefault="00C865EE" w:rsidP="001223AC">
            <w:pPr>
              <w:jc w:val="center"/>
              <w:rPr>
                <w:rFonts w:cs="Arial"/>
                <w:sz w:val="20"/>
                <w:szCs w:val="20"/>
              </w:rPr>
            </w:pPr>
            <w:r w:rsidRPr="001D03A8">
              <w:rPr>
                <w:rFonts w:cs="Arial"/>
                <w:sz w:val="20"/>
                <w:szCs w:val="20"/>
              </w:rPr>
              <w:t>15.5</w:t>
            </w:r>
          </w:p>
        </w:tc>
        <w:tc>
          <w:tcPr>
            <w:tcW w:w="810" w:type="dxa"/>
            <w:vAlign w:val="center"/>
          </w:tcPr>
          <w:p w14:paraId="3B9CB51C" w14:textId="77777777" w:rsidR="00C865EE" w:rsidRPr="001D03A8" w:rsidRDefault="00C865EE" w:rsidP="001223AC">
            <w:pPr>
              <w:jc w:val="center"/>
              <w:rPr>
                <w:rFonts w:cs="Arial"/>
                <w:sz w:val="20"/>
                <w:szCs w:val="20"/>
              </w:rPr>
            </w:pPr>
            <w:r w:rsidRPr="001D03A8">
              <w:rPr>
                <w:rFonts w:cs="Arial"/>
                <w:sz w:val="20"/>
                <w:szCs w:val="20"/>
              </w:rPr>
              <w:t>17.7</w:t>
            </w:r>
          </w:p>
        </w:tc>
        <w:tc>
          <w:tcPr>
            <w:tcW w:w="810" w:type="dxa"/>
            <w:vAlign w:val="center"/>
          </w:tcPr>
          <w:p w14:paraId="05DCC6DF" w14:textId="77777777" w:rsidR="00C865EE" w:rsidRPr="001D03A8" w:rsidRDefault="00C865EE" w:rsidP="001223AC">
            <w:pPr>
              <w:jc w:val="center"/>
              <w:rPr>
                <w:rFonts w:cs="Arial"/>
                <w:sz w:val="20"/>
                <w:szCs w:val="20"/>
              </w:rPr>
            </w:pPr>
            <w:r w:rsidRPr="001D03A8">
              <w:rPr>
                <w:rFonts w:cs="Arial"/>
                <w:sz w:val="20"/>
                <w:szCs w:val="20"/>
              </w:rPr>
              <w:t>20.1</w:t>
            </w:r>
          </w:p>
        </w:tc>
        <w:tc>
          <w:tcPr>
            <w:tcW w:w="810" w:type="dxa"/>
            <w:vAlign w:val="center"/>
          </w:tcPr>
          <w:p w14:paraId="01C6085F" w14:textId="77777777" w:rsidR="00C865EE" w:rsidRPr="001D03A8" w:rsidRDefault="00C865EE" w:rsidP="001223AC">
            <w:pPr>
              <w:jc w:val="center"/>
              <w:rPr>
                <w:rFonts w:cs="Arial"/>
                <w:sz w:val="20"/>
                <w:szCs w:val="20"/>
              </w:rPr>
            </w:pPr>
            <w:r w:rsidRPr="001D03A8">
              <w:rPr>
                <w:rFonts w:cs="Arial"/>
                <w:sz w:val="20"/>
                <w:szCs w:val="20"/>
              </w:rPr>
              <w:t>17.0</w:t>
            </w:r>
          </w:p>
        </w:tc>
        <w:tc>
          <w:tcPr>
            <w:tcW w:w="810" w:type="dxa"/>
            <w:vAlign w:val="center"/>
          </w:tcPr>
          <w:p w14:paraId="6062DA05" w14:textId="1BDAF271" w:rsidR="00C865EE" w:rsidRPr="001D03A8" w:rsidRDefault="00F94AD9" w:rsidP="001223AC">
            <w:pPr>
              <w:jc w:val="center"/>
              <w:rPr>
                <w:rFonts w:cs="Arial"/>
                <w:sz w:val="20"/>
                <w:szCs w:val="20"/>
              </w:rPr>
            </w:pPr>
            <w:r>
              <w:rPr>
                <w:rFonts w:cs="Arial"/>
                <w:sz w:val="20"/>
                <w:szCs w:val="20"/>
              </w:rPr>
              <w:t>17.2</w:t>
            </w:r>
          </w:p>
        </w:tc>
        <w:tc>
          <w:tcPr>
            <w:tcW w:w="832" w:type="dxa"/>
            <w:vAlign w:val="center"/>
          </w:tcPr>
          <w:p w14:paraId="30786A34" w14:textId="39938FC0" w:rsidR="00C865EE" w:rsidRPr="001D03A8" w:rsidRDefault="00F94AD9" w:rsidP="001223AC">
            <w:pPr>
              <w:jc w:val="center"/>
              <w:rPr>
                <w:rFonts w:cs="Arial"/>
                <w:sz w:val="20"/>
                <w:szCs w:val="20"/>
              </w:rPr>
            </w:pPr>
            <w:r>
              <w:rPr>
                <w:rFonts w:cs="Arial"/>
                <w:sz w:val="20"/>
                <w:szCs w:val="20"/>
              </w:rPr>
              <w:t>9.0</w:t>
            </w:r>
          </w:p>
        </w:tc>
      </w:tr>
      <w:tr w:rsidR="00C865EE" w:rsidRPr="001D03A8" w14:paraId="2350F236" w14:textId="168F0850" w:rsidTr="00F94AD9">
        <w:trPr>
          <w:jc w:val="center"/>
        </w:trPr>
        <w:tc>
          <w:tcPr>
            <w:tcW w:w="2517" w:type="dxa"/>
            <w:tcBorders>
              <w:bottom w:val="single" w:sz="4" w:space="0" w:color="auto"/>
            </w:tcBorders>
            <w:vAlign w:val="bottom"/>
          </w:tcPr>
          <w:p w14:paraId="02AEE40A" w14:textId="77777777" w:rsidR="00C865EE" w:rsidRPr="001D03A8" w:rsidRDefault="00C865EE" w:rsidP="001223AC">
            <w:pPr>
              <w:rPr>
                <w:rFonts w:cs="Arial"/>
                <w:sz w:val="20"/>
                <w:szCs w:val="20"/>
              </w:rPr>
            </w:pPr>
            <w:r w:rsidRPr="001D03A8">
              <w:rPr>
                <w:rFonts w:cs="Arial"/>
                <w:sz w:val="20"/>
                <w:szCs w:val="20"/>
              </w:rPr>
              <w:t xml:space="preserve">Surveys Resulting in a Health Deficiency of Immediate Jeopardy to Residents </w:t>
            </w:r>
          </w:p>
        </w:tc>
        <w:tc>
          <w:tcPr>
            <w:tcW w:w="808" w:type="dxa"/>
            <w:tcBorders>
              <w:bottom w:val="single" w:sz="4" w:space="0" w:color="auto"/>
            </w:tcBorders>
            <w:vAlign w:val="center"/>
          </w:tcPr>
          <w:p w14:paraId="5D50044C" w14:textId="77777777" w:rsidR="00C865EE" w:rsidRPr="001D03A8" w:rsidRDefault="00C865EE" w:rsidP="001223AC">
            <w:pPr>
              <w:jc w:val="center"/>
              <w:rPr>
                <w:rFonts w:cs="Arial"/>
                <w:sz w:val="20"/>
                <w:szCs w:val="20"/>
              </w:rPr>
            </w:pPr>
            <w:r w:rsidRPr="001D03A8">
              <w:rPr>
                <w:rFonts w:cs="Arial"/>
                <w:sz w:val="20"/>
                <w:szCs w:val="20"/>
              </w:rPr>
              <w:t>2.1</w:t>
            </w:r>
          </w:p>
        </w:tc>
        <w:tc>
          <w:tcPr>
            <w:tcW w:w="810" w:type="dxa"/>
            <w:tcBorders>
              <w:bottom w:val="single" w:sz="4" w:space="0" w:color="auto"/>
            </w:tcBorders>
            <w:vAlign w:val="center"/>
          </w:tcPr>
          <w:p w14:paraId="61C1D27D" w14:textId="77777777" w:rsidR="00C865EE" w:rsidRPr="001D03A8" w:rsidRDefault="00C865EE" w:rsidP="001223AC">
            <w:pPr>
              <w:jc w:val="center"/>
              <w:rPr>
                <w:rFonts w:cs="Arial"/>
                <w:sz w:val="20"/>
                <w:szCs w:val="20"/>
              </w:rPr>
            </w:pPr>
            <w:r w:rsidRPr="001D03A8">
              <w:rPr>
                <w:rFonts w:cs="Arial"/>
                <w:sz w:val="20"/>
                <w:szCs w:val="20"/>
              </w:rPr>
              <w:t>1.6</w:t>
            </w:r>
          </w:p>
        </w:tc>
        <w:tc>
          <w:tcPr>
            <w:tcW w:w="810" w:type="dxa"/>
            <w:tcBorders>
              <w:bottom w:val="single" w:sz="4" w:space="0" w:color="auto"/>
            </w:tcBorders>
            <w:vAlign w:val="center"/>
          </w:tcPr>
          <w:p w14:paraId="63B5016A" w14:textId="77777777" w:rsidR="00C865EE" w:rsidRPr="001D03A8" w:rsidRDefault="00C865EE" w:rsidP="001223AC">
            <w:pPr>
              <w:jc w:val="center"/>
              <w:rPr>
                <w:rFonts w:cs="Arial"/>
                <w:sz w:val="20"/>
                <w:szCs w:val="20"/>
              </w:rPr>
            </w:pPr>
            <w:r w:rsidRPr="001D03A8">
              <w:rPr>
                <w:rFonts w:cs="Arial"/>
                <w:sz w:val="20"/>
                <w:szCs w:val="20"/>
              </w:rPr>
              <w:t>1.7</w:t>
            </w:r>
          </w:p>
        </w:tc>
        <w:tc>
          <w:tcPr>
            <w:tcW w:w="810" w:type="dxa"/>
            <w:tcBorders>
              <w:bottom w:val="single" w:sz="4" w:space="0" w:color="auto"/>
            </w:tcBorders>
            <w:vAlign w:val="center"/>
          </w:tcPr>
          <w:p w14:paraId="320430F3" w14:textId="77777777" w:rsidR="00C865EE" w:rsidRPr="001D03A8" w:rsidRDefault="00C865EE" w:rsidP="001223AC">
            <w:pPr>
              <w:jc w:val="center"/>
              <w:rPr>
                <w:rFonts w:cs="Arial"/>
                <w:sz w:val="20"/>
                <w:szCs w:val="20"/>
              </w:rPr>
            </w:pPr>
            <w:r w:rsidRPr="001D03A8">
              <w:rPr>
                <w:rFonts w:cs="Arial"/>
                <w:sz w:val="20"/>
                <w:szCs w:val="20"/>
              </w:rPr>
              <w:t>3.0</w:t>
            </w:r>
          </w:p>
        </w:tc>
        <w:tc>
          <w:tcPr>
            <w:tcW w:w="810" w:type="dxa"/>
            <w:tcBorders>
              <w:bottom w:val="single" w:sz="4" w:space="0" w:color="auto"/>
            </w:tcBorders>
            <w:vAlign w:val="center"/>
          </w:tcPr>
          <w:p w14:paraId="65D6B444" w14:textId="77777777" w:rsidR="00C865EE" w:rsidRPr="001D03A8" w:rsidRDefault="00C865EE" w:rsidP="001223AC">
            <w:pPr>
              <w:jc w:val="center"/>
              <w:rPr>
                <w:rFonts w:cs="Arial"/>
                <w:sz w:val="20"/>
                <w:szCs w:val="20"/>
              </w:rPr>
            </w:pPr>
            <w:r w:rsidRPr="001D03A8">
              <w:rPr>
                <w:rFonts w:cs="Arial"/>
                <w:sz w:val="20"/>
                <w:szCs w:val="20"/>
              </w:rPr>
              <w:t>5.7</w:t>
            </w:r>
          </w:p>
        </w:tc>
        <w:tc>
          <w:tcPr>
            <w:tcW w:w="810" w:type="dxa"/>
            <w:tcBorders>
              <w:bottom w:val="single" w:sz="4" w:space="0" w:color="auto"/>
            </w:tcBorders>
            <w:vAlign w:val="center"/>
          </w:tcPr>
          <w:p w14:paraId="78CE744F" w14:textId="77777777" w:rsidR="00C865EE" w:rsidRPr="001D03A8" w:rsidRDefault="00C865EE" w:rsidP="001223AC">
            <w:pPr>
              <w:jc w:val="center"/>
              <w:rPr>
                <w:rFonts w:cs="Arial"/>
                <w:sz w:val="20"/>
                <w:szCs w:val="20"/>
              </w:rPr>
            </w:pPr>
            <w:r w:rsidRPr="001D03A8">
              <w:rPr>
                <w:rFonts w:cs="Arial"/>
                <w:sz w:val="20"/>
                <w:szCs w:val="20"/>
              </w:rPr>
              <w:t>1.4</w:t>
            </w:r>
          </w:p>
        </w:tc>
        <w:tc>
          <w:tcPr>
            <w:tcW w:w="810" w:type="dxa"/>
            <w:tcBorders>
              <w:bottom w:val="single" w:sz="4" w:space="0" w:color="auto"/>
            </w:tcBorders>
            <w:vAlign w:val="center"/>
          </w:tcPr>
          <w:p w14:paraId="458C18F9" w14:textId="6CFE8327" w:rsidR="00C865EE" w:rsidRPr="001D03A8" w:rsidRDefault="00F94AD9" w:rsidP="001223AC">
            <w:pPr>
              <w:jc w:val="center"/>
              <w:rPr>
                <w:rFonts w:cs="Arial"/>
                <w:sz w:val="20"/>
                <w:szCs w:val="20"/>
              </w:rPr>
            </w:pPr>
            <w:r>
              <w:rPr>
                <w:rFonts w:cs="Arial"/>
                <w:sz w:val="20"/>
                <w:szCs w:val="20"/>
              </w:rPr>
              <w:t>1.6</w:t>
            </w:r>
          </w:p>
        </w:tc>
        <w:tc>
          <w:tcPr>
            <w:tcW w:w="832" w:type="dxa"/>
            <w:tcBorders>
              <w:bottom w:val="single" w:sz="4" w:space="0" w:color="auto"/>
            </w:tcBorders>
            <w:vAlign w:val="center"/>
          </w:tcPr>
          <w:p w14:paraId="083E9A1E" w14:textId="18B886DB" w:rsidR="00F94AD9" w:rsidRPr="001D03A8" w:rsidRDefault="00F94AD9" w:rsidP="00F94AD9">
            <w:pPr>
              <w:jc w:val="center"/>
              <w:rPr>
                <w:rFonts w:cs="Arial"/>
                <w:sz w:val="20"/>
                <w:szCs w:val="20"/>
              </w:rPr>
            </w:pPr>
            <w:r>
              <w:rPr>
                <w:rFonts w:cs="Arial"/>
                <w:sz w:val="20"/>
                <w:szCs w:val="20"/>
              </w:rPr>
              <w:t>0.9</w:t>
            </w:r>
          </w:p>
        </w:tc>
      </w:tr>
      <w:tr w:rsidR="00C865EE" w:rsidRPr="001D03A8" w14:paraId="47E24A44" w14:textId="64AB1516" w:rsidTr="00F94AD9">
        <w:trPr>
          <w:jc w:val="center"/>
        </w:trPr>
        <w:tc>
          <w:tcPr>
            <w:tcW w:w="2517" w:type="dxa"/>
            <w:vAlign w:val="bottom"/>
          </w:tcPr>
          <w:p w14:paraId="7368D0AA" w14:textId="70EEEAF4" w:rsidR="00C865EE" w:rsidRPr="001D03A8" w:rsidRDefault="00C865EE" w:rsidP="001223AC">
            <w:pPr>
              <w:rPr>
                <w:rFonts w:cs="Arial"/>
                <w:sz w:val="20"/>
                <w:szCs w:val="20"/>
              </w:rPr>
            </w:pPr>
            <w:r w:rsidRPr="001D03A8">
              <w:rPr>
                <w:rFonts w:cs="Arial"/>
                <w:sz w:val="20"/>
                <w:szCs w:val="20"/>
              </w:rPr>
              <w:t xml:space="preserve">Surveys Resulting in a Citation for Substandard Quality of Care </w:t>
            </w:r>
          </w:p>
        </w:tc>
        <w:tc>
          <w:tcPr>
            <w:tcW w:w="808" w:type="dxa"/>
            <w:vAlign w:val="center"/>
          </w:tcPr>
          <w:p w14:paraId="05348F6F" w14:textId="77777777" w:rsidR="00C865EE" w:rsidRPr="001D03A8" w:rsidRDefault="00C865EE" w:rsidP="001223AC">
            <w:pPr>
              <w:jc w:val="center"/>
              <w:rPr>
                <w:rFonts w:cs="Arial"/>
                <w:sz w:val="20"/>
                <w:szCs w:val="20"/>
              </w:rPr>
            </w:pPr>
            <w:r w:rsidRPr="001D03A8">
              <w:rPr>
                <w:rFonts w:cs="Arial"/>
                <w:sz w:val="20"/>
                <w:szCs w:val="20"/>
              </w:rPr>
              <w:t>3.3</w:t>
            </w:r>
          </w:p>
        </w:tc>
        <w:tc>
          <w:tcPr>
            <w:tcW w:w="810" w:type="dxa"/>
            <w:vAlign w:val="center"/>
          </w:tcPr>
          <w:p w14:paraId="4C6F3ADD" w14:textId="77777777" w:rsidR="00C865EE" w:rsidRPr="001D03A8" w:rsidRDefault="00C865EE" w:rsidP="001223AC">
            <w:pPr>
              <w:jc w:val="center"/>
              <w:rPr>
                <w:rFonts w:cs="Arial"/>
                <w:sz w:val="20"/>
                <w:szCs w:val="20"/>
              </w:rPr>
            </w:pPr>
            <w:r w:rsidRPr="001D03A8">
              <w:rPr>
                <w:rFonts w:cs="Arial"/>
                <w:sz w:val="20"/>
                <w:szCs w:val="20"/>
              </w:rPr>
              <w:t>2.9</w:t>
            </w:r>
          </w:p>
        </w:tc>
        <w:tc>
          <w:tcPr>
            <w:tcW w:w="810" w:type="dxa"/>
            <w:vAlign w:val="center"/>
          </w:tcPr>
          <w:p w14:paraId="62320A33" w14:textId="77777777" w:rsidR="00C865EE" w:rsidRPr="001D03A8" w:rsidRDefault="00C865EE" w:rsidP="001223AC">
            <w:pPr>
              <w:jc w:val="center"/>
              <w:rPr>
                <w:rFonts w:cs="Arial"/>
                <w:sz w:val="20"/>
                <w:szCs w:val="20"/>
              </w:rPr>
            </w:pPr>
            <w:r w:rsidRPr="001D03A8">
              <w:rPr>
                <w:rFonts w:cs="Arial"/>
                <w:sz w:val="20"/>
                <w:szCs w:val="20"/>
              </w:rPr>
              <w:t>1.7</w:t>
            </w:r>
          </w:p>
        </w:tc>
        <w:tc>
          <w:tcPr>
            <w:tcW w:w="810" w:type="dxa"/>
            <w:vAlign w:val="center"/>
          </w:tcPr>
          <w:p w14:paraId="34BE1F2B" w14:textId="77777777" w:rsidR="00C865EE" w:rsidRPr="001D03A8" w:rsidRDefault="00C865EE" w:rsidP="001223AC">
            <w:pPr>
              <w:jc w:val="center"/>
              <w:rPr>
                <w:rFonts w:cs="Arial"/>
                <w:sz w:val="20"/>
                <w:szCs w:val="20"/>
              </w:rPr>
            </w:pPr>
            <w:r w:rsidRPr="001D03A8">
              <w:rPr>
                <w:rFonts w:cs="Arial"/>
                <w:sz w:val="20"/>
                <w:szCs w:val="20"/>
              </w:rPr>
              <w:t>3.4</w:t>
            </w:r>
          </w:p>
        </w:tc>
        <w:tc>
          <w:tcPr>
            <w:tcW w:w="810" w:type="dxa"/>
            <w:vAlign w:val="center"/>
          </w:tcPr>
          <w:p w14:paraId="7CBE89E3" w14:textId="77777777" w:rsidR="00C865EE" w:rsidRPr="001D03A8" w:rsidRDefault="00C865EE" w:rsidP="001223AC">
            <w:pPr>
              <w:jc w:val="center"/>
              <w:rPr>
                <w:rFonts w:cs="Arial"/>
                <w:sz w:val="20"/>
                <w:szCs w:val="20"/>
              </w:rPr>
            </w:pPr>
            <w:r w:rsidRPr="001D03A8">
              <w:rPr>
                <w:rFonts w:cs="Arial"/>
                <w:sz w:val="20"/>
                <w:szCs w:val="20"/>
              </w:rPr>
              <w:t>5.7</w:t>
            </w:r>
          </w:p>
        </w:tc>
        <w:tc>
          <w:tcPr>
            <w:tcW w:w="810" w:type="dxa"/>
            <w:vAlign w:val="center"/>
          </w:tcPr>
          <w:p w14:paraId="34BCBE6E" w14:textId="77777777" w:rsidR="00C865EE" w:rsidRPr="001D03A8" w:rsidRDefault="00C865EE" w:rsidP="001223AC">
            <w:pPr>
              <w:jc w:val="center"/>
              <w:rPr>
                <w:rFonts w:cs="Arial"/>
                <w:sz w:val="20"/>
                <w:szCs w:val="20"/>
              </w:rPr>
            </w:pPr>
            <w:r w:rsidRPr="001D03A8">
              <w:rPr>
                <w:rFonts w:cs="Arial"/>
                <w:sz w:val="20"/>
                <w:szCs w:val="20"/>
              </w:rPr>
              <w:t>0.9</w:t>
            </w:r>
          </w:p>
        </w:tc>
        <w:tc>
          <w:tcPr>
            <w:tcW w:w="810" w:type="dxa"/>
            <w:vAlign w:val="center"/>
          </w:tcPr>
          <w:p w14:paraId="62076F77" w14:textId="7A1A4EE8" w:rsidR="00C865EE" w:rsidRPr="001D03A8" w:rsidRDefault="00F94AD9" w:rsidP="001223AC">
            <w:pPr>
              <w:jc w:val="center"/>
              <w:rPr>
                <w:rFonts w:cs="Arial"/>
                <w:sz w:val="20"/>
                <w:szCs w:val="20"/>
              </w:rPr>
            </w:pPr>
            <w:r>
              <w:rPr>
                <w:rFonts w:cs="Arial"/>
                <w:sz w:val="20"/>
                <w:szCs w:val="20"/>
              </w:rPr>
              <w:t>2.6</w:t>
            </w:r>
          </w:p>
        </w:tc>
        <w:tc>
          <w:tcPr>
            <w:tcW w:w="832" w:type="dxa"/>
            <w:vAlign w:val="center"/>
          </w:tcPr>
          <w:p w14:paraId="1254E2EF" w14:textId="5E5201D5" w:rsidR="00C865EE" w:rsidRPr="001D03A8" w:rsidRDefault="00F94AD9" w:rsidP="001223AC">
            <w:pPr>
              <w:jc w:val="center"/>
              <w:rPr>
                <w:rFonts w:cs="Arial"/>
                <w:sz w:val="20"/>
                <w:szCs w:val="20"/>
              </w:rPr>
            </w:pPr>
            <w:r>
              <w:rPr>
                <w:rFonts w:cs="Arial"/>
                <w:sz w:val="20"/>
                <w:szCs w:val="20"/>
              </w:rPr>
              <w:t>1.4</w:t>
            </w:r>
          </w:p>
        </w:tc>
      </w:tr>
      <w:tr w:rsidR="00C865EE" w:rsidRPr="001D03A8" w14:paraId="6D672D7B" w14:textId="5D929A8D" w:rsidTr="00F94AD9">
        <w:trPr>
          <w:jc w:val="center"/>
        </w:trPr>
        <w:tc>
          <w:tcPr>
            <w:tcW w:w="2517" w:type="dxa"/>
            <w:vAlign w:val="bottom"/>
          </w:tcPr>
          <w:p w14:paraId="4F47F768" w14:textId="77777777" w:rsidR="00C865EE" w:rsidRPr="001D03A8" w:rsidRDefault="00C865EE" w:rsidP="001223AC">
            <w:pPr>
              <w:rPr>
                <w:rFonts w:cs="Arial"/>
                <w:sz w:val="20"/>
                <w:szCs w:val="20"/>
              </w:rPr>
            </w:pPr>
            <w:r w:rsidRPr="001D03A8">
              <w:rPr>
                <w:rFonts w:cs="Arial"/>
                <w:sz w:val="20"/>
                <w:szCs w:val="20"/>
              </w:rPr>
              <w:t>Surveys Resulting in a Citation for Use of Restraints</w:t>
            </w:r>
          </w:p>
        </w:tc>
        <w:tc>
          <w:tcPr>
            <w:tcW w:w="808" w:type="dxa"/>
            <w:vAlign w:val="center"/>
          </w:tcPr>
          <w:p w14:paraId="6C2BDFB7" w14:textId="77777777" w:rsidR="00C865EE" w:rsidRPr="001D03A8" w:rsidRDefault="00C865EE" w:rsidP="001223AC">
            <w:pPr>
              <w:jc w:val="center"/>
              <w:rPr>
                <w:rFonts w:cs="Arial"/>
                <w:sz w:val="20"/>
                <w:szCs w:val="20"/>
              </w:rPr>
            </w:pPr>
            <w:r w:rsidRPr="001D03A8">
              <w:rPr>
                <w:rFonts w:cs="Arial"/>
                <w:sz w:val="20"/>
                <w:szCs w:val="20"/>
              </w:rPr>
              <w:t>4.5</w:t>
            </w:r>
          </w:p>
        </w:tc>
        <w:tc>
          <w:tcPr>
            <w:tcW w:w="810" w:type="dxa"/>
            <w:vAlign w:val="center"/>
          </w:tcPr>
          <w:p w14:paraId="6A3255AE" w14:textId="77777777" w:rsidR="00C865EE" w:rsidRPr="001D03A8" w:rsidRDefault="00C865EE" w:rsidP="001223AC">
            <w:pPr>
              <w:jc w:val="center"/>
              <w:rPr>
                <w:rFonts w:cs="Arial"/>
                <w:sz w:val="20"/>
                <w:szCs w:val="20"/>
              </w:rPr>
            </w:pPr>
            <w:r w:rsidRPr="001D03A8">
              <w:rPr>
                <w:rFonts w:cs="Arial"/>
                <w:sz w:val="20"/>
                <w:szCs w:val="20"/>
              </w:rPr>
              <w:t>2.9</w:t>
            </w:r>
          </w:p>
        </w:tc>
        <w:tc>
          <w:tcPr>
            <w:tcW w:w="810" w:type="dxa"/>
            <w:vAlign w:val="center"/>
          </w:tcPr>
          <w:p w14:paraId="280DEB20" w14:textId="77777777" w:rsidR="00C865EE" w:rsidRPr="001D03A8" w:rsidRDefault="00C865EE" w:rsidP="001223AC">
            <w:pPr>
              <w:jc w:val="center"/>
              <w:rPr>
                <w:rFonts w:cs="Arial"/>
                <w:sz w:val="20"/>
                <w:szCs w:val="20"/>
              </w:rPr>
            </w:pPr>
            <w:r w:rsidRPr="001D03A8">
              <w:rPr>
                <w:rFonts w:cs="Arial"/>
                <w:sz w:val="20"/>
                <w:szCs w:val="20"/>
              </w:rPr>
              <w:t>1.7</w:t>
            </w:r>
          </w:p>
        </w:tc>
        <w:tc>
          <w:tcPr>
            <w:tcW w:w="810" w:type="dxa"/>
            <w:vAlign w:val="center"/>
          </w:tcPr>
          <w:p w14:paraId="3901E838" w14:textId="77777777" w:rsidR="00C865EE" w:rsidRPr="001D03A8" w:rsidRDefault="00C865EE" w:rsidP="001223AC">
            <w:pPr>
              <w:jc w:val="center"/>
              <w:rPr>
                <w:rFonts w:cs="Arial"/>
                <w:sz w:val="20"/>
                <w:szCs w:val="20"/>
              </w:rPr>
            </w:pPr>
            <w:r w:rsidRPr="001D03A8">
              <w:rPr>
                <w:rFonts w:cs="Arial"/>
                <w:sz w:val="20"/>
                <w:szCs w:val="20"/>
              </w:rPr>
              <w:t>1.7</w:t>
            </w:r>
          </w:p>
        </w:tc>
        <w:tc>
          <w:tcPr>
            <w:tcW w:w="810" w:type="dxa"/>
            <w:vAlign w:val="center"/>
          </w:tcPr>
          <w:p w14:paraId="19366BA9" w14:textId="77777777" w:rsidR="00C865EE" w:rsidRPr="001D03A8" w:rsidRDefault="00C865EE" w:rsidP="001223AC">
            <w:pPr>
              <w:jc w:val="center"/>
              <w:rPr>
                <w:rFonts w:cs="Arial"/>
                <w:sz w:val="20"/>
                <w:szCs w:val="20"/>
              </w:rPr>
            </w:pPr>
            <w:r w:rsidRPr="001D03A8">
              <w:rPr>
                <w:rFonts w:cs="Arial"/>
                <w:sz w:val="20"/>
                <w:szCs w:val="20"/>
              </w:rPr>
              <w:t>1.7</w:t>
            </w:r>
          </w:p>
        </w:tc>
        <w:tc>
          <w:tcPr>
            <w:tcW w:w="810" w:type="dxa"/>
            <w:vAlign w:val="center"/>
          </w:tcPr>
          <w:p w14:paraId="57CCF887" w14:textId="77777777" w:rsidR="00C865EE" w:rsidRPr="001D03A8" w:rsidRDefault="00C865EE" w:rsidP="001223AC">
            <w:pPr>
              <w:jc w:val="center"/>
              <w:rPr>
                <w:rFonts w:cs="Arial"/>
                <w:sz w:val="20"/>
                <w:szCs w:val="20"/>
              </w:rPr>
            </w:pPr>
            <w:r w:rsidRPr="001D03A8">
              <w:rPr>
                <w:rFonts w:cs="Arial"/>
                <w:sz w:val="20"/>
                <w:szCs w:val="20"/>
              </w:rPr>
              <w:t>2.4</w:t>
            </w:r>
          </w:p>
        </w:tc>
        <w:tc>
          <w:tcPr>
            <w:tcW w:w="810" w:type="dxa"/>
            <w:vAlign w:val="center"/>
          </w:tcPr>
          <w:p w14:paraId="4C3418F7" w14:textId="0B1D236C" w:rsidR="00C865EE" w:rsidRPr="001D03A8" w:rsidRDefault="00F94AD9" w:rsidP="001223AC">
            <w:pPr>
              <w:jc w:val="center"/>
              <w:rPr>
                <w:rFonts w:cs="Arial"/>
                <w:sz w:val="20"/>
                <w:szCs w:val="20"/>
              </w:rPr>
            </w:pPr>
            <w:r>
              <w:rPr>
                <w:rFonts w:cs="Arial"/>
                <w:sz w:val="20"/>
                <w:szCs w:val="20"/>
              </w:rPr>
              <w:t>0.5</w:t>
            </w:r>
          </w:p>
        </w:tc>
        <w:tc>
          <w:tcPr>
            <w:tcW w:w="832" w:type="dxa"/>
            <w:vAlign w:val="center"/>
          </w:tcPr>
          <w:p w14:paraId="5C40081C" w14:textId="77E48DF1" w:rsidR="00C865EE" w:rsidRPr="001D03A8" w:rsidRDefault="00F94AD9" w:rsidP="001223AC">
            <w:pPr>
              <w:jc w:val="center"/>
              <w:rPr>
                <w:rFonts w:cs="Arial"/>
                <w:sz w:val="20"/>
                <w:szCs w:val="20"/>
              </w:rPr>
            </w:pPr>
            <w:r>
              <w:rPr>
                <w:rFonts w:cs="Arial"/>
                <w:sz w:val="20"/>
                <w:szCs w:val="20"/>
              </w:rPr>
              <w:t>0.9</w:t>
            </w:r>
          </w:p>
        </w:tc>
      </w:tr>
      <w:tr w:rsidR="00C865EE" w:rsidRPr="001D03A8" w14:paraId="26A0A11C" w14:textId="1F8401CD" w:rsidTr="00F94AD9">
        <w:trPr>
          <w:jc w:val="center"/>
        </w:trPr>
        <w:tc>
          <w:tcPr>
            <w:tcW w:w="2517" w:type="dxa"/>
            <w:vAlign w:val="bottom"/>
          </w:tcPr>
          <w:p w14:paraId="2A48AABE" w14:textId="77777777" w:rsidR="00C865EE" w:rsidRPr="001D03A8" w:rsidRDefault="00C865EE" w:rsidP="001223AC">
            <w:pPr>
              <w:rPr>
                <w:rFonts w:cs="Arial"/>
                <w:sz w:val="20"/>
                <w:szCs w:val="20"/>
              </w:rPr>
            </w:pPr>
            <w:r w:rsidRPr="001D03A8">
              <w:rPr>
                <w:rFonts w:cs="Arial"/>
                <w:sz w:val="20"/>
                <w:szCs w:val="20"/>
              </w:rPr>
              <w:t>Surveys Resulting in a Deficiency for Failure to Treat or Prevent Pressure Ulcers</w:t>
            </w:r>
          </w:p>
        </w:tc>
        <w:tc>
          <w:tcPr>
            <w:tcW w:w="808" w:type="dxa"/>
            <w:vAlign w:val="center"/>
          </w:tcPr>
          <w:p w14:paraId="43726FF0" w14:textId="77777777" w:rsidR="00C865EE" w:rsidRPr="001D03A8" w:rsidRDefault="00C865EE" w:rsidP="001223AC">
            <w:pPr>
              <w:jc w:val="center"/>
              <w:rPr>
                <w:rFonts w:cs="Arial"/>
                <w:sz w:val="20"/>
                <w:szCs w:val="20"/>
              </w:rPr>
            </w:pPr>
            <w:r w:rsidRPr="001D03A8">
              <w:rPr>
                <w:rFonts w:cs="Arial"/>
                <w:sz w:val="20"/>
                <w:szCs w:val="20"/>
              </w:rPr>
              <w:t>23.6</w:t>
            </w:r>
          </w:p>
        </w:tc>
        <w:tc>
          <w:tcPr>
            <w:tcW w:w="810" w:type="dxa"/>
            <w:vAlign w:val="center"/>
          </w:tcPr>
          <w:p w14:paraId="183D31E4" w14:textId="77777777" w:rsidR="00C865EE" w:rsidRPr="001D03A8" w:rsidRDefault="00C865EE" w:rsidP="001223AC">
            <w:pPr>
              <w:jc w:val="center"/>
              <w:rPr>
                <w:rFonts w:cs="Arial"/>
                <w:sz w:val="20"/>
                <w:szCs w:val="20"/>
              </w:rPr>
            </w:pPr>
            <w:r w:rsidRPr="001D03A8">
              <w:rPr>
                <w:rFonts w:cs="Arial"/>
                <w:sz w:val="20"/>
                <w:szCs w:val="20"/>
              </w:rPr>
              <w:t>21.3</w:t>
            </w:r>
          </w:p>
        </w:tc>
        <w:tc>
          <w:tcPr>
            <w:tcW w:w="810" w:type="dxa"/>
            <w:vAlign w:val="center"/>
          </w:tcPr>
          <w:p w14:paraId="7EAFBA49" w14:textId="77777777" w:rsidR="00C865EE" w:rsidRPr="001D03A8" w:rsidRDefault="00C865EE" w:rsidP="001223AC">
            <w:pPr>
              <w:jc w:val="center"/>
              <w:rPr>
                <w:rFonts w:cs="Arial"/>
                <w:sz w:val="20"/>
                <w:szCs w:val="20"/>
              </w:rPr>
            </w:pPr>
            <w:r w:rsidRPr="001D03A8">
              <w:rPr>
                <w:rFonts w:cs="Arial"/>
                <w:sz w:val="20"/>
                <w:szCs w:val="20"/>
              </w:rPr>
              <w:t>21.1</w:t>
            </w:r>
          </w:p>
        </w:tc>
        <w:tc>
          <w:tcPr>
            <w:tcW w:w="810" w:type="dxa"/>
            <w:vAlign w:val="center"/>
          </w:tcPr>
          <w:p w14:paraId="368A8725" w14:textId="77777777" w:rsidR="00C865EE" w:rsidRPr="001D03A8" w:rsidRDefault="00C865EE" w:rsidP="001223AC">
            <w:pPr>
              <w:jc w:val="center"/>
              <w:rPr>
                <w:rFonts w:cs="Arial"/>
                <w:sz w:val="20"/>
                <w:szCs w:val="20"/>
              </w:rPr>
            </w:pPr>
            <w:r w:rsidRPr="001D03A8">
              <w:rPr>
                <w:rFonts w:cs="Arial"/>
                <w:sz w:val="20"/>
                <w:szCs w:val="20"/>
              </w:rPr>
              <w:t>20.3</w:t>
            </w:r>
          </w:p>
        </w:tc>
        <w:tc>
          <w:tcPr>
            <w:tcW w:w="810" w:type="dxa"/>
            <w:vAlign w:val="center"/>
          </w:tcPr>
          <w:p w14:paraId="7B6F5D65" w14:textId="77777777" w:rsidR="00C865EE" w:rsidRPr="001D03A8" w:rsidRDefault="00C865EE" w:rsidP="001223AC">
            <w:pPr>
              <w:jc w:val="center"/>
              <w:rPr>
                <w:rFonts w:cs="Arial"/>
                <w:sz w:val="20"/>
                <w:szCs w:val="20"/>
              </w:rPr>
            </w:pPr>
            <w:r w:rsidRPr="001D03A8">
              <w:rPr>
                <w:rFonts w:cs="Arial"/>
                <w:sz w:val="20"/>
                <w:szCs w:val="20"/>
              </w:rPr>
              <w:t>14.4</w:t>
            </w:r>
          </w:p>
        </w:tc>
        <w:tc>
          <w:tcPr>
            <w:tcW w:w="810" w:type="dxa"/>
            <w:vAlign w:val="center"/>
          </w:tcPr>
          <w:p w14:paraId="7A5EEC6A" w14:textId="77777777" w:rsidR="00C865EE" w:rsidRPr="001D03A8" w:rsidRDefault="00C865EE" w:rsidP="001223AC">
            <w:pPr>
              <w:jc w:val="center"/>
              <w:rPr>
                <w:rFonts w:cs="Arial"/>
                <w:sz w:val="20"/>
                <w:szCs w:val="20"/>
              </w:rPr>
            </w:pPr>
            <w:r w:rsidRPr="001D03A8">
              <w:rPr>
                <w:rFonts w:cs="Arial"/>
                <w:sz w:val="20"/>
                <w:szCs w:val="20"/>
              </w:rPr>
              <w:t>12.3</w:t>
            </w:r>
          </w:p>
        </w:tc>
        <w:tc>
          <w:tcPr>
            <w:tcW w:w="810" w:type="dxa"/>
            <w:vAlign w:val="center"/>
          </w:tcPr>
          <w:p w14:paraId="15F7905A" w14:textId="16266119" w:rsidR="00C865EE" w:rsidRPr="001D03A8" w:rsidRDefault="00F94AD9" w:rsidP="001223AC">
            <w:pPr>
              <w:jc w:val="center"/>
              <w:rPr>
                <w:rFonts w:cs="Arial"/>
                <w:sz w:val="20"/>
                <w:szCs w:val="20"/>
              </w:rPr>
            </w:pPr>
            <w:r>
              <w:rPr>
                <w:rFonts w:cs="Arial"/>
                <w:sz w:val="20"/>
                <w:szCs w:val="20"/>
              </w:rPr>
              <w:t>12.5</w:t>
            </w:r>
          </w:p>
        </w:tc>
        <w:tc>
          <w:tcPr>
            <w:tcW w:w="832" w:type="dxa"/>
            <w:vAlign w:val="center"/>
          </w:tcPr>
          <w:p w14:paraId="2645D0F8" w14:textId="5967AA03" w:rsidR="00C865EE" w:rsidRPr="001D03A8" w:rsidRDefault="00F94AD9" w:rsidP="001223AC">
            <w:pPr>
              <w:jc w:val="center"/>
              <w:rPr>
                <w:rFonts w:cs="Arial"/>
                <w:sz w:val="20"/>
                <w:szCs w:val="20"/>
              </w:rPr>
            </w:pPr>
            <w:r>
              <w:rPr>
                <w:rFonts w:cs="Arial"/>
                <w:sz w:val="20"/>
                <w:szCs w:val="20"/>
              </w:rPr>
              <w:t>12.2</w:t>
            </w:r>
          </w:p>
        </w:tc>
      </w:tr>
    </w:tbl>
    <w:p w14:paraId="7B5179B9" w14:textId="77777777" w:rsidR="001223AC" w:rsidRPr="001D03A8" w:rsidRDefault="001223AC" w:rsidP="001223AC">
      <w:pPr>
        <w:rPr>
          <w:rFonts w:cs="Arial"/>
          <w:sz w:val="18"/>
          <w:szCs w:val="18"/>
        </w:rPr>
      </w:pPr>
      <w:r w:rsidRPr="001D03A8">
        <w:rPr>
          <w:rFonts w:cs="Arial"/>
          <w:sz w:val="18"/>
          <w:szCs w:val="18"/>
        </w:rPr>
        <w:t>Source:</w:t>
      </w:r>
    </w:p>
    <w:p w14:paraId="7FB7A424" w14:textId="0B162B36" w:rsidR="001223AC" w:rsidRPr="001D03A8" w:rsidRDefault="001223AC" w:rsidP="001223AC">
      <w:pPr>
        <w:rPr>
          <w:rFonts w:cs="Arial"/>
          <w:b/>
          <w:sz w:val="18"/>
          <w:szCs w:val="18"/>
        </w:rPr>
      </w:pPr>
      <w:r w:rsidRPr="001D03A8">
        <w:rPr>
          <w:rFonts w:cs="Arial"/>
          <w:sz w:val="18"/>
          <w:szCs w:val="18"/>
        </w:rPr>
        <w:t>Distribution Scope: “Nursing Home Data Compendium” by CMS, 201</w:t>
      </w:r>
      <w:r w:rsidR="00C865EE">
        <w:rPr>
          <w:rFonts w:cs="Arial"/>
          <w:sz w:val="18"/>
          <w:szCs w:val="18"/>
        </w:rPr>
        <w:t>5</w:t>
      </w:r>
      <w:r w:rsidRPr="001D03A8">
        <w:rPr>
          <w:rFonts w:cs="Arial"/>
          <w:sz w:val="18"/>
          <w:szCs w:val="18"/>
        </w:rPr>
        <w:t xml:space="preserve"> Edition.</w:t>
      </w:r>
    </w:p>
    <w:p w14:paraId="4320F5AF" w14:textId="77777777" w:rsidR="001223AC" w:rsidRDefault="001223AC" w:rsidP="001223AC">
      <w:pPr>
        <w:tabs>
          <w:tab w:val="left" w:pos="1800"/>
        </w:tabs>
        <w:rPr>
          <w:rFonts w:ascii="Palatino Linotype" w:hAnsi="Palatino Linotype"/>
        </w:rPr>
      </w:pPr>
    </w:p>
    <w:p w14:paraId="627E171C" w14:textId="6C84807E" w:rsidR="001223AC" w:rsidRPr="001D03A8" w:rsidRDefault="001223AC" w:rsidP="001D03A8">
      <w:pPr>
        <w:spacing w:before="0" w:after="0"/>
        <w:rPr>
          <w:rFonts w:cs="Arial"/>
        </w:rPr>
      </w:pPr>
      <w:r w:rsidRPr="001D03A8">
        <w:rPr>
          <w:rFonts w:cs="Arial"/>
        </w:rPr>
        <w:t>Again, understanding that these data are only published through Federal Fiscal Year (FFY) 201</w:t>
      </w:r>
      <w:r w:rsidR="00F94AD9">
        <w:rPr>
          <w:rFonts w:cs="Arial"/>
        </w:rPr>
        <w:t>4</w:t>
      </w:r>
      <w:r w:rsidRPr="001D03A8">
        <w:rPr>
          <w:rFonts w:cs="Arial"/>
        </w:rPr>
        <w:t>, we confirmed with the Department representatives that deficiency citations do not change significantly from period to period.</w:t>
      </w:r>
    </w:p>
    <w:p w14:paraId="1A497387" w14:textId="77777777" w:rsidR="001223AC" w:rsidRDefault="001223AC" w:rsidP="001D03A8">
      <w:pPr>
        <w:spacing w:before="0" w:after="0"/>
        <w:rPr>
          <w:rFonts w:cs="Arial"/>
        </w:rPr>
      </w:pPr>
    </w:p>
    <w:p w14:paraId="6BEBA75E" w14:textId="79DD9736" w:rsidR="00E45358" w:rsidRDefault="00E45358" w:rsidP="001D03A8">
      <w:pPr>
        <w:spacing w:before="0" w:after="0"/>
        <w:rPr>
          <w:rFonts w:cs="Arial"/>
        </w:rPr>
      </w:pPr>
      <w:r>
        <w:rPr>
          <w:rFonts w:cs="Arial"/>
        </w:rPr>
        <w:t>As an</w:t>
      </w:r>
      <w:r w:rsidR="004C35B2">
        <w:rPr>
          <w:rFonts w:cs="Arial"/>
        </w:rPr>
        <w:t xml:space="preserve"> additional</w:t>
      </w:r>
      <w:r>
        <w:rPr>
          <w:rFonts w:cs="Arial"/>
        </w:rPr>
        <w:t xml:space="preserve"> indicator of quality we also reviewed nursing facili</w:t>
      </w:r>
      <w:r w:rsidR="000D7A97">
        <w:rPr>
          <w:rFonts w:cs="Arial"/>
        </w:rPr>
        <w:t xml:space="preserve">ty </w:t>
      </w:r>
      <w:r w:rsidR="0037296A">
        <w:rPr>
          <w:rFonts w:cs="Arial"/>
        </w:rPr>
        <w:t xml:space="preserve">Five-Star </w:t>
      </w:r>
      <w:r w:rsidR="000D7A97">
        <w:rPr>
          <w:rFonts w:cs="Arial"/>
        </w:rPr>
        <w:t xml:space="preserve">overall </w:t>
      </w:r>
      <w:r w:rsidR="0037296A">
        <w:rPr>
          <w:rFonts w:cs="Arial"/>
        </w:rPr>
        <w:t xml:space="preserve">quality </w:t>
      </w:r>
      <w:r w:rsidR="000D7A97">
        <w:rPr>
          <w:rFonts w:cs="Arial"/>
        </w:rPr>
        <w:t>rat</w:t>
      </w:r>
      <w:r w:rsidR="0037296A">
        <w:rPr>
          <w:rFonts w:cs="Arial"/>
        </w:rPr>
        <w:t>ings across states</w:t>
      </w:r>
      <w:r w:rsidR="003F715F">
        <w:rPr>
          <w:rFonts w:cs="Arial"/>
        </w:rPr>
        <w:t xml:space="preserve"> identified in prior sections </w:t>
      </w:r>
      <w:r w:rsidR="003F715F" w:rsidRPr="001223AC">
        <w:rPr>
          <w:rFonts w:cs="Arial"/>
        </w:rPr>
        <w:t>as having spent more than 40 percent of their Medicaid long-term care funds on home and community-based services</w:t>
      </w:r>
      <w:r w:rsidR="0037296A">
        <w:rPr>
          <w:rFonts w:cs="Arial"/>
        </w:rPr>
        <w:t>.  The overall quality ratings are based on each facility’s performance in three different measures</w:t>
      </w:r>
      <w:r w:rsidR="00436C1F">
        <w:rPr>
          <w:rFonts w:cs="Arial"/>
        </w:rPr>
        <w:t xml:space="preserve"> which each receive a rating from one to five</w:t>
      </w:r>
      <w:r w:rsidR="0037296A">
        <w:rPr>
          <w:rFonts w:cs="Arial"/>
        </w:rPr>
        <w:t xml:space="preserve">.  The </w:t>
      </w:r>
      <w:r w:rsidR="00EB67FB">
        <w:rPr>
          <w:rFonts w:cs="Arial"/>
        </w:rPr>
        <w:t xml:space="preserve">first </w:t>
      </w:r>
      <w:r w:rsidR="0037296A">
        <w:rPr>
          <w:rFonts w:cs="Arial"/>
        </w:rPr>
        <w:t>quality measure included in the overall quality</w:t>
      </w:r>
      <w:r w:rsidR="006C4731">
        <w:rPr>
          <w:rFonts w:cs="Arial"/>
        </w:rPr>
        <w:t xml:space="preserve"> rating is he</w:t>
      </w:r>
      <w:r w:rsidR="00436C1F">
        <w:rPr>
          <w:rFonts w:cs="Arial"/>
        </w:rPr>
        <w:t>alth inspections.  I</w:t>
      </w:r>
      <w:r w:rsidR="006C4731">
        <w:rPr>
          <w:rFonts w:cs="Arial"/>
        </w:rPr>
        <w:t xml:space="preserve">n this </w:t>
      </w:r>
      <w:r w:rsidR="00436C1F">
        <w:rPr>
          <w:rFonts w:cs="Arial"/>
        </w:rPr>
        <w:t xml:space="preserve">quality </w:t>
      </w:r>
      <w:r w:rsidR="006C4731">
        <w:rPr>
          <w:rFonts w:cs="Arial"/>
        </w:rPr>
        <w:t>measure</w:t>
      </w:r>
      <w:r w:rsidR="00436C1F">
        <w:rPr>
          <w:rFonts w:cs="Arial"/>
        </w:rPr>
        <w:t xml:space="preserve">, nursing facilities are rated </w:t>
      </w:r>
      <w:r w:rsidR="006C4731">
        <w:rPr>
          <w:rFonts w:cs="Arial"/>
        </w:rPr>
        <w:t xml:space="preserve">based on </w:t>
      </w:r>
      <w:r w:rsidR="00BE652E">
        <w:rPr>
          <w:rFonts w:cs="Arial"/>
        </w:rPr>
        <w:t>the number, scope, and severity of deficiencies identified in each nursing facility during the three most recent annual inspection surveys</w:t>
      </w:r>
      <w:r w:rsidR="00436C1F">
        <w:rPr>
          <w:rFonts w:cs="Arial"/>
        </w:rPr>
        <w:t xml:space="preserve">.  </w:t>
      </w:r>
    </w:p>
    <w:p w14:paraId="3C6A0681" w14:textId="77777777" w:rsidR="00436C1F" w:rsidRDefault="00436C1F" w:rsidP="001D03A8">
      <w:pPr>
        <w:spacing w:before="0" w:after="0"/>
        <w:rPr>
          <w:rFonts w:cs="Arial"/>
        </w:rPr>
      </w:pPr>
    </w:p>
    <w:p w14:paraId="288B2518" w14:textId="77777777" w:rsidR="004362AC" w:rsidRDefault="00436C1F" w:rsidP="001D03A8">
      <w:pPr>
        <w:spacing w:before="0" w:after="0"/>
        <w:rPr>
          <w:rFonts w:cs="Arial"/>
        </w:rPr>
      </w:pPr>
      <w:r>
        <w:rPr>
          <w:rFonts w:cs="Arial"/>
        </w:rPr>
        <w:t xml:space="preserve">The second quality measure included as part of </w:t>
      </w:r>
      <w:r w:rsidR="00EE7FF3">
        <w:rPr>
          <w:rFonts w:cs="Arial"/>
        </w:rPr>
        <w:t xml:space="preserve">overall quality measure is staffing.  The performance ratings are based on a measure of the number of registered nurse hours to total staffing hours per day.  </w:t>
      </w:r>
      <w:r w:rsidR="000841CC">
        <w:rPr>
          <w:rFonts w:cs="Arial"/>
        </w:rPr>
        <w:t xml:space="preserve">The CMS Staffing Study found association between nurse </w:t>
      </w:r>
      <w:r w:rsidR="000841CC">
        <w:rPr>
          <w:rFonts w:cs="Arial"/>
        </w:rPr>
        <w:lastRenderedPageBreak/>
        <w:t xml:space="preserve">staffing ratios and the quality of care in a nursing facility.  Further, CMS identified specific staffing ratios </w:t>
      </w:r>
      <w:r w:rsidR="004362AC">
        <w:rPr>
          <w:rFonts w:cs="Arial"/>
        </w:rPr>
        <w:t>which, if not met, expose residents to a higher risk of quality problems.  I</w:t>
      </w:r>
      <w:r w:rsidR="00EE7FF3">
        <w:rPr>
          <w:rFonts w:cs="Arial"/>
        </w:rPr>
        <w:t xml:space="preserve">nformation </w:t>
      </w:r>
      <w:r w:rsidR="004362AC">
        <w:rPr>
          <w:rFonts w:cs="Arial"/>
        </w:rPr>
        <w:t xml:space="preserve">about the staffing in each facility </w:t>
      </w:r>
      <w:r w:rsidR="00EE7FF3">
        <w:rPr>
          <w:rFonts w:cs="Arial"/>
        </w:rPr>
        <w:t xml:space="preserve">is based on the </w:t>
      </w:r>
      <w:r w:rsidR="00EE7FF3" w:rsidRPr="00EE7FF3">
        <w:rPr>
          <w:rFonts w:cs="Arial"/>
        </w:rPr>
        <w:t>CMS Certification and Survey</w:t>
      </w:r>
      <w:r w:rsidR="00EE7FF3">
        <w:rPr>
          <w:rFonts w:cs="Arial"/>
        </w:rPr>
        <w:t xml:space="preserve"> </w:t>
      </w:r>
      <w:r w:rsidR="00EE7FF3" w:rsidRPr="00EE7FF3">
        <w:rPr>
          <w:rFonts w:cs="Arial"/>
        </w:rPr>
        <w:t>Provider Enhanced Reports (CASPER) system</w:t>
      </w:r>
      <w:r w:rsidR="00EE7FF3">
        <w:rPr>
          <w:rFonts w:cs="Arial"/>
        </w:rPr>
        <w:t xml:space="preserve">.  </w:t>
      </w:r>
    </w:p>
    <w:p w14:paraId="0893796A" w14:textId="77777777" w:rsidR="004362AC" w:rsidRDefault="004362AC" w:rsidP="001D03A8">
      <w:pPr>
        <w:spacing w:before="0" w:after="0"/>
        <w:rPr>
          <w:rFonts w:cs="Arial"/>
        </w:rPr>
      </w:pPr>
    </w:p>
    <w:p w14:paraId="4A8858F5" w14:textId="1317945D" w:rsidR="00436C1F" w:rsidRDefault="00BA3800" w:rsidP="001D03A8">
      <w:pPr>
        <w:spacing w:before="0" w:after="0"/>
        <w:rPr>
          <w:rFonts w:cs="Arial"/>
        </w:rPr>
      </w:pPr>
      <w:r>
        <w:rPr>
          <w:rFonts w:cs="Arial"/>
        </w:rPr>
        <w:t>The last component of the overall quality measure is a measure of various quality metrics.</w:t>
      </w:r>
      <w:r w:rsidR="004362AC">
        <w:rPr>
          <w:rFonts w:cs="Arial"/>
        </w:rPr>
        <w:t xml:space="preserve">  The quality measures cover a broad range of health status as well as function indicators for both long-term nursing facility residents and short-term nursing facility residents.</w:t>
      </w:r>
      <w:r>
        <w:rPr>
          <w:rFonts w:cs="Arial"/>
        </w:rPr>
        <w:t xml:space="preserve">  </w:t>
      </w:r>
      <w:r w:rsidR="00172225">
        <w:rPr>
          <w:rFonts w:cs="Arial"/>
        </w:rPr>
        <w:t xml:space="preserve">A total of sixteen different quality measures are included in measuring this component.  Most are </w:t>
      </w:r>
      <w:r>
        <w:rPr>
          <w:rFonts w:cs="Arial"/>
        </w:rPr>
        <w:t xml:space="preserve">based on data reported in the </w:t>
      </w:r>
      <w:r w:rsidR="004362AC">
        <w:rPr>
          <w:rFonts w:cs="Arial"/>
        </w:rPr>
        <w:t>Minimum Data Set (</w:t>
      </w:r>
      <w:r>
        <w:rPr>
          <w:rFonts w:cs="Arial"/>
        </w:rPr>
        <w:t>MDS</w:t>
      </w:r>
      <w:r w:rsidR="004362AC">
        <w:rPr>
          <w:rFonts w:cs="Arial"/>
        </w:rPr>
        <w:t>)</w:t>
      </w:r>
      <w:r w:rsidR="00172225">
        <w:rPr>
          <w:rFonts w:cs="Arial"/>
        </w:rPr>
        <w:t xml:space="preserve"> and a few are based on MDS and Medicare claims measures </w:t>
      </w:r>
      <w:r>
        <w:rPr>
          <w:rFonts w:cs="Arial"/>
        </w:rPr>
        <w:t xml:space="preserve">that are </w:t>
      </w:r>
      <w:r w:rsidR="00172225">
        <w:rPr>
          <w:rFonts w:cs="Arial"/>
        </w:rPr>
        <w:t xml:space="preserve">all </w:t>
      </w:r>
      <w:r>
        <w:rPr>
          <w:rFonts w:cs="Arial"/>
        </w:rPr>
        <w:t xml:space="preserve">published on the Nursing Home Compare website.  </w:t>
      </w:r>
    </w:p>
    <w:p w14:paraId="527AF201" w14:textId="77777777" w:rsidR="00F1585E" w:rsidRDefault="00F1585E" w:rsidP="001D03A8">
      <w:pPr>
        <w:spacing w:before="0" w:after="0"/>
        <w:rPr>
          <w:rFonts w:cs="Arial"/>
        </w:rPr>
      </w:pPr>
    </w:p>
    <w:p w14:paraId="31FC5EF7" w14:textId="7158EF77" w:rsidR="0042728D" w:rsidRDefault="00172225" w:rsidP="001D03A8">
      <w:pPr>
        <w:spacing w:before="0" w:after="0"/>
        <w:rPr>
          <w:rFonts w:cs="Arial"/>
        </w:rPr>
      </w:pPr>
      <w:r>
        <w:rPr>
          <w:rFonts w:cs="Arial"/>
        </w:rPr>
        <w:t xml:space="preserve">Table 3.4 below summarizes the average nursing facility overall quality rating across states identified </w:t>
      </w:r>
      <w:r w:rsidRPr="001223AC">
        <w:rPr>
          <w:rFonts w:cs="Arial"/>
        </w:rPr>
        <w:t>as having spent more than 40 percent of their Medicaid long-term care funds on home and community-based services</w:t>
      </w:r>
      <w:r>
        <w:rPr>
          <w:rFonts w:cs="Arial"/>
        </w:rPr>
        <w:t xml:space="preserve">.  The average nursing facility quality ratings for each state were calculated by Navigant by determining the average statewide overall quality rating across all nursing facilities within each state.  </w:t>
      </w:r>
    </w:p>
    <w:p w14:paraId="57582430" w14:textId="77777777" w:rsidR="00172225" w:rsidRDefault="00172225" w:rsidP="001D03A8">
      <w:pPr>
        <w:spacing w:before="0" w:after="0"/>
        <w:rPr>
          <w:rFonts w:cs="Arial"/>
        </w:rPr>
      </w:pPr>
    </w:p>
    <w:p w14:paraId="0AA36F0F" w14:textId="77777777" w:rsidR="00172225" w:rsidRDefault="00172225" w:rsidP="001D03A8">
      <w:pPr>
        <w:spacing w:before="0" w:after="0"/>
        <w:rPr>
          <w:rFonts w:cs="Arial"/>
        </w:rPr>
      </w:pPr>
    </w:p>
    <w:p w14:paraId="51A30387" w14:textId="0F6AA2C0" w:rsidR="00F1585E" w:rsidRDefault="00F1585E" w:rsidP="001D03A8">
      <w:pPr>
        <w:spacing w:before="0" w:after="0"/>
        <w:rPr>
          <w:rFonts w:cs="Arial"/>
        </w:rPr>
      </w:pPr>
      <w:r>
        <w:rPr>
          <w:rFonts w:cs="Arial"/>
          <w:b/>
        </w:rPr>
        <w:t>Table 3.4: Nursing Facility Overall Quality Ratings</w:t>
      </w:r>
    </w:p>
    <w:p w14:paraId="08F2533B" w14:textId="77777777" w:rsidR="00F1585E" w:rsidRDefault="00F1585E" w:rsidP="001D03A8">
      <w:pPr>
        <w:spacing w:before="0" w:after="0"/>
        <w:rPr>
          <w:rFonts w:cs="Arial"/>
        </w:rPr>
      </w:pPr>
    </w:p>
    <w:tbl>
      <w:tblPr>
        <w:tblW w:w="5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957"/>
      </w:tblGrid>
      <w:tr w:rsidR="00F1585E" w:rsidRPr="001D03A8" w14:paraId="0B014F0E" w14:textId="77777777" w:rsidTr="0042728D">
        <w:trPr>
          <w:trHeight w:val="440"/>
          <w:jc w:val="center"/>
        </w:trPr>
        <w:tc>
          <w:tcPr>
            <w:tcW w:w="3618" w:type="dxa"/>
            <w:vAlign w:val="bottom"/>
          </w:tcPr>
          <w:p w14:paraId="786DFAB2" w14:textId="77777777" w:rsidR="00F1585E" w:rsidRPr="001D03A8" w:rsidRDefault="00F1585E" w:rsidP="0037296A">
            <w:pPr>
              <w:jc w:val="center"/>
              <w:rPr>
                <w:rFonts w:cs="Arial"/>
                <w:b/>
                <w:sz w:val="20"/>
                <w:szCs w:val="20"/>
              </w:rPr>
            </w:pPr>
            <w:r w:rsidRPr="001D03A8">
              <w:rPr>
                <w:rFonts w:cs="Arial"/>
                <w:b/>
                <w:sz w:val="20"/>
                <w:szCs w:val="20"/>
              </w:rPr>
              <w:t>State</w:t>
            </w:r>
          </w:p>
        </w:tc>
        <w:tc>
          <w:tcPr>
            <w:tcW w:w="1957" w:type="dxa"/>
          </w:tcPr>
          <w:p w14:paraId="2E3779C6" w14:textId="640FA1A5" w:rsidR="00F1585E" w:rsidRPr="001D03A8" w:rsidRDefault="00F1585E" w:rsidP="0037296A">
            <w:pPr>
              <w:jc w:val="center"/>
              <w:rPr>
                <w:rFonts w:cs="Arial"/>
                <w:b/>
                <w:sz w:val="20"/>
                <w:szCs w:val="20"/>
              </w:rPr>
            </w:pPr>
            <w:r>
              <w:rPr>
                <w:rFonts w:cs="Arial"/>
                <w:b/>
                <w:sz w:val="20"/>
                <w:szCs w:val="20"/>
              </w:rPr>
              <w:t xml:space="preserve">Average Nursing Facility </w:t>
            </w:r>
            <w:r w:rsidR="00F419E8">
              <w:rPr>
                <w:rFonts w:cs="Arial"/>
                <w:b/>
                <w:sz w:val="20"/>
                <w:szCs w:val="20"/>
              </w:rPr>
              <w:t xml:space="preserve">Overall </w:t>
            </w:r>
            <w:r>
              <w:rPr>
                <w:rFonts w:cs="Arial"/>
                <w:b/>
                <w:sz w:val="20"/>
                <w:szCs w:val="20"/>
              </w:rPr>
              <w:t>Quality Rating</w:t>
            </w:r>
          </w:p>
        </w:tc>
      </w:tr>
      <w:tr w:rsidR="00F1585E" w:rsidRPr="001D03A8" w14:paraId="3EDB35F3" w14:textId="77777777" w:rsidTr="0042728D">
        <w:trPr>
          <w:jc w:val="center"/>
        </w:trPr>
        <w:tc>
          <w:tcPr>
            <w:tcW w:w="3618" w:type="dxa"/>
            <w:shd w:val="pct15" w:color="auto" w:fill="auto"/>
            <w:vAlign w:val="bottom"/>
          </w:tcPr>
          <w:p w14:paraId="4C428242" w14:textId="77777777" w:rsidR="00F1585E" w:rsidRPr="001D03A8" w:rsidRDefault="00F1585E" w:rsidP="0037296A">
            <w:pPr>
              <w:rPr>
                <w:rFonts w:cs="Arial"/>
                <w:sz w:val="20"/>
                <w:szCs w:val="20"/>
              </w:rPr>
            </w:pPr>
            <w:r w:rsidRPr="001D03A8">
              <w:rPr>
                <w:rFonts w:cs="Arial"/>
                <w:sz w:val="20"/>
                <w:szCs w:val="20"/>
              </w:rPr>
              <w:t>Washington</w:t>
            </w:r>
          </w:p>
        </w:tc>
        <w:tc>
          <w:tcPr>
            <w:tcW w:w="1957" w:type="dxa"/>
            <w:shd w:val="pct15" w:color="auto" w:fill="auto"/>
          </w:tcPr>
          <w:p w14:paraId="2E8C0454" w14:textId="69865773" w:rsidR="00F1585E" w:rsidRPr="001D03A8" w:rsidRDefault="0042728D" w:rsidP="0037296A">
            <w:pPr>
              <w:jc w:val="center"/>
              <w:rPr>
                <w:rFonts w:cs="Arial"/>
                <w:sz w:val="20"/>
                <w:szCs w:val="20"/>
              </w:rPr>
            </w:pPr>
            <w:r>
              <w:rPr>
                <w:rFonts w:cs="Arial"/>
                <w:sz w:val="20"/>
                <w:szCs w:val="20"/>
              </w:rPr>
              <w:t>3.47</w:t>
            </w:r>
          </w:p>
        </w:tc>
      </w:tr>
      <w:tr w:rsidR="00F1585E" w:rsidRPr="001D03A8" w14:paraId="6DDE6295" w14:textId="77777777" w:rsidTr="0042728D">
        <w:trPr>
          <w:jc w:val="center"/>
        </w:trPr>
        <w:tc>
          <w:tcPr>
            <w:tcW w:w="3618" w:type="dxa"/>
            <w:tcBorders>
              <w:bottom w:val="single" w:sz="4" w:space="0" w:color="auto"/>
            </w:tcBorders>
            <w:vAlign w:val="bottom"/>
          </w:tcPr>
          <w:p w14:paraId="7AB182DE" w14:textId="77777777" w:rsidR="00F1585E" w:rsidRPr="001D03A8" w:rsidRDefault="00F1585E" w:rsidP="0037296A">
            <w:pPr>
              <w:rPr>
                <w:rFonts w:cs="Arial"/>
                <w:sz w:val="20"/>
                <w:szCs w:val="20"/>
              </w:rPr>
            </w:pPr>
            <w:r w:rsidRPr="001D03A8">
              <w:rPr>
                <w:rFonts w:cs="Arial"/>
                <w:sz w:val="20"/>
                <w:szCs w:val="20"/>
              </w:rPr>
              <w:t>California</w:t>
            </w:r>
          </w:p>
        </w:tc>
        <w:tc>
          <w:tcPr>
            <w:tcW w:w="1957" w:type="dxa"/>
            <w:tcBorders>
              <w:bottom w:val="single" w:sz="4" w:space="0" w:color="auto"/>
            </w:tcBorders>
          </w:tcPr>
          <w:p w14:paraId="06F66574" w14:textId="17A1F6C1" w:rsidR="00F1585E" w:rsidRPr="001D03A8" w:rsidRDefault="00F1585E" w:rsidP="0037296A">
            <w:pPr>
              <w:jc w:val="center"/>
              <w:rPr>
                <w:rFonts w:cs="Arial"/>
                <w:sz w:val="20"/>
                <w:szCs w:val="20"/>
              </w:rPr>
            </w:pPr>
            <w:r>
              <w:rPr>
                <w:rFonts w:cs="Arial"/>
                <w:sz w:val="20"/>
                <w:szCs w:val="20"/>
              </w:rPr>
              <w:t>3.55</w:t>
            </w:r>
          </w:p>
        </w:tc>
      </w:tr>
      <w:tr w:rsidR="00F1585E" w:rsidRPr="001D03A8" w14:paraId="773B1A7B" w14:textId="77777777" w:rsidTr="0042728D">
        <w:trPr>
          <w:jc w:val="center"/>
        </w:trPr>
        <w:tc>
          <w:tcPr>
            <w:tcW w:w="3618" w:type="dxa"/>
            <w:vAlign w:val="bottom"/>
          </w:tcPr>
          <w:p w14:paraId="0778E38C" w14:textId="77777777" w:rsidR="00F1585E" w:rsidRPr="001D03A8" w:rsidRDefault="00F1585E" w:rsidP="0037296A">
            <w:pPr>
              <w:rPr>
                <w:rFonts w:cs="Arial"/>
                <w:sz w:val="20"/>
                <w:szCs w:val="20"/>
              </w:rPr>
            </w:pPr>
            <w:r w:rsidRPr="001D03A8">
              <w:rPr>
                <w:rFonts w:cs="Arial"/>
                <w:sz w:val="20"/>
                <w:szCs w:val="20"/>
              </w:rPr>
              <w:t>Minnesota</w:t>
            </w:r>
          </w:p>
        </w:tc>
        <w:tc>
          <w:tcPr>
            <w:tcW w:w="1957" w:type="dxa"/>
          </w:tcPr>
          <w:p w14:paraId="43BE1740" w14:textId="024DDA32" w:rsidR="00F1585E" w:rsidRPr="001D03A8" w:rsidRDefault="0042728D" w:rsidP="0037296A">
            <w:pPr>
              <w:jc w:val="center"/>
              <w:rPr>
                <w:rFonts w:cs="Arial"/>
                <w:sz w:val="20"/>
                <w:szCs w:val="20"/>
              </w:rPr>
            </w:pPr>
            <w:r>
              <w:rPr>
                <w:rFonts w:cs="Arial"/>
                <w:sz w:val="20"/>
                <w:szCs w:val="20"/>
              </w:rPr>
              <w:t>3.50</w:t>
            </w:r>
          </w:p>
        </w:tc>
      </w:tr>
      <w:tr w:rsidR="00F1585E" w:rsidRPr="001D03A8" w14:paraId="44932CE7" w14:textId="77777777" w:rsidTr="0042728D">
        <w:trPr>
          <w:jc w:val="center"/>
        </w:trPr>
        <w:tc>
          <w:tcPr>
            <w:tcW w:w="3618" w:type="dxa"/>
            <w:vAlign w:val="bottom"/>
          </w:tcPr>
          <w:p w14:paraId="3173D4F9" w14:textId="77777777" w:rsidR="00F1585E" w:rsidRPr="001D03A8" w:rsidRDefault="00F1585E" w:rsidP="0037296A">
            <w:pPr>
              <w:rPr>
                <w:rFonts w:cs="Arial"/>
                <w:sz w:val="20"/>
                <w:szCs w:val="20"/>
              </w:rPr>
            </w:pPr>
            <w:r w:rsidRPr="001D03A8">
              <w:rPr>
                <w:rFonts w:cs="Arial"/>
                <w:sz w:val="20"/>
                <w:szCs w:val="20"/>
              </w:rPr>
              <w:t>New Mexico</w:t>
            </w:r>
          </w:p>
        </w:tc>
        <w:tc>
          <w:tcPr>
            <w:tcW w:w="1957" w:type="dxa"/>
          </w:tcPr>
          <w:p w14:paraId="43BE2AB3" w14:textId="61AB439D" w:rsidR="00F1585E" w:rsidRPr="001D03A8" w:rsidRDefault="0042728D" w:rsidP="0037296A">
            <w:pPr>
              <w:jc w:val="center"/>
              <w:rPr>
                <w:rFonts w:cs="Arial"/>
                <w:sz w:val="20"/>
                <w:szCs w:val="20"/>
              </w:rPr>
            </w:pPr>
            <w:r>
              <w:rPr>
                <w:rFonts w:cs="Arial"/>
                <w:sz w:val="20"/>
                <w:szCs w:val="20"/>
              </w:rPr>
              <w:t>2.86</w:t>
            </w:r>
          </w:p>
        </w:tc>
      </w:tr>
      <w:tr w:rsidR="00F1585E" w:rsidRPr="001D03A8" w14:paraId="6E2568A3" w14:textId="77777777" w:rsidTr="0042728D">
        <w:trPr>
          <w:jc w:val="center"/>
        </w:trPr>
        <w:tc>
          <w:tcPr>
            <w:tcW w:w="3618" w:type="dxa"/>
            <w:vAlign w:val="bottom"/>
          </w:tcPr>
          <w:p w14:paraId="5D2E7FBE" w14:textId="77777777" w:rsidR="00F1585E" w:rsidRPr="001D03A8" w:rsidRDefault="00F1585E" w:rsidP="0037296A">
            <w:pPr>
              <w:rPr>
                <w:rFonts w:cs="Arial"/>
                <w:sz w:val="20"/>
                <w:szCs w:val="20"/>
              </w:rPr>
            </w:pPr>
            <w:r w:rsidRPr="001D03A8">
              <w:rPr>
                <w:rFonts w:cs="Arial"/>
                <w:sz w:val="20"/>
                <w:szCs w:val="20"/>
              </w:rPr>
              <w:t>Oregon</w:t>
            </w:r>
          </w:p>
        </w:tc>
        <w:tc>
          <w:tcPr>
            <w:tcW w:w="1957" w:type="dxa"/>
          </w:tcPr>
          <w:p w14:paraId="5BE79674" w14:textId="7FB862D0" w:rsidR="00F1585E" w:rsidRPr="001D03A8" w:rsidRDefault="0042728D" w:rsidP="0037296A">
            <w:pPr>
              <w:jc w:val="center"/>
              <w:rPr>
                <w:rFonts w:cs="Arial"/>
                <w:sz w:val="20"/>
                <w:szCs w:val="20"/>
              </w:rPr>
            </w:pPr>
            <w:r>
              <w:rPr>
                <w:rFonts w:cs="Arial"/>
                <w:sz w:val="20"/>
                <w:szCs w:val="20"/>
              </w:rPr>
              <w:t>3.41</w:t>
            </w:r>
          </w:p>
        </w:tc>
      </w:tr>
      <w:tr w:rsidR="00F1585E" w:rsidRPr="001D03A8" w14:paraId="2890C34D" w14:textId="77777777" w:rsidTr="0042728D">
        <w:trPr>
          <w:jc w:val="center"/>
        </w:trPr>
        <w:tc>
          <w:tcPr>
            <w:tcW w:w="3618" w:type="dxa"/>
            <w:vAlign w:val="bottom"/>
          </w:tcPr>
          <w:p w14:paraId="2C2C25E9" w14:textId="77777777" w:rsidR="00F1585E" w:rsidRPr="001D03A8" w:rsidRDefault="00F1585E" w:rsidP="0037296A">
            <w:pPr>
              <w:rPr>
                <w:rFonts w:cs="Arial"/>
                <w:sz w:val="20"/>
                <w:szCs w:val="20"/>
              </w:rPr>
            </w:pPr>
            <w:r w:rsidRPr="001D03A8">
              <w:rPr>
                <w:rFonts w:cs="Arial"/>
                <w:sz w:val="20"/>
                <w:szCs w:val="20"/>
              </w:rPr>
              <w:t>Texas</w:t>
            </w:r>
          </w:p>
        </w:tc>
        <w:tc>
          <w:tcPr>
            <w:tcW w:w="1957" w:type="dxa"/>
          </w:tcPr>
          <w:p w14:paraId="34B71650" w14:textId="64CF9A4E" w:rsidR="00F1585E" w:rsidRPr="001D03A8" w:rsidRDefault="004A1176" w:rsidP="0037296A">
            <w:pPr>
              <w:jc w:val="center"/>
              <w:rPr>
                <w:rFonts w:cs="Arial"/>
                <w:sz w:val="20"/>
                <w:szCs w:val="20"/>
              </w:rPr>
            </w:pPr>
            <w:r>
              <w:rPr>
                <w:rFonts w:cs="Arial"/>
                <w:sz w:val="20"/>
                <w:szCs w:val="20"/>
              </w:rPr>
              <w:t>2.</w:t>
            </w:r>
            <w:r w:rsidR="0042728D">
              <w:rPr>
                <w:rFonts w:cs="Arial"/>
                <w:sz w:val="20"/>
                <w:szCs w:val="20"/>
              </w:rPr>
              <w:t>62</w:t>
            </w:r>
          </w:p>
        </w:tc>
      </w:tr>
      <w:tr w:rsidR="00F1585E" w:rsidRPr="001D03A8" w14:paraId="60CBF923" w14:textId="77777777" w:rsidTr="0042728D">
        <w:trPr>
          <w:jc w:val="center"/>
        </w:trPr>
        <w:tc>
          <w:tcPr>
            <w:tcW w:w="3618" w:type="dxa"/>
            <w:vAlign w:val="bottom"/>
          </w:tcPr>
          <w:p w14:paraId="54A1399D" w14:textId="77777777" w:rsidR="00F1585E" w:rsidRPr="001D03A8" w:rsidRDefault="00F1585E" w:rsidP="0037296A">
            <w:pPr>
              <w:rPr>
                <w:rFonts w:cs="Arial"/>
                <w:sz w:val="20"/>
                <w:szCs w:val="20"/>
              </w:rPr>
            </w:pPr>
            <w:r w:rsidRPr="001D03A8">
              <w:rPr>
                <w:rFonts w:cs="Arial"/>
                <w:sz w:val="20"/>
                <w:szCs w:val="20"/>
              </w:rPr>
              <w:t>Arizona</w:t>
            </w:r>
          </w:p>
        </w:tc>
        <w:tc>
          <w:tcPr>
            <w:tcW w:w="1957" w:type="dxa"/>
          </w:tcPr>
          <w:p w14:paraId="482C114E" w14:textId="0D8066D9" w:rsidR="00F1585E" w:rsidRPr="001D03A8" w:rsidRDefault="0042728D" w:rsidP="0037296A">
            <w:pPr>
              <w:jc w:val="center"/>
              <w:rPr>
                <w:rFonts w:cs="Arial"/>
                <w:sz w:val="20"/>
                <w:szCs w:val="20"/>
              </w:rPr>
            </w:pPr>
            <w:r>
              <w:rPr>
                <w:rFonts w:cs="Arial"/>
                <w:sz w:val="20"/>
                <w:szCs w:val="20"/>
              </w:rPr>
              <w:t>3.49</w:t>
            </w:r>
          </w:p>
        </w:tc>
      </w:tr>
      <w:tr w:rsidR="00F1585E" w:rsidRPr="001D03A8" w14:paraId="5A727D9C" w14:textId="77777777" w:rsidTr="00A05FE2">
        <w:trPr>
          <w:trHeight w:val="530"/>
          <w:jc w:val="center"/>
        </w:trPr>
        <w:tc>
          <w:tcPr>
            <w:tcW w:w="3618" w:type="dxa"/>
            <w:vAlign w:val="bottom"/>
          </w:tcPr>
          <w:p w14:paraId="0C21A409" w14:textId="77777777" w:rsidR="00F1585E" w:rsidRPr="001D03A8" w:rsidRDefault="00F1585E" w:rsidP="0037296A">
            <w:pPr>
              <w:rPr>
                <w:rFonts w:cs="Arial"/>
                <w:sz w:val="20"/>
                <w:szCs w:val="20"/>
              </w:rPr>
            </w:pPr>
            <w:r w:rsidRPr="001D03A8">
              <w:rPr>
                <w:rFonts w:cs="Arial"/>
                <w:sz w:val="20"/>
                <w:szCs w:val="20"/>
              </w:rPr>
              <w:t>Alaska</w:t>
            </w:r>
          </w:p>
        </w:tc>
        <w:tc>
          <w:tcPr>
            <w:tcW w:w="1957" w:type="dxa"/>
          </w:tcPr>
          <w:p w14:paraId="019EAB77" w14:textId="11F653DF" w:rsidR="00F1585E" w:rsidRPr="001D03A8" w:rsidRDefault="0042728D" w:rsidP="0037296A">
            <w:pPr>
              <w:jc w:val="center"/>
              <w:rPr>
                <w:rFonts w:cs="Arial"/>
                <w:sz w:val="20"/>
                <w:szCs w:val="20"/>
              </w:rPr>
            </w:pPr>
            <w:r>
              <w:rPr>
                <w:rFonts w:cs="Arial"/>
                <w:sz w:val="20"/>
                <w:szCs w:val="20"/>
              </w:rPr>
              <w:t>3.36</w:t>
            </w:r>
          </w:p>
        </w:tc>
      </w:tr>
      <w:tr w:rsidR="00A05FE2" w:rsidRPr="001D03A8" w14:paraId="172BF744" w14:textId="77777777" w:rsidTr="0042728D">
        <w:trPr>
          <w:trHeight w:val="530"/>
          <w:jc w:val="center"/>
        </w:trPr>
        <w:tc>
          <w:tcPr>
            <w:tcW w:w="3618" w:type="dxa"/>
            <w:tcBorders>
              <w:bottom w:val="double" w:sz="4" w:space="0" w:color="auto"/>
            </w:tcBorders>
            <w:vAlign w:val="bottom"/>
          </w:tcPr>
          <w:p w14:paraId="1772560D" w14:textId="0CB998F7" w:rsidR="00A05FE2" w:rsidRPr="001D03A8" w:rsidRDefault="00A05FE2" w:rsidP="0037296A">
            <w:pPr>
              <w:rPr>
                <w:rFonts w:cs="Arial"/>
                <w:sz w:val="20"/>
                <w:szCs w:val="20"/>
              </w:rPr>
            </w:pPr>
            <w:r>
              <w:rPr>
                <w:rFonts w:cs="Arial"/>
                <w:sz w:val="20"/>
                <w:szCs w:val="20"/>
              </w:rPr>
              <w:t>U.S. Average</w:t>
            </w:r>
          </w:p>
        </w:tc>
        <w:tc>
          <w:tcPr>
            <w:tcW w:w="1957" w:type="dxa"/>
            <w:tcBorders>
              <w:bottom w:val="double" w:sz="4" w:space="0" w:color="auto"/>
            </w:tcBorders>
          </w:tcPr>
          <w:p w14:paraId="185BDCA2" w14:textId="472DE41E" w:rsidR="00A05FE2" w:rsidRDefault="00A05FE2" w:rsidP="0037296A">
            <w:pPr>
              <w:jc w:val="center"/>
              <w:rPr>
                <w:rFonts w:cs="Arial"/>
                <w:sz w:val="20"/>
                <w:szCs w:val="20"/>
              </w:rPr>
            </w:pPr>
            <w:r>
              <w:rPr>
                <w:rFonts w:cs="Arial"/>
                <w:sz w:val="20"/>
                <w:szCs w:val="20"/>
              </w:rPr>
              <w:t>3.16</w:t>
            </w:r>
          </w:p>
        </w:tc>
      </w:tr>
    </w:tbl>
    <w:p w14:paraId="536FA9BE" w14:textId="77777777" w:rsidR="00F1585E" w:rsidRDefault="00F1585E" w:rsidP="001D03A8">
      <w:pPr>
        <w:spacing w:before="0" w:after="0"/>
        <w:rPr>
          <w:rFonts w:cs="Arial"/>
        </w:rPr>
      </w:pPr>
    </w:p>
    <w:p w14:paraId="4811541B" w14:textId="77777777" w:rsidR="00172225" w:rsidRPr="001D03A8" w:rsidRDefault="00172225" w:rsidP="00172225">
      <w:pPr>
        <w:rPr>
          <w:rFonts w:cs="Arial"/>
          <w:sz w:val="18"/>
          <w:szCs w:val="18"/>
        </w:rPr>
      </w:pPr>
      <w:r w:rsidRPr="001D03A8">
        <w:rPr>
          <w:rFonts w:cs="Arial"/>
          <w:sz w:val="18"/>
          <w:szCs w:val="18"/>
        </w:rPr>
        <w:t>Source:</w:t>
      </w:r>
    </w:p>
    <w:p w14:paraId="5BD46E84" w14:textId="0F36B75E" w:rsidR="00172225" w:rsidRPr="001D03A8" w:rsidRDefault="00172225" w:rsidP="00172225">
      <w:pPr>
        <w:rPr>
          <w:rFonts w:cs="Arial"/>
          <w:b/>
          <w:sz w:val="18"/>
          <w:szCs w:val="18"/>
        </w:rPr>
      </w:pPr>
      <w:r>
        <w:rPr>
          <w:rFonts w:cs="Arial"/>
          <w:sz w:val="18"/>
          <w:szCs w:val="18"/>
        </w:rPr>
        <w:t>Nursing Facility Overall Quality Ratings</w:t>
      </w:r>
      <w:r w:rsidR="004A1176">
        <w:rPr>
          <w:rFonts w:cs="Arial"/>
          <w:sz w:val="18"/>
          <w:szCs w:val="18"/>
        </w:rPr>
        <w:t>: Star Ratings published on the Nursing Home Data Compare website</w:t>
      </w:r>
      <w:r w:rsidRPr="001D03A8">
        <w:rPr>
          <w:rFonts w:cs="Arial"/>
          <w:sz w:val="18"/>
          <w:szCs w:val="18"/>
        </w:rPr>
        <w:t>.</w:t>
      </w:r>
    </w:p>
    <w:p w14:paraId="7DCFB769" w14:textId="77777777" w:rsidR="00F1585E" w:rsidRDefault="00F1585E" w:rsidP="001D03A8">
      <w:pPr>
        <w:spacing w:before="0" w:after="0"/>
        <w:rPr>
          <w:rFonts w:cs="Arial"/>
        </w:rPr>
      </w:pPr>
    </w:p>
    <w:p w14:paraId="3F17EAD4" w14:textId="2E74A6EB" w:rsidR="00F419E8" w:rsidRPr="00F1585E" w:rsidRDefault="004A1176" w:rsidP="001D03A8">
      <w:pPr>
        <w:spacing w:before="0" w:after="0"/>
        <w:rPr>
          <w:rFonts w:cs="Arial"/>
        </w:rPr>
      </w:pPr>
      <w:r>
        <w:rPr>
          <w:rFonts w:cs="Arial"/>
        </w:rPr>
        <w:t>Based on the average statewide quality ratings, it appears that Washington</w:t>
      </w:r>
      <w:r w:rsidR="00F419E8">
        <w:rPr>
          <w:rFonts w:cs="Arial"/>
        </w:rPr>
        <w:t xml:space="preserve"> falls in the middle of the ranking.  There are three states with higher average overall quality ratings and four states with lower average ratings.  Therefore, it appears that nursing facility quality, as measured by the Five-Star overall quality ratings, in Washington is in line with quality across other states</w:t>
      </w:r>
      <w:r w:rsidR="00A05FE2">
        <w:rPr>
          <w:rFonts w:cs="Arial"/>
        </w:rPr>
        <w:t xml:space="preserve"> identified and is higher than the average nursing facility quality nationwide</w:t>
      </w:r>
      <w:r w:rsidR="00F419E8">
        <w:rPr>
          <w:rFonts w:cs="Arial"/>
        </w:rPr>
        <w:t xml:space="preserve">.  </w:t>
      </w:r>
    </w:p>
    <w:p w14:paraId="4A80B0CB" w14:textId="77777777" w:rsidR="00E45358" w:rsidRDefault="00E45358" w:rsidP="001D03A8">
      <w:pPr>
        <w:spacing w:before="0" w:after="0"/>
        <w:rPr>
          <w:rFonts w:cs="Arial"/>
        </w:rPr>
      </w:pPr>
    </w:p>
    <w:p w14:paraId="46952911" w14:textId="77777777" w:rsidR="00A05FE2" w:rsidRPr="001D03A8" w:rsidRDefault="00A05FE2" w:rsidP="001D03A8">
      <w:pPr>
        <w:spacing w:before="0" w:after="0"/>
        <w:rPr>
          <w:rFonts w:cs="Arial"/>
        </w:rPr>
      </w:pPr>
    </w:p>
    <w:p w14:paraId="0EE1BA2B" w14:textId="77777777" w:rsidR="001223AC" w:rsidRPr="001D03A8" w:rsidRDefault="001223AC" w:rsidP="001D03A8">
      <w:pPr>
        <w:spacing w:before="0" w:after="0"/>
        <w:rPr>
          <w:rFonts w:cs="Arial"/>
          <w:b/>
        </w:rPr>
      </w:pPr>
      <w:r w:rsidRPr="001D03A8">
        <w:rPr>
          <w:rFonts w:cs="Arial"/>
          <w:b/>
        </w:rPr>
        <w:lastRenderedPageBreak/>
        <w:t>Conclusion</w:t>
      </w:r>
    </w:p>
    <w:p w14:paraId="04AFB8F9" w14:textId="77777777" w:rsidR="001223AC" w:rsidRPr="001D03A8" w:rsidRDefault="001223AC" w:rsidP="001D03A8">
      <w:pPr>
        <w:spacing w:before="0" w:after="0"/>
        <w:rPr>
          <w:rFonts w:cs="Arial"/>
        </w:rPr>
      </w:pPr>
    </w:p>
    <w:p w14:paraId="40E31AEE" w14:textId="727B12AD" w:rsidR="00F419E8" w:rsidRDefault="001223AC" w:rsidP="00BA3816">
      <w:pPr>
        <w:spacing w:before="0" w:after="0"/>
        <w:rPr>
          <w:rFonts w:cs="Arial"/>
        </w:rPr>
      </w:pPr>
      <w:r w:rsidRPr="001D03A8">
        <w:rPr>
          <w:rFonts w:cs="Arial"/>
        </w:rPr>
        <w:t xml:space="preserve">Based on the analyses shown in this section, it appears that quality of care, as measured by the metrics described, compares favorably to other states analyzed.  </w:t>
      </w:r>
      <w:r w:rsidR="00233C06">
        <w:rPr>
          <w:rFonts w:cs="Arial"/>
        </w:rPr>
        <w:t xml:space="preserve">It appears that the percentage of citations leading to actual harm or immediate jeopardy to residents </w:t>
      </w:r>
      <w:r w:rsidR="00BA3816">
        <w:rPr>
          <w:rFonts w:cs="Arial"/>
        </w:rPr>
        <w:t xml:space="preserve">across several severities </w:t>
      </w:r>
      <w:r w:rsidR="00233C06">
        <w:rPr>
          <w:rFonts w:cs="Arial"/>
        </w:rPr>
        <w:t xml:space="preserve">in for Washington is lower than the national average as well as the </w:t>
      </w:r>
      <w:r w:rsidR="00BA3816">
        <w:rPr>
          <w:rFonts w:cs="Arial"/>
        </w:rPr>
        <w:t>average percentage across the states ident</w:t>
      </w:r>
      <w:r w:rsidR="00F419E8">
        <w:rPr>
          <w:rFonts w:cs="Arial"/>
        </w:rPr>
        <w:t>ified earlier in this section.  In addition, it appears that nursing facility quality is in line with nursin</w:t>
      </w:r>
      <w:r w:rsidR="00A05FE2">
        <w:rPr>
          <w:rFonts w:cs="Arial"/>
        </w:rPr>
        <w:t xml:space="preserve">g facility quality across the </w:t>
      </w:r>
      <w:r w:rsidR="00F419E8">
        <w:rPr>
          <w:rFonts w:cs="Arial"/>
        </w:rPr>
        <w:t xml:space="preserve">states </w:t>
      </w:r>
      <w:r w:rsidR="00A05FE2">
        <w:rPr>
          <w:rFonts w:cs="Arial"/>
        </w:rPr>
        <w:t xml:space="preserve">identified in the report and is higher than the nationwide average quality </w:t>
      </w:r>
      <w:r w:rsidR="00F419E8">
        <w:rPr>
          <w:rFonts w:cs="Arial"/>
        </w:rPr>
        <w:t xml:space="preserve">as measured by the Five-Star overall quality ratings for nursing facilities.  </w:t>
      </w:r>
    </w:p>
    <w:p w14:paraId="303F4BC0" w14:textId="77777777" w:rsidR="00F419E8" w:rsidRDefault="00F419E8" w:rsidP="00BA3816">
      <w:pPr>
        <w:spacing w:before="0" w:after="0"/>
        <w:rPr>
          <w:rFonts w:cs="Arial"/>
        </w:rPr>
      </w:pPr>
    </w:p>
    <w:p w14:paraId="1B801BC6" w14:textId="60124853" w:rsidR="0066093E" w:rsidRPr="00BA3816" w:rsidRDefault="001223AC" w:rsidP="00BA3816">
      <w:pPr>
        <w:spacing w:before="0" w:after="0"/>
        <w:rPr>
          <w:rFonts w:cs="Arial"/>
        </w:rPr>
      </w:pPr>
      <w:r w:rsidRPr="001D03A8">
        <w:rPr>
          <w:rFonts w:cs="Arial"/>
        </w:rPr>
        <w:t>Understanding that there is a lag in the timing of the reporting of these deficiency criteria (the most current from 201</w:t>
      </w:r>
      <w:r w:rsidR="00F94AD9">
        <w:rPr>
          <w:rFonts w:cs="Arial"/>
        </w:rPr>
        <w:t>4</w:t>
      </w:r>
      <w:r w:rsidRPr="001D03A8">
        <w:rPr>
          <w:rFonts w:cs="Arial"/>
        </w:rPr>
        <w:t>), it is difficult to correlate such changes to changes in the Medicaid rates paid for services.  While we believe that the quality of care provided in Washington’s nursing facilities is generally adequate, we would recommend that the Department continue to monitor subsequent survey results to determine if the same trends contin</w:t>
      </w:r>
      <w:r w:rsidR="008A2F41">
        <w:rPr>
          <w:rFonts w:cs="Arial"/>
        </w:rPr>
        <w:t xml:space="preserve">ue.  </w:t>
      </w:r>
      <w:r w:rsidR="0066093E" w:rsidRPr="001D03A8">
        <w:rPr>
          <w:rFonts w:cs="Arial"/>
          <w:b/>
        </w:rPr>
        <w:br w:type="page"/>
      </w:r>
    </w:p>
    <w:p w14:paraId="1CB62C29" w14:textId="38453F1A" w:rsidR="00D91805" w:rsidRDefault="00A448C5" w:rsidP="001D03A8">
      <w:pPr>
        <w:pStyle w:val="Heading1"/>
        <w:tabs>
          <w:tab w:val="left" w:pos="2160"/>
        </w:tabs>
        <w:spacing w:before="360"/>
      </w:pPr>
      <w:bookmarkStart w:id="4" w:name="_Toc443652683"/>
      <w:r>
        <w:lastRenderedPageBreak/>
        <w:t>Section IV</w:t>
      </w:r>
      <w:r w:rsidR="008B33DD">
        <w:t xml:space="preserve">: </w:t>
      </w:r>
      <w:r w:rsidR="001D03A8">
        <w:t>Payment</w:t>
      </w:r>
      <w:r w:rsidR="00EF4C71">
        <w:t xml:space="preserve"> Rate</w:t>
      </w:r>
      <w:r w:rsidR="001D03A8">
        <w:t xml:space="preserve"> Analysis</w:t>
      </w:r>
      <w:bookmarkEnd w:id="4"/>
    </w:p>
    <w:p w14:paraId="13C8E156" w14:textId="76EB3461" w:rsidR="001D03A8" w:rsidRDefault="001D03A8" w:rsidP="001D03A8">
      <w:pPr>
        <w:spacing w:before="0" w:after="0"/>
        <w:rPr>
          <w:rFonts w:cs="Arial"/>
        </w:rPr>
      </w:pPr>
      <w:r w:rsidRPr="001D03A8">
        <w:rPr>
          <w:rFonts w:cs="Arial"/>
        </w:rPr>
        <w:t>In this section, we describe our analysis of payments under the current Medicaid payment methodology in relation to the allowable costs incurred by nursing facilities for serving Medicaid-eligible residents.  First, we estimated what Medicaid allowable costs will be for SFY</w:t>
      </w:r>
      <w:r w:rsidR="00B51CFE">
        <w:rPr>
          <w:rFonts w:cs="Arial"/>
        </w:rPr>
        <w:t>s</w:t>
      </w:r>
      <w:r w:rsidRPr="001D03A8">
        <w:rPr>
          <w:rFonts w:cs="Arial"/>
        </w:rPr>
        <w:t xml:space="preserve"> 201</w:t>
      </w:r>
      <w:r w:rsidR="003B07B0">
        <w:rPr>
          <w:rFonts w:cs="Arial"/>
        </w:rPr>
        <w:t>8</w:t>
      </w:r>
      <w:r w:rsidRPr="001D03A8">
        <w:rPr>
          <w:rFonts w:cs="Arial"/>
        </w:rPr>
        <w:t xml:space="preserve"> </w:t>
      </w:r>
      <w:r w:rsidR="003B07B0">
        <w:rPr>
          <w:rFonts w:cs="Arial"/>
        </w:rPr>
        <w:t xml:space="preserve">and 2019 </w:t>
      </w:r>
      <w:r w:rsidRPr="001D03A8">
        <w:rPr>
          <w:rFonts w:cs="Arial"/>
        </w:rPr>
        <w:t xml:space="preserve">using historical cost data </w:t>
      </w:r>
      <w:r w:rsidR="00740698">
        <w:rPr>
          <w:rFonts w:cs="Arial"/>
        </w:rPr>
        <w:t xml:space="preserve">from CY 2015 </w:t>
      </w:r>
      <w:r w:rsidRPr="001D03A8">
        <w:rPr>
          <w:rFonts w:cs="Arial"/>
        </w:rPr>
        <w:t>reported by the State’s nursing facilities, adjusted to reflect trends in inflation to SFY</w:t>
      </w:r>
      <w:r w:rsidR="00002E06">
        <w:rPr>
          <w:rFonts w:cs="Arial"/>
        </w:rPr>
        <w:t>s</w:t>
      </w:r>
      <w:r w:rsidRPr="001D03A8">
        <w:rPr>
          <w:rFonts w:cs="Arial"/>
        </w:rPr>
        <w:t xml:space="preserve"> 201</w:t>
      </w:r>
      <w:r w:rsidR="003B07B0">
        <w:rPr>
          <w:rFonts w:cs="Arial"/>
        </w:rPr>
        <w:t>8 and 2019</w:t>
      </w:r>
      <w:r w:rsidRPr="001D03A8">
        <w:rPr>
          <w:rFonts w:cs="Arial"/>
        </w:rPr>
        <w:t>.  We then compared the estimated SFY</w:t>
      </w:r>
      <w:r w:rsidR="00002E06">
        <w:rPr>
          <w:rFonts w:cs="Arial"/>
        </w:rPr>
        <w:t>s</w:t>
      </w:r>
      <w:r w:rsidRPr="001D03A8">
        <w:rPr>
          <w:rFonts w:cs="Arial"/>
        </w:rPr>
        <w:t xml:space="preserve"> 201</w:t>
      </w:r>
      <w:r w:rsidR="003B07B0">
        <w:rPr>
          <w:rFonts w:cs="Arial"/>
        </w:rPr>
        <w:t>8</w:t>
      </w:r>
      <w:r w:rsidRPr="001D03A8">
        <w:rPr>
          <w:rFonts w:cs="Arial"/>
        </w:rPr>
        <w:t xml:space="preserve"> </w:t>
      </w:r>
      <w:r w:rsidR="003B07B0">
        <w:rPr>
          <w:rFonts w:cs="Arial"/>
        </w:rPr>
        <w:t xml:space="preserve">and 2019 </w:t>
      </w:r>
      <w:r w:rsidRPr="001D03A8">
        <w:rPr>
          <w:rFonts w:cs="Arial"/>
        </w:rPr>
        <w:t xml:space="preserve">costs to an estimate of Medicaid payments for the same period, based on </w:t>
      </w:r>
      <w:r w:rsidR="004C35B2">
        <w:rPr>
          <w:rFonts w:cs="Arial"/>
        </w:rPr>
        <w:t xml:space="preserve">the </w:t>
      </w:r>
      <w:r w:rsidRPr="001D03A8">
        <w:rPr>
          <w:rFonts w:cs="Arial"/>
        </w:rPr>
        <w:t>weighted average of payment rates for all of SFY</w:t>
      </w:r>
      <w:r w:rsidR="00002E06">
        <w:rPr>
          <w:rFonts w:cs="Arial"/>
        </w:rPr>
        <w:t>s</w:t>
      </w:r>
      <w:r w:rsidRPr="001D03A8">
        <w:rPr>
          <w:rFonts w:cs="Arial"/>
        </w:rPr>
        <w:t xml:space="preserve"> 201</w:t>
      </w:r>
      <w:r w:rsidR="003B07B0">
        <w:rPr>
          <w:rFonts w:cs="Arial"/>
        </w:rPr>
        <w:t>8 and 2019</w:t>
      </w:r>
      <w:r w:rsidRPr="001D03A8">
        <w:rPr>
          <w:rFonts w:cs="Arial"/>
        </w:rPr>
        <w:t>.</w:t>
      </w:r>
    </w:p>
    <w:p w14:paraId="5ACE6376" w14:textId="77777777" w:rsidR="00EF4C71" w:rsidRDefault="00EF4C71" w:rsidP="001D03A8">
      <w:pPr>
        <w:spacing w:before="0" w:after="0"/>
        <w:rPr>
          <w:rFonts w:cs="Arial"/>
        </w:rPr>
      </w:pPr>
    </w:p>
    <w:p w14:paraId="3340F855" w14:textId="77777777" w:rsidR="00EF4C71" w:rsidRDefault="00EF4C71" w:rsidP="001D03A8">
      <w:pPr>
        <w:spacing w:before="0" w:after="0"/>
        <w:rPr>
          <w:rFonts w:cs="Arial"/>
        </w:rPr>
      </w:pPr>
      <w:r>
        <w:rPr>
          <w:rFonts w:cs="Arial"/>
        </w:rPr>
        <w:t xml:space="preserve">In addition, we examine Medicare and commercial reimbursement rate levels for nursing facility services in Washington.  We then compare these rates to Washington’s Medicaid reimbursement rates for SFYs 2018 and 2019.  </w:t>
      </w:r>
    </w:p>
    <w:p w14:paraId="3ACA8A7F" w14:textId="5E83AB6B" w:rsidR="00EF4C71" w:rsidRPr="001D03A8" w:rsidRDefault="00EF4C71" w:rsidP="001D03A8">
      <w:pPr>
        <w:spacing w:before="0" w:after="0"/>
        <w:rPr>
          <w:rFonts w:cs="Arial"/>
        </w:rPr>
      </w:pPr>
      <w:r>
        <w:rPr>
          <w:rFonts w:cs="Arial"/>
        </w:rPr>
        <w:t xml:space="preserve"> </w:t>
      </w:r>
    </w:p>
    <w:p w14:paraId="1C795BD0" w14:textId="77777777" w:rsidR="001D03A8" w:rsidRPr="001D03A8" w:rsidRDefault="001D03A8" w:rsidP="001D03A8">
      <w:pPr>
        <w:spacing w:before="0" w:after="0"/>
        <w:rPr>
          <w:rFonts w:cs="Arial"/>
        </w:rPr>
      </w:pPr>
    </w:p>
    <w:p w14:paraId="76C3FD8C" w14:textId="13D8B54D" w:rsidR="001D03A8" w:rsidRPr="001D03A8" w:rsidRDefault="001D03A8" w:rsidP="001D03A8">
      <w:pPr>
        <w:spacing w:before="0" w:after="0"/>
        <w:rPr>
          <w:rFonts w:cs="Arial"/>
          <w:b/>
        </w:rPr>
      </w:pPr>
      <w:r w:rsidRPr="001D03A8">
        <w:rPr>
          <w:rFonts w:cs="Arial"/>
          <w:b/>
        </w:rPr>
        <w:t>Estimation of Costs for State Fiscal Years Ended 201</w:t>
      </w:r>
      <w:r w:rsidR="003B07B0">
        <w:rPr>
          <w:rFonts w:cs="Arial"/>
          <w:b/>
        </w:rPr>
        <w:t>8 and 2019</w:t>
      </w:r>
    </w:p>
    <w:p w14:paraId="57E2CC88" w14:textId="77777777" w:rsidR="001D03A8" w:rsidRPr="001D03A8" w:rsidRDefault="001D03A8" w:rsidP="001D03A8">
      <w:pPr>
        <w:spacing w:before="0" w:after="0"/>
        <w:rPr>
          <w:rFonts w:cs="Arial"/>
          <w:i/>
        </w:rPr>
      </w:pPr>
    </w:p>
    <w:p w14:paraId="32CD742B" w14:textId="77777777" w:rsidR="001D03A8" w:rsidRPr="001D03A8" w:rsidRDefault="001D03A8" w:rsidP="001D03A8">
      <w:pPr>
        <w:keepNext/>
        <w:spacing w:before="0" w:after="0"/>
        <w:rPr>
          <w:rFonts w:cs="Arial"/>
          <w:u w:val="single"/>
        </w:rPr>
      </w:pPr>
      <w:r w:rsidRPr="001D03A8">
        <w:rPr>
          <w:rFonts w:cs="Arial"/>
          <w:u w:val="single"/>
        </w:rPr>
        <w:t>Base Costs</w:t>
      </w:r>
    </w:p>
    <w:p w14:paraId="0EEE6BA4" w14:textId="77777777" w:rsidR="001D03A8" w:rsidRPr="001D03A8" w:rsidRDefault="001D03A8" w:rsidP="001D03A8">
      <w:pPr>
        <w:keepNext/>
        <w:spacing w:before="0" w:after="0"/>
        <w:rPr>
          <w:rFonts w:cs="Arial"/>
          <w:u w:val="single"/>
        </w:rPr>
      </w:pPr>
    </w:p>
    <w:p w14:paraId="1657161A" w14:textId="5973122D" w:rsidR="001D03A8" w:rsidRPr="001D03A8" w:rsidRDefault="001D03A8" w:rsidP="001D03A8">
      <w:pPr>
        <w:spacing w:before="0" w:after="0"/>
        <w:rPr>
          <w:rFonts w:cs="Arial"/>
        </w:rPr>
      </w:pPr>
      <w:r w:rsidRPr="001D03A8">
        <w:rPr>
          <w:rFonts w:cs="Arial"/>
        </w:rPr>
        <w:t>We estimated Medicaid costs using calendar year 201</w:t>
      </w:r>
      <w:r w:rsidR="003B07B0">
        <w:rPr>
          <w:rFonts w:cs="Arial"/>
        </w:rPr>
        <w:t>5</w:t>
      </w:r>
      <w:r w:rsidRPr="001D03A8">
        <w:rPr>
          <w:rFonts w:cs="Arial"/>
        </w:rPr>
        <w:t xml:space="preserve"> adjusted costs and resident days data provided by the Department.  The data provided by the Department included the 207 nursing facilities that currently participate in the Medicaid program, and included five cost categories:  Direct Care (DC) costs, Therapy Care (TC) costs, Support Services (SS) costs, Operations (OP) costs, and Property (PR) costs.  These amounts were “adjusted” amounts that according to the Department included only “Medicaid allowable” costs. </w:t>
      </w:r>
      <w:r w:rsidR="008A2F41">
        <w:rPr>
          <w:rFonts w:cs="Arial"/>
        </w:rPr>
        <w:t xml:space="preserve"> </w:t>
      </w:r>
      <w:r w:rsidRPr="001D03A8">
        <w:rPr>
          <w:rFonts w:cs="Arial"/>
        </w:rPr>
        <w:t>These amounts were also adjusted to reflect the change in provider assessment costs between 201</w:t>
      </w:r>
      <w:r w:rsidR="003B07B0">
        <w:rPr>
          <w:rFonts w:cs="Arial"/>
        </w:rPr>
        <w:t>5</w:t>
      </w:r>
      <w:r w:rsidRPr="001D03A8">
        <w:rPr>
          <w:rFonts w:cs="Arial"/>
        </w:rPr>
        <w:t xml:space="preserve"> and 201</w:t>
      </w:r>
      <w:r w:rsidR="003B07B0">
        <w:rPr>
          <w:rFonts w:cs="Arial"/>
        </w:rPr>
        <w:t>8, and 2019</w:t>
      </w:r>
      <w:r w:rsidRPr="001D03A8">
        <w:rPr>
          <w:rFonts w:cs="Arial"/>
        </w:rPr>
        <w:t xml:space="preserve">. </w:t>
      </w:r>
      <w:r w:rsidR="008A2F41">
        <w:rPr>
          <w:rFonts w:cs="Arial"/>
        </w:rPr>
        <w:t xml:space="preserve"> </w:t>
      </w:r>
      <w:r w:rsidRPr="001D03A8">
        <w:rPr>
          <w:rFonts w:cs="Arial"/>
        </w:rPr>
        <w:t xml:space="preserve">We divided each cost category by adjusted total days to calculate an average cost per day for each of the five cost categories. </w:t>
      </w:r>
    </w:p>
    <w:p w14:paraId="27909FF5" w14:textId="77777777" w:rsidR="001D03A8" w:rsidRPr="001D03A8" w:rsidRDefault="001D03A8" w:rsidP="001D03A8">
      <w:pPr>
        <w:spacing w:before="0" w:after="0"/>
        <w:rPr>
          <w:rFonts w:cs="Arial"/>
        </w:rPr>
      </w:pPr>
    </w:p>
    <w:p w14:paraId="72554CCC" w14:textId="2DC7277C" w:rsidR="001D03A8" w:rsidRPr="001D03A8" w:rsidRDefault="004E20EF" w:rsidP="001D03A8">
      <w:pPr>
        <w:keepNext/>
        <w:spacing w:before="0" w:after="0"/>
        <w:rPr>
          <w:rFonts w:cs="Arial"/>
          <w:u w:val="single"/>
        </w:rPr>
      </w:pPr>
      <w:r>
        <w:rPr>
          <w:rFonts w:cs="Arial"/>
          <w:u w:val="single"/>
        </w:rPr>
        <w:t>Adjustment for Case-</w:t>
      </w:r>
      <w:r w:rsidR="001D03A8" w:rsidRPr="001D03A8">
        <w:rPr>
          <w:rFonts w:cs="Arial"/>
          <w:u w:val="single"/>
        </w:rPr>
        <w:t>Mix Index (CMI)</w:t>
      </w:r>
    </w:p>
    <w:p w14:paraId="4D70234C" w14:textId="77777777" w:rsidR="001D03A8" w:rsidRPr="001D03A8" w:rsidRDefault="001D03A8" w:rsidP="001D03A8">
      <w:pPr>
        <w:keepNext/>
        <w:spacing w:before="0" w:after="0"/>
        <w:rPr>
          <w:rFonts w:cs="Arial"/>
          <w:u w:val="single"/>
        </w:rPr>
      </w:pPr>
    </w:p>
    <w:p w14:paraId="6206F7BE" w14:textId="439994F6" w:rsidR="001D03A8" w:rsidRPr="001D03A8" w:rsidRDefault="001D03A8" w:rsidP="001D03A8">
      <w:pPr>
        <w:spacing w:before="0" w:after="0"/>
        <w:rPr>
          <w:rFonts w:cs="Arial"/>
        </w:rPr>
      </w:pPr>
      <w:r w:rsidRPr="001D03A8">
        <w:rPr>
          <w:rFonts w:cs="Arial"/>
        </w:rPr>
        <w:t xml:space="preserve">We adjusted the Direct Care cost component to take into account each </w:t>
      </w:r>
      <w:r w:rsidR="004E20EF">
        <w:rPr>
          <w:rFonts w:cs="Arial"/>
        </w:rPr>
        <w:t>nursing facility’s average case-</w:t>
      </w:r>
      <w:r w:rsidRPr="001D03A8">
        <w:rPr>
          <w:rFonts w:cs="Arial"/>
        </w:rPr>
        <w:t>mix index</w:t>
      </w:r>
      <w:r w:rsidRPr="001D03A8">
        <w:rPr>
          <w:rStyle w:val="FootnoteReference"/>
          <w:rFonts w:cs="Arial"/>
        </w:rPr>
        <w:footnoteReference w:id="6"/>
      </w:r>
      <w:r w:rsidRPr="001D03A8">
        <w:rPr>
          <w:rFonts w:cs="Arial"/>
        </w:rPr>
        <w:t>.  We divided each nursing facility’s average Direct Care cost per day by the average annual facility</w:t>
      </w:r>
      <w:r w:rsidR="00C95F10">
        <w:rPr>
          <w:rFonts w:cs="Arial"/>
        </w:rPr>
        <w:t>-</w:t>
      </w:r>
      <w:r w:rsidR="004E20EF">
        <w:rPr>
          <w:rFonts w:cs="Arial"/>
        </w:rPr>
        <w:t>wide case-</w:t>
      </w:r>
      <w:r w:rsidRPr="001D03A8">
        <w:rPr>
          <w:rFonts w:cs="Arial"/>
        </w:rPr>
        <w:t>mix index (CMI) from 201</w:t>
      </w:r>
      <w:r w:rsidR="003B07B0">
        <w:rPr>
          <w:rFonts w:cs="Arial"/>
        </w:rPr>
        <w:t>5</w:t>
      </w:r>
      <w:r w:rsidRPr="001D03A8">
        <w:rPr>
          <w:rStyle w:val="FootnoteReference"/>
          <w:rFonts w:cs="Arial"/>
        </w:rPr>
        <w:footnoteReference w:id="7"/>
      </w:r>
      <w:r w:rsidRPr="001D03A8">
        <w:rPr>
          <w:rFonts w:cs="Arial"/>
        </w:rPr>
        <w:t xml:space="preserve">.  The resulting amount was the average Direct Care cost per day adjusted to a facility CMI of 1.0. </w:t>
      </w:r>
    </w:p>
    <w:p w14:paraId="405B2BC2" w14:textId="77777777" w:rsidR="001D03A8" w:rsidRPr="001D03A8" w:rsidRDefault="001D03A8" w:rsidP="001D03A8">
      <w:pPr>
        <w:spacing w:before="0" w:after="0"/>
        <w:rPr>
          <w:rFonts w:cs="Arial"/>
        </w:rPr>
      </w:pPr>
    </w:p>
    <w:p w14:paraId="04AA955C" w14:textId="5993D758" w:rsidR="001D03A8" w:rsidRPr="001D03A8" w:rsidRDefault="001D03A8" w:rsidP="001D03A8">
      <w:pPr>
        <w:spacing w:before="0" w:after="0"/>
        <w:rPr>
          <w:rFonts w:cs="Arial"/>
        </w:rPr>
      </w:pPr>
      <w:r w:rsidRPr="001D03A8">
        <w:rPr>
          <w:rFonts w:cs="Arial"/>
        </w:rPr>
        <w:t>We then adjusted the Direct Care cost category to reflect the resource needs of Medicaid residents</w:t>
      </w:r>
      <w:r w:rsidR="004C35B2">
        <w:rPr>
          <w:rFonts w:cs="Arial"/>
        </w:rPr>
        <w:t xml:space="preserve"> during the same period</w:t>
      </w:r>
      <w:r w:rsidRPr="001D03A8">
        <w:rPr>
          <w:rFonts w:cs="Arial"/>
        </w:rPr>
        <w:t>.  To do this, we multiplied each nursing facility’s average Direct Care cost per day (which had been previously adjusted to reflect a facility CMI of 1.0) times the average facility-specific Medicaid CMI from the period of October 201</w:t>
      </w:r>
      <w:r w:rsidR="003B07B0">
        <w:rPr>
          <w:rFonts w:cs="Arial"/>
        </w:rPr>
        <w:t>5</w:t>
      </w:r>
      <w:r w:rsidRPr="001D03A8">
        <w:rPr>
          <w:rFonts w:cs="Arial"/>
        </w:rPr>
        <w:t xml:space="preserve"> through March 201</w:t>
      </w:r>
      <w:r w:rsidR="003B07B0">
        <w:rPr>
          <w:rFonts w:cs="Arial"/>
        </w:rPr>
        <w:t>6</w:t>
      </w:r>
      <w:r w:rsidRPr="001D03A8">
        <w:rPr>
          <w:rStyle w:val="FootnoteReference"/>
          <w:rFonts w:cs="Arial"/>
        </w:rPr>
        <w:footnoteReference w:id="8"/>
      </w:r>
      <w:r w:rsidRPr="001D03A8">
        <w:rPr>
          <w:rFonts w:cs="Arial"/>
        </w:rPr>
        <w:t xml:space="preserve">.  These indexes were the most recent </w:t>
      </w:r>
      <w:r w:rsidR="004C35B2">
        <w:rPr>
          <w:rFonts w:cs="Arial"/>
        </w:rPr>
        <w:t xml:space="preserve">Medicaid </w:t>
      </w:r>
      <w:r w:rsidRPr="001D03A8">
        <w:rPr>
          <w:rFonts w:cs="Arial"/>
        </w:rPr>
        <w:t>CMI data available.  The resulting amount was the average Direct Care cost per day adjusted for the facility’s Medicaid CMI.</w:t>
      </w:r>
    </w:p>
    <w:p w14:paraId="1F30A2C5" w14:textId="77777777" w:rsidR="001D03A8" w:rsidRDefault="001D03A8" w:rsidP="001D03A8">
      <w:pPr>
        <w:spacing w:before="0" w:after="0"/>
        <w:rPr>
          <w:rFonts w:cs="Arial"/>
          <w:i/>
        </w:rPr>
      </w:pPr>
    </w:p>
    <w:p w14:paraId="42646027" w14:textId="77777777" w:rsidR="00EF4C71" w:rsidRDefault="00EF4C71" w:rsidP="001D03A8">
      <w:pPr>
        <w:spacing w:before="0" w:after="0"/>
        <w:rPr>
          <w:rFonts w:cs="Arial"/>
          <w:i/>
        </w:rPr>
      </w:pPr>
    </w:p>
    <w:p w14:paraId="1FC99C59" w14:textId="77777777" w:rsidR="00EF4C71" w:rsidRDefault="00EF4C71" w:rsidP="001D03A8">
      <w:pPr>
        <w:spacing w:before="0" w:after="0"/>
        <w:rPr>
          <w:rFonts w:cs="Arial"/>
          <w:i/>
        </w:rPr>
      </w:pPr>
    </w:p>
    <w:p w14:paraId="23DD919E" w14:textId="3D45BAFF" w:rsidR="00711305" w:rsidRDefault="00711305" w:rsidP="00711305">
      <w:pPr>
        <w:spacing w:before="0" w:after="0"/>
        <w:rPr>
          <w:rFonts w:cs="Arial"/>
          <w:u w:val="single"/>
        </w:rPr>
      </w:pPr>
      <w:r>
        <w:rPr>
          <w:rFonts w:cs="Arial"/>
          <w:u w:val="single"/>
        </w:rPr>
        <w:lastRenderedPageBreak/>
        <w:t xml:space="preserve">Adjustment for </w:t>
      </w:r>
      <w:r w:rsidR="00BC3867">
        <w:rPr>
          <w:rFonts w:cs="Arial"/>
          <w:u w:val="single"/>
        </w:rPr>
        <w:t xml:space="preserve">Provider </w:t>
      </w:r>
      <w:r>
        <w:rPr>
          <w:rFonts w:cs="Arial"/>
          <w:u w:val="single"/>
        </w:rPr>
        <w:t>Assessment Costs</w:t>
      </w:r>
    </w:p>
    <w:p w14:paraId="062812D3" w14:textId="77777777" w:rsidR="00711305" w:rsidRDefault="00711305" w:rsidP="00711305">
      <w:pPr>
        <w:spacing w:before="0" w:after="0"/>
        <w:rPr>
          <w:rFonts w:cs="Arial"/>
          <w:u w:val="single"/>
        </w:rPr>
      </w:pPr>
    </w:p>
    <w:p w14:paraId="26C49867" w14:textId="58E4AAA0" w:rsidR="00711305" w:rsidRPr="00711305" w:rsidRDefault="00711305" w:rsidP="001D03A8">
      <w:pPr>
        <w:spacing w:before="0" w:after="0"/>
        <w:rPr>
          <w:rFonts w:cs="Arial"/>
        </w:rPr>
      </w:pPr>
      <w:r>
        <w:rPr>
          <w:rFonts w:cs="Arial"/>
        </w:rPr>
        <w:t>For this analysis it is also necessary to adjust costs to account for changes in the assessment costs for providers between 201</w:t>
      </w:r>
      <w:r w:rsidR="003B07B0">
        <w:rPr>
          <w:rFonts w:cs="Arial"/>
        </w:rPr>
        <w:t>5</w:t>
      </w:r>
      <w:r>
        <w:rPr>
          <w:rFonts w:cs="Arial"/>
        </w:rPr>
        <w:t xml:space="preserve"> and 201</w:t>
      </w:r>
      <w:r w:rsidR="003B07B0">
        <w:rPr>
          <w:rFonts w:cs="Arial"/>
        </w:rPr>
        <w:t>8, and 2019</w:t>
      </w:r>
      <w:r>
        <w:rPr>
          <w:rFonts w:cs="Arial"/>
        </w:rPr>
        <w:t>.  To make this adjustment, the first step is to remove CY 201</w:t>
      </w:r>
      <w:r w:rsidR="003B07B0">
        <w:rPr>
          <w:rFonts w:cs="Arial"/>
        </w:rPr>
        <w:t>5</w:t>
      </w:r>
      <w:r>
        <w:rPr>
          <w:rFonts w:cs="Arial"/>
        </w:rPr>
        <w:t xml:space="preserve"> assessment costs reported by providers in the cost report data from the CY 201</w:t>
      </w:r>
      <w:r w:rsidR="003B07B0">
        <w:rPr>
          <w:rFonts w:cs="Arial"/>
        </w:rPr>
        <w:t>5</w:t>
      </w:r>
      <w:r>
        <w:rPr>
          <w:rFonts w:cs="Arial"/>
        </w:rPr>
        <w:t xml:space="preserve"> operating costs reported since these costs represent the assessment costs incurred in CY 201</w:t>
      </w:r>
      <w:r w:rsidR="003B07B0">
        <w:rPr>
          <w:rFonts w:cs="Arial"/>
        </w:rPr>
        <w:t>5</w:t>
      </w:r>
      <w:r>
        <w:rPr>
          <w:rFonts w:cs="Arial"/>
        </w:rPr>
        <w:t xml:space="preserve"> under the assessment rate effective during that period.  We then estimated assessment costs for 201</w:t>
      </w:r>
      <w:r w:rsidR="003B07B0">
        <w:rPr>
          <w:rFonts w:cs="Arial"/>
        </w:rPr>
        <w:t>8</w:t>
      </w:r>
      <w:r>
        <w:rPr>
          <w:rFonts w:cs="Arial"/>
        </w:rPr>
        <w:t xml:space="preserve"> </w:t>
      </w:r>
      <w:r w:rsidR="003B07B0">
        <w:rPr>
          <w:rFonts w:cs="Arial"/>
        </w:rPr>
        <w:t xml:space="preserve">and 2019 </w:t>
      </w:r>
      <w:r>
        <w:rPr>
          <w:rFonts w:cs="Arial"/>
        </w:rPr>
        <w:t>based on the assessment rate</w:t>
      </w:r>
      <w:r w:rsidR="004C35B2">
        <w:rPr>
          <w:rFonts w:cs="Arial"/>
        </w:rPr>
        <w:t xml:space="preserve"> that will be</w:t>
      </w:r>
      <w:r>
        <w:rPr>
          <w:rFonts w:cs="Arial"/>
        </w:rPr>
        <w:t xml:space="preserve"> in effect for 201</w:t>
      </w:r>
      <w:r w:rsidR="003B07B0">
        <w:rPr>
          <w:rFonts w:cs="Arial"/>
        </w:rPr>
        <w:t>8</w:t>
      </w:r>
      <w:r>
        <w:rPr>
          <w:rFonts w:cs="Arial"/>
        </w:rPr>
        <w:t xml:space="preserve"> </w:t>
      </w:r>
      <w:r w:rsidR="003B07B0">
        <w:rPr>
          <w:rFonts w:cs="Arial"/>
        </w:rPr>
        <w:t xml:space="preserve">and 2019 </w:t>
      </w:r>
      <w:r>
        <w:rPr>
          <w:rFonts w:cs="Arial"/>
        </w:rPr>
        <w:t>and the number of days in CY 201</w:t>
      </w:r>
      <w:r w:rsidR="003B07B0">
        <w:rPr>
          <w:rFonts w:cs="Arial"/>
        </w:rPr>
        <w:t>5</w:t>
      </w:r>
      <w:r>
        <w:rPr>
          <w:rFonts w:cs="Arial"/>
        </w:rPr>
        <w:t xml:space="preserve"> that would be subject to the assessment.  These estimated assessment costs were then added to the</w:t>
      </w:r>
      <w:r w:rsidR="00BC3867">
        <w:rPr>
          <w:rFonts w:cs="Arial"/>
        </w:rPr>
        <w:t xml:space="preserve"> providers’</w:t>
      </w:r>
      <w:r>
        <w:rPr>
          <w:rFonts w:cs="Arial"/>
        </w:rPr>
        <w:t xml:space="preserve"> </w:t>
      </w:r>
      <w:r w:rsidR="00BC3867">
        <w:rPr>
          <w:rFonts w:cs="Arial"/>
        </w:rPr>
        <w:t>overall</w:t>
      </w:r>
      <w:r>
        <w:rPr>
          <w:rFonts w:cs="Arial"/>
        </w:rPr>
        <w:t xml:space="preserve"> cost</w:t>
      </w:r>
      <w:r w:rsidR="00BC3867">
        <w:rPr>
          <w:rFonts w:cs="Arial"/>
        </w:rPr>
        <w:t>s</w:t>
      </w:r>
      <w:r>
        <w:rPr>
          <w:rFonts w:cs="Arial"/>
        </w:rPr>
        <w:t xml:space="preserve"> for 201</w:t>
      </w:r>
      <w:r w:rsidR="003B07B0">
        <w:rPr>
          <w:rFonts w:cs="Arial"/>
        </w:rPr>
        <w:t>8</w:t>
      </w:r>
      <w:r>
        <w:rPr>
          <w:rFonts w:cs="Arial"/>
        </w:rPr>
        <w:t xml:space="preserve"> </w:t>
      </w:r>
      <w:r w:rsidR="003B07B0">
        <w:rPr>
          <w:rFonts w:cs="Arial"/>
        </w:rPr>
        <w:t xml:space="preserve">and 2019 </w:t>
      </w:r>
      <w:r>
        <w:rPr>
          <w:rFonts w:cs="Arial"/>
        </w:rPr>
        <w:t xml:space="preserve">in the analysis. </w:t>
      </w:r>
    </w:p>
    <w:p w14:paraId="5F1781DB" w14:textId="77777777" w:rsidR="00711305" w:rsidRPr="001D03A8" w:rsidRDefault="00711305" w:rsidP="001D03A8">
      <w:pPr>
        <w:spacing w:before="0" w:after="0"/>
        <w:rPr>
          <w:rFonts w:cs="Arial"/>
          <w:i/>
        </w:rPr>
      </w:pPr>
    </w:p>
    <w:p w14:paraId="27E129D2" w14:textId="77777777" w:rsidR="001D03A8" w:rsidRPr="001D03A8" w:rsidRDefault="001D03A8" w:rsidP="001D03A8">
      <w:pPr>
        <w:keepNext/>
        <w:spacing w:before="0" w:after="0"/>
        <w:rPr>
          <w:rFonts w:cs="Arial"/>
          <w:u w:val="single"/>
        </w:rPr>
      </w:pPr>
      <w:r w:rsidRPr="001D03A8">
        <w:rPr>
          <w:rFonts w:cs="Arial"/>
          <w:u w:val="single"/>
        </w:rPr>
        <w:t>Adjustment for Cost Growth</w:t>
      </w:r>
    </w:p>
    <w:p w14:paraId="040E375B" w14:textId="77777777" w:rsidR="001D03A8" w:rsidRPr="001D03A8" w:rsidRDefault="001D03A8" w:rsidP="001D03A8">
      <w:pPr>
        <w:keepNext/>
        <w:spacing w:before="0" w:after="0"/>
        <w:rPr>
          <w:rFonts w:cs="Arial"/>
          <w:u w:val="single"/>
        </w:rPr>
      </w:pPr>
    </w:p>
    <w:p w14:paraId="306E5E46" w14:textId="59BC9CF1" w:rsidR="001D03A8" w:rsidRPr="001D03A8" w:rsidRDefault="001D03A8" w:rsidP="001D03A8">
      <w:pPr>
        <w:spacing w:before="0" w:after="0"/>
        <w:rPr>
          <w:rFonts w:cs="Arial"/>
        </w:rPr>
      </w:pPr>
      <w:r w:rsidRPr="001D03A8">
        <w:rPr>
          <w:rFonts w:cs="Arial"/>
        </w:rPr>
        <w:t>To bring the 201</w:t>
      </w:r>
      <w:r w:rsidR="003B07B0">
        <w:rPr>
          <w:rFonts w:cs="Arial"/>
        </w:rPr>
        <w:t>5</w:t>
      </w:r>
      <w:r w:rsidRPr="001D03A8">
        <w:rPr>
          <w:rFonts w:cs="Arial"/>
        </w:rPr>
        <w:t xml:space="preserve"> costs forward to SFY</w:t>
      </w:r>
      <w:r w:rsidR="00002E06">
        <w:rPr>
          <w:rFonts w:cs="Arial"/>
        </w:rPr>
        <w:t>s</w:t>
      </w:r>
      <w:r w:rsidRPr="001D03A8">
        <w:rPr>
          <w:rFonts w:cs="Arial"/>
        </w:rPr>
        <w:t xml:space="preserve"> 201</w:t>
      </w:r>
      <w:r w:rsidR="003B07B0">
        <w:rPr>
          <w:rFonts w:cs="Arial"/>
        </w:rPr>
        <w:t>8 and 2019</w:t>
      </w:r>
      <w:r w:rsidRPr="001D03A8">
        <w:rPr>
          <w:rFonts w:cs="Arial"/>
        </w:rPr>
        <w:t xml:space="preserve">, we applied a cost growth factor.  The cost growth factor was calculated using the change in the CMS Prospective Payment System Skilled Nursing Facility Input Price Index.  We identified the index at the midpoint </w:t>
      </w:r>
      <w:r w:rsidR="003B07B0">
        <w:rPr>
          <w:rFonts w:cs="Arial"/>
        </w:rPr>
        <w:t>of each analysis year</w:t>
      </w:r>
      <w:r w:rsidRPr="001D03A8">
        <w:rPr>
          <w:rFonts w:cs="Arial"/>
        </w:rPr>
        <w:t xml:space="preserve"> </w:t>
      </w:r>
      <w:r w:rsidR="003B07B0">
        <w:rPr>
          <w:rFonts w:cs="Arial"/>
        </w:rPr>
        <w:t>(</w:t>
      </w:r>
      <w:r w:rsidRPr="001D03A8">
        <w:rPr>
          <w:rFonts w:cs="Arial"/>
        </w:rPr>
        <w:t>SFY 201</w:t>
      </w:r>
      <w:r w:rsidR="003B07B0">
        <w:rPr>
          <w:rFonts w:cs="Arial"/>
        </w:rPr>
        <w:t>8</w:t>
      </w:r>
      <w:r w:rsidRPr="001D03A8">
        <w:rPr>
          <w:rFonts w:cs="Arial"/>
        </w:rPr>
        <w:t xml:space="preserve"> </w:t>
      </w:r>
      <w:r w:rsidR="003B07B0">
        <w:rPr>
          <w:rFonts w:cs="Arial"/>
        </w:rPr>
        <w:t xml:space="preserve">and SFY 2019) </w:t>
      </w:r>
      <w:r w:rsidRPr="001D03A8">
        <w:rPr>
          <w:rFonts w:cs="Arial"/>
        </w:rPr>
        <w:t>and divided by the index at the midpoint of the 201</w:t>
      </w:r>
      <w:r w:rsidR="003B07B0">
        <w:rPr>
          <w:rFonts w:cs="Arial"/>
        </w:rPr>
        <w:t>5</w:t>
      </w:r>
      <w:r w:rsidRPr="001D03A8">
        <w:rPr>
          <w:rFonts w:cs="Arial"/>
        </w:rPr>
        <w:t xml:space="preserve"> cost year.  The resulting cost growth factor </w:t>
      </w:r>
      <w:r w:rsidR="003B07B0">
        <w:rPr>
          <w:rFonts w:cs="Arial"/>
        </w:rPr>
        <w:t xml:space="preserve">for SFY 2018 </w:t>
      </w:r>
      <w:r w:rsidRPr="001D03A8">
        <w:rPr>
          <w:rFonts w:cs="Arial"/>
        </w:rPr>
        <w:t>was 1.06</w:t>
      </w:r>
      <w:r w:rsidR="003B07B0">
        <w:rPr>
          <w:rFonts w:cs="Arial"/>
        </w:rPr>
        <w:t>7</w:t>
      </w:r>
      <w:r w:rsidRPr="001D03A8">
        <w:rPr>
          <w:rFonts w:cs="Arial"/>
        </w:rPr>
        <w:t>, or a 6.</w:t>
      </w:r>
      <w:r w:rsidR="003B07B0">
        <w:rPr>
          <w:rFonts w:cs="Arial"/>
        </w:rPr>
        <w:t>7</w:t>
      </w:r>
      <w:r w:rsidRPr="001D03A8">
        <w:rPr>
          <w:rFonts w:cs="Arial"/>
        </w:rPr>
        <w:t xml:space="preserve"> percent increase between CY 201</w:t>
      </w:r>
      <w:r w:rsidR="003B07B0">
        <w:rPr>
          <w:rFonts w:cs="Arial"/>
        </w:rPr>
        <w:t>5</w:t>
      </w:r>
      <w:r w:rsidRPr="001D03A8">
        <w:rPr>
          <w:rFonts w:cs="Arial"/>
        </w:rPr>
        <w:t xml:space="preserve"> and SFY 201</w:t>
      </w:r>
      <w:r w:rsidR="003B07B0">
        <w:rPr>
          <w:rFonts w:cs="Arial"/>
        </w:rPr>
        <w:t>8</w:t>
      </w:r>
      <w:r w:rsidRPr="001D03A8">
        <w:rPr>
          <w:rFonts w:cs="Arial"/>
        </w:rPr>
        <w:t xml:space="preserve">.  </w:t>
      </w:r>
      <w:r w:rsidR="00002E06">
        <w:rPr>
          <w:rFonts w:cs="Arial"/>
        </w:rPr>
        <w:t xml:space="preserve">The cost growth factor for SFY 2019 was 1.098, or a 9.8 percent increase between CY 2015 and SFY 2019.  </w:t>
      </w:r>
      <w:r w:rsidRPr="001D03A8">
        <w:rPr>
          <w:rFonts w:cs="Arial"/>
        </w:rPr>
        <w:t>Using the cost growth factor, we updated each of the average cost per day amounts for the cost components described previously to estimate the SFY</w:t>
      </w:r>
      <w:r w:rsidR="00002E06">
        <w:rPr>
          <w:rFonts w:cs="Arial"/>
        </w:rPr>
        <w:t>s</w:t>
      </w:r>
      <w:r w:rsidRPr="001D03A8">
        <w:rPr>
          <w:rFonts w:cs="Arial"/>
        </w:rPr>
        <w:t xml:space="preserve"> 201</w:t>
      </w:r>
      <w:r w:rsidR="00002E06">
        <w:rPr>
          <w:rFonts w:cs="Arial"/>
        </w:rPr>
        <w:t>8</w:t>
      </w:r>
      <w:r w:rsidRPr="001D03A8">
        <w:rPr>
          <w:rFonts w:cs="Arial"/>
        </w:rPr>
        <w:t xml:space="preserve"> </w:t>
      </w:r>
      <w:r w:rsidR="00002E06">
        <w:rPr>
          <w:rFonts w:cs="Arial"/>
        </w:rPr>
        <w:t xml:space="preserve">and 2019 </w:t>
      </w:r>
      <w:r w:rsidRPr="001D03A8">
        <w:rPr>
          <w:rFonts w:cs="Arial"/>
        </w:rPr>
        <w:t xml:space="preserve">amounts.  </w:t>
      </w:r>
    </w:p>
    <w:p w14:paraId="15237075" w14:textId="77777777" w:rsidR="001D03A8" w:rsidRPr="001D03A8" w:rsidRDefault="001D03A8" w:rsidP="001D03A8">
      <w:pPr>
        <w:spacing w:before="0" w:after="0"/>
        <w:rPr>
          <w:rFonts w:cs="Arial"/>
        </w:rPr>
      </w:pPr>
    </w:p>
    <w:p w14:paraId="48A01DBF" w14:textId="33DDB945" w:rsidR="001D03A8" w:rsidRDefault="001D03A8" w:rsidP="001D03A8">
      <w:pPr>
        <w:spacing w:before="0" w:after="0"/>
        <w:rPr>
          <w:rFonts w:cs="Arial"/>
        </w:rPr>
      </w:pPr>
      <w:r w:rsidRPr="001D03A8">
        <w:rPr>
          <w:rFonts w:cs="Arial"/>
        </w:rPr>
        <w:t>After applying the cost growth factor to each component, we added together all the cost components, including the Direct Care cost component adjusted for the most current Medicaid CMI described above, to calculate the total estimated average cost per day for SFY</w:t>
      </w:r>
      <w:r w:rsidR="00002E06">
        <w:rPr>
          <w:rFonts w:cs="Arial"/>
        </w:rPr>
        <w:t>s</w:t>
      </w:r>
      <w:r w:rsidRPr="001D03A8">
        <w:rPr>
          <w:rFonts w:cs="Arial"/>
        </w:rPr>
        <w:t xml:space="preserve"> 201</w:t>
      </w:r>
      <w:r w:rsidR="00002E06">
        <w:rPr>
          <w:rFonts w:cs="Arial"/>
        </w:rPr>
        <w:t>8 and 2019</w:t>
      </w:r>
      <w:r w:rsidRPr="001D03A8">
        <w:rPr>
          <w:rFonts w:cs="Arial"/>
        </w:rPr>
        <w:t>.</w:t>
      </w:r>
    </w:p>
    <w:p w14:paraId="256E5BD2" w14:textId="77777777" w:rsidR="00002E06" w:rsidRPr="001D03A8" w:rsidRDefault="00002E06" w:rsidP="001D03A8">
      <w:pPr>
        <w:spacing w:before="0" w:after="0"/>
        <w:rPr>
          <w:rFonts w:cs="Arial"/>
          <w:b/>
        </w:rPr>
      </w:pPr>
    </w:p>
    <w:p w14:paraId="41A20346" w14:textId="5C195F3C" w:rsidR="001D03A8" w:rsidRPr="001D03A8" w:rsidRDefault="001D03A8" w:rsidP="001D03A8">
      <w:pPr>
        <w:spacing w:before="0" w:after="0"/>
        <w:rPr>
          <w:rFonts w:cs="Arial"/>
          <w:b/>
        </w:rPr>
      </w:pPr>
      <w:r w:rsidRPr="001D03A8">
        <w:rPr>
          <w:rFonts w:cs="Arial"/>
          <w:b/>
        </w:rPr>
        <w:t>Estimation of Rates for State Fiscal Years Ended 201</w:t>
      </w:r>
      <w:r w:rsidR="00002E06">
        <w:rPr>
          <w:rFonts w:cs="Arial"/>
          <w:b/>
        </w:rPr>
        <w:t>8 and 2019</w:t>
      </w:r>
    </w:p>
    <w:p w14:paraId="7F647AEE" w14:textId="77777777" w:rsidR="001D03A8" w:rsidRPr="001D03A8" w:rsidRDefault="001D03A8" w:rsidP="001D03A8">
      <w:pPr>
        <w:keepNext/>
        <w:spacing w:before="0" w:after="0"/>
        <w:rPr>
          <w:rFonts w:cs="Arial"/>
          <w:u w:val="single"/>
        </w:rPr>
      </w:pPr>
    </w:p>
    <w:p w14:paraId="4CCCE8E2" w14:textId="32F99716" w:rsidR="001D03A8" w:rsidRPr="001D03A8" w:rsidRDefault="001D03A8" w:rsidP="001D03A8">
      <w:pPr>
        <w:keepNext/>
        <w:spacing w:before="0" w:after="0"/>
        <w:rPr>
          <w:rFonts w:cs="Arial"/>
        </w:rPr>
      </w:pPr>
      <w:r w:rsidRPr="001D03A8">
        <w:rPr>
          <w:rFonts w:cs="Arial"/>
        </w:rPr>
        <w:t>The rates utilized in this analysis were calculated and provided to us by the Department</w:t>
      </w:r>
      <w:r w:rsidR="001F1481" w:rsidRPr="001D03A8">
        <w:rPr>
          <w:rFonts w:cs="Arial"/>
        </w:rPr>
        <w:t xml:space="preserve">.  </w:t>
      </w:r>
      <w:r w:rsidRPr="001D03A8">
        <w:rPr>
          <w:rFonts w:cs="Arial"/>
        </w:rPr>
        <w:t xml:space="preserve">It is our understanding that the rate estimates are based on the methodology described in Section I of this report and in Appendix A and Appendix B. </w:t>
      </w:r>
    </w:p>
    <w:p w14:paraId="6C0EF9A5" w14:textId="77777777" w:rsidR="001D03A8" w:rsidRPr="001D03A8" w:rsidRDefault="001D03A8" w:rsidP="001D03A8">
      <w:pPr>
        <w:spacing w:before="0" w:after="0"/>
        <w:rPr>
          <w:rFonts w:cs="Arial"/>
        </w:rPr>
      </w:pPr>
    </w:p>
    <w:p w14:paraId="158C1D17" w14:textId="77777777" w:rsidR="001D03A8" w:rsidRPr="001D03A8" w:rsidRDefault="001D03A8" w:rsidP="001D03A8">
      <w:pPr>
        <w:keepNext/>
        <w:spacing w:before="0" w:after="0"/>
        <w:rPr>
          <w:rFonts w:cs="Arial"/>
          <w:u w:val="single"/>
        </w:rPr>
      </w:pPr>
      <w:r w:rsidRPr="001D03A8">
        <w:rPr>
          <w:rFonts w:cs="Arial"/>
          <w:u w:val="single"/>
        </w:rPr>
        <w:t>Other Considerations</w:t>
      </w:r>
    </w:p>
    <w:p w14:paraId="3B44AF6E" w14:textId="77777777" w:rsidR="001D03A8" w:rsidRPr="001D03A8" w:rsidRDefault="001D03A8" w:rsidP="001D03A8">
      <w:pPr>
        <w:keepNext/>
        <w:spacing w:before="0" w:after="0"/>
        <w:rPr>
          <w:rFonts w:cs="Arial"/>
          <w:u w:val="single"/>
        </w:rPr>
      </w:pPr>
    </w:p>
    <w:p w14:paraId="550AF204" w14:textId="29C28D2E" w:rsidR="001D03A8" w:rsidRPr="001D03A8" w:rsidRDefault="001D03A8" w:rsidP="001D03A8">
      <w:pPr>
        <w:spacing w:before="0" w:after="0"/>
        <w:rPr>
          <w:rFonts w:cs="Arial"/>
        </w:rPr>
      </w:pPr>
      <w:r w:rsidRPr="001D03A8">
        <w:rPr>
          <w:rFonts w:cs="Arial"/>
        </w:rPr>
        <w:t>It should be noted that in estimating the costs for SFY</w:t>
      </w:r>
      <w:r w:rsidR="00002E06">
        <w:rPr>
          <w:rFonts w:cs="Arial"/>
        </w:rPr>
        <w:t>s</w:t>
      </w:r>
      <w:r w:rsidRPr="001D03A8">
        <w:rPr>
          <w:rFonts w:cs="Arial"/>
        </w:rPr>
        <w:t xml:space="preserve"> 201</w:t>
      </w:r>
      <w:r w:rsidR="00002E06">
        <w:rPr>
          <w:rFonts w:cs="Arial"/>
        </w:rPr>
        <w:t>8 and 2019</w:t>
      </w:r>
      <w:r w:rsidRPr="001D03A8">
        <w:rPr>
          <w:rFonts w:cs="Arial"/>
        </w:rPr>
        <w:t>, we did not make any</w:t>
      </w:r>
      <w:r w:rsidR="004E20EF">
        <w:rPr>
          <w:rFonts w:cs="Arial"/>
        </w:rPr>
        <w:t xml:space="preserve"> adjustment for potential “case-</w:t>
      </w:r>
      <w:r w:rsidRPr="001D03A8">
        <w:rPr>
          <w:rFonts w:cs="Arial"/>
        </w:rPr>
        <w:t>mix creep”, or inherent increase in CMI over time.  We also did not adjust for potential “settlemen</w:t>
      </w:r>
      <w:r w:rsidR="00B12249">
        <w:rPr>
          <w:rFonts w:cs="Arial"/>
        </w:rPr>
        <w:t>ts” that are part of the new</w:t>
      </w:r>
      <w:r w:rsidRPr="001D03A8">
        <w:rPr>
          <w:rFonts w:cs="Arial"/>
        </w:rPr>
        <w:t xml:space="preserve"> rate setting process.</w:t>
      </w:r>
      <w:r w:rsidR="00CC09A6">
        <w:rPr>
          <w:rFonts w:cs="Arial"/>
        </w:rPr>
        <w:t xml:space="preserve">  Lastly, we did not make any adjustments for the BLS regional wage index </w:t>
      </w:r>
      <w:r w:rsidR="000066FD">
        <w:rPr>
          <w:rFonts w:cs="Arial"/>
        </w:rPr>
        <w:t xml:space="preserve">that is applied by the Department to the direct care component of the rates.  </w:t>
      </w:r>
    </w:p>
    <w:p w14:paraId="1FF3623D" w14:textId="77777777" w:rsidR="001D03A8" w:rsidRPr="001D03A8" w:rsidRDefault="001D03A8" w:rsidP="001D03A8">
      <w:pPr>
        <w:spacing w:before="0" w:after="0"/>
        <w:rPr>
          <w:rFonts w:cs="Arial"/>
          <w:b/>
        </w:rPr>
      </w:pPr>
    </w:p>
    <w:p w14:paraId="570C8F62" w14:textId="77777777" w:rsidR="001D03A8" w:rsidRPr="001D03A8" w:rsidRDefault="001D03A8" w:rsidP="001D03A8">
      <w:pPr>
        <w:spacing w:before="0" w:after="0"/>
        <w:rPr>
          <w:rFonts w:cs="Arial"/>
          <w:b/>
        </w:rPr>
      </w:pPr>
      <w:r w:rsidRPr="001D03A8">
        <w:rPr>
          <w:rFonts w:cs="Arial"/>
          <w:b/>
        </w:rPr>
        <w:t>Analysis of Payment-to-Cost Coverage</w:t>
      </w:r>
    </w:p>
    <w:p w14:paraId="17E5788C" w14:textId="77777777" w:rsidR="001D03A8" w:rsidRPr="001D03A8" w:rsidRDefault="001D03A8" w:rsidP="001D03A8">
      <w:pPr>
        <w:spacing w:before="0" w:after="0"/>
        <w:rPr>
          <w:rFonts w:cs="Arial"/>
        </w:rPr>
      </w:pPr>
    </w:p>
    <w:p w14:paraId="594E5372" w14:textId="546BAE27" w:rsidR="001D03A8" w:rsidRPr="001D03A8" w:rsidRDefault="001D03A8" w:rsidP="001D03A8">
      <w:pPr>
        <w:spacing w:before="0" w:after="0"/>
        <w:rPr>
          <w:rFonts w:cs="Arial"/>
        </w:rPr>
      </w:pPr>
      <w:r w:rsidRPr="001D03A8">
        <w:rPr>
          <w:rFonts w:cs="Arial"/>
        </w:rPr>
        <w:t>We compared the rates for SFY</w:t>
      </w:r>
      <w:r w:rsidR="00002E06">
        <w:rPr>
          <w:rFonts w:cs="Arial"/>
        </w:rPr>
        <w:t>s</w:t>
      </w:r>
      <w:r w:rsidRPr="001D03A8">
        <w:rPr>
          <w:rFonts w:cs="Arial"/>
        </w:rPr>
        <w:t xml:space="preserve"> 201</w:t>
      </w:r>
      <w:r w:rsidR="00002E06">
        <w:rPr>
          <w:rFonts w:cs="Arial"/>
        </w:rPr>
        <w:t>8 and 2019</w:t>
      </w:r>
      <w:r w:rsidRPr="001D03A8">
        <w:rPr>
          <w:rFonts w:cs="Arial"/>
        </w:rPr>
        <w:t>, calculated by and provided to us by the Department, to the average cost per day adjusted for the facility’s Medicaid CMI and for the cost growth percentages described in the cost section above.  For each nursing facility, we analyzed the rates for SFY</w:t>
      </w:r>
      <w:r w:rsidR="00002E06">
        <w:rPr>
          <w:rFonts w:cs="Arial"/>
        </w:rPr>
        <w:t>s</w:t>
      </w:r>
      <w:r w:rsidRPr="001D03A8">
        <w:rPr>
          <w:rFonts w:cs="Arial"/>
        </w:rPr>
        <w:t xml:space="preserve"> 201</w:t>
      </w:r>
      <w:r w:rsidR="00002E06">
        <w:rPr>
          <w:rFonts w:cs="Arial"/>
        </w:rPr>
        <w:t>8</w:t>
      </w:r>
      <w:r w:rsidRPr="001D03A8">
        <w:rPr>
          <w:rFonts w:cs="Arial"/>
        </w:rPr>
        <w:t xml:space="preserve"> </w:t>
      </w:r>
      <w:r w:rsidR="00002E06">
        <w:rPr>
          <w:rFonts w:cs="Arial"/>
        </w:rPr>
        <w:t xml:space="preserve">and 2019 </w:t>
      </w:r>
      <w:r w:rsidRPr="001D03A8">
        <w:rPr>
          <w:rFonts w:cs="Arial"/>
        </w:rPr>
        <w:t xml:space="preserve">separately, to calculate payment-to-cost ratios.  </w:t>
      </w:r>
    </w:p>
    <w:p w14:paraId="2CE42C49" w14:textId="77777777" w:rsidR="001D03A8" w:rsidRPr="001D03A8" w:rsidRDefault="001D03A8" w:rsidP="001D03A8">
      <w:pPr>
        <w:spacing w:before="0" w:after="0"/>
        <w:rPr>
          <w:rFonts w:cs="Arial"/>
        </w:rPr>
      </w:pPr>
    </w:p>
    <w:p w14:paraId="4883A743" w14:textId="555BB753" w:rsidR="001D03A8" w:rsidRPr="001D03A8" w:rsidRDefault="001D03A8" w:rsidP="001D03A8">
      <w:pPr>
        <w:spacing w:before="0" w:after="0"/>
        <w:rPr>
          <w:rFonts w:cs="Arial"/>
        </w:rPr>
      </w:pPr>
      <w:r w:rsidRPr="001D03A8">
        <w:rPr>
          <w:rFonts w:cs="Arial"/>
        </w:rPr>
        <w:t>For each nursing facility, we multiplied estimated rates described above for each year by the nursing facility’s 201</w:t>
      </w:r>
      <w:r w:rsidR="00002E06">
        <w:rPr>
          <w:rFonts w:cs="Arial"/>
        </w:rPr>
        <w:t>5</w:t>
      </w:r>
      <w:r w:rsidRPr="001D03A8">
        <w:rPr>
          <w:rFonts w:cs="Arial"/>
        </w:rPr>
        <w:t xml:space="preserve"> adjusted Medicaid days to estimate total payments.  Similarly, we multiplied each nursing facility’s average cost per day adjusted for the facility’s Medicaid CMI, and adjusted for cost growth, by the nursing facility’s 201</w:t>
      </w:r>
      <w:r w:rsidR="00002E06">
        <w:rPr>
          <w:rFonts w:cs="Arial"/>
        </w:rPr>
        <w:t>5</w:t>
      </w:r>
      <w:r w:rsidRPr="001D03A8">
        <w:rPr>
          <w:rFonts w:cs="Arial"/>
        </w:rPr>
        <w:t xml:space="preserve"> adjusted Medicaid days to estimate total costs.  We used the total payments and total costs to calculate weighted </w:t>
      </w:r>
      <w:r w:rsidRPr="001D03A8">
        <w:rPr>
          <w:rFonts w:cs="Arial"/>
        </w:rPr>
        <w:lastRenderedPageBreak/>
        <w:t>average payment-to-cost ratios for various groups of facilities.</w:t>
      </w:r>
    </w:p>
    <w:p w14:paraId="7DB49EC3" w14:textId="77777777" w:rsidR="001D03A8" w:rsidRPr="001D03A8" w:rsidRDefault="001D03A8" w:rsidP="001D03A8">
      <w:pPr>
        <w:spacing w:before="0" w:after="0"/>
        <w:rPr>
          <w:rFonts w:cs="Arial"/>
        </w:rPr>
      </w:pPr>
    </w:p>
    <w:p w14:paraId="153B8E7C" w14:textId="77777777" w:rsidR="001D03A8" w:rsidRPr="001D03A8" w:rsidRDefault="001D03A8" w:rsidP="001D03A8">
      <w:pPr>
        <w:spacing w:before="0" w:after="0"/>
        <w:rPr>
          <w:rFonts w:cs="Arial"/>
        </w:rPr>
      </w:pPr>
      <w:r w:rsidRPr="001D03A8">
        <w:rPr>
          <w:rFonts w:cs="Arial"/>
        </w:rPr>
        <w:t xml:space="preserve">For each rate year, we categorized the 207 nursing facilities into three groups by type of facility:  </w:t>
      </w:r>
    </w:p>
    <w:p w14:paraId="28D5F767" w14:textId="77777777" w:rsidR="001D03A8" w:rsidRPr="001D03A8" w:rsidRDefault="001D03A8" w:rsidP="001D03A8">
      <w:pPr>
        <w:spacing w:before="0" w:after="0"/>
        <w:rPr>
          <w:rFonts w:cs="Arial"/>
        </w:rPr>
      </w:pPr>
    </w:p>
    <w:p w14:paraId="3380E16B" w14:textId="77777777" w:rsidR="001D03A8" w:rsidRPr="001D03A8" w:rsidRDefault="001D03A8" w:rsidP="001D03A8">
      <w:pPr>
        <w:pStyle w:val="ListParagraph"/>
        <w:widowControl/>
        <w:numPr>
          <w:ilvl w:val="0"/>
          <w:numId w:val="5"/>
        </w:numPr>
        <w:spacing w:before="0" w:after="0"/>
        <w:contextualSpacing/>
        <w:rPr>
          <w:rFonts w:cs="Arial"/>
        </w:rPr>
      </w:pPr>
      <w:r w:rsidRPr="001D03A8">
        <w:rPr>
          <w:rFonts w:cs="Arial"/>
        </w:rPr>
        <w:t>Standard nursing facilities (194 facilities)</w:t>
      </w:r>
    </w:p>
    <w:p w14:paraId="725485C8" w14:textId="77777777" w:rsidR="001D03A8" w:rsidRPr="001D03A8" w:rsidRDefault="001D03A8" w:rsidP="001D03A8">
      <w:pPr>
        <w:pStyle w:val="ListParagraph"/>
        <w:widowControl/>
        <w:numPr>
          <w:ilvl w:val="0"/>
          <w:numId w:val="5"/>
        </w:numPr>
        <w:spacing w:before="0" w:after="0"/>
        <w:contextualSpacing/>
        <w:rPr>
          <w:rFonts w:cs="Arial"/>
        </w:rPr>
      </w:pPr>
      <w:r w:rsidRPr="001D03A8">
        <w:rPr>
          <w:rFonts w:cs="Arial"/>
        </w:rPr>
        <w:t>Hospital-based nursing facilities (9 facilities)</w:t>
      </w:r>
    </w:p>
    <w:p w14:paraId="2F9D4789" w14:textId="77777777" w:rsidR="001D03A8" w:rsidRPr="001D03A8" w:rsidRDefault="001D03A8" w:rsidP="001D03A8">
      <w:pPr>
        <w:pStyle w:val="ListParagraph"/>
        <w:widowControl/>
        <w:numPr>
          <w:ilvl w:val="0"/>
          <w:numId w:val="5"/>
        </w:numPr>
        <w:spacing w:before="0" w:after="0"/>
        <w:contextualSpacing/>
        <w:rPr>
          <w:rFonts w:cs="Arial"/>
        </w:rPr>
      </w:pPr>
      <w:r w:rsidRPr="001D03A8">
        <w:rPr>
          <w:rFonts w:cs="Arial"/>
        </w:rPr>
        <w:t>Veterans and tribal nursing facilities (4 facilities)</w:t>
      </w:r>
    </w:p>
    <w:p w14:paraId="3FCE329A" w14:textId="77777777" w:rsidR="001D03A8" w:rsidRPr="001D03A8" w:rsidRDefault="001D03A8" w:rsidP="001D03A8">
      <w:pPr>
        <w:spacing w:before="0" w:after="0"/>
        <w:rPr>
          <w:rFonts w:cs="Arial"/>
        </w:rPr>
      </w:pPr>
    </w:p>
    <w:p w14:paraId="647823FF" w14:textId="61009129" w:rsidR="001D03A8" w:rsidRPr="001D03A8" w:rsidRDefault="005D7DDD" w:rsidP="001D03A8">
      <w:pPr>
        <w:spacing w:before="0" w:after="0"/>
        <w:rPr>
          <w:rFonts w:cs="Arial"/>
        </w:rPr>
      </w:pPr>
      <w:r>
        <w:rPr>
          <w:rFonts w:cs="Arial"/>
        </w:rPr>
        <w:t xml:space="preserve">Currently the Department has 211 Medicaid nursing facilities, however, four did not have cost reports to include in the cost comparison analysis of this report.  </w:t>
      </w:r>
      <w:r w:rsidR="001D03A8" w:rsidRPr="001D03A8">
        <w:rPr>
          <w:rFonts w:cs="Arial"/>
        </w:rPr>
        <w:t xml:space="preserve">We analyzed these groups separately because of the differences in cost structures between the groups.  We then examined the characteristics of nursing facilities in each group.  The overall results for each year are shown in the table below.  </w:t>
      </w:r>
    </w:p>
    <w:p w14:paraId="1222FBC7" w14:textId="77777777" w:rsidR="00B12249" w:rsidRPr="001D03A8" w:rsidRDefault="00B12249" w:rsidP="001D03A8">
      <w:pPr>
        <w:rPr>
          <w:rFonts w:cs="Arial"/>
          <w:b/>
        </w:rPr>
      </w:pPr>
    </w:p>
    <w:p w14:paraId="3F5CCB94" w14:textId="77777777" w:rsidR="001D03A8" w:rsidRPr="001D03A8" w:rsidRDefault="001D03A8" w:rsidP="001D03A8">
      <w:pPr>
        <w:rPr>
          <w:rFonts w:cs="Arial"/>
          <w:b/>
        </w:rPr>
      </w:pPr>
      <w:r w:rsidRPr="001D03A8">
        <w:rPr>
          <w:rFonts w:cs="Arial"/>
          <w:b/>
        </w:rPr>
        <w:t>Table 4.1:  Medicaid Payment-to-Cost Ratio, By Facility Type Group, By Year</w:t>
      </w:r>
    </w:p>
    <w:p w14:paraId="65FAB9F1" w14:textId="77777777" w:rsidR="001D03A8" w:rsidRPr="001D03A8" w:rsidRDefault="001D03A8" w:rsidP="001D03A8">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2335"/>
        <w:gridCol w:w="2250"/>
      </w:tblGrid>
      <w:tr w:rsidR="00002E06" w:rsidRPr="001D03A8" w14:paraId="7D3A5B2E" w14:textId="3B2790DE" w:rsidTr="00C307DE">
        <w:trPr>
          <w:jc w:val="center"/>
        </w:trPr>
        <w:tc>
          <w:tcPr>
            <w:tcW w:w="3420" w:type="dxa"/>
            <w:vMerge w:val="restart"/>
            <w:vAlign w:val="bottom"/>
          </w:tcPr>
          <w:p w14:paraId="5EBC2FD6" w14:textId="77777777" w:rsidR="00002E06" w:rsidRPr="001D03A8" w:rsidRDefault="00002E06" w:rsidP="00AE4E3B">
            <w:pPr>
              <w:keepNext/>
              <w:jc w:val="center"/>
              <w:rPr>
                <w:rFonts w:cs="Arial"/>
                <w:sz w:val="20"/>
              </w:rPr>
            </w:pPr>
            <w:r w:rsidRPr="001D03A8">
              <w:rPr>
                <w:rFonts w:cs="Arial"/>
                <w:b/>
                <w:sz w:val="20"/>
              </w:rPr>
              <w:t>Type of Facility</w:t>
            </w:r>
          </w:p>
        </w:tc>
        <w:tc>
          <w:tcPr>
            <w:tcW w:w="4585" w:type="dxa"/>
            <w:gridSpan w:val="2"/>
            <w:vAlign w:val="bottom"/>
          </w:tcPr>
          <w:p w14:paraId="4F221F2D" w14:textId="77777777" w:rsidR="00002E06" w:rsidRPr="001D03A8" w:rsidRDefault="00002E06" w:rsidP="00002E06">
            <w:pPr>
              <w:keepNext/>
              <w:jc w:val="center"/>
              <w:rPr>
                <w:rFonts w:cs="Arial"/>
                <w:b/>
                <w:sz w:val="20"/>
              </w:rPr>
            </w:pPr>
            <w:r w:rsidRPr="001D03A8">
              <w:rPr>
                <w:rFonts w:cs="Arial"/>
                <w:b/>
                <w:sz w:val="20"/>
              </w:rPr>
              <w:t xml:space="preserve">Payment-to-Cost Ratio (Weighted Average) </w:t>
            </w:r>
          </w:p>
          <w:p w14:paraId="77ED70A8" w14:textId="6B12D32B" w:rsidR="00002E06" w:rsidRPr="001D03A8" w:rsidRDefault="00002E06" w:rsidP="00AE4E3B">
            <w:pPr>
              <w:keepNext/>
              <w:jc w:val="center"/>
              <w:rPr>
                <w:rFonts w:cs="Arial"/>
                <w:b/>
                <w:sz w:val="20"/>
              </w:rPr>
            </w:pPr>
            <w:r w:rsidRPr="001D03A8">
              <w:rPr>
                <w:rFonts w:cs="Arial"/>
                <w:b/>
                <w:sz w:val="20"/>
              </w:rPr>
              <w:t>Based on Rates Provided by the Department</w:t>
            </w:r>
          </w:p>
        </w:tc>
      </w:tr>
      <w:tr w:rsidR="00002E06" w:rsidRPr="001D03A8" w14:paraId="5D18717B" w14:textId="77777777" w:rsidTr="00C307DE">
        <w:trPr>
          <w:jc w:val="center"/>
        </w:trPr>
        <w:tc>
          <w:tcPr>
            <w:tcW w:w="3420" w:type="dxa"/>
            <w:vMerge/>
            <w:vAlign w:val="bottom"/>
          </w:tcPr>
          <w:p w14:paraId="7F9EE64C" w14:textId="77777777" w:rsidR="00002E06" w:rsidRPr="001D03A8" w:rsidRDefault="00002E06" w:rsidP="00AE4E3B">
            <w:pPr>
              <w:keepNext/>
              <w:jc w:val="center"/>
              <w:rPr>
                <w:rFonts w:cs="Arial"/>
                <w:b/>
                <w:sz w:val="20"/>
              </w:rPr>
            </w:pPr>
          </w:p>
        </w:tc>
        <w:tc>
          <w:tcPr>
            <w:tcW w:w="2335" w:type="dxa"/>
            <w:vAlign w:val="bottom"/>
          </w:tcPr>
          <w:p w14:paraId="0DF5F1D1" w14:textId="0DC6711A" w:rsidR="00002E06" w:rsidRPr="001D03A8" w:rsidRDefault="00002E06" w:rsidP="00AE4E3B">
            <w:pPr>
              <w:keepNext/>
              <w:jc w:val="center"/>
              <w:rPr>
                <w:rFonts w:cs="Arial"/>
                <w:b/>
                <w:sz w:val="20"/>
              </w:rPr>
            </w:pPr>
            <w:r>
              <w:rPr>
                <w:rFonts w:cs="Arial"/>
                <w:b/>
                <w:sz w:val="20"/>
              </w:rPr>
              <w:t>SFY 2018</w:t>
            </w:r>
          </w:p>
        </w:tc>
        <w:tc>
          <w:tcPr>
            <w:tcW w:w="2250" w:type="dxa"/>
          </w:tcPr>
          <w:p w14:paraId="2F4AA13D" w14:textId="10ED97C3" w:rsidR="00002E06" w:rsidRPr="001D03A8" w:rsidRDefault="00002E06" w:rsidP="00AE4E3B">
            <w:pPr>
              <w:keepNext/>
              <w:jc w:val="center"/>
              <w:rPr>
                <w:rFonts w:cs="Arial"/>
                <w:b/>
                <w:sz w:val="20"/>
              </w:rPr>
            </w:pPr>
            <w:r>
              <w:rPr>
                <w:rFonts w:cs="Arial"/>
                <w:b/>
                <w:sz w:val="20"/>
              </w:rPr>
              <w:t>SFY 2019</w:t>
            </w:r>
          </w:p>
        </w:tc>
      </w:tr>
      <w:tr w:rsidR="00002E06" w:rsidRPr="001D03A8" w14:paraId="6A87774F" w14:textId="6B07DF54" w:rsidTr="00C307DE">
        <w:trPr>
          <w:jc w:val="center"/>
        </w:trPr>
        <w:tc>
          <w:tcPr>
            <w:tcW w:w="3420" w:type="dxa"/>
          </w:tcPr>
          <w:p w14:paraId="42C8ED2B" w14:textId="77777777" w:rsidR="00002E06" w:rsidRPr="001D03A8" w:rsidRDefault="00002E06" w:rsidP="00AE4E3B">
            <w:pPr>
              <w:rPr>
                <w:rFonts w:cs="Arial"/>
                <w:sz w:val="20"/>
              </w:rPr>
            </w:pPr>
            <w:r w:rsidRPr="001D03A8">
              <w:rPr>
                <w:rFonts w:cs="Arial"/>
                <w:sz w:val="20"/>
              </w:rPr>
              <w:t>Standard Nursing Facilities</w:t>
            </w:r>
          </w:p>
        </w:tc>
        <w:tc>
          <w:tcPr>
            <w:tcW w:w="2335" w:type="dxa"/>
            <w:shd w:val="clear" w:color="auto" w:fill="auto"/>
            <w:vAlign w:val="center"/>
          </w:tcPr>
          <w:p w14:paraId="313F7565" w14:textId="3A94C0A5" w:rsidR="00002E06" w:rsidRPr="001D03A8" w:rsidRDefault="00002E06" w:rsidP="00AE4E3B">
            <w:pPr>
              <w:jc w:val="center"/>
              <w:rPr>
                <w:rFonts w:cs="Arial"/>
                <w:sz w:val="20"/>
              </w:rPr>
            </w:pPr>
            <w:r w:rsidRPr="001D03A8">
              <w:rPr>
                <w:rFonts w:cs="Arial"/>
                <w:bCs/>
                <w:sz w:val="20"/>
              </w:rPr>
              <w:t>9</w:t>
            </w:r>
            <w:r>
              <w:rPr>
                <w:rFonts w:cs="Arial"/>
                <w:bCs/>
                <w:sz w:val="20"/>
              </w:rPr>
              <w:t>0.8</w:t>
            </w:r>
            <w:r w:rsidRPr="001D03A8">
              <w:rPr>
                <w:rFonts w:cs="Arial"/>
                <w:sz w:val="20"/>
              </w:rPr>
              <w:t>%</w:t>
            </w:r>
          </w:p>
        </w:tc>
        <w:tc>
          <w:tcPr>
            <w:tcW w:w="2250" w:type="dxa"/>
          </w:tcPr>
          <w:p w14:paraId="280F94ED" w14:textId="00CEF59D" w:rsidR="00002E06" w:rsidRPr="001D03A8" w:rsidRDefault="00002E06" w:rsidP="00AE4E3B">
            <w:pPr>
              <w:jc w:val="center"/>
              <w:rPr>
                <w:rFonts w:cs="Arial"/>
                <w:bCs/>
                <w:sz w:val="20"/>
              </w:rPr>
            </w:pPr>
            <w:r>
              <w:rPr>
                <w:rFonts w:cs="Arial"/>
                <w:bCs/>
                <w:sz w:val="20"/>
              </w:rPr>
              <w:t>91.6%</w:t>
            </w:r>
          </w:p>
        </w:tc>
      </w:tr>
      <w:tr w:rsidR="00002E06" w:rsidRPr="001D03A8" w14:paraId="0A3EEE6E" w14:textId="78D101DD" w:rsidTr="00C307DE">
        <w:trPr>
          <w:jc w:val="center"/>
        </w:trPr>
        <w:tc>
          <w:tcPr>
            <w:tcW w:w="3420" w:type="dxa"/>
          </w:tcPr>
          <w:p w14:paraId="69F906CF" w14:textId="77777777" w:rsidR="00002E06" w:rsidRPr="001D03A8" w:rsidRDefault="00002E06" w:rsidP="00AE4E3B">
            <w:pPr>
              <w:rPr>
                <w:rFonts w:cs="Arial"/>
                <w:sz w:val="20"/>
              </w:rPr>
            </w:pPr>
            <w:r w:rsidRPr="001D03A8">
              <w:rPr>
                <w:rFonts w:cs="Arial"/>
                <w:sz w:val="20"/>
              </w:rPr>
              <w:t>Hospital-Based Nursing Facilities</w:t>
            </w:r>
          </w:p>
        </w:tc>
        <w:tc>
          <w:tcPr>
            <w:tcW w:w="2335" w:type="dxa"/>
            <w:shd w:val="clear" w:color="auto" w:fill="auto"/>
          </w:tcPr>
          <w:p w14:paraId="11872FBC" w14:textId="77AF5D71" w:rsidR="00002E06" w:rsidRPr="001D03A8" w:rsidRDefault="00002E06" w:rsidP="00AE4E3B">
            <w:pPr>
              <w:jc w:val="center"/>
              <w:rPr>
                <w:rFonts w:cs="Arial"/>
                <w:sz w:val="20"/>
              </w:rPr>
            </w:pPr>
            <w:r w:rsidRPr="001D03A8">
              <w:rPr>
                <w:rFonts w:cs="Arial"/>
                <w:sz w:val="20"/>
              </w:rPr>
              <w:t>7</w:t>
            </w:r>
            <w:r>
              <w:rPr>
                <w:rFonts w:cs="Arial"/>
                <w:sz w:val="20"/>
              </w:rPr>
              <w:t>4.3</w:t>
            </w:r>
            <w:r w:rsidRPr="001D03A8">
              <w:rPr>
                <w:rFonts w:cs="Arial"/>
                <w:sz w:val="20"/>
              </w:rPr>
              <w:t>%</w:t>
            </w:r>
          </w:p>
        </w:tc>
        <w:tc>
          <w:tcPr>
            <w:tcW w:w="2250" w:type="dxa"/>
          </w:tcPr>
          <w:p w14:paraId="05417D37" w14:textId="10A3BE00" w:rsidR="00002E06" w:rsidRPr="001D03A8" w:rsidRDefault="00002E06" w:rsidP="00AE4E3B">
            <w:pPr>
              <w:jc w:val="center"/>
              <w:rPr>
                <w:rFonts w:cs="Arial"/>
                <w:sz w:val="20"/>
              </w:rPr>
            </w:pPr>
            <w:r>
              <w:rPr>
                <w:rFonts w:cs="Arial"/>
                <w:sz w:val="20"/>
              </w:rPr>
              <w:t>74.3%</w:t>
            </w:r>
          </w:p>
        </w:tc>
      </w:tr>
      <w:tr w:rsidR="00002E06" w:rsidRPr="001D03A8" w14:paraId="58FA7DB5" w14:textId="3C6D5942" w:rsidTr="00C307DE">
        <w:trPr>
          <w:jc w:val="center"/>
        </w:trPr>
        <w:tc>
          <w:tcPr>
            <w:tcW w:w="3420" w:type="dxa"/>
          </w:tcPr>
          <w:p w14:paraId="2B4DAF1B" w14:textId="77777777" w:rsidR="00002E06" w:rsidRPr="001D03A8" w:rsidRDefault="00002E06" w:rsidP="00AE4E3B">
            <w:pPr>
              <w:rPr>
                <w:rFonts w:cs="Arial"/>
                <w:sz w:val="20"/>
              </w:rPr>
            </w:pPr>
            <w:r w:rsidRPr="001D03A8">
              <w:rPr>
                <w:rFonts w:cs="Arial"/>
                <w:sz w:val="20"/>
              </w:rPr>
              <w:t>Veterans &amp; Tribal Nursing Facilities</w:t>
            </w:r>
          </w:p>
        </w:tc>
        <w:tc>
          <w:tcPr>
            <w:tcW w:w="2335" w:type="dxa"/>
            <w:shd w:val="clear" w:color="auto" w:fill="auto"/>
          </w:tcPr>
          <w:p w14:paraId="5E435AAD" w14:textId="1DA0C0A6" w:rsidR="00002E06" w:rsidRPr="001D03A8" w:rsidRDefault="00002E06" w:rsidP="00AE4E3B">
            <w:pPr>
              <w:jc w:val="center"/>
              <w:rPr>
                <w:rFonts w:cs="Arial"/>
                <w:sz w:val="20"/>
              </w:rPr>
            </w:pPr>
            <w:r>
              <w:rPr>
                <w:rFonts w:cs="Arial"/>
                <w:sz w:val="20"/>
              </w:rPr>
              <w:t>59.1</w:t>
            </w:r>
            <w:r w:rsidRPr="001D03A8">
              <w:rPr>
                <w:rFonts w:cs="Arial"/>
                <w:sz w:val="20"/>
              </w:rPr>
              <w:t>%</w:t>
            </w:r>
          </w:p>
        </w:tc>
        <w:tc>
          <w:tcPr>
            <w:tcW w:w="2250" w:type="dxa"/>
          </w:tcPr>
          <w:p w14:paraId="4A060E3F" w14:textId="05AA5001" w:rsidR="00002E06" w:rsidRPr="001D03A8" w:rsidRDefault="00002E06" w:rsidP="00AE4E3B">
            <w:pPr>
              <w:jc w:val="center"/>
              <w:rPr>
                <w:rFonts w:cs="Arial"/>
                <w:sz w:val="20"/>
              </w:rPr>
            </w:pPr>
            <w:r>
              <w:rPr>
                <w:rFonts w:cs="Arial"/>
                <w:sz w:val="20"/>
              </w:rPr>
              <w:t>56.2%</w:t>
            </w:r>
          </w:p>
        </w:tc>
      </w:tr>
      <w:tr w:rsidR="00002E06" w:rsidRPr="001D03A8" w14:paraId="5764149F" w14:textId="655D557C" w:rsidTr="00C307DE">
        <w:trPr>
          <w:jc w:val="center"/>
        </w:trPr>
        <w:tc>
          <w:tcPr>
            <w:tcW w:w="3420" w:type="dxa"/>
          </w:tcPr>
          <w:p w14:paraId="1CB560F2" w14:textId="77777777" w:rsidR="00002E06" w:rsidRPr="001D03A8" w:rsidRDefault="00002E06" w:rsidP="00AE4E3B">
            <w:pPr>
              <w:rPr>
                <w:rFonts w:cs="Arial"/>
                <w:sz w:val="20"/>
              </w:rPr>
            </w:pPr>
            <w:r w:rsidRPr="001D03A8">
              <w:rPr>
                <w:rFonts w:cs="Arial"/>
                <w:sz w:val="20"/>
              </w:rPr>
              <w:t>All Nursing Facilities</w:t>
            </w:r>
          </w:p>
        </w:tc>
        <w:tc>
          <w:tcPr>
            <w:tcW w:w="2335" w:type="dxa"/>
            <w:shd w:val="clear" w:color="auto" w:fill="auto"/>
          </w:tcPr>
          <w:p w14:paraId="7554F5BC" w14:textId="3B0B58E0" w:rsidR="00002E06" w:rsidRPr="001D03A8" w:rsidRDefault="00002E06" w:rsidP="00AE4E3B">
            <w:pPr>
              <w:jc w:val="center"/>
              <w:rPr>
                <w:rFonts w:cs="Arial"/>
                <w:sz w:val="20"/>
              </w:rPr>
            </w:pPr>
            <w:r>
              <w:rPr>
                <w:rFonts w:cs="Arial"/>
                <w:sz w:val="20"/>
              </w:rPr>
              <w:t>89.0</w:t>
            </w:r>
            <w:r w:rsidRPr="001D03A8">
              <w:rPr>
                <w:rFonts w:cs="Arial"/>
                <w:sz w:val="20"/>
              </w:rPr>
              <w:t>%</w:t>
            </w:r>
          </w:p>
        </w:tc>
        <w:tc>
          <w:tcPr>
            <w:tcW w:w="2250" w:type="dxa"/>
          </w:tcPr>
          <w:p w14:paraId="48A564A4" w14:textId="34A34820" w:rsidR="00002E06" w:rsidRPr="001D03A8" w:rsidRDefault="00002E06" w:rsidP="00AE4E3B">
            <w:pPr>
              <w:jc w:val="center"/>
              <w:rPr>
                <w:rFonts w:cs="Arial"/>
                <w:sz w:val="20"/>
              </w:rPr>
            </w:pPr>
            <w:r>
              <w:rPr>
                <w:rFonts w:cs="Arial"/>
                <w:sz w:val="20"/>
              </w:rPr>
              <w:t>89.7%</w:t>
            </w:r>
          </w:p>
        </w:tc>
      </w:tr>
    </w:tbl>
    <w:p w14:paraId="596BC03A" w14:textId="77777777" w:rsidR="00E13672" w:rsidRDefault="00E13672" w:rsidP="001D03A8">
      <w:pPr>
        <w:spacing w:before="0" w:after="0"/>
        <w:rPr>
          <w:rFonts w:cs="Arial"/>
        </w:rPr>
      </w:pPr>
    </w:p>
    <w:p w14:paraId="2A604F37" w14:textId="3196546D" w:rsidR="0077208E" w:rsidRDefault="0077208E" w:rsidP="001D03A8">
      <w:pPr>
        <w:spacing w:before="0" w:after="0"/>
        <w:rPr>
          <w:rFonts w:cs="Arial"/>
        </w:rPr>
      </w:pPr>
      <w:r>
        <w:rPr>
          <w:rFonts w:cs="Arial"/>
        </w:rPr>
        <w:t>Based on our analysis, th</w:t>
      </w:r>
      <w:r w:rsidR="00E04659">
        <w:rPr>
          <w:rFonts w:cs="Arial"/>
        </w:rPr>
        <w:t xml:space="preserve">e payment-to-cost ratio for </w:t>
      </w:r>
      <w:r>
        <w:rPr>
          <w:rFonts w:cs="Arial"/>
        </w:rPr>
        <w:t xml:space="preserve">nursing facilities </w:t>
      </w:r>
      <w:r w:rsidR="00E04659">
        <w:rPr>
          <w:rFonts w:cs="Arial"/>
        </w:rPr>
        <w:t xml:space="preserve">on average </w:t>
      </w:r>
      <w:r>
        <w:rPr>
          <w:rFonts w:cs="Arial"/>
        </w:rPr>
        <w:t xml:space="preserve">is increasing between SFY 2018 and SFY 2019 because the reimbursement rates on average </w:t>
      </w:r>
      <w:r w:rsidR="00E04659">
        <w:rPr>
          <w:rFonts w:cs="Arial"/>
        </w:rPr>
        <w:t>are increasing</w:t>
      </w:r>
      <w:r w:rsidR="008373D1">
        <w:rPr>
          <w:rFonts w:cs="Arial"/>
        </w:rPr>
        <w:t xml:space="preserve"> at a greater</w:t>
      </w:r>
      <w:r w:rsidR="00857349">
        <w:rPr>
          <w:rFonts w:cs="Arial"/>
        </w:rPr>
        <w:t xml:space="preserve"> </w:t>
      </w:r>
      <w:r w:rsidR="008373D1">
        <w:rPr>
          <w:rFonts w:cs="Arial"/>
        </w:rPr>
        <w:t xml:space="preserve">percentage </w:t>
      </w:r>
      <w:r w:rsidR="00857349">
        <w:rPr>
          <w:rFonts w:cs="Arial"/>
        </w:rPr>
        <w:t xml:space="preserve">rate than the </w:t>
      </w:r>
      <w:r w:rsidR="008373D1">
        <w:rPr>
          <w:rFonts w:cs="Arial"/>
        </w:rPr>
        <w:t>inflation rate that we applied when estimating costs for FY 2019.</w:t>
      </w:r>
      <w:r>
        <w:rPr>
          <w:rFonts w:cs="Arial"/>
        </w:rPr>
        <w:t xml:space="preserve">  The increase</w:t>
      </w:r>
      <w:r w:rsidR="00C425D3">
        <w:rPr>
          <w:rFonts w:cs="Arial"/>
        </w:rPr>
        <w:t xml:space="preserve"> in SFY 2019 rates appears to be</w:t>
      </w:r>
      <w:r w:rsidR="00E04659">
        <w:rPr>
          <w:rFonts w:cs="Arial"/>
        </w:rPr>
        <w:t xml:space="preserve"> driven by the increase in the direct care and indirect care components of the rate.  Between SFY 2018 and SFY 2019, the direct care component </w:t>
      </w:r>
      <w:r w:rsidR="00C425D3">
        <w:rPr>
          <w:rFonts w:cs="Arial"/>
        </w:rPr>
        <w:t xml:space="preserve">in aggregate </w:t>
      </w:r>
      <w:r w:rsidR="00E04659">
        <w:rPr>
          <w:rFonts w:cs="Arial"/>
        </w:rPr>
        <w:t xml:space="preserve">increases by approximately $6.03 on average and the indirect care component of the rate </w:t>
      </w:r>
      <w:r w:rsidR="00C425D3">
        <w:rPr>
          <w:rFonts w:cs="Arial"/>
        </w:rPr>
        <w:t xml:space="preserve">in aggregate </w:t>
      </w:r>
      <w:r w:rsidR="00E04659">
        <w:rPr>
          <w:rFonts w:cs="Arial"/>
        </w:rPr>
        <w:t xml:space="preserve">increases by approximately $1.55 on average.  </w:t>
      </w:r>
    </w:p>
    <w:p w14:paraId="4BCBBD8F" w14:textId="77777777" w:rsidR="0077208E" w:rsidRDefault="0077208E" w:rsidP="001D03A8">
      <w:pPr>
        <w:spacing w:before="0" w:after="0"/>
        <w:rPr>
          <w:rFonts w:cs="Arial"/>
        </w:rPr>
      </w:pPr>
    </w:p>
    <w:p w14:paraId="5845528B" w14:textId="77777777" w:rsidR="001D03A8" w:rsidRPr="001D03A8" w:rsidRDefault="001D03A8" w:rsidP="001D03A8">
      <w:pPr>
        <w:spacing w:before="0" w:after="0"/>
        <w:rPr>
          <w:rFonts w:cs="Arial"/>
        </w:rPr>
      </w:pPr>
      <w:r w:rsidRPr="001D03A8">
        <w:rPr>
          <w:rFonts w:cs="Arial"/>
        </w:rPr>
        <w:t>For each year, we further categorized the standard nursing facilities into one of four quartiles based on the nursing facility’s payment-to-cost ratio.  Nursing facilities with the highest payment-to-cost ratios were categorized into Quartile 1, while those with the lowest payment-to-cost ratios were categorized into Quartile 4.  We then examined the characteristics of nursing facilities in each category.</w:t>
      </w:r>
    </w:p>
    <w:p w14:paraId="767C85AB" w14:textId="77777777" w:rsidR="001D03A8" w:rsidRPr="001D03A8" w:rsidRDefault="001D03A8" w:rsidP="001D03A8">
      <w:pPr>
        <w:keepNext/>
        <w:spacing w:before="0" w:after="0"/>
        <w:rPr>
          <w:rFonts w:cs="Arial"/>
          <w:u w:val="single"/>
        </w:rPr>
      </w:pPr>
    </w:p>
    <w:p w14:paraId="2220F5E5" w14:textId="3D5D6889" w:rsidR="001D03A8" w:rsidRPr="001D03A8" w:rsidRDefault="001D03A8" w:rsidP="001D03A8">
      <w:pPr>
        <w:keepNext/>
        <w:spacing w:before="0" w:after="0"/>
        <w:rPr>
          <w:rFonts w:cs="Arial"/>
          <w:u w:val="single"/>
        </w:rPr>
      </w:pPr>
      <w:r w:rsidRPr="001D03A8">
        <w:rPr>
          <w:rFonts w:cs="Arial"/>
          <w:u w:val="single"/>
        </w:rPr>
        <w:t>State Fiscal Year 201</w:t>
      </w:r>
      <w:r w:rsidR="00002E06">
        <w:rPr>
          <w:rFonts w:cs="Arial"/>
          <w:u w:val="single"/>
        </w:rPr>
        <w:t>8</w:t>
      </w:r>
      <w:r w:rsidRPr="001D03A8">
        <w:rPr>
          <w:rFonts w:cs="Arial"/>
          <w:u w:val="single"/>
        </w:rPr>
        <w:t xml:space="preserve"> Rates</w:t>
      </w:r>
    </w:p>
    <w:p w14:paraId="658626EF" w14:textId="77777777" w:rsidR="001D03A8" w:rsidRPr="001D03A8" w:rsidRDefault="001D03A8" w:rsidP="001D03A8">
      <w:pPr>
        <w:keepNext/>
        <w:spacing w:before="0" w:after="0"/>
        <w:rPr>
          <w:rFonts w:cs="Arial"/>
          <w:u w:val="single"/>
        </w:rPr>
      </w:pPr>
    </w:p>
    <w:p w14:paraId="6690895F" w14:textId="77777777" w:rsidR="001D03A8" w:rsidRPr="001D03A8" w:rsidRDefault="001D03A8" w:rsidP="001D03A8">
      <w:pPr>
        <w:keepNext/>
        <w:spacing w:before="0" w:after="0"/>
        <w:rPr>
          <w:rFonts w:cs="Arial"/>
          <w:i/>
        </w:rPr>
      </w:pPr>
      <w:r w:rsidRPr="001D03A8">
        <w:rPr>
          <w:rFonts w:cs="Arial"/>
          <w:i/>
        </w:rPr>
        <w:t>Overall Results – All Nursing Facilities</w:t>
      </w:r>
    </w:p>
    <w:p w14:paraId="51F2E697" w14:textId="77777777" w:rsidR="001D03A8" w:rsidRPr="001D03A8" w:rsidRDefault="001D03A8" w:rsidP="001D03A8">
      <w:pPr>
        <w:keepNext/>
        <w:spacing w:before="0" w:after="0"/>
        <w:rPr>
          <w:rFonts w:cs="Arial"/>
          <w:i/>
        </w:rPr>
      </w:pPr>
    </w:p>
    <w:p w14:paraId="6E8509F7" w14:textId="4D792ACC" w:rsidR="001D03A8" w:rsidRPr="001D03A8" w:rsidRDefault="001D03A8" w:rsidP="001D03A8">
      <w:pPr>
        <w:spacing w:before="0" w:after="0"/>
        <w:rPr>
          <w:rFonts w:cs="Arial"/>
        </w:rPr>
      </w:pPr>
      <w:r w:rsidRPr="001D03A8">
        <w:rPr>
          <w:rFonts w:cs="Arial"/>
        </w:rPr>
        <w:t>As shown in the table above, the rates expected to be in effect for SFY 201</w:t>
      </w:r>
      <w:r w:rsidR="00002E06">
        <w:rPr>
          <w:rFonts w:cs="Arial"/>
        </w:rPr>
        <w:t>8</w:t>
      </w:r>
      <w:r w:rsidRPr="001D03A8">
        <w:rPr>
          <w:rFonts w:cs="Arial"/>
        </w:rPr>
        <w:t xml:space="preserve"> following the current methodology result in a statewide average payment-to-cost ratio of </w:t>
      </w:r>
      <w:r w:rsidR="00AB1652">
        <w:rPr>
          <w:rFonts w:cs="Arial"/>
        </w:rPr>
        <w:t>89.0</w:t>
      </w:r>
      <w:r w:rsidRPr="001D03A8">
        <w:rPr>
          <w:rFonts w:cs="Arial"/>
        </w:rPr>
        <w:t xml:space="preserve"> percent.  The standard nursing facilities are expected to have a slightly higher ratio of 9</w:t>
      </w:r>
      <w:r w:rsidR="00AB1652">
        <w:rPr>
          <w:rFonts w:cs="Arial"/>
        </w:rPr>
        <w:t>0.8</w:t>
      </w:r>
      <w:r w:rsidRPr="001D03A8">
        <w:rPr>
          <w:rFonts w:cs="Arial"/>
        </w:rPr>
        <w:t xml:space="preserve"> percent.</w:t>
      </w:r>
    </w:p>
    <w:p w14:paraId="00DC4424" w14:textId="77777777" w:rsidR="001D03A8" w:rsidRPr="001D03A8" w:rsidRDefault="001D03A8" w:rsidP="001D03A8">
      <w:pPr>
        <w:spacing w:before="0" w:after="0"/>
        <w:rPr>
          <w:rFonts w:cs="Arial"/>
          <w:i/>
        </w:rPr>
      </w:pPr>
    </w:p>
    <w:p w14:paraId="1D2ED2DA" w14:textId="77777777" w:rsidR="001D03A8" w:rsidRPr="001D03A8" w:rsidRDefault="001D03A8" w:rsidP="001D03A8">
      <w:pPr>
        <w:keepNext/>
        <w:spacing w:before="0" w:after="0"/>
        <w:rPr>
          <w:rFonts w:cs="Arial"/>
          <w:i/>
        </w:rPr>
      </w:pPr>
      <w:r w:rsidRPr="001D03A8">
        <w:rPr>
          <w:rFonts w:cs="Arial"/>
          <w:i/>
        </w:rPr>
        <w:t>Occupancy – Standard Nursing Facilities</w:t>
      </w:r>
    </w:p>
    <w:p w14:paraId="285BAA66" w14:textId="77777777" w:rsidR="001D03A8" w:rsidRPr="001D03A8" w:rsidRDefault="001D03A8" w:rsidP="001D03A8">
      <w:pPr>
        <w:keepNext/>
        <w:spacing w:before="0" w:after="0"/>
        <w:rPr>
          <w:rFonts w:cs="Arial"/>
          <w:i/>
        </w:rPr>
      </w:pPr>
    </w:p>
    <w:p w14:paraId="5FA4C8AE" w14:textId="47B52104" w:rsidR="001D03A8" w:rsidRPr="001D03A8" w:rsidRDefault="001D03A8" w:rsidP="001D03A8">
      <w:pPr>
        <w:spacing w:before="0" w:after="0"/>
        <w:rPr>
          <w:rFonts w:cs="Arial"/>
        </w:rPr>
      </w:pPr>
      <w:r w:rsidRPr="001D03A8">
        <w:rPr>
          <w:rFonts w:cs="Arial"/>
        </w:rPr>
        <w:t xml:space="preserve">Examining the results by payment-to-cost quartile shows that average and median occupancy for facilities in Quartile 1 is higher than the </w:t>
      </w:r>
      <w:r w:rsidR="004C35B2">
        <w:rPr>
          <w:rFonts w:cs="Arial"/>
        </w:rPr>
        <w:t xml:space="preserve">occupancy </w:t>
      </w:r>
      <w:r w:rsidRPr="001D03A8">
        <w:rPr>
          <w:rFonts w:cs="Arial"/>
        </w:rPr>
        <w:t>rates for Quartiles 2, 3 and 4.  This statistic generally indicates that the rate setting system “rewards” facilities with higher occupancies.</w:t>
      </w:r>
    </w:p>
    <w:p w14:paraId="4FB3B78E" w14:textId="77777777" w:rsidR="001D03A8" w:rsidRPr="001D03A8" w:rsidRDefault="001D03A8" w:rsidP="001D03A8">
      <w:pPr>
        <w:spacing w:before="0" w:after="0"/>
        <w:rPr>
          <w:rFonts w:cs="Arial"/>
        </w:rPr>
      </w:pPr>
    </w:p>
    <w:p w14:paraId="3C9599CE" w14:textId="77777777" w:rsidR="001D03A8" w:rsidRPr="001D03A8" w:rsidRDefault="001D03A8" w:rsidP="001D03A8">
      <w:pPr>
        <w:keepNext/>
        <w:spacing w:before="0" w:after="0"/>
        <w:rPr>
          <w:rFonts w:cs="Arial"/>
          <w:i/>
        </w:rPr>
      </w:pPr>
      <w:r w:rsidRPr="001D03A8">
        <w:rPr>
          <w:rFonts w:cs="Arial"/>
          <w:i/>
        </w:rPr>
        <w:t>Medicaid Percentage – Standard Nursing Facilities</w:t>
      </w:r>
    </w:p>
    <w:p w14:paraId="523A37CC" w14:textId="77777777" w:rsidR="001D03A8" w:rsidRPr="001D03A8" w:rsidRDefault="001D03A8" w:rsidP="001D03A8">
      <w:pPr>
        <w:spacing w:before="0" w:after="0"/>
        <w:rPr>
          <w:rFonts w:cs="Arial"/>
        </w:rPr>
      </w:pPr>
    </w:p>
    <w:p w14:paraId="1E7B5D49" w14:textId="77777777" w:rsidR="001D03A8" w:rsidRPr="001D03A8" w:rsidRDefault="001D03A8" w:rsidP="001D03A8">
      <w:pPr>
        <w:spacing w:before="0" w:after="0"/>
        <w:rPr>
          <w:rFonts w:cs="Arial"/>
        </w:rPr>
      </w:pPr>
      <w:r w:rsidRPr="001D03A8">
        <w:rPr>
          <w:rFonts w:cs="Arial"/>
        </w:rPr>
        <w:t xml:space="preserve">Examining the results by payment-to-cost quartile shows that facilities in Quartile 1 (highest payment-to-cost ratios) tend to have a high Medicaid percentage, while facilities in Quartile 4 (lowest payment-to-cost ratios) have the lowest Medicaid percentage.  This statistic generally indicates that the rate setting system “rewards” facilities with higher Medicaid percentages.  Note that the median value generally follows the same trend.   </w:t>
      </w:r>
    </w:p>
    <w:p w14:paraId="7DB67AA1" w14:textId="77777777" w:rsidR="001D03A8" w:rsidRPr="001D03A8" w:rsidRDefault="001D03A8" w:rsidP="001D03A8">
      <w:pPr>
        <w:spacing w:before="0" w:after="0"/>
        <w:rPr>
          <w:rFonts w:cs="Arial"/>
        </w:rPr>
      </w:pPr>
    </w:p>
    <w:p w14:paraId="5C8B6CC5" w14:textId="77777777" w:rsidR="001D03A8" w:rsidRPr="001D03A8" w:rsidRDefault="001D03A8" w:rsidP="001D03A8">
      <w:pPr>
        <w:keepNext/>
        <w:spacing w:before="0" w:after="0"/>
        <w:rPr>
          <w:rFonts w:cs="Arial"/>
          <w:i/>
        </w:rPr>
      </w:pPr>
      <w:r w:rsidRPr="001D03A8">
        <w:rPr>
          <w:rFonts w:cs="Arial"/>
          <w:i/>
        </w:rPr>
        <w:t>Cost Per Day – Standard Nursing Facilities</w:t>
      </w:r>
    </w:p>
    <w:p w14:paraId="6BD8AC30" w14:textId="77777777" w:rsidR="001D03A8" w:rsidRPr="001D03A8" w:rsidRDefault="001D03A8" w:rsidP="001D03A8">
      <w:pPr>
        <w:keepNext/>
        <w:spacing w:before="0" w:after="0"/>
        <w:rPr>
          <w:rFonts w:cs="Arial"/>
          <w:i/>
        </w:rPr>
      </w:pPr>
    </w:p>
    <w:p w14:paraId="7252997B" w14:textId="77777777" w:rsidR="001D03A8" w:rsidRPr="001D03A8" w:rsidRDefault="001D03A8" w:rsidP="001D03A8">
      <w:pPr>
        <w:spacing w:before="0" w:after="0"/>
        <w:rPr>
          <w:rFonts w:cs="Arial"/>
        </w:rPr>
      </w:pPr>
      <w:r w:rsidRPr="001D03A8">
        <w:rPr>
          <w:rFonts w:cs="Arial"/>
        </w:rPr>
        <w:t>Examining the results by payment-to-cost quartile shows that the median cost per day adjusted to a facility CMI of 1.0 increases with each successive quartile.  That is, facilities in Quartile 1 (highest payment-to-cost ratios) have the lowest cost per day and facilities in Quartile 4 (lowest payment-to-cost ratios) have the highest cost per day.  This statistic indicates that the rate setting system “rewards” facilities with lower cost per day.</w:t>
      </w:r>
    </w:p>
    <w:p w14:paraId="65D70130" w14:textId="77777777" w:rsidR="001D03A8" w:rsidRPr="001D03A8" w:rsidRDefault="001D03A8" w:rsidP="001D03A8">
      <w:pPr>
        <w:spacing w:before="0" w:after="0"/>
        <w:rPr>
          <w:rFonts w:cs="Arial"/>
        </w:rPr>
      </w:pPr>
    </w:p>
    <w:p w14:paraId="045571DF" w14:textId="77777777" w:rsidR="001D03A8" w:rsidRPr="001D03A8" w:rsidRDefault="001D03A8" w:rsidP="001D03A8">
      <w:pPr>
        <w:keepNext/>
        <w:spacing w:before="0" w:after="0"/>
        <w:rPr>
          <w:rFonts w:cs="Arial"/>
          <w:i/>
        </w:rPr>
      </w:pPr>
      <w:r w:rsidRPr="001D03A8">
        <w:rPr>
          <w:rFonts w:cs="Arial"/>
          <w:i/>
        </w:rPr>
        <w:t>Highest Quartile – Standard Nursing Facilities</w:t>
      </w:r>
    </w:p>
    <w:p w14:paraId="5CFE2CE9" w14:textId="77777777" w:rsidR="001D03A8" w:rsidRPr="001D03A8" w:rsidRDefault="001D03A8" w:rsidP="001D03A8">
      <w:pPr>
        <w:keepNext/>
        <w:spacing w:before="0" w:after="0"/>
        <w:rPr>
          <w:rFonts w:cs="Arial"/>
          <w:i/>
        </w:rPr>
      </w:pPr>
    </w:p>
    <w:p w14:paraId="1E0DC9A1" w14:textId="3A5F4DA9" w:rsidR="001D03A8" w:rsidRPr="001D03A8" w:rsidRDefault="001D03A8" w:rsidP="001D03A8">
      <w:pPr>
        <w:spacing w:before="0" w:after="0"/>
        <w:rPr>
          <w:rFonts w:cs="Arial"/>
        </w:rPr>
      </w:pPr>
      <w:r w:rsidRPr="001D03A8">
        <w:rPr>
          <w:rFonts w:cs="Arial"/>
        </w:rPr>
        <w:t>Examining the nursing facilities in the highest quartile (Quartile 1) shows that all of the 49 nursing facilities have payment-to-cost ratios between 9</w:t>
      </w:r>
      <w:r w:rsidR="00AB1652">
        <w:rPr>
          <w:rFonts w:cs="Arial"/>
        </w:rPr>
        <w:t>6.9</w:t>
      </w:r>
      <w:r w:rsidRPr="001D03A8">
        <w:rPr>
          <w:rFonts w:cs="Arial"/>
        </w:rPr>
        <w:t xml:space="preserve"> and 11</w:t>
      </w:r>
      <w:r w:rsidR="00AB1652">
        <w:rPr>
          <w:rFonts w:cs="Arial"/>
        </w:rPr>
        <w:t>6.9</w:t>
      </w:r>
      <w:r w:rsidRPr="001D03A8">
        <w:rPr>
          <w:rFonts w:cs="Arial"/>
        </w:rPr>
        <w:t xml:space="preserve"> percent. </w:t>
      </w:r>
      <w:r w:rsidR="001F1481">
        <w:rPr>
          <w:rFonts w:cs="Arial"/>
        </w:rPr>
        <w:t xml:space="preserve"> </w:t>
      </w:r>
      <w:r w:rsidR="00AB1652">
        <w:rPr>
          <w:rFonts w:cs="Arial"/>
        </w:rPr>
        <w:t>Twenty-nine</w:t>
      </w:r>
      <w:r w:rsidRPr="001D03A8">
        <w:rPr>
          <w:rFonts w:cs="Arial"/>
        </w:rPr>
        <w:t xml:space="preserve"> nursing facilities have payment-to-cost ratios of 100 percent or higher. </w:t>
      </w:r>
    </w:p>
    <w:p w14:paraId="11FCD6F2" w14:textId="77777777" w:rsidR="001D03A8" w:rsidRPr="001D03A8" w:rsidRDefault="001D03A8" w:rsidP="001D03A8">
      <w:pPr>
        <w:spacing w:before="0" w:after="0"/>
        <w:rPr>
          <w:rFonts w:cs="Arial"/>
          <w:highlight w:val="yellow"/>
        </w:rPr>
      </w:pPr>
    </w:p>
    <w:p w14:paraId="2BCEB0E5" w14:textId="7533246F" w:rsidR="001D03A8" w:rsidRDefault="001D03A8" w:rsidP="001D03A8">
      <w:pPr>
        <w:spacing w:before="0" w:after="0"/>
        <w:rPr>
          <w:rFonts w:cs="Arial"/>
        </w:rPr>
      </w:pPr>
      <w:r w:rsidRPr="001D03A8">
        <w:rPr>
          <w:rFonts w:cs="Arial"/>
        </w:rPr>
        <w:t xml:space="preserve">See Appendix </w:t>
      </w:r>
      <w:r w:rsidR="00D97E2C">
        <w:rPr>
          <w:rFonts w:cs="Arial"/>
        </w:rPr>
        <w:t>C</w:t>
      </w:r>
      <w:r w:rsidRPr="001D03A8">
        <w:rPr>
          <w:rFonts w:cs="Arial"/>
        </w:rPr>
        <w:t xml:space="preserve"> for additional detail on the analysis of the SFY 201</w:t>
      </w:r>
      <w:r w:rsidR="00AB1652">
        <w:rPr>
          <w:rFonts w:cs="Arial"/>
        </w:rPr>
        <w:t>8</w:t>
      </w:r>
      <w:r w:rsidRPr="001D03A8">
        <w:rPr>
          <w:rFonts w:cs="Arial"/>
        </w:rPr>
        <w:t xml:space="preserve"> rates.</w:t>
      </w:r>
    </w:p>
    <w:p w14:paraId="7993A963" w14:textId="77777777" w:rsidR="00AB1652" w:rsidRDefault="00AB1652" w:rsidP="001D03A8">
      <w:pPr>
        <w:spacing w:before="0" w:after="0"/>
        <w:rPr>
          <w:rFonts w:cs="Arial"/>
        </w:rPr>
      </w:pPr>
    </w:p>
    <w:p w14:paraId="72CAC024" w14:textId="421FD110" w:rsidR="00AB1652" w:rsidRPr="001D03A8" w:rsidRDefault="00AB1652" w:rsidP="00AB1652">
      <w:pPr>
        <w:keepNext/>
        <w:spacing w:before="0" w:after="0"/>
        <w:rPr>
          <w:rFonts w:cs="Arial"/>
          <w:u w:val="single"/>
        </w:rPr>
      </w:pPr>
      <w:r w:rsidRPr="001D03A8">
        <w:rPr>
          <w:rFonts w:cs="Arial"/>
          <w:u w:val="single"/>
        </w:rPr>
        <w:t>State Fiscal Year 201</w:t>
      </w:r>
      <w:r>
        <w:rPr>
          <w:rFonts w:cs="Arial"/>
          <w:u w:val="single"/>
        </w:rPr>
        <w:t>9</w:t>
      </w:r>
      <w:r w:rsidRPr="001D03A8">
        <w:rPr>
          <w:rFonts w:cs="Arial"/>
          <w:u w:val="single"/>
        </w:rPr>
        <w:t xml:space="preserve"> Rates</w:t>
      </w:r>
    </w:p>
    <w:p w14:paraId="673A1625" w14:textId="77777777" w:rsidR="00AB1652" w:rsidRPr="001D03A8" w:rsidRDefault="00AB1652" w:rsidP="00AB1652">
      <w:pPr>
        <w:keepNext/>
        <w:spacing w:before="0" w:after="0"/>
        <w:rPr>
          <w:rFonts w:cs="Arial"/>
          <w:u w:val="single"/>
        </w:rPr>
      </w:pPr>
    </w:p>
    <w:p w14:paraId="3A706707" w14:textId="77777777" w:rsidR="00AB1652" w:rsidRPr="001D03A8" w:rsidRDefault="00AB1652" w:rsidP="00AB1652">
      <w:pPr>
        <w:keepNext/>
        <w:spacing w:before="0" w:after="0"/>
        <w:rPr>
          <w:rFonts w:cs="Arial"/>
          <w:i/>
        </w:rPr>
      </w:pPr>
      <w:r w:rsidRPr="001D03A8">
        <w:rPr>
          <w:rFonts w:cs="Arial"/>
          <w:i/>
        </w:rPr>
        <w:t>Overall Results – All Nursing Facilities</w:t>
      </w:r>
    </w:p>
    <w:p w14:paraId="052D4C5E" w14:textId="77777777" w:rsidR="00AB1652" w:rsidRPr="001D03A8" w:rsidRDefault="00AB1652" w:rsidP="00AB1652">
      <w:pPr>
        <w:keepNext/>
        <w:spacing w:before="0" w:after="0"/>
        <w:rPr>
          <w:rFonts w:cs="Arial"/>
          <w:i/>
        </w:rPr>
      </w:pPr>
    </w:p>
    <w:p w14:paraId="35D756F0" w14:textId="151064DB" w:rsidR="00AB1652" w:rsidRPr="001D03A8" w:rsidRDefault="00AB1652" w:rsidP="00AB1652">
      <w:pPr>
        <w:spacing w:before="0" w:after="0"/>
        <w:rPr>
          <w:rFonts w:cs="Arial"/>
        </w:rPr>
      </w:pPr>
      <w:r w:rsidRPr="001D03A8">
        <w:rPr>
          <w:rFonts w:cs="Arial"/>
        </w:rPr>
        <w:t>As shown in the table above, the rates expected to be in effect for SFY 201</w:t>
      </w:r>
      <w:r>
        <w:rPr>
          <w:rFonts w:cs="Arial"/>
        </w:rPr>
        <w:t>9</w:t>
      </w:r>
      <w:r w:rsidRPr="001D03A8">
        <w:rPr>
          <w:rFonts w:cs="Arial"/>
        </w:rPr>
        <w:t xml:space="preserve"> followi</w:t>
      </w:r>
      <w:r w:rsidR="00C307DE">
        <w:rPr>
          <w:rFonts w:cs="Arial"/>
        </w:rPr>
        <w:t xml:space="preserve">ng the current methodology </w:t>
      </w:r>
      <w:r w:rsidRPr="001D03A8">
        <w:rPr>
          <w:rFonts w:cs="Arial"/>
        </w:rPr>
        <w:t xml:space="preserve">result in a statewide average payment-to-cost ratio of </w:t>
      </w:r>
      <w:r>
        <w:rPr>
          <w:rFonts w:cs="Arial"/>
        </w:rPr>
        <w:t>89.7</w:t>
      </w:r>
      <w:r w:rsidRPr="001D03A8">
        <w:rPr>
          <w:rFonts w:cs="Arial"/>
        </w:rPr>
        <w:t xml:space="preserve"> percent.  The standard nursing facilities are expected to have a slightly higher ratio of 9</w:t>
      </w:r>
      <w:r>
        <w:rPr>
          <w:rFonts w:cs="Arial"/>
        </w:rPr>
        <w:t>1.6</w:t>
      </w:r>
      <w:r w:rsidRPr="001D03A8">
        <w:rPr>
          <w:rFonts w:cs="Arial"/>
        </w:rPr>
        <w:t xml:space="preserve"> percent.</w:t>
      </w:r>
    </w:p>
    <w:p w14:paraId="212F1626" w14:textId="77777777" w:rsidR="00AB1652" w:rsidRPr="001D03A8" w:rsidRDefault="00AB1652" w:rsidP="00AB1652">
      <w:pPr>
        <w:spacing w:before="0" w:after="0"/>
        <w:rPr>
          <w:rFonts w:cs="Arial"/>
          <w:i/>
        </w:rPr>
      </w:pPr>
    </w:p>
    <w:p w14:paraId="267164EE" w14:textId="77777777" w:rsidR="00AB1652" w:rsidRPr="001D03A8" w:rsidRDefault="00AB1652" w:rsidP="00AB1652">
      <w:pPr>
        <w:keepNext/>
        <w:spacing w:before="0" w:after="0"/>
        <w:rPr>
          <w:rFonts w:cs="Arial"/>
          <w:i/>
        </w:rPr>
      </w:pPr>
      <w:r w:rsidRPr="001D03A8">
        <w:rPr>
          <w:rFonts w:cs="Arial"/>
          <w:i/>
        </w:rPr>
        <w:t>Occupancy – Standard Nursing Facilities</w:t>
      </w:r>
    </w:p>
    <w:p w14:paraId="6739CFFB" w14:textId="77777777" w:rsidR="00AB1652" w:rsidRPr="001D03A8" w:rsidRDefault="00AB1652" w:rsidP="00AB1652">
      <w:pPr>
        <w:keepNext/>
        <w:spacing w:before="0" w:after="0"/>
        <w:rPr>
          <w:rFonts w:cs="Arial"/>
          <w:i/>
        </w:rPr>
      </w:pPr>
    </w:p>
    <w:p w14:paraId="2FECC200" w14:textId="77777777" w:rsidR="00AB1652" w:rsidRPr="001D03A8" w:rsidRDefault="00AB1652" w:rsidP="00AB1652">
      <w:pPr>
        <w:spacing w:before="0" w:after="0"/>
        <w:rPr>
          <w:rFonts w:cs="Arial"/>
        </w:rPr>
      </w:pPr>
      <w:r w:rsidRPr="001D03A8">
        <w:rPr>
          <w:rFonts w:cs="Arial"/>
        </w:rPr>
        <w:t>Examining the results by payment-to-cost quartile shows that average and median occupancy for facilities in Quartile 1 is higher than the rates for Quartiles 2, 3 and 4.  This statistic generally indicates that the rate setting system “rewards” facilities with higher occupancies.</w:t>
      </w:r>
    </w:p>
    <w:p w14:paraId="28DB5078" w14:textId="77777777" w:rsidR="00AB1652" w:rsidRPr="001D03A8" w:rsidRDefault="00AB1652" w:rsidP="00AB1652">
      <w:pPr>
        <w:spacing w:before="0" w:after="0"/>
        <w:rPr>
          <w:rFonts w:cs="Arial"/>
        </w:rPr>
      </w:pPr>
    </w:p>
    <w:p w14:paraId="00AAD69A" w14:textId="77777777" w:rsidR="00AB1652" w:rsidRPr="001D03A8" w:rsidRDefault="00AB1652" w:rsidP="00AB1652">
      <w:pPr>
        <w:keepNext/>
        <w:spacing w:before="0" w:after="0"/>
        <w:rPr>
          <w:rFonts w:cs="Arial"/>
          <w:i/>
        </w:rPr>
      </w:pPr>
      <w:r w:rsidRPr="001D03A8">
        <w:rPr>
          <w:rFonts w:cs="Arial"/>
          <w:i/>
        </w:rPr>
        <w:t>Medicaid Percentage – Standard Nursing Facilities</w:t>
      </w:r>
    </w:p>
    <w:p w14:paraId="34F77E9B" w14:textId="77777777" w:rsidR="00AB1652" w:rsidRPr="001D03A8" w:rsidRDefault="00AB1652" w:rsidP="00AB1652">
      <w:pPr>
        <w:spacing w:before="0" w:after="0"/>
        <w:rPr>
          <w:rFonts w:cs="Arial"/>
        </w:rPr>
      </w:pPr>
    </w:p>
    <w:p w14:paraId="15C0BDAE" w14:textId="77777777" w:rsidR="00AB1652" w:rsidRPr="001D03A8" w:rsidRDefault="00AB1652" w:rsidP="00AB1652">
      <w:pPr>
        <w:spacing w:before="0" w:after="0"/>
        <w:rPr>
          <w:rFonts w:cs="Arial"/>
        </w:rPr>
      </w:pPr>
      <w:r w:rsidRPr="001D03A8">
        <w:rPr>
          <w:rFonts w:cs="Arial"/>
        </w:rPr>
        <w:t xml:space="preserve">Examining the results by payment-to-cost quartile shows that facilities in Quartile 1 (highest payment-to-cost ratios) tend to have a high Medicaid percentage, while facilities in Quartile 4 (lowest payment-to-cost ratios) have the lowest Medicaid percentage.  This statistic generally indicates that the rate setting system “rewards” facilities with higher Medicaid percentages.  Note that the median value generally follows the same trend.   </w:t>
      </w:r>
    </w:p>
    <w:p w14:paraId="1E397220" w14:textId="77777777" w:rsidR="00AB1652" w:rsidRPr="001D03A8" w:rsidRDefault="00AB1652" w:rsidP="00AB1652">
      <w:pPr>
        <w:spacing w:before="0" w:after="0"/>
        <w:rPr>
          <w:rFonts w:cs="Arial"/>
        </w:rPr>
      </w:pPr>
    </w:p>
    <w:p w14:paraId="1CDBF069" w14:textId="77777777" w:rsidR="00AB1652" w:rsidRPr="001D03A8" w:rsidRDefault="00AB1652" w:rsidP="00AB1652">
      <w:pPr>
        <w:keepNext/>
        <w:spacing w:before="0" w:after="0"/>
        <w:rPr>
          <w:rFonts w:cs="Arial"/>
          <w:i/>
        </w:rPr>
      </w:pPr>
      <w:r w:rsidRPr="001D03A8">
        <w:rPr>
          <w:rFonts w:cs="Arial"/>
          <w:i/>
        </w:rPr>
        <w:lastRenderedPageBreak/>
        <w:t>Cost Per Day – Standard Nursing Facilities</w:t>
      </w:r>
    </w:p>
    <w:p w14:paraId="3CA29F82" w14:textId="77777777" w:rsidR="00AB1652" w:rsidRPr="001D03A8" w:rsidRDefault="00AB1652" w:rsidP="00AB1652">
      <w:pPr>
        <w:keepNext/>
        <w:spacing w:before="0" w:after="0"/>
        <w:rPr>
          <w:rFonts w:cs="Arial"/>
          <w:i/>
        </w:rPr>
      </w:pPr>
    </w:p>
    <w:p w14:paraId="45CE18A1" w14:textId="77777777" w:rsidR="00AB1652" w:rsidRPr="001D03A8" w:rsidRDefault="00AB1652" w:rsidP="00AB1652">
      <w:pPr>
        <w:spacing w:before="0" w:after="0"/>
        <w:rPr>
          <w:rFonts w:cs="Arial"/>
        </w:rPr>
      </w:pPr>
      <w:r w:rsidRPr="001D03A8">
        <w:rPr>
          <w:rFonts w:cs="Arial"/>
        </w:rPr>
        <w:t>Examining the results by payment-to-cost quartile shows that the median cost per day adjusted to a facility CMI of 1.0 increases with each successive quartile.  That is, facilities in Quartile 1 (highest payment-to-cost ratios) have the lowest cost per day and facilities in Quartile 4 (lowest payment-to-cost ratios) have the highest cost per day.  This statistic indicates that the rate setting system “rewards” facilities with lower cost per day.</w:t>
      </w:r>
    </w:p>
    <w:p w14:paraId="0E93A4EB" w14:textId="77777777" w:rsidR="00AB1652" w:rsidRPr="001D03A8" w:rsidRDefault="00AB1652" w:rsidP="00AB1652">
      <w:pPr>
        <w:spacing w:before="0" w:after="0"/>
        <w:rPr>
          <w:rFonts w:cs="Arial"/>
        </w:rPr>
      </w:pPr>
    </w:p>
    <w:p w14:paraId="512A8956" w14:textId="77777777" w:rsidR="00AB1652" w:rsidRPr="001D03A8" w:rsidRDefault="00AB1652" w:rsidP="00AB1652">
      <w:pPr>
        <w:keepNext/>
        <w:spacing w:before="0" w:after="0"/>
        <w:rPr>
          <w:rFonts w:cs="Arial"/>
          <w:i/>
        </w:rPr>
      </w:pPr>
      <w:r w:rsidRPr="001D03A8">
        <w:rPr>
          <w:rFonts w:cs="Arial"/>
          <w:i/>
        </w:rPr>
        <w:t>Highest Quartile – Standard Nursing Facilities</w:t>
      </w:r>
    </w:p>
    <w:p w14:paraId="67E38A65" w14:textId="77777777" w:rsidR="00AB1652" w:rsidRPr="001D03A8" w:rsidRDefault="00AB1652" w:rsidP="00AB1652">
      <w:pPr>
        <w:keepNext/>
        <w:spacing w:before="0" w:after="0"/>
        <w:rPr>
          <w:rFonts w:cs="Arial"/>
          <w:i/>
        </w:rPr>
      </w:pPr>
    </w:p>
    <w:p w14:paraId="1F4142F3" w14:textId="4609A093" w:rsidR="00AB1652" w:rsidRPr="001D03A8" w:rsidRDefault="00AB1652" w:rsidP="00AB1652">
      <w:pPr>
        <w:spacing w:before="0" w:after="0"/>
        <w:rPr>
          <w:rFonts w:cs="Arial"/>
        </w:rPr>
      </w:pPr>
      <w:r w:rsidRPr="001D03A8">
        <w:rPr>
          <w:rFonts w:cs="Arial"/>
        </w:rPr>
        <w:t>Examining the nursing facilities in the highest quartile (Quartile 1) shows that all of the 49 nursing facilities have payment-to-cost ratios between 9</w:t>
      </w:r>
      <w:r>
        <w:rPr>
          <w:rFonts w:cs="Arial"/>
        </w:rPr>
        <w:t>7.7</w:t>
      </w:r>
      <w:r w:rsidRPr="001D03A8">
        <w:rPr>
          <w:rFonts w:cs="Arial"/>
        </w:rPr>
        <w:t xml:space="preserve"> and 11</w:t>
      </w:r>
      <w:r>
        <w:rPr>
          <w:rFonts w:cs="Arial"/>
        </w:rPr>
        <w:t>5.4</w:t>
      </w:r>
      <w:r w:rsidRPr="001D03A8">
        <w:rPr>
          <w:rFonts w:cs="Arial"/>
        </w:rPr>
        <w:t xml:space="preserve"> percent. </w:t>
      </w:r>
      <w:r w:rsidR="001F1481">
        <w:rPr>
          <w:rFonts w:cs="Arial"/>
        </w:rPr>
        <w:t xml:space="preserve"> </w:t>
      </w:r>
      <w:r>
        <w:rPr>
          <w:rFonts w:cs="Arial"/>
        </w:rPr>
        <w:t>Thirty-five</w:t>
      </w:r>
      <w:r w:rsidRPr="001D03A8">
        <w:rPr>
          <w:rFonts w:cs="Arial"/>
        </w:rPr>
        <w:t xml:space="preserve"> nursing facilities have payment-to-cost ratios of 100 percent or higher. </w:t>
      </w:r>
    </w:p>
    <w:p w14:paraId="25B21A3A" w14:textId="77777777" w:rsidR="00AB1652" w:rsidRPr="001D03A8" w:rsidRDefault="00AB1652" w:rsidP="00AB1652">
      <w:pPr>
        <w:spacing w:before="0" w:after="0"/>
        <w:rPr>
          <w:rFonts w:cs="Arial"/>
          <w:highlight w:val="yellow"/>
        </w:rPr>
      </w:pPr>
    </w:p>
    <w:p w14:paraId="3CA4F485" w14:textId="193176C7" w:rsidR="00AB1652" w:rsidRDefault="00AB1652" w:rsidP="00AB1652">
      <w:pPr>
        <w:spacing w:before="0" w:after="0"/>
        <w:rPr>
          <w:rFonts w:cs="Arial"/>
        </w:rPr>
      </w:pPr>
      <w:r w:rsidRPr="001D03A8">
        <w:rPr>
          <w:rFonts w:cs="Arial"/>
        </w:rPr>
        <w:t xml:space="preserve">See Appendix </w:t>
      </w:r>
      <w:r>
        <w:rPr>
          <w:rFonts w:cs="Arial"/>
        </w:rPr>
        <w:t>D</w:t>
      </w:r>
      <w:r w:rsidRPr="001D03A8">
        <w:rPr>
          <w:rFonts w:cs="Arial"/>
        </w:rPr>
        <w:t xml:space="preserve"> for additional detail on the analysis of the SFY 201</w:t>
      </w:r>
      <w:r>
        <w:rPr>
          <w:rFonts w:cs="Arial"/>
        </w:rPr>
        <w:t>9</w:t>
      </w:r>
      <w:r w:rsidRPr="001D03A8">
        <w:rPr>
          <w:rFonts w:cs="Arial"/>
        </w:rPr>
        <w:t xml:space="preserve"> rates.</w:t>
      </w:r>
    </w:p>
    <w:p w14:paraId="72196759" w14:textId="147FD68E" w:rsidR="0057745D" w:rsidRDefault="0057745D" w:rsidP="00AB1652">
      <w:pPr>
        <w:spacing w:before="0" w:after="0"/>
        <w:rPr>
          <w:rFonts w:cs="Arial"/>
        </w:rPr>
      </w:pPr>
    </w:p>
    <w:p w14:paraId="3B5199F4" w14:textId="77777777" w:rsidR="00FC48CA" w:rsidRDefault="00FC48CA" w:rsidP="00AB1652">
      <w:pPr>
        <w:spacing w:before="0" w:after="0"/>
        <w:rPr>
          <w:rFonts w:cs="Arial"/>
        </w:rPr>
      </w:pPr>
    </w:p>
    <w:p w14:paraId="0756BF5C" w14:textId="18ADA9F3" w:rsidR="00EF4C71" w:rsidRPr="00F73197" w:rsidRDefault="00F73197" w:rsidP="00AB1652">
      <w:pPr>
        <w:spacing w:before="0" w:after="0"/>
        <w:rPr>
          <w:rFonts w:cs="Arial"/>
          <w:b/>
        </w:rPr>
      </w:pPr>
      <w:r>
        <w:rPr>
          <w:rFonts w:cs="Arial"/>
          <w:b/>
        </w:rPr>
        <w:t>Comparison to Other Payer Rates</w:t>
      </w:r>
    </w:p>
    <w:p w14:paraId="595D7FC1" w14:textId="77777777" w:rsidR="00F73197" w:rsidRDefault="00F73197" w:rsidP="00AB1652">
      <w:pPr>
        <w:spacing w:before="0" w:after="0"/>
        <w:rPr>
          <w:rFonts w:cs="Arial"/>
        </w:rPr>
      </w:pPr>
    </w:p>
    <w:p w14:paraId="6DC1CCB9" w14:textId="099B9B21" w:rsidR="00F5512F" w:rsidRDefault="00A31404" w:rsidP="00AB1652">
      <w:pPr>
        <w:spacing w:before="0" w:after="0"/>
        <w:rPr>
          <w:rFonts w:cs="Arial"/>
        </w:rPr>
      </w:pPr>
      <w:r>
        <w:rPr>
          <w:rFonts w:cs="Arial"/>
        </w:rPr>
        <w:t>In</w:t>
      </w:r>
      <w:r w:rsidR="00F73197">
        <w:rPr>
          <w:rFonts w:cs="Arial"/>
        </w:rPr>
        <w:t xml:space="preserve"> this section we compare </w:t>
      </w:r>
      <w:r w:rsidR="00AD2F62">
        <w:rPr>
          <w:rFonts w:cs="Arial"/>
        </w:rPr>
        <w:t>Washington’s</w:t>
      </w:r>
      <w:r w:rsidR="00F73197">
        <w:rPr>
          <w:rFonts w:cs="Arial"/>
        </w:rPr>
        <w:t xml:space="preserve"> reimbursement rates to</w:t>
      </w:r>
      <w:r w:rsidR="00800522">
        <w:rPr>
          <w:rFonts w:cs="Arial"/>
        </w:rPr>
        <w:t xml:space="preserve"> those of other payers</w:t>
      </w:r>
      <w:r w:rsidR="00AD2F62">
        <w:rPr>
          <w:rFonts w:cs="Arial"/>
        </w:rPr>
        <w:t>.</w:t>
      </w:r>
      <w:r w:rsidR="002C7ECD">
        <w:rPr>
          <w:rFonts w:cs="Arial"/>
        </w:rPr>
        <w:t xml:space="preserve">  </w:t>
      </w:r>
      <w:r w:rsidR="00800522">
        <w:rPr>
          <w:rFonts w:cs="Arial"/>
        </w:rPr>
        <w:t xml:space="preserve">Specifically, we analyzed the average rate paid to Washington nursing facilities </w:t>
      </w:r>
      <w:r w:rsidR="009533B1">
        <w:rPr>
          <w:rFonts w:cs="Arial"/>
        </w:rPr>
        <w:t>by</w:t>
      </w:r>
      <w:r w:rsidR="00800522">
        <w:rPr>
          <w:rFonts w:cs="Arial"/>
        </w:rPr>
        <w:t xml:space="preserve"> </w:t>
      </w:r>
      <w:r w:rsidR="00A90360">
        <w:rPr>
          <w:rFonts w:cs="Arial"/>
        </w:rPr>
        <w:t xml:space="preserve">other payers including Medicare, </w:t>
      </w:r>
      <w:r w:rsidR="00800522">
        <w:rPr>
          <w:rFonts w:cs="Arial"/>
        </w:rPr>
        <w:t>self-pay</w:t>
      </w:r>
      <w:r w:rsidR="00A90360">
        <w:rPr>
          <w:rFonts w:cs="Arial"/>
        </w:rPr>
        <w:t>, and commercial insurance</w:t>
      </w:r>
      <w:r w:rsidR="00800522">
        <w:rPr>
          <w:rFonts w:cs="Arial"/>
        </w:rPr>
        <w:t>.  In addition, w</w:t>
      </w:r>
      <w:r w:rsidR="002C7ECD">
        <w:rPr>
          <w:rFonts w:cs="Arial"/>
        </w:rPr>
        <w:t>e</w:t>
      </w:r>
      <w:r w:rsidR="00491E7E">
        <w:rPr>
          <w:rFonts w:cs="Arial"/>
        </w:rPr>
        <w:t xml:space="preserve"> </w:t>
      </w:r>
      <w:r w:rsidR="002C7ECD">
        <w:rPr>
          <w:rFonts w:cs="Arial"/>
        </w:rPr>
        <w:t xml:space="preserve">reviewed </w:t>
      </w:r>
      <w:r w:rsidR="004C35B2">
        <w:rPr>
          <w:rFonts w:cs="Arial"/>
        </w:rPr>
        <w:t>Washington Medicaid’s</w:t>
      </w:r>
      <w:r w:rsidR="00E646F9">
        <w:rPr>
          <w:rFonts w:cs="Arial"/>
        </w:rPr>
        <w:t xml:space="preserve"> </w:t>
      </w:r>
      <w:r w:rsidR="00AC0664">
        <w:rPr>
          <w:rFonts w:cs="Arial"/>
        </w:rPr>
        <w:t>r</w:t>
      </w:r>
      <w:r w:rsidR="00F73197">
        <w:rPr>
          <w:rFonts w:cs="Arial"/>
        </w:rPr>
        <w:t xml:space="preserve">eimbursement rates </w:t>
      </w:r>
      <w:r w:rsidR="00E646F9">
        <w:rPr>
          <w:rFonts w:cs="Arial"/>
        </w:rPr>
        <w:t xml:space="preserve">for the five most frequent RUG classifications of Medicaid recipients </w:t>
      </w:r>
      <w:r w:rsidR="00F73197">
        <w:rPr>
          <w:rFonts w:cs="Arial"/>
        </w:rPr>
        <w:t>to</w:t>
      </w:r>
      <w:r w:rsidR="004C35B2">
        <w:rPr>
          <w:rFonts w:cs="Arial"/>
        </w:rPr>
        <w:t xml:space="preserve"> Medicare</w:t>
      </w:r>
      <w:r w:rsidR="00AC0664">
        <w:rPr>
          <w:rFonts w:cs="Arial"/>
        </w:rPr>
        <w:t xml:space="preserve"> reimbursement rates</w:t>
      </w:r>
      <w:r w:rsidR="00E646F9">
        <w:rPr>
          <w:rFonts w:cs="Arial"/>
        </w:rPr>
        <w:t xml:space="preserve"> for the same RUG classifications</w:t>
      </w:r>
      <w:r w:rsidR="002C7ECD">
        <w:rPr>
          <w:rFonts w:cs="Arial"/>
        </w:rPr>
        <w:t>.</w:t>
      </w:r>
      <w:r w:rsidR="002D2923">
        <w:rPr>
          <w:rFonts w:cs="Arial"/>
        </w:rPr>
        <w:t xml:space="preserve">  Finally, we compared Washington Medicaid’s average reimbursement rate to the reimbursement rates of other states.  </w:t>
      </w:r>
    </w:p>
    <w:p w14:paraId="47A5C900" w14:textId="77777777" w:rsidR="00F21218" w:rsidRDefault="00F21218" w:rsidP="00AB1652">
      <w:pPr>
        <w:spacing w:before="0" w:after="0"/>
        <w:rPr>
          <w:rFonts w:cs="Arial"/>
        </w:rPr>
      </w:pPr>
    </w:p>
    <w:p w14:paraId="28B3C41A" w14:textId="5DF26096" w:rsidR="00435582" w:rsidRPr="003418D5" w:rsidRDefault="00435582" w:rsidP="008E4911">
      <w:pPr>
        <w:spacing w:before="0" w:after="0"/>
        <w:rPr>
          <w:rFonts w:cs="Arial"/>
          <w:u w:val="single"/>
        </w:rPr>
      </w:pPr>
      <w:r w:rsidRPr="003418D5">
        <w:rPr>
          <w:rFonts w:cs="Arial"/>
          <w:u w:val="single"/>
        </w:rPr>
        <w:t>Comparison to Medicare Rates</w:t>
      </w:r>
    </w:p>
    <w:p w14:paraId="7085F419" w14:textId="77777777" w:rsidR="00435582" w:rsidRDefault="00435582" w:rsidP="008E4911">
      <w:pPr>
        <w:spacing w:before="0" w:after="0"/>
        <w:rPr>
          <w:rFonts w:cs="Arial"/>
        </w:rPr>
      </w:pPr>
    </w:p>
    <w:p w14:paraId="6D19085C" w14:textId="70E18857" w:rsidR="00A31404" w:rsidRDefault="0016075C" w:rsidP="008E4911">
      <w:pPr>
        <w:spacing w:before="0" w:after="0"/>
        <w:rPr>
          <w:rFonts w:cs="Arial"/>
        </w:rPr>
      </w:pPr>
      <w:r>
        <w:rPr>
          <w:rFonts w:cs="Arial"/>
        </w:rPr>
        <w:t>It should be n</w:t>
      </w:r>
      <w:r w:rsidR="001D49AE">
        <w:rPr>
          <w:rFonts w:cs="Arial"/>
        </w:rPr>
        <w:t>ote</w:t>
      </w:r>
      <w:r>
        <w:rPr>
          <w:rFonts w:cs="Arial"/>
        </w:rPr>
        <w:t>d</w:t>
      </w:r>
      <w:r w:rsidR="001D49AE">
        <w:rPr>
          <w:rFonts w:cs="Arial"/>
        </w:rPr>
        <w:t xml:space="preserve"> that</w:t>
      </w:r>
      <w:r w:rsidR="00A31404">
        <w:rPr>
          <w:rFonts w:cs="Arial"/>
        </w:rPr>
        <w:t xml:space="preserve"> drawing conclusions from a </w:t>
      </w:r>
      <w:r w:rsidR="00BB2620">
        <w:rPr>
          <w:rFonts w:cs="Arial"/>
        </w:rPr>
        <w:t>compari</w:t>
      </w:r>
      <w:r w:rsidR="00A31404">
        <w:rPr>
          <w:rFonts w:cs="Arial"/>
        </w:rPr>
        <w:t>son of</w:t>
      </w:r>
      <w:r w:rsidR="00BB2620">
        <w:rPr>
          <w:rFonts w:cs="Arial"/>
        </w:rPr>
        <w:t xml:space="preserve"> Medicaid reimbursement rates to Medicare reimbursement rates</w:t>
      </w:r>
      <w:r>
        <w:rPr>
          <w:rFonts w:cs="Arial"/>
        </w:rPr>
        <w:t xml:space="preserve"> in general</w:t>
      </w:r>
      <w:r w:rsidR="00BB2620">
        <w:rPr>
          <w:rFonts w:cs="Arial"/>
        </w:rPr>
        <w:t xml:space="preserve"> </w:t>
      </w:r>
      <w:r w:rsidR="008E4911">
        <w:rPr>
          <w:rFonts w:cs="Arial"/>
        </w:rPr>
        <w:t xml:space="preserve">can be </w:t>
      </w:r>
      <w:r w:rsidR="00A31404">
        <w:rPr>
          <w:rFonts w:cs="Arial"/>
        </w:rPr>
        <w:t>challenging</w:t>
      </w:r>
      <w:r w:rsidR="001D49AE">
        <w:rPr>
          <w:rFonts w:cs="Arial"/>
        </w:rPr>
        <w:t>,</w:t>
      </w:r>
      <w:r w:rsidR="00BB2620">
        <w:rPr>
          <w:rFonts w:cs="Arial"/>
        </w:rPr>
        <w:t xml:space="preserve"> and there are </w:t>
      </w:r>
      <w:r w:rsidR="00CE1880">
        <w:rPr>
          <w:rFonts w:cs="Arial"/>
        </w:rPr>
        <w:t xml:space="preserve">a few factors </w:t>
      </w:r>
      <w:r w:rsidR="00BB2620">
        <w:rPr>
          <w:rFonts w:cs="Arial"/>
        </w:rPr>
        <w:t>that should</w:t>
      </w:r>
      <w:r w:rsidR="00CE1880">
        <w:rPr>
          <w:rFonts w:cs="Arial"/>
        </w:rPr>
        <w:t xml:space="preserve"> be taken into co</w:t>
      </w:r>
      <w:r w:rsidR="00BB2620">
        <w:rPr>
          <w:rFonts w:cs="Arial"/>
        </w:rPr>
        <w:t>nsideration when making such a comparison</w:t>
      </w:r>
      <w:r w:rsidR="00CE1880">
        <w:rPr>
          <w:rFonts w:cs="Arial"/>
        </w:rPr>
        <w:t xml:space="preserve">.  </w:t>
      </w:r>
      <w:r w:rsidR="00491E7E">
        <w:rPr>
          <w:rFonts w:cs="Arial"/>
        </w:rPr>
        <w:t xml:space="preserve">One </w:t>
      </w:r>
      <w:r w:rsidR="001D49AE">
        <w:rPr>
          <w:rFonts w:cs="Arial"/>
        </w:rPr>
        <w:t xml:space="preserve">of the key </w:t>
      </w:r>
      <w:r w:rsidR="00491E7E">
        <w:rPr>
          <w:rFonts w:cs="Arial"/>
        </w:rPr>
        <w:t>factor</w:t>
      </w:r>
      <w:r w:rsidR="001D49AE">
        <w:rPr>
          <w:rFonts w:cs="Arial"/>
        </w:rPr>
        <w:t>s</w:t>
      </w:r>
      <w:r w:rsidR="00491E7E">
        <w:rPr>
          <w:rFonts w:cs="Arial"/>
        </w:rPr>
        <w:t xml:space="preserve"> to </w:t>
      </w:r>
      <w:r w:rsidR="001D49AE">
        <w:rPr>
          <w:rFonts w:cs="Arial"/>
        </w:rPr>
        <w:t>consider</w:t>
      </w:r>
      <w:r w:rsidR="00491E7E">
        <w:rPr>
          <w:rFonts w:cs="Arial"/>
        </w:rPr>
        <w:t xml:space="preserve"> is that t</w:t>
      </w:r>
      <w:r w:rsidR="005879AB">
        <w:rPr>
          <w:rFonts w:cs="Arial"/>
        </w:rPr>
        <w:t xml:space="preserve">he </w:t>
      </w:r>
      <w:r w:rsidR="001D49AE">
        <w:rPr>
          <w:rFonts w:cs="Arial"/>
        </w:rPr>
        <w:t xml:space="preserve">relative </w:t>
      </w:r>
      <w:r w:rsidR="005879AB">
        <w:rPr>
          <w:rFonts w:cs="Arial"/>
        </w:rPr>
        <w:t xml:space="preserve">acuity of the Medicaid and Medicare populations </w:t>
      </w:r>
      <w:r w:rsidR="001D49AE">
        <w:rPr>
          <w:rFonts w:cs="Arial"/>
        </w:rPr>
        <w:t>are typically significantly</w:t>
      </w:r>
      <w:r w:rsidR="005879AB">
        <w:rPr>
          <w:rFonts w:cs="Arial"/>
        </w:rPr>
        <w:t xml:space="preserve"> different.  </w:t>
      </w:r>
      <w:r w:rsidR="00491E7E">
        <w:rPr>
          <w:rFonts w:cs="Arial"/>
        </w:rPr>
        <w:t xml:space="preserve">The </w:t>
      </w:r>
      <w:r w:rsidR="001D49AE">
        <w:rPr>
          <w:rFonts w:cs="Arial"/>
        </w:rPr>
        <w:t xml:space="preserve">average acuity of </w:t>
      </w:r>
      <w:r w:rsidR="00491E7E">
        <w:rPr>
          <w:rFonts w:cs="Arial"/>
        </w:rPr>
        <w:t xml:space="preserve">Medicare </w:t>
      </w:r>
      <w:r w:rsidR="001D49AE">
        <w:rPr>
          <w:rFonts w:cs="Arial"/>
        </w:rPr>
        <w:t xml:space="preserve">patients are typically higher than those of Medicaid patients because Medicare patients are typically admitted to </w:t>
      </w:r>
      <w:r w:rsidR="008E4911">
        <w:rPr>
          <w:rFonts w:cs="Arial"/>
        </w:rPr>
        <w:t xml:space="preserve">a facility to </w:t>
      </w:r>
      <w:r w:rsidR="001D49AE">
        <w:rPr>
          <w:rFonts w:cs="Arial"/>
        </w:rPr>
        <w:t>receive more intense therapy services follow</w:t>
      </w:r>
      <w:r w:rsidR="008E4911">
        <w:rPr>
          <w:rFonts w:cs="Arial"/>
        </w:rPr>
        <w:t>ing an acute hospitalization or</w:t>
      </w:r>
      <w:r w:rsidR="001D49AE">
        <w:rPr>
          <w:rFonts w:cs="Arial"/>
        </w:rPr>
        <w:t xml:space="preserve"> other episode.  Medicaid residents are typically in a nursing facility for a much longer period of time, for ongoing </w:t>
      </w:r>
      <w:r w:rsidR="008E4911">
        <w:rPr>
          <w:rFonts w:cs="Arial"/>
        </w:rPr>
        <w:t>nursing care as they</w:t>
      </w:r>
      <w:r w:rsidR="001D49AE">
        <w:rPr>
          <w:rFonts w:cs="Arial"/>
        </w:rPr>
        <w:t xml:space="preserve"> age or approach end of life.  </w:t>
      </w:r>
      <w:r w:rsidR="00A31404">
        <w:rPr>
          <w:rFonts w:cs="Arial"/>
        </w:rPr>
        <w:t>And while w</w:t>
      </w:r>
      <w:r w:rsidR="001572B6">
        <w:rPr>
          <w:rFonts w:cs="Arial"/>
        </w:rPr>
        <w:t xml:space="preserve">e have </w:t>
      </w:r>
      <w:r w:rsidR="00A31404">
        <w:rPr>
          <w:rFonts w:cs="Arial"/>
        </w:rPr>
        <w:t>made our comparisons of these rates using similar acuity levels, it is not reasonable to assume that even within the same acuity levels, Medicaid and Medicare resident resource needs are the same.</w:t>
      </w:r>
    </w:p>
    <w:p w14:paraId="07A72B80" w14:textId="77777777" w:rsidR="00A31404" w:rsidRDefault="00A31404" w:rsidP="008E4911">
      <w:pPr>
        <w:spacing w:before="0" w:after="0"/>
        <w:rPr>
          <w:rFonts w:cs="Arial"/>
        </w:rPr>
      </w:pPr>
    </w:p>
    <w:p w14:paraId="41F4C648" w14:textId="6BE400D3" w:rsidR="006553E3" w:rsidRDefault="00A31404" w:rsidP="008E4911">
      <w:pPr>
        <w:spacing w:before="0" w:after="0"/>
        <w:rPr>
          <w:rFonts w:cs="Arial"/>
        </w:rPr>
      </w:pPr>
      <w:r>
        <w:rPr>
          <w:rFonts w:cs="Arial"/>
        </w:rPr>
        <w:t>In addition, it should be noted that Medicaid rates in Washington are generally determined based on t</w:t>
      </w:r>
      <w:r w:rsidR="00435582">
        <w:rPr>
          <w:rFonts w:cs="Arial"/>
        </w:rPr>
        <w:t xml:space="preserve">he Medicaid costs of services </w:t>
      </w:r>
      <w:r>
        <w:rPr>
          <w:rFonts w:cs="Arial"/>
        </w:rPr>
        <w:t xml:space="preserve">provided </w:t>
      </w:r>
      <w:r w:rsidR="00435582">
        <w:rPr>
          <w:rFonts w:cs="Arial"/>
        </w:rPr>
        <w:t xml:space="preserve">by nursing facilities </w:t>
      </w:r>
      <w:r>
        <w:rPr>
          <w:rFonts w:cs="Arial"/>
        </w:rPr>
        <w:t>in the State of Washington.</w:t>
      </w:r>
      <w:r w:rsidR="00435582">
        <w:rPr>
          <w:rFonts w:cs="Arial"/>
        </w:rPr>
        <w:t xml:space="preserve">  Medicare rates are established on a standardized national basis (with some adjustments for regional differences in wages), which have been consistently higher</w:t>
      </w:r>
      <w:r w:rsidR="003418D5">
        <w:rPr>
          <w:rFonts w:cs="Arial"/>
        </w:rPr>
        <w:t xml:space="preserve"> than </w:t>
      </w:r>
      <w:r w:rsidR="00435582">
        <w:rPr>
          <w:rFonts w:cs="Arial"/>
        </w:rPr>
        <w:t>Medicaid rates across the country.</w:t>
      </w:r>
    </w:p>
    <w:p w14:paraId="757C4A0C" w14:textId="087891F4" w:rsidR="0016075C" w:rsidRDefault="00BE2CFC" w:rsidP="008E4911">
      <w:pPr>
        <w:spacing w:before="0" w:after="0"/>
        <w:rPr>
          <w:rFonts w:cs="Arial"/>
        </w:rPr>
      </w:pPr>
      <w:r>
        <w:rPr>
          <w:rFonts w:cs="Arial"/>
        </w:rPr>
        <w:t xml:space="preserve"> </w:t>
      </w:r>
    </w:p>
    <w:p w14:paraId="13B2581D" w14:textId="1E5F23FF" w:rsidR="00B859AE" w:rsidRDefault="00B859AE" w:rsidP="00B859AE">
      <w:pPr>
        <w:spacing w:before="0" w:after="0"/>
        <w:rPr>
          <w:rFonts w:cs="Arial"/>
        </w:rPr>
      </w:pPr>
      <w:r>
        <w:rPr>
          <w:rFonts w:cs="Arial"/>
        </w:rPr>
        <w:t xml:space="preserve">We compared Washington’s Medicaid daily reimbursement rate across the five most frequent RUG classifications of Medicaid recipients to the Medicare reimbursement rates for these same services.  The rates compared were the most recently available Medicare rates for King County to the SFY 2018 Medicaid reimbursement rates.  These rates are reflected in Table 4.2.  </w:t>
      </w:r>
    </w:p>
    <w:p w14:paraId="3BEAFB3F" w14:textId="77777777" w:rsidR="00B859AE" w:rsidRDefault="00B859AE" w:rsidP="00B859AE">
      <w:pPr>
        <w:spacing w:before="0" w:after="0"/>
        <w:rPr>
          <w:rFonts w:cs="Arial"/>
        </w:rPr>
      </w:pPr>
    </w:p>
    <w:p w14:paraId="40B567E5" w14:textId="77777777" w:rsidR="00B859AE" w:rsidRDefault="00B859AE" w:rsidP="00B859AE">
      <w:pPr>
        <w:spacing w:before="0" w:after="0"/>
        <w:rPr>
          <w:rFonts w:cs="Arial"/>
        </w:rPr>
      </w:pPr>
    </w:p>
    <w:p w14:paraId="0A5F8506" w14:textId="7FEF86A2" w:rsidR="00B859AE" w:rsidRPr="000B07CA" w:rsidRDefault="00B859AE" w:rsidP="00616311">
      <w:pPr>
        <w:widowControl/>
        <w:spacing w:before="0" w:after="160" w:line="259" w:lineRule="auto"/>
        <w:rPr>
          <w:rFonts w:cs="Arial"/>
          <w:b/>
        </w:rPr>
      </w:pPr>
      <w:r>
        <w:rPr>
          <w:rFonts w:cs="Arial"/>
          <w:b/>
        </w:rPr>
        <w:lastRenderedPageBreak/>
        <w:t>Table 4.2: Comparison of Medicaid and Medicare Rates by RUG Classification</w:t>
      </w:r>
    </w:p>
    <w:p w14:paraId="0D7EFFF0" w14:textId="77777777" w:rsidR="00B859AE" w:rsidRDefault="00B859AE" w:rsidP="00B859AE">
      <w:pPr>
        <w:spacing w:before="0" w:after="0"/>
        <w:rPr>
          <w:rFonts w:cs="Arial"/>
          <w:b/>
        </w:rPr>
      </w:pPr>
    </w:p>
    <w:p w14:paraId="5C2D5BF9" w14:textId="77777777" w:rsidR="00B859AE" w:rsidRDefault="00B859AE" w:rsidP="00B859AE">
      <w:pPr>
        <w:spacing w:before="0" w:after="0"/>
        <w:rPr>
          <w:rFonts w:cs="Arial"/>
          <w:b/>
        </w:rPr>
      </w:pPr>
    </w:p>
    <w:tbl>
      <w:tblPr>
        <w:tblStyle w:val="TableGrid"/>
        <w:tblW w:w="0" w:type="auto"/>
        <w:jc w:val="center"/>
        <w:tblLook w:val="04A0" w:firstRow="1" w:lastRow="0" w:firstColumn="1" w:lastColumn="0" w:noHBand="0" w:noVBand="1"/>
      </w:tblPr>
      <w:tblGrid>
        <w:gridCol w:w="1647"/>
        <w:gridCol w:w="1858"/>
        <w:gridCol w:w="1890"/>
      </w:tblGrid>
      <w:tr w:rsidR="00B859AE" w:rsidRPr="000B07CA" w14:paraId="07D0CBF8" w14:textId="77777777" w:rsidTr="00853E21">
        <w:trPr>
          <w:jc w:val="center"/>
        </w:trPr>
        <w:tc>
          <w:tcPr>
            <w:tcW w:w="1647" w:type="dxa"/>
            <w:vAlign w:val="bottom"/>
          </w:tcPr>
          <w:p w14:paraId="532E4BBA" w14:textId="77777777" w:rsidR="00B859AE" w:rsidRPr="000B07CA" w:rsidRDefault="00B859AE" w:rsidP="00853E21">
            <w:pPr>
              <w:spacing w:before="0" w:after="0"/>
              <w:jc w:val="center"/>
              <w:rPr>
                <w:rFonts w:cs="Arial"/>
                <w:b/>
              </w:rPr>
            </w:pPr>
            <w:r w:rsidRPr="000B07CA">
              <w:rPr>
                <w:rFonts w:cs="Arial"/>
                <w:b/>
              </w:rPr>
              <w:t>RUG Classification</w:t>
            </w:r>
          </w:p>
        </w:tc>
        <w:tc>
          <w:tcPr>
            <w:tcW w:w="1858" w:type="dxa"/>
            <w:vAlign w:val="bottom"/>
          </w:tcPr>
          <w:p w14:paraId="321C0A78" w14:textId="77777777" w:rsidR="00B859AE" w:rsidRPr="000B07CA" w:rsidRDefault="00B859AE" w:rsidP="00853E21">
            <w:pPr>
              <w:spacing w:before="0" w:after="0"/>
              <w:jc w:val="center"/>
              <w:rPr>
                <w:rFonts w:cs="Arial"/>
                <w:b/>
              </w:rPr>
            </w:pPr>
            <w:r>
              <w:rPr>
                <w:rFonts w:cs="Arial"/>
                <w:b/>
              </w:rPr>
              <w:t>SFY 2018 Medicaid Rate</w:t>
            </w:r>
          </w:p>
        </w:tc>
        <w:tc>
          <w:tcPr>
            <w:tcW w:w="1890" w:type="dxa"/>
            <w:vAlign w:val="bottom"/>
          </w:tcPr>
          <w:p w14:paraId="78CA66A5" w14:textId="77777777" w:rsidR="00B859AE" w:rsidRPr="000B07CA" w:rsidRDefault="00B859AE" w:rsidP="00853E21">
            <w:pPr>
              <w:spacing w:before="0" w:after="0"/>
              <w:jc w:val="center"/>
              <w:rPr>
                <w:rFonts w:cs="Arial"/>
                <w:b/>
              </w:rPr>
            </w:pPr>
            <w:r>
              <w:rPr>
                <w:rFonts w:cs="Arial"/>
                <w:b/>
              </w:rPr>
              <w:t>Medicare Rate</w:t>
            </w:r>
          </w:p>
        </w:tc>
      </w:tr>
      <w:tr w:rsidR="00B859AE" w:rsidRPr="000B07CA" w14:paraId="6A17DFDE" w14:textId="77777777" w:rsidTr="00853E21">
        <w:trPr>
          <w:jc w:val="center"/>
        </w:trPr>
        <w:tc>
          <w:tcPr>
            <w:tcW w:w="1647" w:type="dxa"/>
          </w:tcPr>
          <w:p w14:paraId="702D9EAA" w14:textId="77777777" w:rsidR="00B859AE" w:rsidRPr="000B07CA" w:rsidRDefault="00B859AE" w:rsidP="00853E21">
            <w:pPr>
              <w:spacing w:before="0" w:after="0"/>
              <w:rPr>
                <w:rFonts w:cs="Arial"/>
              </w:rPr>
            </w:pPr>
            <w:r>
              <w:rPr>
                <w:rFonts w:cs="Arial"/>
              </w:rPr>
              <w:t>PC1</w:t>
            </w:r>
          </w:p>
        </w:tc>
        <w:tc>
          <w:tcPr>
            <w:tcW w:w="1858" w:type="dxa"/>
          </w:tcPr>
          <w:p w14:paraId="212CDB18" w14:textId="77777777" w:rsidR="00B859AE" w:rsidRPr="000B07CA" w:rsidRDefault="00B859AE" w:rsidP="00853E21">
            <w:pPr>
              <w:spacing w:before="0" w:after="0"/>
              <w:jc w:val="center"/>
              <w:rPr>
                <w:rFonts w:cs="Arial"/>
              </w:rPr>
            </w:pPr>
            <w:r>
              <w:rPr>
                <w:rFonts w:cs="Arial"/>
              </w:rPr>
              <w:t>$171.91</w:t>
            </w:r>
          </w:p>
        </w:tc>
        <w:tc>
          <w:tcPr>
            <w:tcW w:w="1890" w:type="dxa"/>
          </w:tcPr>
          <w:p w14:paraId="50DDDA98" w14:textId="77777777" w:rsidR="00B859AE" w:rsidRPr="000B07CA" w:rsidRDefault="00B859AE" w:rsidP="00853E21">
            <w:pPr>
              <w:spacing w:before="0" w:after="0"/>
              <w:jc w:val="center"/>
              <w:rPr>
                <w:rFonts w:cs="Arial"/>
              </w:rPr>
            </w:pPr>
            <w:r>
              <w:rPr>
                <w:rFonts w:cs="Arial"/>
              </w:rPr>
              <w:t>$316.80</w:t>
            </w:r>
          </w:p>
        </w:tc>
      </w:tr>
      <w:tr w:rsidR="00B859AE" w:rsidRPr="000B07CA" w14:paraId="1282830C" w14:textId="77777777" w:rsidTr="00853E21">
        <w:trPr>
          <w:jc w:val="center"/>
        </w:trPr>
        <w:tc>
          <w:tcPr>
            <w:tcW w:w="1647" w:type="dxa"/>
          </w:tcPr>
          <w:p w14:paraId="30F44202" w14:textId="77777777" w:rsidR="00B859AE" w:rsidRPr="000B07CA" w:rsidRDefault="00B859AE" w:rsidP="00853E21">
            <w:pPr>
              <w:spacing w:before="0" w:after="0"/>
              <w:rPr>
                <w:rFonts w:cs="Arial"/>
              </w:rPr>
            </w:pPr>
            <w:r>
              <w:rPr>
                <w:rFonts w:cs="Arial"/>
              </w:rPr>
              <w:t>PD1</w:t>
            </w:r>
          </w:p>
        </w:tc>
        <w:tc>
          <w:tcPr>
            <w:tcW w:w="1858" w:type="dxa"/>
          </w:tcPr>
          <w:p w14:paraId="259511F5" w14:textId="77777777" w:rsidR="00B859AE" w:rsidRPr="000B07CA" w:rsidRDefault="00B859AE" w:rsidP="00853E21">
            <w:pPr>
              <w:spacing w:before="0" w:after="0"/>
              <w:jc w:val="center"/>
              <w:rPr>
                <w:rFonts w:cs="Arial"/>
              </w:rPr>
            </w:pPr>
            <w:r>
              <w:rPr>
                <w:rFonts w:cs="Arial"/>
              </w:rPr>
              <w:t>$190.65</w:t>
            </w:r>
          </w:p>
        </w:tc>
        <w:tc>
          <w:tcPr>
            <w:tcW w:w="1890" w:type="dxa"/>
          </w:tcPr>
          <w:p w14:paraId="62DEA590" w14:textId="77777777" w:rsidR="00B859AE" w:rsidRPr="000B07CA" w:rsidRDefault="00B859AE" w:rsidP="00853E21">
            <w:pPr>
              <w:spacing w:before="0" w:after="0"/>
              <w:jc w:val="center"/>
              <w:rPr>
                <w:rFonts w:cs="Arial"/>
              </w:rPr>
            </w:pPr>
            <w:r>
              <w:rPr>
                <w:rFonts w:cs="Arial"/>
              </w:rPr>
              <w:t>$367.36</w:t>
            </w:r>
          </w:p>
        </w:tc>
      </w:tr>
      <w:tr w:rsidR="00B859AE" w:rsidRPr="000B07CA" w14:paraId="385FA84A" w14:textId="77777777" w:rsidTr="00853E21">
        <w:trPr>
          <w:jc w:val="center"/>
        </w:trPr>
        <w:tc>
          <w:tcPr>
            <w:tcW w:w="1647" w:type="dxa"/>
          </w:tcPr>
          <w:p w14:paraId="33EA0EE5" w14:textId="77777777" w:rsidR="00B859AE" w:rsidRPr="000B07CA" w:rsidRDefault="00B859AE" w:rsidP="00853E21">
            <w:pPr>
              <w:spacing w:before="0" w:after="0"/>
              <w:rPr>
                <w:rFonts w:cs="Arial"/>
              </w:rPr>
            </w:pPr>
            <w:r>
              <w:rPr>
                <w:rFonts w:cs="Arial"/>
              </w:rPr>
              <w:t>RVC</w:t>
            </w:r>
          </w:p>
        </w:tc>
        <w:tc>
          <w:tcPr>
            <w:tcW w:w="1858" w:type="dxa"/>
          </w:tcPr>
          <w:p w14:paraId="354A2F20" w14:textId="77777777" w:rsidR="00B859AE" w:rsidRPr="000B07CA" w:rsidRDefault="00B859AE" w:rsidP="00853E21">
            <w:pPr>
              <w:spacing w:before="0" w:after="0"/>
              <w:jc w:val="center"/>
              <w:rPr>
                <w:rFonts w:cs="Arial"/>
              </w:rPr>
            </w:pPr>
            <w:r>
              <w:rPr>
                <w:rFonts w:cs="Arial"/>
              </w:rPr>
              <w:t>$305.74</w:t>
            </w:r>
          </w:p>
        </w:tc>
        <w:tc>
          <w:tcPr>
            <w:tcW w:w="1890" w:type="dxa"/>
          </w:tcPr>
          <w:p w14:paraId="79FEA07C" w14:textId="77777777" w:rsidR="00B859AE" w:rsidRPr="000B07CA" w:rsidRDefault="00B859AE" w:rsidP="00853E21">
            <w:pPr>
              <w:spacing w:before="0" w:after="0"/>
              <w:jc w:val="center"/>
              <w:rPr>
                <w:rFonts w:cs="Arial"/>
              </w:rPr>
            </w:pPr>
            <w:r>
              <w:rPr>
                <w:rFonts w:cs="Arial"/>
              </w:rPr>
              <w:t>$</w:t>
            </w:r>
            <w:r w:rsidRPr="000B07CA">
              <w:rPr>
                <w:rFonts w:cs="Arial"/>
              </w:rPr>
              <w:t>580.24</w:t>
            </w:r>
          </w:p>
        </w:tc>
      </w:tr>
      <w:tr w:rsidR="00B859AE" w:rsidRPr="000B07CA" w14:paraId="7C4B1D84" w14:textId="77777777" w:rsidTr="00853E21">
        <w:trPr>
          <w:jc w:val="center"/>
        </w:trPr>
        <w:tc>
          <w:tcPr>
            <w:tcW w:w="1647" w:type="dxa"/>
          </w:tcPr>
          <w:p w14:paraId="48C7E072" w14:textId="77777777" w:rsidR="00B859AE" w:rsidRPr="000B07CA" w:rsidRDefault="00B859AE" w:rsidP="00853E21">
            <w:pPr>
              <w:spacing w:before="0" w:after="0"/>
              <w:rPr>
                <w:rFonts w:cs="Arial"/>
              </w:rPr>
            </w:pPr>
            <w:r>
              <w:rPr>
                <w:rFonts w:cs="Arial"/>
              </w:rPr>
              <w:t>RMB</w:t>
            </w:r>
          </w:p>
        </w:tc>
        <w:tc>
          <w:tcPr>
            <w:tcW w:w="1858" w:type="dxa"/>
          </w:tcPr>
          <w:p w14:paraId="36FA4CC8" w14:textId="77777777" w:rsidR="00B859AE" w:rsidRPr="000B07CA" w:rsidRDefault="00B859AE" w:rsidP="00853E21">
            <w:pPr>
              <w:spacing w:before="0" w:after="0"/>
              <w:jc w:val="center"/>
              <w:rPr>
                <w:rFonts w:cs="Arial"/>
              </w:rPr>
            </w:pPr>
            <w:r>
              <w:rPr>
                <w:rFonts w:cs="Arial"/>
              </w:rPr>
              <w:t>$273.80</w:t>
            </w:r>
          </w:p>
        </w:tc>
        <w:tc>
          <w:tcPr>
            <w:tcW w:w="1890" w:type="dxa"/>
          </w:tcPr>
          <w:p w14:paraId="3B60668E" w14:textId="77777777" w:rsidR="00B859AE" w:rsidRPr="000B07CA" w:rsidRDefault="00B859AE" w:rsidP="00853E21">
            <w:pPr>
              <w:spacing w:before="0" w:after="0"/>
              <w:jc w:val="center"/>
              <w:rPr>
                <w:rFonts w:cs="Arial"/>
              </w:rPr>
            </w:pPr>
            <w:r>
              <w:rPr>
                <w:rFonts w:cs="Arial"/>
              </w:rPr>
              <w:t>$</w:t>
            </w:r>
            <w:r w:rsidRPr="000B07CA">
              <w:rPr>
                <w:rFonts w:cs="Arial"/>
              </w:rPr>
              <w:t>416.96</w:t>
            </w:r>
          </w:p>
        </w:tc>
      </w:tr>
      <w:tr w:rsidR="00B859AE" w:rsidRPr="000B07CA" w14:paraId="74083A89" w14:textId="77777777" w:rsidTr="00853E21">
        <w:trPr>
          <w:jc w:val="center"/>
        </w:trPr>
        <w:tc>
          <w:tcPr>
            <w:tcW w:w="1647" w:type="dxa"/>
          </w:tcPr>
          <w:p w14:paraId="68B8392D" w14:textId="77777777" w:rsidR="00B859AE" w:rsidRPr="000B07CA" w:rsidRDefault="00B859AE" w:rsidP="00853E21">
            <w:pPr>
              <w:spacing w:before="0" w:after="0"/>
              <w:rPr>
                <w:rFonts w:cs="Arial"/>
              </w:rPr>
            </w:pPr>
            <w:r>
              <w:rPr>
                <w:rFonts w:cs="Arial"/>
              </w:rPr>
              <w:t>PA1</w:t>
            </w:r>
          </w:p>
        </w:tc>
        <w:tc>
          <w:tcPr>
            <w:tcW w:w="1858" w:type="dxa"/>
          </w:tcPr>
          <w:p w14:paraId="7E7666A9" w14:textId="77777777" w:rsidR="00B859AE" w:rsidRPr="000B07CA" w:rsidRDefault="00B859AE" w:rsidP="00853E21">
            <w:pPr>
              <w:spacing w:before="0" w:after="0"/>
              <w:jc w:val="center"/>
              <w:rPr>
                <w:rFonts w:cs="Arial"/>
              </w:rPr>
            </w:pPr>
            <w:r>
              <w:rPr>
                <w:rFonts w:cs="Arial"/>
              </w:rPr>
              <w:t>$127.14</w:t>
            </w:r>
          </w:p>
        </w:tc>
        <w:tc>
          <w:tcPr>
            <w:tcW w:w="1890" w:type="dxa"/>
          </w:tcPr>
          <w:p w14:paraId="1F4D5024" w14:textId="77777777" w:rsidR="00B859AE" w:rsidRPr="000B07CA" w:rsidRDefault="00B859AE" w:rsidP="00853E21">
            <w:pPr>
              <w:spacing w:before="0" w:after="0"/>
              <w:jc w:val="center"/>
              <w:rPr>
                <w:rFonts w:cs="Arial"/>
              </w:rPr>
            </w:pPr>
            <w:r>
              <w:rPr>
                <w:rFonts w:cs="Arial"/>
              </w:rPr>
              <w:t>$</w:t>
            </w:r>
            <w:r w:rsidRPr="000B07CA">
              <w:rPr>
                <w:rFonts w:cs="Arial"/>
              </w:rPr>
              <w:t>223.49</w:t>
            </w:r>
          </w:p>
        </w:tc>
      </w:tr>
    </w:tbl>
    <w:p w14:paraId="7ABA8237" w14:textId="77777777" w:rsidR="00B859AE" w:rsidRDefault="00B859AE" w:rsidP="00B859AE">
      <w:pPr>
        <w:spacing w:before="0" w:after="0"/>
        <w:rPr>
          <w:rFonts w:cs="Arial"/>
          <w:b/>
        </w:rPr>
      </w:pPr>
    </w:p>
    <w:p w14:paraId="60228046" w14:textId="77777777" w:rsidR="00B859AE" w:rsidRDefault="00B859AE" w:rsidP="00B859AE">
      <w:pPr>
        <w:spacing w:before="0" w:after="0"/>
        <w:rPr>
          <w:rFonts w:cs="Arial"/>
          <w:b/>
        </w:rPr>
      </w:pPr>
    </w:p>
    <w:p w14:paraId="269FE6DB" w14:textId="77777777" w:rsidR="00B859AE" w:rsidRDefault="00B859AE" w:rsidP="00B859AE">
      <w:pPr>
        <w:spacing w:before="0" w:after="0"/>
        <w:rPr>
          <w:rFonts w:cs="Arial"/>
          <w:b/>
        </w:rPr>
      </w:pPr>
    </w:p>
    <w:p w14:paraId="5F6828D6" w14:textId="5C3B22B7" w:rsidR="00B859AE" w:rsidRDefault="00B859AE" w:rsidP="00B859AE">
      <w:pPr>
        <w:spacing w:before="0" w:after="0"/>
        <w:rPr>
          <w:rFonts w:cs="Arial"/>
        </w:rPr>
      </w:pPr>
      <w:r>
        <w:rPr>
          <w:rFonts w:cs="Arial"/>
        </w:rPr>
        <w:t xml:space="preserve">Based on the information reflected in Table 4.2, it appears that the Medicare reimbursement rates for these RUG classifications </w:t>
      </w:r>
      <w:r w:rsidR="00CA7585">
        <w:rPr>
          <w:rFonts w:cs="Arial"/>
        </w:rPr>
        <w:t xml:space="preserve">are </w:t>
      </w:r>
      <w:r>
        <w:rPr>
          <w:rFonts w:cs="Arial"/>
        </w:rPr>
        <w:t xml:space="preserve">higher than the Medicaid reimbursement rates, but as discussed previously, we don’t believe such a comparison to be particularly meaningful when evaluating the adequacy of the Medicaid rates in Washington.  </w:t>
      </w:r>
    </w:p>
    <w:p w14:paraId="5E3ECDC8" w14:textId="77777777" w:rsidR="00B859AE" w:rsidRDefault="00B859AE" w:rsidP="00800522">
      <w:pPr>
        <w:spacing w:before="0" w:after="0"/>
        <w:rPr>
          <w:rFonts w:cs="Arial"/>
        </w:rPr>
      </w:pPr>
    </w:p>
    <w:p w14:paraId="173DCE38" w14:textId="287A3332" w:rsidR="00B40038" w:rsidRPr="003418D5" w:rsidRDefault="00B40038" w:rsidP="00800522">
      <w:pPr>
        <w:spacing w:before="0" w:after="0"/>
        <w:rPr>
          <w:rFonts w:cs="Arial"/>
          <w:u w:val="single"/>
        </w:rPr>
      </w:pPr>
      <w:r w:rsidRPr="003418D5">
        <w:rPr>
          <w:rFonts w:cs="Arial"/>
          <w:u w:val="single"/>
        </w:rPr>
        <w:t>Comparisons to Other Payers</w:t>
      </w:r>
    </w:p>
    <w:p w14:paraId="391CFF48" w14:textId="77777777" w:rsidR="00B40038" w:rsidRDefault="00B40038" w:rsidP="00800522">
      <w:pPr>
        <w:spacing w:before="0" w:after="0"/>
        <w:rPr>
          <w:rFonts w:cs="Arial"/>
        </w:rPr>
      </w:pPr>
    </w:p>
    <w:p w14:paraId="3FCAF35C" w14:textId="57EC59F6" w:rsidR="00800522" w:rsidRDefault="00800522" w:rsidP="00800522">
      <w:pPr>
        <w:spacing w:before="0" w:after="0"/>
        <w:rPr>
          <w:rFonts w:cs="Arial"/>
        </w:rPr>
      </w:pPr>
      <w:r>
        <w:rPr>
          <w:rFonts w:cs="Arial"/>
        </w:rPr>
        <w:t xml:space="preserve">To determine the average reimbursement rates paid in Washington </w:t>
      </w:r>
      <w:r w:rsidR="00A90360">
        <w:rPr>
          <w:rFonts w:cs="Arial"/>
        </w:rPr>
        <w:t xml:space="preserve">from other payers, </w:t>
      </w:r>
      <w:r>
        <w:rPr>
          <w:rFonts w:cs="Arial"/>
        </w:rPr>
        <w:t xml:space="preserve">we relied on the 2015 cost report data </w:t>
      </w:r>
      <w:r w:rsidR="00A90360">
        <w:rPr>
          <w:rFonts w:cs="Arial"/>
        </w:rPr>
        <w:t xml:space="preserve">submitted by providers.  Nursing facilities </w:t>
      </w:r>
      <w:r>
        <w:rPr>
          <w:rFonts w:cs="Arial"/>
        </w:rPr>
        <w:t xml:space="preserve">are required to report revenues received from Medicaid, Medicare, self-pay, Veterans Administration (VA), and commercial insurance as well as the recipient days associated with these revenues.  Using the reported revenue and </w:t>
      </w:r>
      <w:r w:rsidR="00C3139B">
        <w:rPr>
          <w:rFonts w:cs="Arial"/>
        </w:rPr>
        <w:t xml:space="preserve">recipient </w:t>
      </w:r>
      <w:r>
        <w:rPr>
          <w:rFonts w:cs="Arial"/>
        </w:rPr>
        <w:t xml:space="preserve">days data by nursing facilities, we calculated the average case-mix adjusted daily reimbursement rate for each nursing facility for Medicaid, and for all non-Medicaid services combined.  We also adjusted the Medicaid and the combined non-Medicaid amounts for differences in acuity by dividing the amounts by the Medicaid case-mix index and the combined non-Medicaid case-mix index respectively using the case-mix data provided to us by the Department. </w:t>
      </w:r>
    </w:p>
    <w:p w14:paraId="67E6F2F3" w14:textId="77777777" w:rsidR="00800522" w:rsidRDefault="00800522" w:rsidP="00800522">
      <w:pPr>
        <w:spacing w:before="0" w:after="0"/>
        <w:rPr>
          <w:rFonts w:cs="Arial"/>
        </w:rPr>
      </w:pPr>
    </w:p>
    <w:p w14:paraId="23072417" w14:textId="23D54991" w:rsidR="00AD2F62" w:rsidRDefault="00800522" w:rsidP="00800522">
      <w:pPr>
        <w:spacing w:before="0" w:after="0"/>
        <w:rPr>
          <w:rFonts w:cs="Arial"/>
        </w:rPr>
      </w:pPr>
      <w:r>
        <w:rPr>
          <w:rFonts w:cs="Arial"/>
        </w:rPr>
        <w:t>Based on the data reported by nursing facilities in the 2015 cost reports, the average case-mix adjusted Medicaid daily reimbursement was $</w:t>
      </w:r>
      <w:r w:rsidR="00A90360">
        <w:rPr>
          <w:rFonts w:cs="Arial"/>
        </w:rPr>
        <w:t xml:space="preserve">93.89.  The average </w:t>
      </w:r>
      <w:r>
        <w:rPr>
          <w:rFonts w:cs="Arial"/>
        </w:rPr>
        <w:t xml:space="preserve">daily reimbursement </w:t>
      </w:r>
      <w:r w:rsidR="00A90360">
        <w:rPr>
          <w:rFonts w:cs="Arial"/>
        </w:rPr>
        <w:t xml:space="preserve">from all other payers combined </w:t>
      </w:r>
      <w:r>
        <w:rPr>
          <w:rFonts w:cs="Arial"/>
        </w:rPr>
        <w:t>was $127.72</w:t>
      </w:r>
      <w:r w:rsidR="00C3139B">
        <w:rPr>
          <w:rFonts w:cs="Arial"/>
        </w:rPr>
        <w:t>.  It should be noted that the difference in payment per day appears reasonable understanding that the amount for all other payers includes both Medicare payment amounts, which we have demonstrated to be significantly higher than the Medicaid rates.  The all other payer amount also includes amounts that are paid by individuals with either commercial long-term care insurance, and amounts received from self-pay residents, both of which we would expect to exceed amounts paid by Medicaid.</w:t>
      </w:r>
    </w:p>
    <w:p w14:paraId="368A2599" w14:textId="77777777" w:rsidR="00800522" w:rsidRDefault="00800522" w:rsidP="00AB1652">
      <w:pPr>
        <w:spacing w:before="0" w:after="0"/>
        <w:rPr>
          <w:rFonts w:cs="Arial"/>
        </w:rPr>
      </w:pPr>
    </w:p>
    <w:p w14:paraId="138534E5" w14:textId="2A7DC157" w:rsidR="00E13886" w:rsidRPr="003418D5" w:rsidRDefault="00E13886" w:rsidP="001D03A8">
      <w:pPr>
        <w:spacing w:before="0" w:after="0"/>
        <w:rPr>
          <w:rFonts w:cs="Arial"/>
          <w:u w:val="single"/>
        </w:rPr>
      </w:pPr>
      <w:r w:rsidRPr="003418D5">
        <w:rPr>
          <w:rFonts w:cs="Arial"/>
          <w:u w:val="single"/>
        </w:rPr>
        <w:t xml:space="preserve">Comparisons to Medicaid Rates in Other States </w:t>
      </w:r>
    </w:p>
    <w:p w14:paraId="784AEF7C" w14:textId="77777777" w:rsidR="00E13886" w:rsidRDefault="00E13886" w:rsidP="001D03A8">
      <w:pPr>
        <w:spacing w:before="0" w:after="0"/>
        <w:rPr>
          <w:rFonts w:cs="Arial"/>
        </w:rPr>
      </w:pPr>
    </w:p>
    <w:p w14:paraId="7A2DAC67" w14:textId="6D6F4496" w:rsidR="00497348" w:rsidRDefault="00C022A8" w:rsidP="001D03A8">
      <w:pPr>
        <w:spacing w:before="0" w:after="0"/>
        <w:rPr>
          <w:rFonts w:cs="Arial"/>
        </w:rPr>
      </w:pPr>
      <w:r>
        <w:rPr>
          <w:rFonts w:cs="Arial"/>
        </w:rPr>
        <w:t>Finally, w</w:t>
      </w:r>
      <w:r w:rsidR="00497348">
        <w:rPr>
          <w:rFonts w:cs="Arial"/>
        </w:rPr>
        <w:t>e also compared</w:t>
      </w:r>
      <w:r w:rsidR="002C3ED3">
        <w:rPr>
          <w:rFonts w:cs="Arial"/>
        </w:rPr>
        <w:t xml:space="preserve"> Washington’s average </w:t>
      </w:r>
      <w:r w:rsidR="00497348">
        <w:rPr>
          <w:rFonts w:cs="Arial"/>
        </w:rPr>
        <w:t xml:space="preserve">Medicaid </w:t>
      </w:r>
      <w:r w:rsidR="002C3ED3">
        <w:rPr>
          <w:rFonts w:cs="Arial"/>
        </w:rPr>
        <w:t>reimbursement rate for nursing facilit</w:t>
      </w:r>
      <w:r w:rsidR="00497348">
        <w:rPr>
          <w:rFonts w:cs="Arial"/>
        </w:rPr>
        <w:t>y services for SFY 2018</w:t>
      </w:r>
      <w:r w:rsidR="002C3ED3">
        <w:rPr>
          <w:rFonts w:cs="Arial"/>
        </w:rPr>
        <w:t xml:space="preserve"> to the average </w:t>
      </w:r>
      <w:r w:rsidR="00B574EC">
        <w:rPr>
          <w:rFonts w:cs="Arial"/>
        </w:rPr>
        <w:t xml:space="preserve">Medicaid </w:t>
      </w:r>
      <w:r w:rsidR="002C3ED3">
        <w:rPr>
          <w:rFonts w:cs="Arial"/>
        </w:rPr>
        <w:t xml:space="preserve">reimbursement rates for these </w:t>
      </w:r>
      <w:r w:rsidR="00497348">
        <w:rPr>
          <w:rFonts w:cs="Arial"/>
        </w:rPr>
        <w:t xml:space="preserve">services in </w:t>
      </w:r>
      <w:r w:rsidR="00C3139B">
        <w:rPr>
          <w:rFonts w:cs="Arial"/>
        </w:rPr>
        <w:t xml:space="preserve">several </w:t>
      </w:r>
      <w:r w:rsidR="00497348">
        <w:rPr>
          <w:rFonts w:cs="Arial"/>
        </w:rPr>
        <w:t xml:space="preserve">other states.  </w:t>
      </w:r>
      <w:r w:rsidR="00C3139B">
        <w:rPr>
          <w:rFonts w:cs="Arial"/>
        </w:rPr>
        <w:t>W</w:t>
      </w:r>
      <w:r w:rsidR="00497348">
        <w:rPr>
          <w:rFonts w:cs="Arial"/>
        </w:rPr>
        <w:t xml:space="preserve">e compared Washington’s rates to the reimbursement rates of Arizona, Florida, Illinois, Minnesota, Montana, Oregon, and Utah.  </w:t>
      </w:r>
      <w:r w:rsidR="00497348" w:rsidRPr="00497348">
        <w:rPr>
          <w:rFonts w:cs="Arial"/>
        </w:rPr>
        <w:t>Oregon, Minnesota, and Utah were evaluated at the request of the Department.  Florida and Illinois were identified as states with some of the largest senior populations that had available published data that could be used</w:t>
      </w:r>
      <w:r>
        <w:rPr>
          <w:rFonts w:cs="Arial"/>
        </w:rPr>
        <w:t xml:space="preserve"> for the purposes of this comparison</w:t>
      </w:r>
      <w:r w:rsidR="00497348" w:rsidRPr="00497348">
        <w:rPr>
          <w:rFonts w:cs="Arial"/>
        </w:rPr>
        <w:t xml:space="preserve">.  </w:t>
      </w:r>
      <w:r>
        <w:rPr>
          <w:rFonts w:cs="Arial"/>
        </w:rPr>
        <w:t xml:space="preserve">Montana and Arizona were </w:t>
      </w:r>
      <w:r w:rsidR="00497348" w:rsidRPr="00497348">
        <w:rPr>
          <w:rFonts w:cs="Arial"/>
        </w:rPr>
        <w:t>identified as states in the Western region with available published data th</w:t>
      </w:r>
      <w:r>
        <w:rPr>
          <w:rFonts w:cs="Arial"/>
        </w:rPr>
        <w:t>at could be used for this comparison</w:t>
      </w:r>
      <w:r w:rsidR="00EE683E">
        <w:rPr>
          <w:rFonts w:cs="Arial"/>
        </w:rPr>
        <w:t>.</w:t>
      </w:r>
    </w:p>
    <w:p w14:paraId="22EE02FE" w14:textId="77777777" w:rsidR="00497348" w:rsidRDefault="00497348" w:rsidP="001D03A8">
      <w:pPr>
        <w:spacing w:before="0" w:after="0"/>
        <w:rPr>
          <w:rFonts w:cs="Arial"/>
        </w:rPr>
      </w:pPr>
    </w:p>
    <w:p w14:paraId="356891D9" w14:textId="60A72A32" w:rsidR="00F30C72" w:rsidRDefault="00EE683E" w:rsidP="001D03A8">
      <w:pPr>
        <w:spacing w:before="0" w:after="0"/>
        <w:rPr>
          <w:rFonts w:cs="Arial"/>
        </w:rPr>
      </w:pPr>
      <w:r>
        <w:rPr>
          <w:rFonts w:cs="Arial"/>
        </w:rPr>
        <w:t>It</w:t>
      </w:r>
      <w:r w:rsidRPr="00EE683E">
        <w:rPr>
          <w:rFonts w:cs="Arial"/>
        </w:rPr>
        <w:t xml:space="preserve"> is important to note that due to the differences between the rate setting methodologies of these states and the amount of information made available, it is difficult to do a simple </w:t>
      </w:r>
      <w:r w:rsidRPr="00EE683E">
        <w:rPr>
          <w:rFonts w:cs="Arial"/>
        </w:rPr>
        <w:lastRenderedPageBreak/>
        <w:t>comparison of the average rates reimbursed by states to nursing facilities.  In addition, although it is preferable to conduct comparison of weighted average reimbursement rates rather than average reimbursement rates, most states did not have this information available.</w:t>
      </w:r>
      <w:r>
        <w:rPr>
          <w:rFonts w:cs="Arial"/>
        </w:rPr>
        <w:t xml:space="preserve">  Recognizing these limitations, for the purposes of this comparison, we reviewed the available average reimbursement rates across these states.  </w:t>
      </w:r>
      <w:r w:rsidR="00073A61">
        <w:rPr>
          <w:rFonts w:cs="Arial"/>
        </w:rPr>
        <w:t>Based on the most recently available information for these states, w</w:t>
      </w:r>
      <w:r>
        <w:rPr>
          <w:rFonts w:cs="Arial"/>
        </w:rPr>
        <w:t>e found</w:t>
      </w:r>
      <w:r w:rsidR="00497348">
        <w:rPr>
          <w:rFonts w:cs="Arial"/>
        </w:rPr>
        <w:t xml:space="preserve"> that</w:t>
      </w:r>
      <w:r w:rsidR="00073A61">
        <w:rPr>
          <w:rFonts w:cs="Arial"/>
        </w:rPr>
        <w:t xml:space="preserve"> </w:t>
      </w:r>
      <w:r w:rsidR="00497348">
        <w:rPr>
          <w:rFonts w:cs="Arial"/>
        </w:rPr>
        <w:t xml:space="preserve">Washington’s average reimbursement rate for SFY 2018 of $211.85 is the third highest reimbursement rate across these states.  </w:t>
      </w:r>
      <w:r>
        <w:rPr>
          <w:rFonts w:cs="Arial"/>
        </w:rPr>
        <w:t xml:space="preserve">It would therefore appear </w:t>
      </w:r>
      <w:r w:rsidR="00497348">
        <w:rPr>
          <w:rFonts w:cs="Arial"/>
        </w:rPr>
        <w:t xml:space="preserve">that Washington’s </w:t>
      </w:r>
      <w:r w:rsidR="00073A61">
        <w:rPr>
          <w:rFonts w:cs="Arial"/>
        </w:rPr>
        <w:t>average Medicaid rate is</w:t>
      </w:r>
      <w:r w:rsidR="00497348">
        <w:rPr>
          <w:rFonts w:cs="Arial"/>
        </w:rPr>
        <w:t xml:space="preserve"> </w:t>
      </w:r>
      <w:r>
        <w:rPr>
          <w:rFonts w:cs="Arial"/>
        </w:rPr>
        <w:t xml:space="preserve">not </w:t>
      </w:r>
      <w:r w:rsidR="00497348">
        <w:rPr>
          <w:rFonts w:cs="Arial"/>
        </w:rPr>
        <w:t xml:space="preserve">significantly lower than the </w:t>
      </w:r>
      <w:r w:rsidR="00073A61">
        <w:rPr>
          <w:rFonts w:cs="Arial"/>
        </w:rPr>
        <w:t>average reimbursement rate</w:t>
      </w:r>
      <w:r w:rsidR="00497348">
        <w:rPr>
          <w:rFonts w:cs="Arial"/>
        </w:rPr>
        <w:t xml:space="preserve"> </w:t>
      </w:r>
      <w:r w:rsidR="00C022A8">
        <w:rPr>
          <w:rFonts w:cs="Arial"/>
        </w:rPr>
        <w:t xml:space="preserve">of most </w:t>
      </w:r>
      <w:r w:rsidR="00073A61">
        <w:rPr>
          <w:rFonts w:cs="Arial"/>
        </w:rPr>
        <w:t xml:space="preserve">of the </w:t>
      </w:r>
      <w:r w:rsidR="00497348">
        <w:rPr>
          <w:rFonts w:cs="Arial"/>
        </w:rPr>
        <w:t xml:space="preserve">other states.  </w:t>
      </w:r>
    </w:p>
    <w:p w14:paraId="35A7E9CA" w14:textId="77777777" w:rsidR="00C3139B" w:rsidRDefault="00C3139B" w:rsidP="001D03A8">
      <w:pPr>
        <w:spacing w:before="0" w:after="0"/>
        <w:rPr>
          <w:rFonts w:cs="Arial"/>
        </w:rPr>
      </w:pPr>
    </w:p>
    <w:p w14:paraId="07AFF905" w14:textId="6871A43D" w:rsidR="00F30C72" w:rsidRDefault="00F30C72" w:rsidP="001D03A8">
      <w:pPr>
        <w:spacing w:before="0" w:after="0"/>
        <w:rPr>
          <w:rFonts w:cs="Arial"/>
        </w:rPr>
      </w:pPr>
      <w:r>
        <w:rPr>
          <w:rFonts w:cs="Arial"/>
        </w:rPr>
        <w:t>Table 4.3 below ref</w:t>
      </w:r>
      <w:r w:rsidR="00CA7585">
        <w:rPr>
          <w:rFonts w:cs="Arial"/>
        </w:rPr>
        <w:t xml:space="preserve">lects the average </w:t>
      </w:r>
      <w:r>
        <w:rPr>
          <w:rFonts w:cs="Arial"/>
        </w:rPr>
        <w:t xml:space="preserve">Medicaid reimbursement rates across the states reviewed for this comparison. </w:t>
      </w:r>
    </w:p>
    <w:p w14:paraId="0C6AC7CE" w14:textId="77777777" w:rsidR="00F30C72" w:rsidRDefault="00F30C72" w:rsidP="001D03A8">
      <w:pPr>
        <w:spacing w:before="0" w:after="0"/>
        <w:rPr>
          <w:rFonts w:cs="Arial"/>
        </w:rPr>
      </w:pPr>
    </w:p>
    <w:p w14:paraId="01905E43" w14:textId="433FA5FB" w:rsidR="00F30C72" w:rsidRDefault="00F30C72" w:rsidP="001D03A8">
      <w:pPr>
        <w:spacing w:before="0" w:after="0"/>
        <w:rPr>
          <w:rFonts w:cs="Arial"/>
          <w:b/>
        </w:rPr>
      </w:pPr>
      <w:r>
        <w:rPr>
          <w:rFonts w:cs="Arial"/>
          <w:b/>
        </w:rPr>
        <w:t>Table 4.3: Average Medicaid Reimbursement Rate Across States</w:t>
      </w:r>
    </w:p>
    <w:p w14:paraId="2841D0A3" w14:textId="77777777" w:rsidR="00F30C72" w:rsidRDefault="00F30C72" w:rsidP="001D03A8">
      <w:pPr>
        <w:spacing w:before="0" w:after="0"/>
        <w:rPr>
          <w:rFonts w:cs="Arial"/>
        </w:rPr>
      </w:pPr>
    </w:p>
    <w:p w14:paraId="7BCF5E17" w14:textId="77777777" w:rsidR="00F30C72" w:rsidRDefault="00F30C72" w:rsidP="001D03A8">
      <w:pPr>
        <w:spacing w:before="0" w:after="0"/>
        <w:rPr>
          <w:rFonts w:cs="Arial"/>
        </w:rPr>
      </w:pPr>
    </w:p>
    <w:tbl>
      <w:tblPr>
        <w:tblStyle w:val="TableGrid"/>
        <w:tblW w:w="0" w:type="auto"/>
        <w:tblInd w:w="715" w:type="dxa"/>
        <w:tblLook w:val="04A0" w:firstRow="1" w:lastRow="0" w:firstColumn="1" w:lastColumn="0" w:noHBand="0" w:noVBand="1"/>
      </w:tblPr>
      <w:tblGrid>
        <w:gridCol w:w="1705"/>
        <w:gridCol w:w="1890"/>
      </w:tblGrid>
      <w:tr w:rsidR="00F30C72" w:rsidRPr="007B4973" w14:paraId="585CB157" w14:textId="77777777" w:rsidTr="00A31404">
        <w:tc>
          <w:tcPr>
            <w:tcW w:w="1705" w:type="dxa"/>
            <w:vAlign w:val="bottom"/>
          </w:tcPr>
          <w:p w14:paraId="2DD366EF" w14:textId="77777777" w:rsidR="00F30C72" w:rsidRPr="007B4973" w:rsidRDefault="00F30C72" w:rsidP="00A31404">
            <w:pPr>
              <w:jc w:val="center"/>
              <w:rPr>
                <w:rFonts w:cs="Arial"/>
                <w:b/>
              </w:rPr>
            </w:pPr>
            <w:r w:rsidRPr="007B4973">
              <w:rPr>
                <w:rFonts w:cs="Arial"/>
                <w:b/>
              </w:rPr>
              <w:t>State</w:t>
            </w:r>
          </w:p>
        </w:tc>
        <w:tc>
          <w:tcPr>
            <w:tcW w:w="1890" w:type="dxa"/>
            <w:vAlign w:val="bottom"/>
          </w:tcPr>
          <w:p w14:paraId="22209E11" w14:textId="77777777" w:rsidR="00F30C72" w:rsidRPr="007B4973" w:rsidRDefault="00F30C72" w:rsidP="00A31404">
            <w:pPr>
              <w:jc w:val="center"/>
              <w:rPr>
                <w:rFonts w:cs="Arial"/>
                <w:b/>
              </w:rPr>
            </w:pPr>
            <w:r w:rsidRPr="007B4973">
              <w:rPr>
                <w:rFonts w:cs="Arial"/>
                <w:b/>
              </w:rPr>
              <w:t>Reimbursement Rate</w:t>
            </w:r>
          </w:p>
        </w:tc>
      </w:tr>
      <w:tr w:rsidR="00F30C72" w:rsidRPr="007B4973" w14:paraId="508CCF91" w14:textId="77777777" w:rsidTr="00A31404">
        <w:tc>
          <w:tcPr>
            <w:tcW w:w="1705" w:type="dxa"/>
            <w:shd w:val="clear" w:color="auto" w:fill="auto"/>
          </w:tcPr>
          <w:p w14:paraId="770C3529" w14:textId="77777777" w:rsidR="00F30C72" w:rsidRPr="007B4973" w:rsidRDefault="00F30C72" w:rsidP="00A31404">
            <w:pPr>
              <w:rPr>
                <w:rFonts w:cs="Arial"/>
              </w:rPr>
            </w:pPr>
            <w:r w:rsidRPr="007B4973">
              <w:rPr>
                <w:rFonts w:cs="Arial"/>
              </w:rPr>
              <w:t>Washington</w:t>
            </w:r>
          </w:p>
        </w:tc>
        <w:tc>
          <w:tcPr>
            <w:tcW w:w="1890" w:type="dxa"/>
            <w:shd w:val="clear" w:color="auto" w:fill="auto"/>
          </w:tcPr>
          <w:p w14:paraId="2A606EF1" w14:textId="77777777" w:rsidR="00F30C72" w:rsidRPr="00B151DC" w:rsidRDefault="00F30C72" w:rsidP="00A31404">
            <w:pPr>
              <w:jc w:val="center"/>
              <w:rPr>
                <w:rFonts w:cs="Arial"/>
              </w:rPr>
            </w:pPr>
            <w:r w:rsidRPr="00B151DC">
              <w:rPr>
                <w:rFonts w:cs="Arial"/>
              </w:rPr>
              <w:t>$21</w:t>
            </w:r>
            <w:r>
              <w:rPr>
                <w:rFonts w:cs="Arial"/>
              </w:rPr>
              <w:t>1.85</w:t>
            </w:r>
          </w:p>
        </w:tc>
      </w:tr>
      <w:tr w:rsidR="00F30C72" w:rsidRPr="007B4973" w14:paraId="3B2B4DDA" w14:textId="77777777" w:rsidTr="00A31404">
        <w:tc>
          <w:tcPr>
            <w:tcW w:w="1705" w:type="dxa"/>
          </w:tcPr>
          <w:p w14:paraId="4503DA79" w14:textId="77777777" w:rsidR="00F30C72" w:rsidRPr="005D38BC" w:rsidRDefault="00F30C72" w:rsidP="00A31404">
            <w:pPr>
              <w:rPr>
                <w:rFonts w:cs="Arial"/>
              </w:rPr>
            </w:pPr>
            <w:r w:rsidRPr="005D38BC">
              <w:rPr>
                <w:rFonts w:cs="Arial"/>
              </w:rPr>
              <w:t>Oregon</w:t>
            </w:r>
          </w:p>
        </w:tc>
        <w:tc>
          <w:tcPr>
            <w:tcW w:w="1890" w:type="dxa"/>
          </w:tcPr>
          <w:p w14:paraId="3FE123E8" w14:textId="77777777" w:rsidR="00F30C72" w:rsidRPr="00B151DC" w:rsidRDefault="00F30C72" w:rsidP="00A31404">
            <w:pPr>
              <w:jc w:val="center"/>
              <w:rPr>
                <w:rFonts w:cs="Arial"/>
              </w:rPr>
            </w:pPr>
            <w:r w:rsidRPr="00B151DC">
              <w:rPr>
                <w:rFonts w:cs="Arial"/>
              </w:rPr>
              <w:t>$2</w:t>
            </w:r>
            <w:r>
              <w:rPr>
                <w:rFonts w:cs="Arial"/>
              </w:rPr>
              <w:t>81.08</w:t>
            </w:r>
          </w:p>
        </w:tc>
      </w:tr>
      <w:tr w:rsidR="00F30C72" w:rsidRPr="007B4973" w14:paraId="3528B98A" w14:textId="77777777" w:rsidTr="00A31404">
        <w:tc>
          <w:tcPr>
            <w:tcW w:w="1705" w:type="dxa"/>
          </w:tcPr>
          <w:p w14:paraId="0756847B" w14:textId="77777777" w:rsidR="00F30C72" w:rsidRPr="005D38BC" w:rsidRDefault="00F30C72" w:rsidP="00A31404">
            <w:pPr>
              <w:rPr>
                <w:rFonts w:cs="Arial"/>
              </w:rPr>
            </w:pPr>
            <w:r w:rsidRPr="005D38BC">
              <w:rPr>
                <w:rFonts w:cs="Arial"/>
              </w:rPr>
              <w:t>Minnesota</w:t>
            </w:r>
          </w:p>
        </w:tc>
        <w:tc>
          <w:tcPr>
            <w:tcW w:w="1890" w:type="dxa"/>
          </w:tcPr>
          <w:p w14:paraId="1D2525D2" w14:textId="77777777" w:rsidR="00F30C72" w:rsidRPr="007B4973" w:rsidRDefault="00F30C72" w:rsidP="00A31404">
            <w:pPr>
              <w:jc w:val="center"/>
              <w:rPr>
                <w:rFonts w:cs="Arial"/>
              </w:rPr>
            </w:pPr>
            <w:r w:rsidRPr="007B4973">
              <w:rPr>
                <w:rFonts w:cs="Arial"/>
              </w:rPr>
              <w:t>$177.82</w:t>
            </w:r>
          </w:p>
        </w:tc>
      </w:tr>
      <w:tr w:rsidR="00F30C72" w:rsidRPr="007B4973" w14:paraId="7275B95D" w14:textId="77777777" w:rsidTr="00A31404">
        <w:tc>
          <w:tcPr>
            <w:tcW w:w="1705" w:type="dxa"/>
          </w:tcPr>
          <w:p w14:paraId="7662AB36" w14:textId="77777777" w:rsidR="00F30C72" w:rsidRPr="005D38BC" w:rsidRDefault="00F30C72" w:rsidP="00A31404">
            <w:pPr>
              <w:rPr>
                <w:rFonts w:cs="Arial"/>
              </w:rPr>
            </w:pPr>
            <w:r w:rsidRPr="005D38BC">
              <w:rPr>
                <w:rFonts w:cs="Arial"/>
              </w:rPr>
              <w:t>Utah</w:t>
            </w:r>
          </w:p>
        </w:tc>
        <w:tc>
          <w:tcPr>
            <w:tcW w:w="1890" w:type="dxa"/>
          </w:tcPr>
          <w:p w14:paraId="424F2CC7" w14:textId="77777777" w:rsidR="00F30C72" w:rsidRPr="007B4973" w:rsidRDefault="00F30C72" w:rsidP="00A31404">
            <w:pPr>
              <w:jc w:val="center"/>
              <w:rPr>
                <w:rFonts w:cs="Arial"/>
              </w:rPr>
            </w:pPr>
            <w:r w:rsidRPr="007B4973">
              <w:rPr>
                <w:rFonts w:cs="Arial"/>
              </w:rPr>
              <w:t>$1</w:t>
            </w:r>
            <w:r>
              <w:rPr>
                <w:rFonts w:cs="Arial"/>
              </w:rPr>
              <w:t>83.30</w:t>
            </w:r>
          </w:p>
        </w:tc>
      </w:tr>
      <w:tr w:rsidR="00F30C72" w:rsidRPr="007B4973" w14:paraId="206A22E7" w14:textId="77777777" w:rsidTr="00A31404">
        <w:tc>
          <w:tcPr>
            <w:tcW w:w="1705" w:type="dxa"/>
          </w:tcPr>
          <w:p w14:paraId="29551448" w14:textId="77777777" w:rsidR="00F30C72" w:rsidRPr="005D38BC" w:rsidRDefault="00F30C72" w:rsidP="00A31404">
            <w:pPr>
              <w:rPr>
                <w:rFonts w:cs="Arial"/>
              </w:rPr>
            </w:pPr>
            <w:r w:rsidRPr="005D38BC">
              <w:rPr>
                <w:rFonts w:cs="Arial"/>
              </w:rPr>
              <w:t>Florida</w:t>
            </w:r>
          </w:p>
        </w:tc>
        <w:tc>
          <w:tcPr>
            <w:tcW w:w="1890" w:type="dxa"/>
          </w:tcPr>
          <w:p w14:paraId="3FF7CC6C" w14:textId="77777777" w:rsidR="00F30C72" w:rsidRPr="007B4973" w:rsidRDefault="00F30C72" w:rsidP="00A31404">
            <w:pPr>
              <w:jc w:val="center"/>
              <w:rPr>
                <w:rFonts w:cs="Arial"/>
              </w:rPr>
            </w:pPr>
            <w:r w:rsidRPr="007B4973">
              <w:rPr>
                <w:rFonts w:cs="Arial"/>
              </w:rPr>
              <w:t>$22</w:t>
            </w:r>
            <w:r>
              <w:rPr>
                <w:rFonts w:cs="Arial"/>
              </w:rPr>
              <w:t>8.79</w:t>
            </w:r>
          </w:p>
        </w:tc>
      </w:tr>
      <w:tr w:rsidR="00F30C72" w:rsidRPr="007B4973" w14:paraId="783AB717" w14:textId="77777777" w:rsidTr="00A31404">
        <w:tc>
          <w:tcPr>
            <w:tcW w:w="1705" w:type="dxa"/>
          </w:tcPr>
          <w:p w14:paraId="22C9BF54" w14:textId="77777777" w:rsidR="00F30C72" w:rsidRPr="005D38BC" w:rsidRDefault="00F30C72" w:rsidP="00A31404">
            <w:pPr>
              <w:rPr>
                <w:rFonts w:cs="Arial"/>
              </w:rPr>
            </w:pPr>
            <w:r w:rsidRPr="005D38BC">
              <w:rPr>
                <w:rFonts w:cs="Arial"/>
              </w:rPr>
              <w:t>Illinois</w:t>
            </w:r>
          </w:p>
        </w:tc>
        <w:tc>
          <w:tcPr>
            <w:tcW w:w="1890" w:type="dxa"/>
          </w:tcPr>
          <w:p w14:paraId="30BDB0F7" w14:textId="77777777" w:rsidR="00F30C72" w:rsidRPr="007B4973" w:rsidRDefault="00F30C72" w:rsidP="00A31404">
            <w:pPr>
              <w:jc w:val="center"/>
              <w:rPr>
                <w:rFonts w:cs="Arial"/>
              </w:rPr>
            </w:pPr>
            <w:r w:rsidRPr="007B4973">
              <w:rPr>
                <w:rFonts w:cs="Arial"/>
              </w:rPr>
              <w:t>$14</w:t>
            </w:r>
            <w:r>
              <w:rPr>
                <w:rFonts w:cs="Arial"/>
              </w:rPr>
              <w:t>8.52</w:t>
            </w:r>
          </w:p>
        </w:tc>
      </w:tr>
      <w:tr w:rsidR="00F30C72" w:rsidRPr="007B4973" w14:paraId="09DB1271" w14:textId="77777777" w:rsidTr="00A31404">
        <w:tc>
          <w:tcPr>
            <w:tcW w:w="1705" w:type="dxa"/>
          </w:tcPr>
          <w:p w14:paraId="7F8ED281" w14:textId="77777777" w:rsidR="00F30C72" w:rsidRPr="005D38BC" w:rsidRDefault="00F30C72" w:rsidP="00A31404">
            <w:pPr>
              <w:rPr>
                <w:rFonts w:cs="Arial"/>
              </w:rPr>
            </w:pPr>
            <w:r w:rsidRPr="005D38BC">
              <w:rPr>
                <w:rFonts w:cs="Arial"/>
              </w:rPr>
              <w:t>Montana</w:t>
            </w:r>
          </w:p>
        </w:tc>
        <w:tc>
          <w:tcPr>
            <w:tcW w:w="1890" w:type="dxa"/>
          </w:tcPr>
          <w:p w14:paraId="252EA776" w14:textId="77777777" w:rsidR="00F30C72" w:rsidRPr="007B4973" w:rsidRDefault="00F30C72" w:rsidP="00A31404">
            <w:pPr>
              <w:jc w:val="center"/>
              <w:rPr>
                <w:rFonts w:cs="Arial"/>
              </w:rPr>
            </w:pPr>
            <w:r>
              <w:rPr>
                <w:rFonts w:cs="Arial"/>
              </w:rPr>
              <w:t>$175.65</w:t>
            </w:r>
          </w:p>
        </w:tc>
      </w:tr>
      <w:tr w:rsidR="00F30C72" w:rsidRPr="007B4973" w14:paraId="29AE8C1C" w14:textId="77777777" w:rsidTr="00A31404">
        <w:tc>
          <w:tcPr>
            <w:tcW w:w="1705" w:type="dxa"/>
          </w:tcPr>
          <w:p w14:paraId="345F31D9" w14:textId="77777777" w:rsidR="00F30C72" w:rsidRPr="005D38BC" w:rsidRDefault="00F30C72" w:rsidP="00A31404">
            <w:pPr>
              <w:rPr>
                <w:rFonts w:cs="Arial"/>
              </w:rPr>
            </w:pPr>
            <w:r w:rsidRPr="005D38BC">
              <w:rPr>
                <w:rFonts w:cs="Arial"/>
              </w:rPr>
              <w:t>Arizona</w:t>
            </w:r>
          </w:p>
        </w:tc>
        <w:tc>
          <w:tcPr>
            <w:tcW w:w="1890" w:type="dxa"/>
          </w:tcPr>
          <w:p w14:paraId="43081F88" w14:textId="77777777" w:rsidR="00F30C72" w:rsidRDefault="00F30C72" w:rsidP="00A31404">
            <w:pPr>
              <w:jc w:val="center"/>
              <w:rPr>
                <w:rFonts w:cs="Arial"/>
              </w:rPr>
            </w:pPr>
            <w:r>
              <w:rPr>
                <w:rFonts w:cs="Arial"/>
              </w:rPr>
              <w:t>$147.83</w:t>
            </w:r>
          </w:p>
        </w:tc>
      </w:tr>
    </w:tbl>
    <w:p w14:paraId="5D59A106" w14:textId="77777777" w:rsidR="00F30C72" w:rsidRPr="00F30C72" w:rsidRDefault="00F30C72" w:rsidP="001D03A8">
      <w:pPr>
        <w:spacing w:before="0" w:after="0"/>
        <w:rPr>
          <w:rFonts w:cs="Arial"/>
        </w:rPr>
      </w:pPr>
    </w:p>
    <w:p w14:paraId="30A9D4B3" w14:textId="3DA9AD29" w:rsidR="00C022A8" w:rsidRDefault="00C022A8" w:rsidP="001D03A8">
      <w:pPr>
        <w:spacing w:before="0" w:after="0"/>
        <w:rPr>
          <w:rFonts w:cs="Arial"/>
        </w:rPr>
      </w:pPr>
    </w:p>
    <w:p w14:paraId="05F73A04" w14:textId="77777777" w:rsidR="00F30C72" w:rsidRDefault="00F30C72" w:rsidP="001D03A8">
      <w:pPr>
        <w:spacing w:before="0" w:after="0"/>
        <w:rPr>
          <w:rFonts w:cs="Arial"/>
          <w:b/>
        </w:rPr>
      </w:pPr>
    </w:p>
    <w:p w14:paraId="4826FAF3" w14:textId="2CF82804" w:rsidR="001D03A8" w:rsidRPr="001D03A8" w:rsidRDefault="001D03A8" w:rsidP="001D03A8">
      <w:pPr>
        <w:spacing w:before="0" w:after="0"/>
        <w:rPr>
          <w:rFonts w:cs="Arial"/>
        </w:rPr>
      </w:pPr>
      <w:r w:rsidRPr="001D03A8">
        <w:rPr>
          <w:rFonts w:cs="Arial"/>
          <w:b/>
        </w:rPr>
        <w:t>Conclusion</w:t>
      </w:r>
    </w:p>
    <w:p w14:paraId="1A761A64" w14:textId="77777777" w:rsidR="001D03A8" w:rsidRPr="001D03A8" w:rsidRDefault="001D03A8" w:rsidP="001D03A8">
      <w:pPr>
        <w:spacing w:before="0" w:after="0"/>
        <w:rPr>
          <w:rFonts w:cs="Arial"/>
        </w:rPr>
      </w:pPr>
    </w:p>
    <w:p w14:paraId="3FDF2733" w14:textId="4D10FBCD" w:rsidR="001D03A8" w:rsidRPr="001D03A8" w:rsidRDefault="001D03A8" w:rsidP="001D03A8">
      <w:pPr>
        <w:spacing w:before="0" w:after="0"/>
        <w:rPr>
          <w:rFonts w:cs="Arial"/>
        </w:rPr>
      </w:pPr>
      <w:r w:rsidRPr="001D03A8">
        <w:rPr>
          <w:rFonts w:cs="Arial"/>
        </w:rPr>
        <w:t>Our analysis shows that Washington’s current Medicaid payment methodology will pay, in SFY 201</w:t>
      </w:r>
      <w:r w:rsidR="00675F7B">
        <w:rPr>
          <w:rFonts w:cs="Arial"/>
        </w:rPr>
        <w:t>8</w:t>
      </w:r>
      <w:r w:rsidRPr="001D03A8">
        <w:rPr>
          <w:rFonts w:cs="Arial"/>
        </w:rPr>
        <w:t>, approximately 92.</w:t>
      </w:r>
      <w:r w:rsidR="00675F7B">
        <w:rPr>
          <w:rFonts w:cs="Arial"/>
        </w:rPr>
        <w:t>2</w:t>
      </w:r>
      <w:r w:rsidRPr="001D03A8">
        <w:rPr>
          <w:rFonts w:cs="Arial"/>
        </w:rPr>
        <w:t xml:space="preserve"> percent of Medicaid allowable costs incurred by nursing facilities that are not hospital-based, veterans or tribal facilities, and 91.</w:t>
      </w:r>
      <w:r w:rsidR="00675F7B">
        <w:rPr>
          <w:rFonts w:cs="Arial"/>
        </w:rPr>
        <w:t>6</w:t>
      </w:r>
      <w:r w:rsidRPr="001D03A8">
        <w:rPr>
          <w:rFonts w:cs="Arial"/>
        </w:rPr>
        <w:t xml:space="preserve"> percent when including those facilities.  We estimate that </w:t>
      </w:r>
      <w:r w:rsidR="00675F7B">
        <w:rPr>
          <w:rFonts w:cs="Arial"/>
        </w:rPr>
        <w:t>29</w:t>
      </w:r>
      <w:r w:rsidRPr="001D03A8">
        <w:rPr>
          <w:rFonts w:cs="Arial"/>
        </w:rPr>
        <w:t xml:space="preserve"> nursing facilities would receive 100 percent or more of their Medicaid allowable cost, with an additional </w:t>
      </w:r>
      <w:r w:rsidR="00675F7B">
        <w:rPr>
          <w:rFonts w:cs="Arial"/>
        </w:rPr>
        <w:t>45</w:t>
      </w:r>
      <w:r w:rsidRPr="001D03A8">
        <w:rPr>
          <w:rFonts w:cs="Arial"/>
        </w:rPr>
        <w:t xml:space="preserve"> facilities receiving more than 95 percent of cost, and another </w:t>
      </w:r>
      <w:r w:rsidR="00675F7B">
        <w:rPr>
          <w:rFonts w:cs="Arial"/>
        </w:rPr>
        <w:t>42</w:t>
      </w:r>
      <w:r w:rsidRPr="001D03A8">
        <w:rPr>
          <w:rFonts w:cs="Arial"/>
        </w:rPr>
        <w:t xml:space="preserve"> receiving 90 percent or more.  Our analyses of access to and quality of care, described in Sections </w:t>
      </w:r>
      <w:r w:rsidR="00675F7B">
        <w:rPr>
          <w:rFonts w:cs="Arial"/>
        </w:rPr>
        <w:t>II</w:t>
      </w:r>
      <w:r w:rsidRPr="001D03A8">
        <w:rPr>
          <w:rFonts w:cs="Arial"/>
        </w:rPr>
        <w:t xml:space="preserve"> and </w:t>
      </w:r>
      <w:r w:rsidR="00675F7B">
        <w:rPr>
          <w:rFonts w:cs="Arial"/>
        </w:rPr>
        <w:t>III</w:t>
      </w:r>
      <w:r w:rsidRPr="001D03A8">
        <w:rPr>
          <w:rFonts w:cs="Arial"/>
        </w:rPr>
        <w:t xml:space="preserve"> of this report, respectively, indicate that the current methodology provides rates for services that have been sufficient to maintain adequate access to care of reasonable quality.  </w:t>
      </w:r>
      <w:r w:rsidR="00675F7B">
        <w:rPr>
          <w:rFonts w:cs="Arial"/>
        </w:rPr>
        <w:t xml:space="preserve">It is expected that the rates in SFY 2019 will result in </w:t>
      </w:r>
      <w:r w:rsidR="00976024">
        <w:rPr>
          <w:rFonts w:cs="Arial"/>
        </w:rPr>
        <w:t xml:space="preserve">very similar payment-to-cost ratios to those for SFY 2018.  </w:t>
      </w:r>
    </w:p>
    <w:p w14:paraId="6EEFA432" w14:textId="77777777" w:rsidR="001D03A8" w:rsidRPr="001D03A8" w:rsidRDefault="001D03A8" w:rsidP="001D03A8">
      <w:pPr>
        <w:spacing w:before="0" w:after="0"/>
        <w:rPr>
          <w:rFonts w:cs="Arial"/>
        </w:rPr>
      </w:pPr>
    </w:p>
    <w:p w14:paraId="31FAE6DD" w14:textId="1F98CBCE" w:rsidR="00675F7B" w:rsidRPr="001D03A8" w:rsidRDefault="001D03A8" w:rsidP="001D03A8">
      <w:pPr>
        <w:spacing w:before="0" w:after="0"/>
        <w:rPr>
          <w:rFonts w:cs="Arial"/>
        </w:rPr>
      </w:pPr>
      <w:r w:rsidRPr="001D03A8">
        <w:rPr>
          <w:rFonts w:cs="Arial"/>
        </w:rPr>
        <w:t xml:space="preserve">The </w:t>
      </w:r>
      <w:r w:rsidR="00675F7B">
        <w:rPr>
          <w:rFonts w:cs="Arial"/>
        </w:rPr>
        <w:t>current</w:t>
      </w:r>
      <w:r w:rsidRPr="001D03A8">
        <w:rPr>
          <w:rFonts w:cs="Arial"/>
        </w:rPr>
        <w:t xml:space="preserve"> system appears to have been designed to effectively pay a higher proportion of costs to the providers who are the most efficient, as measured by lower average Medicaid cost per day, adjusted for differences in case-mix, and as measured by total occupancy rates and Medicaid utilization.  In other words, nursing facilities with lower case-mix adjusted </w:t>
      </w:r>
      <w:r w:rsidRPr="001D03A8">
        <w:rPr>
          <w:rFonts w:cs="Arial"/>
        </w:rPr>
        <w:lastRenderedPageBreak/>
        <w:t xml:space="preserve">cost per day, higher occupancy and higher Medicaid utilization tend to fare better under the current system when compared to the costs of providing services.  </w:t>
      </w:r>
    </w:p>
    <w:p w14:paraId="5A32634C" w14:textId="77777777" w:rsidR="001D03A8" w:rsidRDefault="001D03A8" w:rsidP="001D03A8">
      <w:pPr>
        <w:spacing w:before="0" w:after="0"/>
        <w:rPr>
          <w:rFonts w:cs="Arial"/>
        </w:rPr>
      </w:pPr>
    </w:p>
    <w:p w14:paraId="2AF0CDE6" w14:textId="19165B3A" w:rsidR="005726D2" w:rsidRPr="001D03A8" w:rsidRDefault="00BB2620" w:rsidP="001D03A8">
      <w:pPr>
        <w:spacing w:before="0" w:after="0"/>
        <w:rPr>
          <w:rFonts w:cs="Arial"/>
        </w:rPr>
      </w:pPr>
      <w:r>
        <w:rPr>
          <w:rFonts w:cs="Arial"/>
        </w:rPr>
        <w:t xml:space="preserve">In addition, we </w:t>
      </w:r>
      <w:r w:rsidR="006D365E">
        <w:rPr>
          <w:rFonts w:cs="Arial"/>
        </w:rPr>
        <w:t>compared Washington’s rates to those paid by Medicare and other payers, and to the rates paid in several other states.  We found that Washington’s rates were reasonable when compared to other states and aggregated results from other payers.  We did not necessarily believe a comparison to Medicare rates to be reasonable or conclusive.</w:t>
      </w:r>
    </w:p>
    <w:p w14:paraId="72305A17" w14:textId="77777777" w:rsidR="006D365E" w:rsidRDefault="006D365E" w:rsidP="001D03A8">
      <w:pPr>
        <w:spacing w:before="0" w:after="0"/>
        <w:rPr>
          <w:rFonts w:cs="Arial"/>
        </w:rPr>
      </w:pPr>
    </w:p>
    <w:p w14:paraId="5A183C64" w14:textId="42E3BAE7" w:rsidR="001D03A8" w:rsidRPr="001D03A8" w:rsidRDefault="001D03A8" w:rsidP="001D03A8">
      <w:pPr>
        <w:spacing w:before="0" w:after="0"/>
        <w:rPr>
          <w:rFonts w:cs="Arial"/>
        </w:rPr>
      </w:pPr>
      <w:r w:rsidRPr="001D03A8">
        <w:rPr>
          <w:rFonts w:cs="Arial"/>
        </w:rPr>
        <w:t>We recommend that, with the anticipated rates for SFY</w:t>
      </w:r>
      <w:r w:rsidR="00976024">
        <w:rPr>
          <w:rFonts w:cs="Arial"/>
        </w:rPr>
        <w:t>s</w:t>
      </w:r>
      <w:r w:rsidRPr="001D03A8">
        <w:rPr>
          <w:rFonts w:cs="Arial"/>
        </w:rPr>
        <w:t xml:space="preserve"> 201</w:t>
      </w:r>
      <w:r w:rsidR="00976024">
        <w:rPr>
          <w:rFonts w:cs="Arial"/>
        </w:rPr>
        <w:t>8 and 2019</w:t>
      </w:r>
      <w:r w:rsidRPr="001D03A8">
        <w:rPr>
          <w:rFonts w:cs="Arial"/>
        </w:rPr>
        <w:t>, the State continue to carefully and closely monitor any changes in access and quality so that appropriate responses can be made in a timely manner.  We also recommend that the State carefully monitor the survey process, and the resulting occurrences of survey deficiencies, to make certain that such deficiencies do not change over time.</w:t>
      </w:r>
      <w:r w:rsidR="0081485F">
        <w:rPr>
          <w:rFonts w:cs="Arial"/>
        </w:rPr>
        <w:t xml:space="preserve"> </w:t>
      </w:r>
    </w:p>
    <w:p w14:paraId="6ED1A3BD" w14:textId="6063FDC8" w:rsidR="001D03A8" w:rsidRPr="001D03A8" w:rsidRDefault="001D03A8" w:rsidP="001D03A8">
      <w:pPr>
        <w:spacing w:before="0" w:after="0"/>
      </w:pPr>
    </w:p>
    <w:sectPr w:rsidR="001D03A8" w:rsidRPr="001D03A8" w:rsidSect="00EF3028">
      <w:headerReference w:type="default" r:id="rId24"/>
      <w:footerReference w:type="default" r:id="rId2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26180" w14:textId="77777777" w:rsidR="006C268C" w:rsidRDefault="006C268C" w:rsidP="00162203">
      <w:pPr>
        <w:spacing w:before="0" w:after="0"/>
      </w:pPr>
      <w:r>
        <w:separator/>
      </w:r>
    </w:p>
  </w:endnote>
  <w:endnote w:type="continuationSeparator" w:id="0">
    <w:p w14:paraId="548A89EF" w14:textId="77777777" w:rsidR="006C268C" w:rsidRDefault="006C268C"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EAB7B" w14:textId="6A55F2C9" w:rsidR="005D7DDD" w:rsidRDefault="005D7DDD" w:rsidP="00EF3028">
    <w:pPr>
      <w:pStyle w:val="Footer"/>
      <w:tabs>
        <w:tab w:val="right" w:pos="9360"/>
      </w:tabs>
    </w:pPr>
    <w:r>
      <w:t>Draft Report – October 2016</w:t>
    </w:r>
    <w:r>
      <w:tab/>
      <w:t xml:space="preserve">Page </w:t>
    </w:r>
    <w:sdt>
      <w:sdtPr>
        <w:id w:val="-9065278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2EEC">
          <w:rPr>
            <w:noProof/>
          </w:rPr>
          <w:t>2</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710CB" w14:textId="65804ABA" w:rsidR="005D7DDD" w:rsidRDefault="005D7DDD" w:rsidP="00EF3028">
    <w:pPr>
      <w:pStyle w:val="Footer"/>
      <w:tabs>
        <w:tab w:val="right"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04046" w14:textId="3402A130" w:rsidR="005D7DDD" w:rsidRDefault="005D7DDD" w:rsidP="001F1481">
    <w:pPr>
      <w:pStyle w:val="Footer"/>
      <w:tabs>
        <w:tab w:val="left" w:pos="0"/>
        <w:tab w:val="left" w:pos="4806"/>
        <w:tab w:val="right" w:pos="9027"/>
      </w:tabs>
    </w:pPr>
    <w:r>
      <w:t>Draft Report – October 2016</w:t>
    </w:r>
    <w:r>
      <w:tab/>
    </w:r>
    <w:r>
      <w:tab/>
      <w:t xml:space="preserve">Page </w:t>
    </w:r>
    <w:sdt>
      <w:sdtPr>
        <w:id w:val="7678244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2EEC">
          <w:rPr>
            <w:noProof/>
          </w:rPr>
          <w:t>22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EDB0B" w14:textId="77777777" w:rsidR="006C268C" w:rsidRDefault="006C268C" w:rsidP="00162203">
      <w:pPr>
        <w:spacing w:before="0" w:after="0"/>
      </w:pPr>
      <w:r>
        <w:separator/>
      </w:r>
    </w:p>
  </w:footnote>
  <w:footnote w:type="continuationSeparator" w:id="0">
    <w:p w14:paraId="7FE82F36" w14:textId="77777777" w:rsidR="006C268C" w:rsidRDefault="006C268C" w:rsidP="00162203">
      <w:pPr>
        <w:spacing w:before="0" w:after="0"/>
      </w:pPr>
      <w:r>
        <w:continuationSeparator/>
      </w:r>
    </w:p>
  </w:footnote>
  <w:footnote w:id="1">
    <w:p w14:paraId="163069C4" w14:textId="77777777" w:rsidR="005D7DDD" w:rsidRPr="00B42F2B" w:rsidRDefault="005D7DDD" w:rsidP="00B42F2B">
      <w:pPr>
        <w:pStyle w:val="FootnoteText"/>
        <w:rPr>
          <w:rFonts w:ascii="Arial" w:hAnsi="Arial" w:cs="Arial"/>
          <w:color w:val="555759" w:themeColor="text2"/>
          <w:sz w:val="18"/>
          <w:szCs w:val="22"/>
        </w:rPr>
      </w:pPr>
      <w:r w:rsidRPr="00B42F2B">
        <w:rPr>
          <w:rStyle w:val="FootnoteReference"/>
          <w:rFonts w:ascii="Arial" w:hAnsi="Arial" w:cs="Arial"/>
          <w:color w:val="555759" w:themeColor="text2"/>
          <w:sz w:val="18"/>
          <w:szCs w:val="22"/>
        </w:rPr>
        <w:footnoteRef/>
      </w:r>
      <w:r w:rsidRPr="00B42F2B">
        <w:rPr>
          <w:rFonts w:ascii="Arial" w:hAnsi="Arial" w:cs="Arial"/>
          <w:color w:val="555759" w:themeColor="text2"/>
          <w:sz w:val="18"/>
          <w:szCs w:val="22"/>
        </w:rPr>
        <w:t xml:space="preserve"> Nursing facilities calculate their bed days available each year by multiplying the number of licensed beds in operation by the number of days the beds were operational.  Facilities report available bed days on their annual cost reports. </w:t>
      </w:r>
    </w:p>
    <w:p w14:paraId="5A5653ED" w14:textId="77777777" w:rsidR="005D7DDD" w:rsidRDefault="005D7DDD" w:rsidP="00B42F2B">
      <w:pPr>
        <w:pStyle w:val="FootnoteText"/>
      </w:pPr>
    </w:p>
  </w:footnote>
  <w:footnote w:id="2">
    <w:p w14:paraId="3CDE8F21" w14:textId="25C9A405" w:rsidR="005D7DDD" w:rsidRPr="00B42F2B" w:rsidRDefault="005D7DDD" w:rsidP="00B42F2B">
      <w:pPr>
        <w:pStyle w:val="FootnoteText"/>
        <w:rPr>
          <w:rFonts w:ascii="Arial" w:hAnsi="Arial" w:cs="Arial"/>
        </w:rPr>
      </w:pPr>
      <w:r w:rsidRPr="00B42F2B">
        <w:rPr>
          <w:rStyle w:val="FootnoteReference"/>
          <w:rFonts w:ascii="Arial" w:hAnsi="Arial" w:cs="Arial"/>
          <w:color w:val="555759" w:themeColor="text2"/>
          <w:sz w:val="18"/>
        </w:rPr>
        <w:footnoteRef/>
      </w:r>
      <w:r w:rsidRPr="00B42F2B">
        <w:rPr>
          <w:rFonts w:ascii="Arial" w:hAnsi="Arial" w:cs="Arial"/>
          <w:color w:val="555759" w:themeColor="text2"/>
          <w:sz w:val="18"/>
        </w:rPr>
        <w:t xml:space="preserve"> Assumes 365 days in the calendar year for 2006, 2007, 2009, 2010, 2011, 2013, 2014</w:t>
      </w:r>
      <w:r>
        <w:rPr>
          <w:rFonts w:ascii="Arial" w:hAnsi="Arial" w:cs="Arial"/>
          <w:color w:val="555759" w:themeColor="text2"/>
          <w:sz w:val="18"/>
        </w:rPr>
        <w:t>, 2015</w:t>
      </w:r>
      <w:r w:rsidRPr="00B42F2B">
        <w:rPr>
          <w:rFonts w:ascii="Arial" w:hAnsi="Arial" w:cs="Arial"/>
          <w:color w:val="555759" w:themeColor="text2"/>
          <w:sz w:val="18"/>
        </w:rPr>
        <w:t xml:space="preserve"> and 366 days in the calendar year for 2008 and 2012.</w:t>
      </w:r>
    </w:p>
  </w:footnote>
  <w:footnote w:id="3">
    <w:p w14:paraId="4125AB45" w14:textId="7B45107D" w:rsidR="005D7DDD" w:rsidRPr="00B42F2B" w:rsidRDefault="005D7DDD" w:rsidP="00B42F2B">
      <w:pPr>
        <w:pStyle w:val="FootnoteText"/>
        <w:rPr>
          <w:rFonts w:ascii="Arial" w:hAnsi="Arial" w:cs="Arial"/>
          <w:sz w:val="18"/>
          <w:szCs w:val="18"/>
        </w:rPr>
      </w:pPr>
      <w:r w:rsidRPr="001223AC">
        <w:rPr>
          <w:rStyle w:val="FootnoteReference"/>
          <w:rFonts w:ascii="Arial" w:hAnsi="Arial" w:cs="Arial"/>
          <w:color w:val="555759" w:themeColor="text2"/>
          <w:sz w:val="18"/>
          <w:szCs w:val="18"/>
        </w:rPr>
        <w:footnoteRef/>
      </w:r>
      <w:r w:rsidRPr="001223AC">
        <w:rPr>
          <w:rFonts w:ascii="Arial" w:hAnsi="Arial" w:cs="Arial"/>
          <w:color w:val="555759" w:themeColor="text2"/>
          <w:sz w:val="18"/>
          <w:szCs w:val="18"/>
        </w:rPr>
        <w:t xml:space="preserve"> These occupancy rates vary from those presented in Table 2.3 because they are from different data sources.  Occupancy rates shown in Table 2.3 are calculated using bed days available as reported by nursing facilities each year in their annual cost reports submitted to the Department. </w:t>
      </w:r>
      <w:r>
        <w:rPr>
          <w:rFonts w:ascii="Arial" w:hAnsi="Arial" w:cs="Arial"/>
          <w:color w:val="555759" w:themeColor="text2"/>
          <w:sz w:val="18"/>
          <w:szCs w:val="18"/>
        </w:rPr>
        <w:t xml:space="preserve"> </w:t>
      </w:r>
      <w:r w:rsidRPr="001223AC">
        <w:rPr>
          <w:rFonts w:ascii="Arial" w:hAnsi="Arial" w:cs="Arial"/>
          <w:color w:val="555759" w:themeColor="text2"/>
          <w:sz w:val="18"/>
          <w:szCs w:val="18"/>
        </w:rPr>
        <w:t xml:space="preserve">The source for the all states’ data is the Online Survey, Certification and Reporting (OSCAR) which is a data network that CMS maintains in cooperation with the state long-term care surveying agencies. </w:t>
      </w:r>
      <w:r>
        <w:rPr>
          <w:rFonts w:ascii="Arial" w:hAnsi="Arial" w:cs="Arial"/>
          <w:color w:val="555759" w:themeColor="text2"/>
          <w:sz w:val="18"/>
          <w:szCs w:val="18"/>
        </w:rPr>
        <w:t xml:space="preserve"> </w:t>
      </w:r>
      <w:r w:rsidRPr="001223AC">
        <w:rPr>
          <w:rFonts w:ascii="Arial" w:hAnsi="Arial" w:cs="Arial"/>
          <w:color w:val="555759" w:themeColor="text2"/>
          <w:sz w:val="18"/>
          <w:szCs w:val="18"/>
        </w:rPr>
        <w:t xml:space="preserve">OSCAR is a compilation of all the data elements collected by surveyors during the inspection survey conducted at nursing facilities for the purpose of certification for participation in the Medicare and Medicaid programs.  </w:t>
      </w:r>
    </w:p>
  </w:footnote>
  <w:footnote w:id="4">
    <w:p w14:paraId="5D285E71" w14:textId="77777777" w:rsidR="005D7DDD" w:rsidRPr="001223AC" w:rsidRDefault="005D7DDD" w:rsidP="00B42F2B">
      <w:pPr>
        <w:pStyle w:val="FootnoteText"/>
        <w:rPr>
          <w:rFonts w:ascii="Arial" w:hAnsi="Arial" w:cs="Arial"/>
        </w:rPr>
      </w:pPr>
      <w:r w:rsidRPr="001223AC">
        <w:rPr>
          <w:rStyle w:val="FootnoteReference"/>
          <w:rFonts w:ascii="Arial" w:hAnsi="Arial" w:cs="Arial"/>
          <w:color w:val="555759" w:themeColor="text2"/>
          <w:sz w:val="18"/>
        </w:rPr>
        <w:footnoteRef/>
      </w:r>
      <w:r w:rsidRPr="001223AC">
        <w:rPr>
          <w:rFonts w:ascii="Arial" w:hAnsi="Arial" w:cs="Arial"/>
          <w:color w:val="555759" w:themeColor="text2"/>
          <w:sz w:val="18"/>
        </w:rPr>
        <w:t xml:space="preserve"> Note that while the State currently uses the statistic “nursing facility beds per 1000 population aged 70 and older” for purposes of measuring bed need in Washington, similar statistics for other states were not available in the data relied upon to prepare this report.</w:t>
      </w:r>
    </w:p>
  </w:footnote>
  <w:footnote w:id="5">
    <w:p w14:paraId="70BBEFDC" w14:textId="239688D8" w:rsidR="005D7DDD" w:rsidRPr="008B33DD" w:rsidRDefault="005D7DDD" w:rsidP="001223AC">
      <w:pPr>
        <w:pStyle w:val="FootnoteText"/>
        <w:rPr>
          <w:rFonts w:ascii="Arial" w:hAnsi="Arial" w:cs="Arial"/>
          <w:color w:val="555759" w:themeColor="text2"/>
          <w:sz w:val="18"/>
        </w:rPr>
      </w:pPr>
      <w:r w:rsidRPr="008B33DD">
        <w:rPr>
          <w:rStyle w:val="FootnoteReference"/>
          <w:rFonts w:ascii="Arial" w:hAnsi="Arial" w:cs="Arial"/>
          <w:color w:val="555759" w:themeColor="text2"/>
        </w:rPr>
        <w:footnoteRef/>
      </w:r>
      <w:r w:rsidRPr="008B33DD">
        <w:rPr>
          <w:rFonts w:ascii="Arial" w:hAnsi="Arial" w:cs="Arial"/>
          <w:color w:val="555759" w:themeColor="text2"/>
        </w:rPr>
        <w:t xml:space="preserve"> D</w:t>
      </w:r>
      <w:r w:rsidRPr="008B33DD">
        <w:rPr>
          <w:rFonts w:ascii="Arial" w:hAnsi="Arial" w:cs="Arial"/>
          <w:color w:val="555759" w:themeColor="text2"/>
          <w:sz w:val="18"/>
        </w:rPr>
        <w:t>ata in the Nursing Home Data Compendium are from the Online Survey, Certification and Reporting (OSCAR) which is a data network that the CMS maintains in cooperation with the state long-term care surveying agencies.</w:t>
      </w:r>
      <w:r>
        <w:rPr>
          <w:rFonts w:ascii="Arial" w:hAnsi="Arial" w:cs="Arial"/>
          <w:color w:val="555759" w:themeColor="text2"/>
          <w:sz w:val="18"/>
        </w:rPr>
        <w:t xml:space="preserve"> </w:t>
      </w:r>
      <w:r w:rsidRPr="008B33DD">
        <w:rPr>
          <w:rFonts w:ascii="Arial" w:hAnsi="Arial" w:cs="Arial"/>
          <w:color w:val="555759" w:themeColor="text2"/>
          <w:sz w:val="18"/>
        </w:rPr>
        <w:t xml:space="preserve"> OSCAR is a compilation of all the data elements collected by surveyors during the inspection survey conducted at nursing facilities for the purpose of certification for participation in the Medicare and Medicaid programs.</w:t>
      </w:r>
      <w:r w:rsidRPr="008B33DD">
        <w:rPr>
          <w:rFonts w:ascii="Arial" w:hAnsi="Arial" w:cs="Arial"/>
          <w:color w:val="555759" w:themeColor="text2"/>
          <w:sz w:val="18"/>
          <w:szCs w:val="17"/>
        </w:rPr>
        <w:t xml:space="preserve"> </w:t>
      </w:r>
      <w:r w:rsidRPr="008B33DD">
        <w:rPr>
          <w:rFonts w:ascii="Arial" w:hAnsi="Arial" w:cs="Arial"/>
          <w:color w:val="555759" w:themeColor="text2"/>
          <w:sz w:val="18"/>
        </w:rPr>
        <w:t xml:space="preserve"> </w:t>
      </w:r>
    </w:p>
    <w:p w14:paraId="74EDD0D1" w14:textId="77777777" w:rsidR="005D7DDD" w:rsidRDefault="005D7DDD" w:rsidP="001223AC">
      <w:pPr>
        <w:pStyle w:val="FootnoteText"/>
      </w:pPr>
    </w:p>
    <w:p w14:paraId="6270D28B" w14:textId="77777777" w:rsidR="005D7DDD" w:rsidRDefault="005D7DDD" w:rsidP="001223AC">
      <w:pPr>
        <w:pStyle w:val="FootnoteText"/>
      </w:pPr>
    </w:p>
    <w:p w14:paraId="1D49F8A3" w14:textId="77777777" w:rsidR="005D7DDD" w:rsidRDefault="005D7DDD" w:rsidP="001223AC">
      <w:pPr>
        <w:pStyle w:val="FootnoteText"/>
      </w:pPr>
    </w:p>
    <w:p w14:paraId="39D44C66" w14:textId="77777777" w:rsidR="005D7DDD" w:rsidRDefault="005D7DDD" w:rsidP="001223AC">
      <w:pPr>
        <w:pStyle w:val="FootnoteText"/>
      </w:pPr>
    </w:p>
  </w:footnote>
  <w:footnote w:id="6">
    <w:p w14:paraId="2083ADF6" w14:textId="2C293F03" w:rsidR="005D7DDD" w:rsidRPr="001D03A8" w:rsidRDefault="005D7DDD" w:rsidP="001D03A8">
      <w:pPr>
        <w:pStyle w:val="FootnoteText"/>
        <w:rPr>
          <w:rFonts w:ascii="Arial" w:hAnsi="Arial" w:cs="Arial"/>
          <w:color w:val="555759" w:themeColor="text2"/>
          <w:sz w:val="18"/>
          <w:szCs w:val="18"/>
        </w:rPr>
      </w:pPr>
      <w:r w:rsidRPr="001D03A8">
        <w:rPr>
          <w:rStyle w:val="FootnoteReference"/>
          <w:rFonts w:ascii="Arial" w:hAnsi="Arial" w:cs="Arial"/>
          <w:color w:val="555759" w:themeColor="text2"/>
          <w:sz w:val="18"/>
          <w:szCs w:val="18"/>
        </w:rPr>
        <w:footnoteRef/>
      </w:r>
      <w:r>
        <w:rPr>
          <w:rFonts w:ascii="Arial" w:hAnsi="Arial" w:cs="Arial"/>
          <w:color w:val="555759" w:themeColor="text2"/>
          <w:sz w:val="18"/>
          <w:szCs w:val="18"/>
        </w:rPr>
        <w:t xml:space="preserve"> A case-</w:t>
      </w:r>
      <w:r w:rsidRPr="001D03A8">
        <w:rPr>
          <w:rFonts w:ascii="Arial" w:hAnsi="Arial" w:cs="Arial"/>
          <w:color w:val="555759" w:themeColor="text2"/>
          <w:sz w:val="18"/>
          <w:szCs w:val="18"/>
        </w:rPr>
        <w:t>mix index is a measure, expressed as a factor, which is indicative of the expected “relative” resources that will be required to care for individuals in a nursing facility.  Using data extracted from a nationally standardized resident asses</w:t>
      </w:r>
      <w:r>
        <w:rPr>
          <w:rFonts w:ascii="Arial" w:hAnsi="Arial" w:cs="Arial"/>
          <w:color w:val="555759" w:themeColor="text2"/>
          <w:sz w:val="18"/>
          <w:szCs w:val="18"/>
        </w:rPr>
        <w:t>sment instrument, a case-</w:t>
      </w:r>
      <w:r w:rsidRPr="001D03A8">
        <w:rPr>
          <w:rFonts w:ascii="Arial" w:hAnsi="Arial" w:cs="Arial"/>
          <w:color w:val="555759" w:themeColor="text2"/>
          <w:sz w:val="18"/>
          <w:szCs w:val="18"/>
        </w:rPr>
        <w:t>mix score is determined for each nursing facility resident, which indicates the resources required for that resident compared to the average of al</w:t>
      </w:r>
      <w:r>
        <w:rPr>
          <w:rFonts w:ascii="Arial" w:hAnsi="Arial" w:cs="Arial"/>
          <w:color w:val="555759" w:themeColor="text2"/>
          <w:sz w:val="18"/>
          <w:szCs w:val="18"/>
        </w:rPr>
        <w:t>l residents.  A facility’s case-</w:t>
      </w:r>
      <w:r w:rsidRPr="001D03A8">
        <w:rPr>
          <w:rFonts w:ascii="Arial" w:hAnsi="Arial" w:cs="Arial"/>
          <w:color w:val="555759" w:themeColor="text2"/>
          <w:sz w:val="18"/>
          <w:szCs w:val="18"/>
        </w:rPr>
        <w:t>mix i</w:t>
      </w:r>
      <w:r>
        <w:rPr>
          <w:rFonts w:ascii="Arial" w:hAnsi="Arial" w:cs="Arial"/>
          <w:color w:val="555759" w:themeColor="text2"/>
          <w:sz w:val="18"/>
          <w:szCs w:val="18"/>
        </w:rPr>
        <w:t>ndex is the average of the case-</w:t>
      </w:r>
      <w:r w:rsidRPr="001D03A8">
        <w:rPr>
          <w:rFonts w:ascii="Arial" w:hAnsi="Arial" w:cs="Arial"/>
          <w:color w:val="555759" w:themeColor="text2"/>
          <w:sz w:val="18"/>
          <w:szCs w:val="18"/>
        </w:rPr>
        <w:t xml:space="preserve">mix scores for all residents in the facility at a given point in time.  </w:t>
      </w:r>
    </w:p>
  </w:footnote>
  <w:footnote w:id="7">
    <w:p w14:paraId="76B58616" w14:textId="2FB02594" w:rsidR="005D7DDD" w:rsidRPr="001D03A8" w:rsidRDefault="005D7DDD" w:rsidP="001D03A8">
      <w:pPr>
        <w:pStyle w:val="FootnoteText"/>
        <w:rPr>
          <w:rFonts w:ascii="Arial" w:hAnsi="Arial" w:cs="Arial"/>
          <w:color w:val="555759" w:themeColor="text2"/>
          <w:sz w:val="18"/>
          <w:szCs w:val="18"/>
        </w:rPr>
      </w:pPr>
      <w:r w:rsidRPr="001D03A8">
        <w:rPr>
          <w:rStyle w:val="FootnoteReference"/>
          <w:rFonts w:ascii="Arial" w:hAnsi="Arial" w:cs="Arial"/>
          <w:color w:val="555759" w:themeColor="text2"/>
          <w:sz w:val="18"/>
          <w:szCs w:val="18"/>
        </w:rPr>
        <w:footnoteRef/>
      </w:r>
      <w:r>
        <w:rPr>
          <w:rFonts w:ascii="Arial" w:hAnsi="Arial" w:cs="Arial"/>
          <w:color w:val="555759" w:themeColor="text2"/>
          <w:sz w:val="18"/>
          <w:szCs w:val="18"/>
        </w:rPr>
        <w:t xml:space="preserve"> This case-</w:t>
      </w:r>
      <w:r w:rsidRPr="001D03A8">
        <w:rPr>
          <w:rFonts w:ascii="Arial" w:hAnsi="Arial" w:cs="Arial"/>
          <w:color w:val="555759" w:themeColor="text2"/>
          <w:sz w:val="18"/>
          <w:szCs w:val="18"/>
        </w:rPr>
        <w:t>mix index was calculated “without defaults”.  As we understand, a CMI calculated “without defaults” excludes any indi</w:t>
      </w:r>
      <w:r>
        <w:rPr>
          <w:rFonts w:ascii="Arial" w:hAnsi="Arial" w:cs="Arial"/>
          <w:color w:val="555759" w:themeColor="text2"/>
          <w:sz w:val="18"/>
          <w:szCs w:val="18"/>
        </w:rPr>
        <w:t xml:space="preserve">viduals with a missing case-mix </w:t>
      </w:r>
      <w:r w:rsidRPr="001D03A8">
        <w:rPr>
          <w:rFonts w:ascii="Arial" w:hAnsi="Arial" w:cs="Arial"/>
          <w:color w:val="555759" w:themeColor="text2"/>
          <w:sz w:val="18"/>
          <w:szCs w:val="18"/>
        </w:rPr>
        <w:t>score.  A CMI “with defaults” would include those individuals i</w:t>
      </w:r>
      <w:r>
        <w:rPr>
          <w:rFonts w:ascii="Arial" w:hAnsi="Arial" w:cs="Arial"/>
          <w:color w:val="555759" w:themeColor="text2"/>
          <w:sz w:val="18"/>
          <w:szCs w:val="18"/>
        </w:rPr>
        <w:t>n the counts and add a 1.0 case-</w:t>
      </w:r>
      <w:r w:rsidRPr="001D03A8">
        <w:rPr>
          <w:rFonts w:ascii="Arial" w:hAnsi="Arial" w:cs="Arial"/>
          <w:color w:val="555759" w:themeColor="text2"/>
          <w:sz w:val="18"/>
          <w:szCs w:val="18"/>
        </w:rPr>
        <w:t>mix score for the individual.</w:t>
      </w:r>
    </w:p>
  </w:footnote>
  <w:footnote w:id="8">
    <w:p w14:paraId="2CE60463" w14:textId="77777777" w:rsidR="005D7DDD" w:rsidRPr="00B208EB" w:rsidRDefault="005D7DDD" w:rsidP="001D03A8">
      <w:pPr>
        <w:pStyle w:val="FootnoteText"/>
        <w:rPr>
          <w:rFonts w:ascii="Palatino Linotype" w:hAnsi="Palatino Linotype"/>
          <w:sz w:val="18"/>
          <w:szCs w:val="18"/>
        </w:rPr>
      </w:pPr>
      <w:r w:rsidRPr="001D03A8">
        <w:rPr>
          <w:rStyle w:val="FootnoteReference"/>
          <w:rFonts w:ascii="Arial" w:hAnsi="Arial" w:cs="Arial"/>
          <w:color w:val="555759" w:themeColor="text2"/>
          <w:sz w:val="18"/>
          <w:szCs w:val="18"/>
        </w:rPr>
        <w:footnoteRef/>
      </w:r>
      <w:r w:rsidRPr="001D03A8">
        <w:rPr>
          <w:rFonts w:ascii="Arial" w:hAnsi="Arial" w:cs="Arial"/>
          <w:color w:val="555759" w:themeColor="text2"/>
          <w:sz w:val="18"/>
          <w:szCs w:val="18"/>
        </w:rPr>
        <w:t xml:space="preserve"> This CMI was calculated “with defaults” as described in the previous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7ACA3" w14:textId="77777777" w:rsidR="005D7DDD" w:rsidRDefault="005D7DDD">
    <w:pPr>
      <w:pStyle w:val="Header"/>
    </w:pPr>
    <w:r>
      <w:rPr>
        <w:noProof/>
      </w:rPr>
      <w:drawing>
        <wp:anchor distT="0" distB="0" distL="114300" distR="114300" simplePos="0" relativeHeight="251679744" behindDoc="0" locked="0" layoutInCell="1" allowOverlap="1" wp14:anchorId="6D621D76" wp14:editId="68113419">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1436DD48" w14:textId="77777777" w:rsidR="005D7DDD" w:rsidRDefault="005D7DDD">
    <w:pPr>
      <w:pStyle w:val="Header"/>
    </w:pPr>
  </w:p>
  <w:p w14:paraId="17D3D492" w14:textId="77777777" w:rsidR="005D7DDD" w:rsidRDefault="005D7DDD">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77088336" wp14:editId="1C9EB08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26DA8" w14:textId="2D0D32C5" w:rsidR="005D7DDD" w:rsidRDefault="005D7DDD">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6E6186C8" wp14:editId="19EBAFA6">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46FDE22F" wp14:editId="27E9458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A2F38" w14:textId="0B958B68" w:rsidR="005D7DDD" w:rsidRDefault="005D7DDD" w:rsidP="00B42F2B">
    <w:pPr>
      <w:pStyle w:val="Header"/>
      <w:rPr>
        <w:rFonts w:ascii="Palatino Linotype" w:hAnsi="Palatino Linotype"/>
        <w:b w:val="0"/>
        <w:sz w:val="22"/>
      </w:rPr>
    </w:pPr>
    <w:r>
      <w:rPr>
        <w:rFonts w:ascii="Palatino Linotype" w:hAnsi="Palatino Linotype"/>
        <w:b w:val="0"/>
        <w:sz w:val="22"/>
      </w:rPr>
      <w:t>D</w:t>
    </w:r>
    <w:r>
      <w:rPr>
        <w:noProof/>
      </w:rPr>
      <w:drawing>
        <wp:anchor distT="0" distB="0" distL="114300" distR="114300" simplePos="0" relativeHeight="251689984" behindDoc="0" locked="0" layoutInCell="1" allowOverlap="1" wp14:anchorId="0311C69D" wp14:editId="5BFD207E">
          <wp:simplePos x="0" y="0"/>
          <wp:positionH relativeFrom="column">
            <wp:posOffset>0</wp:posOffset>
          </wp:positionH>
          <wp:positionV relativeFrom="paragraph">
            <wp:posOffset>0</wp:posOffset>
          </wp:positionV>
          <wp:extent cx="1490345" cy="255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 xml:space="preserve">SHS </w:t>
    </w:r>
    <w:r w:rsidRPr="00B73E85">
      <w:rPr>
        <w:rFonts w:ascii="Palatino Linotype" w:hAnsi="Palatino Linotype"/>
        <w:b w:val="0"/>
        <w:sz w:val="22"/>
      </w:rPr>
      <w:t xml:space="preserve">Analysis of The </w:t>
    </w:r>
    <w:r>
      <w:rPr>
        <w:rFonts w:ascii="Palatino Linotype" w:hAnsi="Palatino Linotype"/>
        <w:b w:val="0"/>
        <w:sz w:val="22"/>
      </w:rPr>
      <w:t>Washington</w:t>
    </w:r>
    <w:r w:rsidRPr="00B73E85">
      <w:rPr>
        <w:rFonts w:ascii="Palatino Linotype" w:hAnsi="Palatino Linotype"/>
        <w:b w:val="0"/>
        <w:sz w:val="22"/>
      </w:rPr>
      <w:t xml:space="preserve"> Nursing Facility </w:t>
    </w:r>
    <w:r>
      <w:rPr>
        <w:rFonts w:ascii="Palatino Linotype" w:hAnsi="Palatino Linotype"/>
        <w:b w:val="0"/>
        <w:sz w:val="22"/>
      </w:rPr>
      <w:t>Medicaid Payment Methodology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8A3FD" w14:textId="6E4AE18A" w:rsidR="005D7DDD" w:rsidRPr="002E7C2C" w:rsidRDefault="005D7DDD"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Analysis of</w:t>
    </w:r>
    <w:r>
      <w:rPr>
        <w:noProof/>
      </w:rPr>
      <w:drawing>
        <wp:anchor distT="0" distB="0" distL="114300" distR="114300" simplePos="0" relativeHeight="251692032" behindDoc="0" locked="0" layoutInCell="1" allowOverlap="1" wp14:anchorId="49BB62CB" wp14:editId="34C9E2BC">
          <wp:simplePos x="0" y="0"/>
          <wp:positionH relativeFrom="column">
            <wp:posOffset>0</wp:posOffset>
          </wp:positionH>
          <wp:positionV relativeFrom="paragraph">
            <wp:posOffset>0</wp:posOffset>
          </wp:positionV>
          <wp:extent cx="1490345" cy="25590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sidRPr="00B73E85">
      <w:rPr>
        <w:rFonts w:ascii="Palatino Linotype" w:hAnsi="Palatino Linotype"/>
        <w:b w:val="0"/>
        <w:sz w:val="22"/>
      </w:rPr>
      <w:t xml:space="preserve"> The </w:t>
    </w:r>
    <w:r>
      <w:rPr>
        <w:rFonts w:ascii="Palatino Linotype" w:hAnsi="Palatino Linotype"/>
        <w:b w:val="0"/>
        <w:sz w:val="22"/>
      </w:rPr>
      <w:t>Washington</w:t>
    </w:r>
    <w:r w:rsidRPr="00B73E85">
      <w:rPr>
        <w:rFonts w:ascii="Palatino Linotype" w:hAnsi="Palatino Linotype"/>
        <w:b w:val="0"/>
        <w:sz w:val="22"/>
      </w:rPr>
      <w:t xml:space="preserve"> Nursing Facility </w:t>
    </w:r>
    <w:r>
      <w:rPr>
        <w:rFonts w:ascii="Palatino Linotype" w:hAnsi="Palatino Linotype"/>
        <w:b w:val="0"/>
        <w:sz w:val="22"/>
      </w:rPr>
      <w:t>Medicaid Payment Methodology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E04BA" w14:textId="6B2D1504" w:rsidR="005D7DDD" w:rsidRDefault="005D7DDD" w:rsidP="00B42F2B">
    <w:pPr>
      <w:pStyle w:val="Header"/>
      <w:rPr>
        <w:rFonts w:ascii="Palatino Linotype" w:hAnsi="Palatino Linotype"/>
        <w:b w:val="0"/>
        <w:sz w:val="22"/>
      </w:rPr>
    </w:pPr>
    <w:r>
      <w:rPr>
        <w:noProof/>
      </w:rPr>
      <w:drawing>
        <wp:anchor distT="0" distB="0" distL="114300" distR="114300" simplePos="0" relativeHeight="251694080" behindDoc="0" locked="0" layoutInCell="1" allowOverlap="1" wp14:anchorId="3B8C2441" wp14:editId="0A579760">
          <wp:simplePos x="0" y="0"/>
          <wp:positionH relativeFrom="column">
            <wp:posOffset>0</wp:posOffset>
          </wp:positionH>
          <wp:positionV relativeFrom="paragraph">
            <wp:posOffset>0</wp:posOffset>
          </wp:positionV>
          <wp:extent cx="1490345" cy="25590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 xml:space="preserve">DSHS </w:t>
    </w:r>
    <w:r w:rsidRPr="00B73E85">
      <w:rPr>
        <w:rFonts w:ascii="Palatino Linotype" w:hAnsi="Palatino Linotype"/>
        <w:b w:val="0"/>
        <w:sz w:val="22"/>
      </w:rPr>
      <w:t xml:space="preserve">Analysis of The </w:t>
    </w:r>
    <w:r>
      <w:rPr>
        <w:rFonts w:ascii="Palatino Linotype" w:hAnsi="Palatino Linotype"/>
        <w:b w:val="0"/>
        <w:sz w:val="22"/>
      </w:rPr>
      <w:t>Washington</w:t>
    </w:r>
    <w:r w:rsidRPr="00B73E85">
      <w:rPr>
        <w:rFonts w:ascii="Palatino Linotype" w:hAnsi="Palatino Linotype"/>
        <w:b w:val="0"/>
        <w:sz w:val="22"/>
      </w:rPr>
      <w:t xml:space="preserve"> Nursing Facility </w:t>
    </w:r>
    <w:r>
      <w:rPr>
        <w:rFonts w:ascii="Palatino Linotype" w:hAnsi="Palatino Linotype"/>
        <w:b w:val="0"/>
        <w:sz w:val="22"/>
      </w:rPr>
      <w:t>Medicaid Payment Methodology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5F233" w14:textId="0438D479" w:rsidR="005D7DDD" w:rsidRPr="002E7C2C" w:rsidRDefault="005D7DDD"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 xml:space="preserve">Analysis of The </w:t>
    </w:r>
    <w:r>
      <w:rPr>
        <w:rFonts w:ascii="Palatino Linotype" w:hAnsi="Palatino Linotype"/>
        <w:b w:val="0"/>
        <w:sz w:val="22"/>
      </w:rPr>
      <w:t>W</w:t>
    </w:r>
    <w:r>
      <w:rPr>
        <w:noProof/>
      </w:rPr>
      <w:drawing>
        <wp:anchor distT="0" distB="0" distL="114300" distR="114300" simplePos="0" relativeHeight="251696128" behindDoc="0" locked="0" layoutInCell="1" allowOverlap="1" wp14:anchorId="133BDD55" wp14:editId="7AA6C245">
          <wp:simplePos x="0" y="0"/>
          <wp:positionH relativeFrom="column">
            <wp:posOffset>0</wp:posOffset>
          </wp:positionH>
          <wp:positionV relativeFrom="paragraph">
            <wp:posOffset>0</wp:posOffset>
          </wp:positionV>
          <wp:extent cx="1490345" cy="25590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ashington</w:t>
    </w:r>
    <w:r w:rsidRPr="00B73E85">
      <w:rPr>
        <w:rFonts w:ascii="Palatino Linotype" w:hAnsi="Palatino Linotype"/>
        <w:b w:val="0"/>
        <w:sz w:val="22"/>
      </w:rPr>
      <w:t xml:space="preserve"> Nursing Facility </w:t>
    </w:r>
    <w:r>
      <w:rPr>
        <w:rFonts w:ascii="Palatino Linotype" w:hAnsi="Palatino Linotype"/>
        <w:b w:val="0"/>
        <w:sz w:val="22"/>
      </w:rPr>
      <w:t>Medicaid Payment Methodology</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F94CE" w14:textId="1B83CC53" w:rsidR="005D7DDD" w:rsidRDefault="005D7DDD" w:rsidP="00B42F2B">
    <w:pPr>
      <w:pStyle w:val="Header"/>
      <w:rPr>
        <w:rFonts w:ascii="Palatino Linotype" w:hAnsi="Palatino Linotype"/>
        <w:b w:val="0"/>
        <w:sz w:val="22"/>
      </w:rPr>
    </w:pPr>
    <w:r>
      <w:rPr>
        <w:noProof/>
      </w:rPr>
      <w:drawing>
        <wp:anchor distT="0" distB="0" distL="114300" distR="114300" simplePos="0" relativeHeight="251698176" behindDoc="0" locked="0" layoutInCell="1" allowOverlap="1" wp14:anchorId="2A423BE2" wp14:editId="4A001BA0">
          <wp:simplePos x="0" y="0"/>
          <wp:positionH relativeFrom="column">
            <wp:posOffset>0</wp:posOffset>
          </wp:positionH>
          <wp:positionV relativeFrom="paragraph">
            <wp:posOffset>0</wp:posOffset>
          </wp:positionV>
          <wp:extent cx="1490345" cy="25590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 xml:space="preserve">DSHS </w:t>
    </w:r>
    <w:r w:rsidRPr="00B73E85">
      <w:rPr>
        <w:rFonts w:ascii="Palatino Linotype" w:hAnsi="Palatino Linotype"/>
        <w:b w:val="0"/>
        <w:sz w:val="22"/>
      </w:rPr>
      <w:t xml:space="preserve">Analysis of The </w:t>
    </w:r>
    <w:r>
      <w:rPr>
        <w:rFonts w:ascii="Palatino Linotype" w:hAnsi="Palatino Linotype"/>
        <w:b w:val="0"/>
        <w:sz w:val="22"/>
      </w:rPr>
      <w:t>Washington</w:t>
    </w:r>
    <w:r w:rsidRPr="00B73E85">
      <w:rPr>
        <w:rFonts w:ascii="Palatino Linotype" w:hAnsi="Palatino Linotype"/>
        <w:b w:val="0"/>
        <w:sz w:val="22"/>
      </w:rPr>
      <w:t xml:space="preserve"> Nursing Facility </w:t>
    </w:r>
    <w:r>
      <w:rPr>
        <w:rFonts w:ascii="Palatino Linotype" w:hAnsi="Palatino Linotype"/>
        <w:b w:val="0"/>
        <w:sz w:val="22"/>
      </w:rPr>
      <w:t>Medicaid Payment Methodology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1B85" w14:textId="724D5375" w:rsidR="005D7DDD" w:rsidRPr="002E7C2C" w:rsidRDefault="005D7DDD"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 xml:space="preserve">Analysis of The </w:t>
    </w:r>
    <w:r>
      <w:rPr>
        <w:rFonts w:ascii="Palatino Linotype" w:hAnsi="Palatino Linotype"/>
        <w:b w:val="0"/>
        <w:sz w:val="22"/>
      </w:rPr>
      <w:t>W</w:t>
    </w:r>
    <w:r>
      <w:rPr>
        <w:noProof/>
      </w:rPr>
      <w:drawing>
        <wp:anchor distT="0" distB="0" distL="114300" distR="114300" simplePos="0" relativeHeight="251700224" behindDoc="0" locked="0" layoutInCell="1" allowOverlap="1" wp14:anchorId="1B8797BB" wp14:editId="3BD4ADE3">
          <wp:simplePos x="0" y="0"/>
          <wp:positionH relativeFrom="column">
            <wp:posOffset>0</wp:posOffset>
          </wp:positionH>
          <wp:positionV relativeFrom="paragraph">
            <wp:posOffset>0</wp:posOffset>
          </wp:positionV>
          <wp:extent cx="1490345" cy="25590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ashington</w:t>
    </w:r>
    <w:r w:rsidRPr="00B73E85">
      <w:rPr>
        <w:rFonts w:ascii="Palatino Linotype" w:hAnsi="Palatino Linotype"/>
        <w:b w:val="0"/>
        <w:sz w:val="22"/>
      </w:rPr>
      <w:t xml:space="preserve"> Nursing Facility </w:t>
    </w:r>
    <w:r>
      <w:rPr>
        <w:rFonts w:ascii="Palatino Linotype" w:hAnsi="Palatino Linotype"/>
        <w:b w:val="0"/>
        <w:sz w:val="22"/>
      </w:rPr>
      <w:t>Medicaid Payment Methodology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46AD" w14:textId="77777777" w:rsidR="005D7DDD" w:rsidRDefault="005D7DDD" w:rsidP="004F3BD6">
    <w:pPr>
      <w:pStyle w:val="NoSpacing"/>
    </w:pPr>
    <w:r>
      <w:rPr>
        <w:noProof/>
      </w:rPr>
      <w:drawing>
        <wp:anchor distT="0" distB="0" distL="114300" distR="114300" simplePos="0" relativeHeight="251687936" behindDoc="0" locked="0" layoutInCell="1" allowOverlap="1" wp14:anchorId="2DFCA501" wp14:editId="5052DE8B">
          <wp:simplePos x="0" y="0"/>
          <wp:positionH relativeFrom="column">
            <wp:posOffset>0</wp:posOffset>
          </wp:positionH>
          <wp:positionV relativeFrom="paragraph">
            <wp:posOffset>0</wp:posOffset>
          </wp:positionV>
          <wp:extent cx="1490345" cy="2559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182E3D75" w14:textId="77777777" w:rsidR="005D7DDD" w:rsidRDefault="005D7DDD" w:rsidP="004F3BD6">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9317AC"/>
    <w:multiLevelType w:val="hybridMultilevel"/>
    <w:tmpl w:val="3FC25062"/>
    <w:lvl w:ilvl="0" w:tplc="34642664">
      <w:start w:val="8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5"/>
  </w:num>
  <w:num w:numId="3">
    <w:abstractNumId w:val="0"/>
  </w:num>
  <w:num w:numId="4">
    <w:abstractNumId w:val="1"/>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1E"/>
    <w:rsid w:val="00002E06"/>
    <w:rsid w:val="000066FD"/>
    <w:rsid w:val="00011146"/>
    <w:rsid w:val="00015C8B"/>
    <w:rsid w:val="000508B3"/>
    <w:rsid w:val="00073A61"/>
    <w:rsid w:val="00073B06"/>
    <w:rsid w:val="00074C4D"/>
    <w:rsid w:val="000810EF"/>
    <w:rsid w:val="00081B78"/>
    <w:rsid w:val="000841CC"/>
    <w:rsid w:val="0008703A"/>
    <w:rsid w:val="000874A3"/>
    <w:rsid w:val="000927E8"/>
    <w:rsid w:val="000B07CA"/>
    <w:rsid w:val="000C123F"/>
    <w:rsid w:val="000D00DB"/>
    <w:rsid w:val="000D0A04"/>
    <w:rsid w:val="000D2B72"/>
    <w:rsid w:val="000D45F6"/>
    <w:rsid w:val="000D7A97"/>
    <w:rsid w:val="000E3949"/>
    <w:rsid w:val="000F53A9"/>
    <w:rsid w:val="000F5B63"/>
    <w:rsid w:val="001223AC"/>
    <w:rsid w:val="001337A0"/>
    <w:rsid w:val="00147BA6"/>
    <w:rsid w:val="001572B6"/>
    <w:rsid w:val="0016075C"/>
    <w:rsid w:val="001612C7"/>
    <w:rsid w:val="001616C4"/>
    <w:rsid w:val="00162203"/>
    <w:rsid w:val="00163565"/>
    <w:rsid w:val="00165C52"/>
    <w:rsid w:val="00172225"/>
    <w:rsid w:val="00177361"/>
    <w:rsid w:val="001850A2"/>
    <w:rsid w:val="00191979"/>
    <w:rsid w:val="001A65A7"/>
    <w:rsid w:val="001B2F0B"/>
    <w:rsid w:val="001B6CA0"/>
    <w:rsid w:val="001C3D83"/>
    <w:rsid w:val="001D03A8"/>
    <w:rsid w:val="001D1738"/>
    <w:rsid w:val="001D338A"/>
    <w:rsid w:val="001D49AE"/>
    <w:rsid w:val="001E74ED"/>
    <w:rsid w:val="001F1481"/>
    <w:rsid w:val="00202898"/>
    <w:rsid w:val="00233C06"/>
    <w:rsid w:val="00241D05"/>
    <w:rsid w:val="0025363B"/>
    <w:rsid w:val="0027505B"/>
    <w:rsid w:val="00275231"/>
    <w:rsid w:val="00277E61"/>
    <w:rsid w:val="00282EEC"/>
    <w:rsid w:val="002A0747"/>
    <w:rsid w:val="002B1287"/>
    <w:rsid w:val="002B586D"/>
    <w:rsid w:val="002C240A"/>
    <w:rsid w:val="002C3ED3"/>
    <w:rsid w:val="002C7ECD"/>
    <w:rsid w:val="002D2923"/>
    <w:rsid w:val="002D6009"/>
    <w:rsid w:val="002D7AC3"/>
    <w:rsid w:val="002E4FBA"/>
    <w:rsid w:val="002F0570"/>
    <w:rsid w:val="002F17A2"/>
    <w:rsid w:val="002F2535"/>
    <w:rsid w:val="002F4433"/>
    <w:rsid w:val="002F7D73"/>
    <w:rsid w:val="003067BF"/>
    <w:rsid w:val="003258F0"/>
    <w:rsid w:val="003418D5"/>
    <w:rsid w:val="00344D77"/>
    <w:rsid w:val="003616B1"/>
    <w:rsid w:val="00363B72"/>
    <w:rsid w:val="0037296A"/>
    <w:rsid w:val="00372AF2"/>
    <w:rsid w:val="003905D7"/>
    <w:rsid w:val="00393E79"/>
    <w:rsid w:val="00397D83"/>
    <w:rsid w:val="003B07B0"/>
    <w:rsid w:val="003C471A"/>
    <w:rsid w:val="003D565A"/>
    <w:rsid w:val="003F1427"/>
    <w:rsid w:val="003F2A84"/>
    <w:rsid w:val="003F715F"/>
    <w:rsid w:val="00401180"/>
    <w:rsid w:val="00423B1E"/>
    <w:rsid w:val="0042503E"/>
    <w:rsid w:val="0042728D"/>
    <w:rsid w:val="00430AFB"/>
    <w:rsid w:val="00433763"/>
    <w:rsid w:val="00435582"/>
    <w:rsid w:val="004362AC"/>
    <w:rsid w:val="00436C1F"/>
    <w:rsid w:val="0044215A"/>
    <w:rsid w:val="00442AD7"/>
    <w:rsid w:val="00444F91"/>
    <w:rsid w:val="0044559A"/>
    <w:rsid w:val="004547AD"/>
    <w:rsid w:val="00466103"/>
    <w:rsid w:val="004747A7"/>
    <w:rsid w:val="00491E7E"/>
    <w:rsid w:val="00497348"/>
    <w:rsid w:val="004A1176"/>
    <w:rsid w:val="004A73B2"/>
    <w:rsid w:val="004C35B2"/>
    <w:rsid w:val="004D128A"/>
    <w:rsid w:val="004E20EF"/>
    <w:rsid w:val="004E426A"/>
    <w:rsid w:val="004E6E55"/>
    <w:rsid w:val="004F3BD6"/>
    <w:rsid w:val="004F7144"/>
    <w:rsid w:val="00501BAE"/>
    <w:rsid w:val="0051650D"/>
    <w:rsid w:val="0053029D"/>
    <w:rsid w:val="00535593"/>
    <w:rsid w:val="00544809"/>
    <w:rsid w:val="0055459B"/>
    <w:rsid w:val="005547AA"/>
    <w:rsid w:val="00555D39"/>
    <w:rsid w:val="005608FE"/>
    <w:rsid w:val="00560F73"/>
    <w:rsid w:val="00564500"/>
    <w:rsid w:val="005726D2"/>
    <w:rsid w:val="00574119"/>
    <w:rsid w:val="0057745D"/>
    <w:rsid w:val="00577818"/>
    <w:rsid w:val="00586F95"/>
    <w:rsid w:val="005879AB"/>
    <w:rsid w:val="005B5872"/>
    <w:rsid w:val="005B7D9F"/>
    <w:rsid w:val="005D7DDD"/>
    <w:rsid w:val="005E6B7E"/>
    <w:rsid w:val="005F116C"/>
    <w:rsid w:val="0060029B"/>
    <w:rsid w:val="00612A30"/>
    <w:rsid w:val="006154AB"/>
    <w:rsid w:val="00615EE4"/>
    <w:rsid w:val="00616311"/>
    <w:rsid w:val="0062648C"/>
    <w:rsid w:val="0063226F"/>
    <w:rsid w:val="00641ED9"/>
    <w:rsid w:val="006465D5"/>
    <w:rsid w:val="00651A12"/>
    <w:rsid w:val="006553E3"/>
    <w:rsid w:val="0066093E"/>
    <w:rsid w:val="00662BC6"/>
    <w:rsid w:val="00675F7B"/>
    <w:rsid w:val="00682392"/>
    <w:rsid w:val="00682DDD"/>
    <w:rsid w:val="00684003"/>
    <w:rsid w:val="00685275"/>
    <w:rsid w:val="006C268C"/>
    <w:rsid w:val="006C4731"/>
    <w:rsid w:val="006D365E"/>
    <w:rsid w:val="006E16D8"/>
    <w:rsid w:val="006E2D58"/>
    <w:rsid w:val="006E4219"/>
    <w:rsid w:val="006E4CB0"/>
    <w:rsid w:val="006E575E"/>
    <w:rsid w:val="007045EE"/>
    <w:rsid w:val="00705942"/>
    <w:rsid w:val="00711305"/>
    <w:rsid w:val="00740698"/>
    <w:rsid w:val="00741D98"/>
    <w:rsid w:val="00742CD0"/>
    <w:rsid w:val="0077208E"/>
    <w:rsid w:val="007877CF"/>
    <w:rsid w:val="00794D33"/>
    <w:rsid w:val="007A5E5A"/>
    <w:rsid w:val="007B1F7F"/>
    <w:rsid w:val="007B5CDF"/>
    <w:rsid w:val="007E6FD9"/>
    <w:rsid w:val="007E78D6"/>
    <w:rsid w:val="007F314F"/>
    <w:rsid w:val="007F6D64"/>
    <w:rsid w:val="00800522"/>
    <w:rsid w:val="00800B2C"/>
    <w:rsid w:val="00801859"/>
    <w:rsid w:val="0081485F"/>
    <w:rsid w:val="0083433E"/>
    <w:rsid w:val="00834433"/>
    <w:rsid w:val="008373D1"/>
    <w:rsid w:val="00840F57"/>
    <w:rsid w:val="00841946"/>
    <w:rsid w:val="008520CA"/>
    <w:rsid w:val="00853E21"/>
    <w:rsid w:val="00854627"/>
    <w:rsid w:val="00857349"/>
    <w:rsid w:val="00862C7E"/>
    <w:rsid w:val="008650EA"/>
    <w:rsid w:val="008819B2"/>
    <w:rsid w:val="00883480"/>
    <w:rsid w:val="008A037D"/>
    <w:rsid w:val="008A1218"/>
    <w:rsid w:val="008A2F41"/>
    <w:rsid w:val="008B16B3"/>
    <w:rsid w:val="008B253D"/>
    <w:rsid w:val="008B33DD"/>
    <w:rsid w:val="008B716D"/>
    <w:rsid w:val="008C4C13"/>
    <w:rsid w:val="008D3680"/>
    <w:rsid w:val="008E1BBE"/>
    <w:rsid w:val="008E4911"/>
    <w:rsid w:val="008E5B19"/>
    <w:rsid w:val="00905074"/>
    <w:rsid w:val="00923E64"/>
    <w:rsid w:val="00927B87"/>
    <w:rsid w:val="00930524"/>
    <w:rsid w:val="009533B1"/>
    <w:rsid w:val="00955E6A"/>
    <w:rsid w:val="00957866"/>
    <w:rsid w:val="00976024"/>
    <w:rsid w:val="0099045B"/>
    <w:rsid w:val="0099135B"/>
    <w:rsid w:val="009B34F0"/>
    <w:rsid w:val="009D3357"/>
    <w:rsid w:val="009D6E7B"/>
    <w:rsid w:val="009E067B"/>
    <w:rsid w:val="009F6C62"/>
    <w:rsid w:val="00A03782"/>
    <w:rsid w:val="00A042F8"/>
    <w:rsid w:val="00A05FE2"/>
    <w:rsid w:val="00A130F1"/>
    <w:rsid w:val="00A145AC"/>
    <w:rsid w:val="00A22C70"/>
    <w:rsid w:val="00A24043"/>
    <w:rsid w:val="00A31404"/>
    <w:rsid w:val="00A334B1"/>
    <w:rsid w:val="00A448C5"/>
    <w:rsid w:val="00A5089E"/>
    <w:rsid w:val="00A56616"/>
    <w:rsid w:val="00A75F9A"/>
    <w:rsid w:val="00A90360"/>
    <w:rsid w:val="00A91BA3"/>
    <w:rsid w:val="00A97058"/>
    <w:rsid w:val="00AA060E"/>
    <w:rsid w:val="00AB1652"/>
    <w:rsid w:val="00AB6A47"/>
    <w:rsid w:val="00AC0664"/>
    <w:rsid w:val="00AC5A99"/>
    <w:rsid w:val="00AD2F62"/>
    <w:rsid w:val="00AE4E3B"/>
    <w:rsid w:val="00AF7925"/>
    <w:rsid w:val="00B02D6B"/>
    <w:rsid w:val="00B12249"/>
    <w:rsid w:val="00B137B1"/>
    <w:rsid w:val="00B24657"/>
    <w:rsid w:val="00B40038"/>
    <w:rsid w:val="00B42F2B"/>
    <w:rsid w:val="00B43C1E"/>
    <w:rsid w:val="00B446F1"/>
    <w:rsid w:val="00B51CFE"/>
    <w:rsid w:val="00B52783"/>
    <w:rsid w:val="00B574EC"/>
    <w:rsid w:val="00B740ED"/>
    <w:rsid w:val="00B859AE"/>
    <w:rsid w:val="00B87748"/>
    <w:rsid w:val="00B907B5"/>
    <w:rsid w:val="00BA3800"/>
    <w:rsid w:val="00BA3816"/>
    <w:rsid w:val="00BB2620"/>
    <w:rsid w:val="00BC2578"/>
    <w:rsid w:val="00BC3151"/>
    <w:rsid w:val="00BC3867"/>
    <w:rsid w:val="00BE0A7F"/>
    <w:rsid w:val="00BE1B52"/>
    <w:rsid w:val="00BE2CFC"/>
    <w:rsid w:val="00BE652E"/>
    <w:rsid w:val="00BE6A2D"/>
    <w:rsid w:val="00BF3AFB"/>
    <w:rsid w:val="00C00BC8"/>
    <w:rsid w:val="00C01939"/>
    <w:rsid w:val="00C022A8"/>
    <w:rsid w:val="00C04135"/>
    <w:rsid w:val="00C07844"/>
    <w:rsid w:val="00C16C7A"/>
    <w:rsid w:val="00C2694C"/>
    <w:rsid w:val="00C30203"/>
    <w:rsid w:val="00C307DE"/>
    <w:rsid w:val="00C3139B"/>
    <w:rsid w:val="00C41A88"/>
    <w:rsid w:val="00C425D3"/>
    <w:rsid w:val="00C453C4"/>
    <w:rsid w:val="00C51BEC"/>
    <w:rsid w:val="00C6631C"/>
    <w:rsid w:val="00C66A7C"/>
    <w:rsid w:val="00C80B86"/>
    <w:rsid w:val="00C82C6E"/>
    <w:rsid w:val="00C865EE"/>
    <w:rsid w:val="00C92261"/>
    <w:rsid w:val="00C95F10"/>
    <w:rsid w:val="00CA43CC"/>
    <w:rsid w:val="00CA7585"/>
    <w:rsid w:val="00CC09A6"/>
    <w:rsid w:val="00CC3F7A"/>
    <w:rsid w:val="00CD62D4"/>
    <w:rsid w:val="00CE1880"/>
    <w:rsid w:val="00D1754A"/>
    <w:rsid w:val="00D2009E"/>
    <w:rsid w:val="00D3124F"/>
    <w:rsid w:val="00D3183A"/>
    <w:rsid w:val="00D3731B"/>
    <w:rsid w:val="00D43593"/>
    <w:rsid w:val="00D66CD7"/>
    <w:rsid w:val="00D7644D"/>
    <w:rsid w:val="00D7645A"/>
    <w:rsid w:val="00D825F9"/>
    <w:rsid w:val="00D8666A"/>
    <w:rsid w:val="00D91805"/>
    <w:rsid w:val="00D97E2C"/>
    <w:rsid w:val="00DA1DA9"/>
    <w:rsid w:val="00DB41C8"/>
    <w:rsid w:val="00DC019C"/>
    <w:rsid w:val="00DC363D"/>
    <w:rsid w:val="00DD70FF"/>
    <w:rsid w:val="00DE4CD7"/>
    <w:rsid w:val="00DF12E5"/>
    <w:rsid w:val="00E01BE7"/>
    <w:rsid w:val="00E04659"/>
    <w:rsid w:val="00E11FB9"/>
    <w:rsid w:val="00E13672"/>
    <w:rsid w:val="00E13886"/>
    <w:rsid w:val="00E15241"/>
    <w:rsid w:val="00E1732B"/>
    <w:rsid w:val="00E45358"/>
    <w:rsid w:val="00E643E6"/>
    <w:rsid w:val="00E646F9"/>
    <w:rsid w:val="00E716FF"/>
    <w:rsid w:val="00EA376E"/>
    <w:rsid w:val="00EA4D80"/>
    <w:rsid w:val="00EB67FB"/>
    <w:rsid w:val="00ED1A43"/>
    <w:rsid w:val="00ED44AE"/>
    <w:rsid w:val="00ED63AE"/>
    <w:rsid w:val="00EE4A07"/>
    <w:rsid w:val="00EE683E"/>
    <w:rsid w:val="00EE7FF3"/>
    <w:rsid w:val="00EF06E4"/>
    <w:rsid w:val="00EF3028"/>
    <w:rsid w:val="00EF4580"/>
    <w:rsid w:val="00EF4C71"/>
    <w:rsid w:val="00F075FE"/>
    <w:rsid w:val="00F1242A"/>
    <w:rsid w:val="00F1585E"/>
    <w:rsid w:val="00F21218"/>
    <w:rsid w:val="00F30C72"/>
    <w:rsid w:val="00F31441"/>
    <w:rsid w:val="00F34A10"/>
    <w:rsid w:val="00F360E8"/>
    <w:rsid w:val="00F419E8"/>
    <w:rsid w:val="00F42FF1"/>
    <w:rsid w:val="00F45CFA"/>
    <w:rsid w:val="00F5512F"/>
    <w:rsid w:val="00F56F61"/>
    <w:rsid w:val="00F649E7"/>
    <w:rsid w:val="00F73197"/>
    <w:rsid w:val="00F7603E"/>
    <w:rsid w:val="00F81778"/>
    <w:rsid w:val="00F828D2"/>
    <w:rsid w:val="00F94AD9"/>
    <w:rsid w:val="00F95584"/>
    <w:rsid w:val="00F97873"/>
    <w:rsid w:val="00FC4583"/>
    <w:rsid w:val="00FC48CA"/>
    <w:rsid w:val="00FD1AD5"/>
    <w:rsid w:val="00FF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51A4"/>
  <w15:chartTrackingRefBased/>
  <w15:docId w15:val="{7945BD67-9BFD-4222-B807-358D7250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semiHidden/>
    <w:unhideWhenUsed/>
    <w:rsid w:val="000F5B63"/>
    <w:rPr>
      <w:sz w:val="16"/>
      <w:szCs w:val="16"/>
    </w:rPr>
  </w:style>
  <w:style w:type="paragraph" w:styleId="CommentText">
    <w:name w:val="annotation text"/>
    <w:basedOn w:val="Normal"/>
    <w:link w:val="CommentTextChar"/>
    <w:semiHidden/>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semiHidden/>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emf"/><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chart" Target="charts/chart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header8.xml.rels><?xml version="1.0" encoding="UTF-8" standalone="yes"?>
<Relationships xmlns="http://schemas.openxmlformats.org/package/2006/relationships"><Relationship Id="rId1" Type="http://schemas.openxmlformats.org/officeDocument/2006/relationships/image" Target="media/image1.emf"/></Relationships>
</file>

<file path=word/_rels/header9.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2"/>
                </a:solidFill>
                <a:latin typeface="Arial" panose="020B0604020202020204" pitchFamily="34" charset="0"/>
                <a:ea typeface="+mn-ea"/>
                <a:cs typeface="Arial" panose="020B0604020202020204" pitchFamily="34" charset="0"/>
              </a:defRPr>
            </a:pPr>
            <a:r>
              <a:rPr lang="en-US" sz="1800" b="1" i="0" baseline="0">
                <a:solidFill>
                  <a:schemeClr val="tx2"/>
                </a:solidFill>
                <a:effectLst/>
                <a:latin typeface="Arial" panose="020B0604020202020204" pitchFamily="34" charset="0"/>
                <a:cs typeface="Arial" panose="020B0604020202020204" pitchFamily="34" charset="0"/>
              </a:rPr>
              <a:t>Washington</a:t>
            </a:r>
            <a:endParaRPr lang="en-US" sz="1800" b="1">
              <a:solidFill>
                <a:schemeClr val="tx2"/>
              </a:solidFill>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1"/>
          <c:order val="1"/>
          <c:spPr>
            <a:solidFill>
              <a:srgbClr val="4BACC6">
                <a:lumMod val="40000"/>
                <a:lumOff val="60000"/>
              </a:srgbClr>
            </a:solidFill>
            <a:ln>
              <a:noFill/>
            </a:ln>
          </c:spPr>
          <c:dPt>
            <c:idx val="0"/>
            <c:bubble3D val="0"/>
            <c:spPr>
              <a:solidFill>
                <a:srgbClr val="4BACC6">
                  <a:lumMod val="50000"/>
                </a:srgbClr>
              </a:solidFill>
              <a:ln w="19050">
                <a:noFill/>
              </a:ln>
              <a:effectLst/>
            </c:spPr>
          </c:dPt>
          <c:dPt>
            <c:idx val="1"/>
            <c:bubble3D val="0"/>
            <c:spPr>
              <a:solidFill>
                <a:srgbClr val="4BACC6">
                  <a:lumMod val="40000"/>
                  <a:lumOff val="60000"/>
                </a:srgbClr>
              </a:solidFill>
              <a:ln w="19050">
                <a:noFill/>
              </a:ln>
              <a:effectLst/>
            </c:spPr>
          </c:dPt>
          <c:dLbls>
            <c:dLbl>
              <c:idx val="0"/>
              <c:layout>
                <c:manualLayout>
                  <c:x val="9.8819925577187974E-3"/>
                  <c:y val="-3.296277466130623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1.1189120289467733E-2"/>
                  <c:y val="1.4786316387608359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0"/>
            <c:extLst>
              <c:ext xmlns:c15="http://schemas.microsoft.com/office/drawing/2012/chart" uri="{CE6537A1-D6FC-4f65-9D91-7224C49458BB}"/>
            </c:extLst>
          </c:dLbls>
          <c:cat>
            <c:strRef>
              <c:f>'WA Figure 2.1'!$E$1:$F$1</c:f>
              <c:strCache>
                <c:ptCount val="2"/>
                <c:pt idx="0">
                  <c:v>Nursing Homes</c:v>
                </c:pt>
                <c:pt idx="1">
                  <c:v>HCBS</c:v>
                </c:pt>
              </c:strCache>
            </c:strRef>
          </c:cat>
          <c:val>
            <c:numRef>
              <c:f>'WA Figure 2.1'!$E$3:$F$3</c:f>
              <c:numCache>
                <c:formatCode>0%</c:formatCode>
                <c:ptCount val="2"/>
                <c:pt idx="0">
                  <c:v>0.3806571605703658</c:v>
                </c:pt>
                <c:pt idx="1">
                  <c:v>0.6193428394296342</c:v>
                </c:pt>
              </c:numCache>
            </c:numRef>
          </c:val>
        </c:ser>
        <c:dLbls>
          <c:dLblPos val="bestFit"/>
          <c:showLegendKey val="0"/>
          <c:showVal val="1"/>
          <c:showCatName val="0"/>
          <c:showSerName val="0"/>
          <c:showPercent val="0"/>
          <c:showBubbleSize val="0"/>
          <c:showLeaderLines val="0"/>
        </c:dLbls>
        <c:firstSliceAng val="0"/>
        <c:extLst>
          <c:ext xmlns:c15="http://schemas.microsoft.com/office/drawing/2012/chart" uri="{02D57815-91ED-43cb-92C2-25804820EDAC}">
            <c15:filteredPieSeries>
              <c15: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'WA Figure 2.1'!$E$1:$F$1</c15:sqref>
                        </c15:formulaRef>
                      </c:ext>
                    </c:extLst>
                    <c:strCache>
                      <c:ptCount val="2"/>
                      <c:pt idx="0">
                        <c:v>Nursing Homes</c:v>
                      </c:pt>
                      <c:pt idx="1">
                        <c:v>HCBS</c:v>
                      </c:pt>
                    </c:strCache>
                  </c:strRef>
                </c:cat>
                <c:val>
                  <c:numRef>
                    <c:extLst>
                      <c:ext uri="{02D57815-91ED-43cb-92C2-25804820EDAC}">
                        <c15:formulaRef>
                          <c15:sqref>'WA Figure 2.1'!$E$2:$F$2</c15:sqref>
                        </c15:formulaRef>
                      </c:ext>
                    </c:extLst>
                    <c:numCache>
                      <c:formatCode>"$"#,##0_);[Red]\("$"#,##0\)</c:formatCode>
                      <c:ptCount val="2"/>
                      <c:pt idx="0">
                        <c:v>614</c:v>
                      </c:pt>
                      <c:pt idx="1">
                        <c:v>999</c:v>
                      </c:pt>
                    </c:numCache>
                  </c:numRef>
                </c:val>
              </c15:ser>
            </c15:filteredPieSeries>
          </c:ext>
        </c:extLst>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7245221109763369"/>
          <c:y val="0.49063961958634716"/>
          <c:w val="0.2754778684942964"/>
          <c:h val="0.3411563652210321"/>
        </c:manualLayout>
      </c:layout>
      <c:overlay val="1"/>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spc="0" baseline="0">
                <a:solidFill>
                  <a:schemeClr val="tx2"/>
                </a:solidFill>
                <a:latin typeface="Arial" panose="020B0604020202020204" pitchFamily="34" charset="0"/>
                <a:ea typeface="+mn-ea"/>
                <a:cs typeface="Arial" panose="020B0604020202020204" pitchFamily="34" charset="0"/>
              </a:defRPr>
            </a:pPr>
            <a:r>
              <a:rPr lang="en-US" sz="1800">
                <a:solidFill>
                  <a:schemeClr val="tx2"/>
                </a:solidFill>
                <a:latin typeface="Arial" panose="020B0604020202020204" pitchFamily="34" charset="0"/>
                <a:cs typeface="Arial" panose="020B0604020202020204" pitchFamily="34" charset="0"/>
              </a:rPr>
              <a:t>United States</a:t>
            </a: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pieChart>
        <c:varyColors val="1"/>
        <c:ser>
          <c:idx val="0"/>
          <c:order val="0"/>
          <c:dPt>
            <c:idx val="0"/>
            <c:bubble3D val="0"/>
            <c:spPr>
              <a:solidFill>
                <a:srgbClr val="4BACC6">
                  <a:lumMod val="50000"/>
                </a:srgbClr>
              </a:solidFill>
              <a:ln w="19050">
                <a:solidFill>
                  <a:schemeClr val="lt1"/>
                </a:solidFill>
              </a:ln>
              <a:effectLst/>
            </c:spPr>
          </c:dPt>
          <c:dPt>
            <c:idx val="1"/>
            <c:bubble3D val="0"/>
            <c:spPr>
              <a:solidFill>
                <a:srgbClr val="4BACC6">
                  <a:lumMod val="40000"/>
                  <a:lumOff val="60000"/>
                </a:srgb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0"/>
              <c:layout>
                <c:manualLayout>
                  <c:x val="2.0988236606157486E-2"/>
                  <c:y val="6.801688448737722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2.6285365111302663E-2"/>
                  <c:y val="-5.9063662891297566E-2"/>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extLst>
          </c:dLbls>
          <c:cat>
            <c:strRef>
              <c:f>'U.S. Figure 2.2'!$E$3:$F$3</c:f>
              <c:strCache>
                <c:ptCount val="2"/>
                <c:pt idx="0">
                  <c:v>Nursing Homes</c:v>
                </c:pt>
                <c:pt idx="1">
                  <c:v>HCBS</c:v>
                </c:pt>
              </c:strCache>
            </c:strRef>
          </c:cat>
          <c:val>
            <c:numRef>
              <c:f>'U.S. Figure 2.2'!$E$4:$F$4</c:f>
              <c:numCache>
                <c:formatCode>0%</c:formatCode>
                <c:ptCount val="2"/>
                <c:pt idx="0">
                  <c:v>0.59843786928972575</c:v>
                </c:pt>
                <c:pt idx="1">
                  <c:v>0.4015621307102743</c:v>
                </c:pt>
              </c:numCache>
            </c:numRef>
          </c:val>
        </c:ser>
        <c:dLbls>
          <c:dLblPos val="bestFit"/>
          <c:showLegendKey val="0"/>
          <c:showVal val="1"/>
          <c:showCatName val="0"/>
          <c:showSerName val="0"/>
          <c:showPercent val="0"/>
          <c:showBubbleSize val="0"/>
          <c:showLeaderLines val="0"/>
        </c:dLbls>
        <c:firstSliceAng val="0"/>
        <c:extLst/>
      </c:pieChart>
      <c:spPr>
        <a:noFill/>
        <a:ln>
          <a:noFill/>
        </a:ln>
        <a:effectLst/>
      </c:spPr>
    </c:plotArea>
    <c:legend>
      <c:legendPos val="r"/>
      <c:layout>
        <c:manualLayout>
          <c:xMode val="edge"/>
          <c:yMode val="edge"/>
          <c:x val="0.69871492531418233"/>
          <c:y val="0.4852551258005392"/>
          <c:w val="0.28358073712311482"/>
          <c:h val="0.2100922409115572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DBD54-77D1-4B47-950D-C98F9FBDD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9237</Words>
  <Characters>52655</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61769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Navigant</dc:creator>
  <cp:keywords/>
  <dc:description/>
  <cp:lastModifiedBy>Pashley, Elizabeth (DSHS/ALTSA/MSD)</cp:lastModifiedBy>
  <cp:revision>3</cp:revision>
  <cp:lastPrinted>2017-02-01T17:43:00Z</cp:lastPrinted>
  <dcterms:created xsi:type="dcterms:W3CDTF">2017-04-21T21:49:00Z</dcterms:created>
  <dcterms:modified xsi:type="dcterms:W3CDTF">2017-04-21T21:56:00Z</dcterms:modified>
</cp:coreProperties>
</file>