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DCF97" w14:textId="77777777" w:rsidR="007002EE" w:rsidRDefault="007002EE"/>
    <w:p w14:paraId="0A385F43" w14:textId="77777777" w:rsidR="00C51EC1" w:rsidRDefault="00C51EC1"/>
    <w:p w14:paraId="3859DF26" w14:textId="77777777" w:rsidR="00C51EC1" w:rsidRDefault="00C51EC1"/>
    <w:p w14:paraId="4F88CA91" w14:textId="77777777" w:rsidR="007002EE" w:rsidRDefault="007002EE"/>
    <w:p w14:paraId="6822134A" w14:textId="77777777" w:rsidR="00B41E80" w:rsidRDefault="00B41E80" w:rsidP="00B41E80">
      <w:pPr>
        <w:pStyle w:val="Heading1"/>
        <w:jc w:val="center"/>
        <w:rPr>
          <w:sz w:val="56"/>
          <w:szCs w:val="56"/>
        </w:rPr>
      </w:pPr>
    </w:p>
    <w:p w14:paraId="73BA862E" w14:textId="418B2EDF" w:rsidR="00F76B8A" w:rsidRDefault="00061B12" w:rsidP="00F76B8A">
      <w:pPr>
        <w:pStyle w:val="Heading1"/>
        <w:jc w:val="center"/>
        <w:rPr>
          <w:sz w:val="56"/>
          <w:szCs w:val="56"/>
        </w:rPr>
      </w:pPr>
      <w:r>
        <w:rPr>
          <w:sz w:val="56"/>
          <w:szCs w:val="56"/>
        </w:rPr>
        <w:t>TRADITIONAL IDRs</w:t>
      </w:r>
    </w:p>
    <w:p w14:paraId="2F0044E4" w14:textId="6C4CF2C8" w:rsidR="00AF3E8A" w:rsidRDefault="00AF3E8A" w:rsidP="005E25F1">
      <w:pPr>
        <w:jc w:val="center"/>
      </w:pPr>
      <w:r>
        <w:t>Assisted Living Facilities</w:t>
      </w:r>
    </w:p>
    <w:p w14:paraId="310EF3EB" w14:textId="77777777" w:rsidR="00222FE3" w:rsidRDefault="00AF3E8A" w:rsidP="00222FE3">
      <w:pPr>
        <w:jc w:val="center"/>
      </w:pPr>
      <w:r>
        <w:t>Certified</w:t>
      </w:r>
      <w:r w:rsidR="00973798">
        <w:t xml:space="preserve"> Community Residential </w:t>
      </w:r>
      <w:r w:rsidR="00631121">
        <w:t>Services and Supports</w:t>
      </w:r>
      <w:r w:rsidR="00222FE3" w:rsidRPr="00222FE3">
        <w:t xml:space="preserve"> </w:t>
      </w:r>
    </w:p>
    <w:p w14:paraId="02776815" w14:textId="27D4FD87" w:rsidR="00222FE3" w:rsidRDefault="00222FE3" w:rsidP="00222FE3">
      <w:pPr>
        <w:jc w:val="center"/>
      </w:pPr>
      <w:r>
        <w:t>Enhanced Service Facilities</w:t>
      </w:r>
    </w:p>
    <w:p w14:paraId="346A1B53" w14:textId="29D3F2A2" w:rsidR="00631121" w:rsidRPr="005E25F1" w:rsidRDefault="00631121" w:rsidP="005E25F1">
      <w:pPr>
        <w:jc w:val="center"/>
      </w:pPr>
      <w:r>
        <w:t>Intermediate Care Facilities for Individuals with Intellectual Disabilities</w:t>
      </w:r>
    </w:p>
    <w:p w14:paraId="4DED5415" w14:textId="77777777" w:rsidR="00B41E80" w:rsidRDefault="00B41E80" w:rsidP="00B41E80">
      <w:pPr>
        <w:jc w:val="center"/>
        <w:rPr>
          <w:sz w:val="56"/>
          <w:szCs w:val="56"/>
        </w:rPr>
      </w:pPr>
    </w:p>
    <w:p w14:paraId="29E41D4F" w14:textId="77777777" w:rsidR="00B41E80" w:rsidRDefault="00B41E80" w:rsidP="00B41E80">
      <w:pPr>
        <w:jc w:val="center"/>
        <w:rPr>
          <w:sz w:val="56"/>
          <w:szCs w:val="56"/>
        </w:rPr>
      </w:pPr>
    </w:p>
    <w:p w14:paraId="0AFFD45D" w14:textId="77777777" w:rsidR="00B41E80" w:rsidRDefault="00B41E80" w:rsidP="00B41E80">
      <w:pPr>
        <w:jc w:val="center"/>
        <w:rPr>
          <w:sz w:val="56"/>
          <w:szCs w:val="56"/>
        </w:rPr>
      </w:pPr>
    </w:p>
    <w:p w14:paraId="7B09EA22" w14:textId="294818D4" w:rsidR="00B41E80" w:rsidRPr="00B41E80" w:rsidRDefault="00B41E80" w:rsidP="00B41E80">
      <w:pPr>
        <w:jc w:val="center"/>
        <w:rPr>
          <w:sz w:val="56"/>
          <w:szCs w:val="56"/>
        </w:rPr>
      </w:pPr>
      <w:r w:rsidRPr="00B41E80">
        <w:rPr>
          <w:sz w:val="56"/>
          <w:szCs w:val="56"/>
        </w:rPr>
        <w:t>Informal Dispute Resolution</w:t>
      </w:r>
    </w:p>
    <w:p w14:paraId="08B3DF0E" w14:textId="1ACC7A94" w:rsidR="00B41E80" w:rsidRPr="00B41E80" w:rsidRDefault="00B41E80" w:rsidP="00B41E80">
      <w:pPr>
        <w:jc w:val="center"/>
        <w:rPr>
          <w:sz w:val="56"/>
          <w:szCs w:val="56"/>
        </w:rPr>
      </w:pPr>
      <w:r w:rsidRPr="00B41E80">
        <w:rPr>
          <w:sz w:val="56"/>
          <w:szCs w:val="56"/>
        </w:rPr>
        <w:t>(RCS)</w:t>
      </w:r>
    </w:p>
    <w:p w14:paraId="2D8BA341" w14:textId="2C850A8D" w:rsidR="00B41E80" w:rsidRPr="00B41E80" w:rsidRDefault="00B41E80" w:rsidP="00B41E80">
      <w:pPr>
        <w:jc w:val="center"/>
        <w:rPr>
          <w:sz w:val="56"/>
          <w:szCs w:val="56"/>
        </w:rPr>
      </w:pPr>
      <w:r w:rsidRPr="00B41E80">
        <w:rPr>
          <w:sz w:val="56"/>
          <w:szCs w:val="56"/>
        </w:rPr>
        <w:t>Guidelines</w:t>
      </w:r>
    </w:p>
    <w:p w14:paraId="1D2ACD5E" w14:textId="77777777" w:rsidR="00B41E80" w:rsidRDefault="00B41E80" w:rsidP="00B41E80">
      <w:pPr>
        <w:jc w:val="center"/>
        <w:rPr>
          <w:sz w:val="56"/>
          <w:szCs w:val="56"/>
        </w:rPr>
      </w:pPr>
    </w:p>
    <w:p w14:paraId="60EEC2B1" w14:textId="77777777" w:rsidR="00B41E80" w:rsidRDefault="00B41E80" w:rsidP="00B41E80">
      <w:pPr>
        <w:jc w:val="center"/>
        <w:rPr>
          <w:sz w:val="56"/>
          <w:szCs w:val="56"/>
        </w:rPr>
      </w:pPr>
    </w:p>
    <w:p w14:paraId="71AC0D97" w14:textId="77777777" w:rsidR="00B41E80" w:rsidRDefault="00B41E80" w:rsidP="00B41E80">
      <w:pPr>
        <w:jc w:val="center"/>
        <w:rPr>
          <w:sz w:val="56"/>
          <w:szCs w:val="56"/>
        </w:rPr>
      </w:pPr>
    </w:p>
    <w:p w14:paraId="1FC8F6CE" w14:textId="5C19BEB2" w:rsidR="00B41E80" w:rsidRPr="00B41E80" w:rsidRDefault="00B41E80" w:rsidP="00B41E80">
      <w:pPr>
        <w:jc w:val="center"/>
        <w:rPr>
          <w:sz w:val="56"/>
          <w:szCs w:val="56"/>
        </w:rPr>
      </w:pPr>
      <w:r w:rsidRPr="00B41E80">
        <w:rPr>
          <w:sz w:val="56"/>
          <w:szCs w:val="56"/>
        </w:rPr>
        <w:t>202</w:t>
      </w:r>
      <w:r w:rsidR="00684CB7">
        <w:rPr>
          <w:sz w:val="56"/>
          <w:szCs w:val="56"/>
        </w:rPr>
        <w:t>5</w:t>
      </w:r>
    </w:p>
    <w:p w14:paraId="1F5561DA" w14:textId="77777777" w:rsidR="00C51EC1" w:rsidRDefault="00C51EC1" w:rsidP="00C51EC1"/>
    <w:p w14:paraId="6456FC2F" w14:textId="44194646" w:rsidR="007002EE" w:rsidRDefault="007002EE"/>
    <w:p w14:paraId="736485DE" w14:textId="77777777" w:rsidR="007002EE" w:rsidRDefault="007002EE"/>
    <w:p w14:paraId="2732C3D0" w14:textId="77777777" w:rsidR="007002EE" w:rsidRDefault="007002EE"/>
    <w:p w14:paraId="3FD296CA" w14:textId="77777777" w:rsidR="007002EE" w:rsidRDefault="007002EE"/>
    <w:p w14:paraId="5FB18267" w14:textId="77777777" w:rsidR="007002EE" w:rsidRDefault="007002EE"/>
    <w:p w14:paraId="1921214E" w14:textId="77777777" w:rsidR="00B41E80" w:rsidRPr="003A435F" w:rsidRDefault="00B41E80" w:rsidP="00B41E80">
      <w:pPr>
        <w:rPr>
          <w:b/>
          <w:i/>
          <w:sz w:val="32"/>
          <w:szCs w:val="32"/>
        </w:rPr>
      </w:pPr>
      <w:r>
        <w:rPr>
          <w:b/>
          <w:i/>
          <w:sz w:val="32"/>
          <w:szCs w:val="32"/>
        </w:rPr>
        <w:t>Table of Contents</w:t>
      </w:r>
    </w:p>
    <w:p w14:paraId="5861446A" w14:textId="77777777" w:rsidR="00B41E80" w:rsidRPr="005E25F1" w:rsidRDefault="00B41E80" w:rsidP="00B41E80">
      <w:pPr>
        <w:spacing w:line="360" w:lineRule="auto"/>
        <w:rPr>
          <w:b/>
          <w:i/>
        </w:rPr>
      </w:pPr>
    </w:p>
    <w:p w14:paraId="61BC83BA" w14:textId="2304001B" w:rsidR="0055540F" w:rsidRDefault="0055540F" w:rsidP="00B41E80">
      <w:pPr>
        <w:spacing w:line="360" w:lineRule="auto"/>
        <w:rPr>
          <w:b/>
          <w:i/>
          <w:sz w:val="28"/>
          <w:szCs w:val="28"/>
        </w:rPr>
      </w:pPr>
      <w:r>
        <w:rPr>
          <w:b/>
          <w:i/>
          <w:sz w:val="28"/>
          <w:szCs w:val="28"/>
        </w:rPr>
        <w:t>Definitions</w:t>
      </w:r>
    </w:p>
    <w:p w14:paraId="27077977" w14:textId="14172E8B" w:rsidR="00B41E80" w:rsidRPr="006A78CA" w:rsidRDefault="00B41E80" w:rsidP="00B41E80">
      <w:pPr>
        <w:spacing w:line="360" w:lineRule="auto"/>
        <w:rPr>
          <w:b/>
          <w:i/>
          <w:sz w:val="28"/>
          <w:szCs w:val="28"/>
        </w:rPr>
      </w:pPr>
      <w:r w:rsidRPr="006A78CA">
        <w:rPr>
          <w:b/>
          <w:i/>
          <w:sz w:val="28"/>
          <w:szCs w:val="28"/>
        </w:rPr>
        <w:t>Section 1:</w:t>
      </w:r>
    </w:p>
    <w:p w14:paraId="64CB92AF" w14:textId="77777777" w:rsidR="00B41E80" w:rsidRPr="003A435F" w:rsidRDefault="00B41E80" w:rsidP="00B41E80">
      <w:pPr>
        <w:spacing w:line="360" w:lineRule="auto"/>
        <w:ind w:firstLine="720"/>
        <w:rPr>
          <w:b/>
          <w:i/>
        </w:rPr>
      </w:pPr>
      <w:r w:rsidRPr="003A435F">
        <w:rPr>
          <w:b/>
          <w:i/>
        </w:rPr>
        <w:t>Preface</w:t>
      </w:r>
    </w:p>
    <w:p w14:paraId="70C73636" w14:textId="77777777" w:rsidR="00B41E80" w:rsidRPr="003A435F" w:rsidRDefault="00B41E80" w:rsidP="00B41E80">
      <w:pPr>
        <w:spacing w:line="360" w:lineRule="auto"/>
        <w:ind w:firstLine="720"/>
        <w:rPr>
          <w:b/>
          <w:i/>
        </w:rPr>
      </w:pPr>
      <w:r>
        <w:rPr>
          <w:b/>
          <w:i/>
        </w:rPr>
        <w:t>ALTSA Vision and Mission</w:t>
      </w:r>
    </w:p>
    <w:p w14:paraId="2577B260" w14:textId="77777777" w:rsidR="00B41E80" w:rsidRPr="003A435F" w:rsidRDefault="00B41E80" w:rsidP="00B41E80">
      <w:pPr>
        <w:spacing w:line="360" w:lineRule="auto"/>
        <w:ind w:firstLine="720"/>
        <w:rPr>
          <w:b/>
          <w:i/>
        </w:rPr>
      </w:pPr>
      <w:r>
        <w:rPr>
          <w:b/>
          <w:i/>
        </w:rPr>
        <w:t>Residential Care Services</w:t>
      </w:r>
    </w:p>
    <w:p w14:paraId="7C02D0FB" w14:textId="77777777" w:rsidR="00B41E80" w:rsidRPr="003A435F" w:rsidRDefault="00B41E80" w:rsidP="00B41E80">
      <w:pPr>
        <w:spacing w:line="360" w:lineRule="auto"/>
        <w:ind w:firstLine="720"/>
        <w:rPr>
          <w:b/>
          <w:i/>
        </w:rPr>
      </w:pPr>
      <w:r>
        <w:rPr>
          <w:b/>
          <w:i/>
        </w:rPr>
        <w:t>Guiding Principles</w:t>
      </w:r>
    </w:p>
    <w:p w14:paraId="131831A9" w14:textId="77777777" w:rsidR="00B41E80" w:rsidRPr="003A435F" w:rsidRDefault="00B41E80" w:rsidP="00B41E80">
      <w:pPr>
        <w:spacing w:line="360" w:lineRule="auto"/>
        <w:ind w:firstLine="720"/>
        <w:rPr>
          <w:b/>
          <w:i/>
        </w:rPr>
      </w:pPr>
      <w:r>
        <w:rPr>
          <w:b/>
          <w:i/>
        </w:rPr>
        <w:t>Code of Ethics</w:t>
      </w:r>
    </w:p>
    <w:p w14:paraId="2235D944" w14:textId="268A8002" w:rsidR="00B41E80" w:rsidRDefault="00B41E80" w:rsidP="00B41E80">
      <w:pPr>
        <w:spacing w:line="360" w:lineRule="auto"/>
        <w:rPr>
          <w:b/>
          <w:i/>
        </w:rPr>
      </w:pPr>
      <w:r w:rsidRPr="006A78CA">
        <w:rPr>
          <w:b/>
          <w:i/>
          <w:sz w:val="28"/>
          <w:szCs w:val="28"/>
        </w:rPr>
        <w:t xml:space="preserve">Section 2: </w:t>
      </w:r>
      <w:r>
        <w:rPr>
          <w:b/>
          <w:i/>
        </w:rPr>
        <w:t>Authority</w:t>
      </w:r>
      <w:r>
        <w:rPr>
          <w:b/>
          <w:i/>
        </w:rPr>
        <w:tab/>
      </w:r>
    </w:p>
    <w:p w14:paraId="06DCDA60" w14:textId="243FCC22" w:rsidR="00B41E80" w:rsidRDefault="00B41E80" w:rsidP="00493048">
      <w:pPr>
        <w:spacing w:line="360" w:lineRule="auto"/>
        <w:rPr>
          <w:b/>
          <w:i/>
        </w:rPr>
      </w:pPr>
      <w:r>
        <w:rPr>
          <w:b/>
          <w:i/>
        </w:rPr>
        <w:tab/>
        <w:t>RCW 70.128.167</w:t>
      </w:r>
    </w:p>
    <w:p w14:paraId="6458A10A" w14:textId="6B5C8BEB" w:rsidR="006335E9" w:rsidRPr="006335E9" w:rsidRDefault="00BC23EE" w:rsidP="005E25F1">
      <w:pPr>
        <w:spacing w:line="360" w:lineRule="auto"/>
        <w:ind w:firstLine="720"/>
        <w:rPr>
          <w:b/>
          <w:i/>
          <w:iCs/>
        </w:rPr>
      </w:pPr>
      <w:r>
        <w:rPr>
          <w:b/>
          <w:i/>
          <w:iCs/>
        </w:rPr>
        <w:t>W</w:t>
      </w:r>
      <w:r w:rsidR="006335E9" w:rsidRPr="006335E9">
        <w:rPr>
          <w:b/>
          <w:i/>
          <w:iCs/>
        </w:rPr>
        <w:t xml:space="preserve">AC 388-78A-3210 </w:t>
      </w:r>
    </w:p>
    <w:p w14:paraId="6BC1A4A8" w14:textId="0D7C8EE6" w:rsidR="006335E9" w:rsidRDefault="006335E9" w:rsidP="006335E9">
      <w:pPr>
        <w:spacing w:line="360" w:lineRule="auto"/>
        <w:ind w:firstLine="720"/>
        <w:rPr>
          <w:b/>
          <w:i/>
          <w:iCs/>
        </w:rPr>
      </w:pPr>
      <w:r w:rsidRPr="006335E9">
        <w:rPr>
          <w:b/>
          <w:i/>
          <w:iCs/>
        </w:rPr>
        <w:t xml:space="preserve">WAC 388-101-4240 </w:t>
      </w:r>
    </w:p>
    <w:p w14:paraId="0DEF3079" w14:textId="77777777" w:rsidR="003B334E" w:rsidRPr="003B334E" w:rsidRDefault="003B334E" w:rsidP="003B334E">
      <w:pPr>
        <w:spacing w:line="360" w:lineRule="auto"/>
        <w:ind w:firstLine="720"/>
        <w:rPr>
          <w:b/>
          <w:i/>
          <w:iCs/>
        </w:rPr>
      </w:pPr>
      <w:r w:rsidRPr="003B334E">
        <w:rPr>
          <w:b/>
          <w:i/>
          <w:iCs/>
        </w:rPr>
        <w:t>WAC 388-97-4420</w:t>
      </w:r>
    </w:p>
    <w:p w14:paraId="7774D1F8" w14:textId="26FEFE01" w:rsidR="006335E9" w:rsidRPr="005653DF" w:rsidRDefault="005653DF" w:rsidP="005E25F1">
      <w:pPr>
        <w:spacing w:line="360" w:lineRule="auto"/>
        <w:ind w:left="720"/>
        <w:rPr>
          <w:b/>
          <w:i/>
          <w:iCs/>
        </w:rPr>
      </w:pPr>
      <w:r w:rsidRPr="005653DF">
        <w:rPr>
          <w:b/>
          <w:i/>
          <w:iCs/>
        </w:rPr>
        <w:t>42 CFR 488.331</w:t>
      </w:r>
    </w:p>
    <w:p w14:paraId="33F55483" w14:textId="5549776E" w:rsidR="008062E9" w:rsidRPr="005E25F1" w:rsidRDefault="008062E9" w:rsidP="008062E9">
      <w:pPr>
        <w:spacing w:line="360" w:lineRule="auto"/>
        <w:ind w:left="720"/>
        <w:rPr>
          <w:b/>
          <w:iCs/>
        </w:rPr>
      </w:pPr>
      <w:r w:rsidRPr="005E25F1">
        <w:rPr>
          <w:b/>
          <w:iCs/>
        </w:rPr>
        <w:t xml:space="preserve">State Operations Manual </w:t>
      </w:r>
      <w:r w:rsidR="005653DF" w:rsidRPr="005E25F1">
        <w:rPr>
          <w:b/>
          <w:iCs/>
        </w:rPr>
        <w:t xml:space="preserve">(SOM) </w:t>
      </w:r>
      <w:r w:rsidRPr="005E25F1">
        <w:rPr>
          <w:b/>
          <w:iCs/>
        </w:rPr>
        <w:t xml:space="preserve">Appendix </w:t>
      </w:r>
      <w:r w:rsidR="00592768" w:rsidRPr="005E25F1">
        <w:rPr>
          <w:b/>
          <w:iCs/>
        </w:rPr>
        <w:t>J</w:t>
      </w:r>
      <w:r w:rsidRPr="005E25F1">
        <w:rPr>
          <w:b/>
          <w:iCs/>
        </w:rPr>
        <w:t xml:space="preserve"> - Guidance to Surveyors</w:t>
      </w:r>
      <w:r w:rsidR="00592768" w:rsidRPr="005E25F1">
        <w:rPr>
          <w:b/>
          <w:iCs/>
        </w:rPr>
        <w:t>: Intermediate Care Facilities for Individuals with Intellectual Disabilities</w:t>
      </w:r>
    </w:p>
    <w:p w14:paraId="2C772641" w14:textId="77777777" w:rsidR="00863844" w:rsidRDefault="00863844" w:rsidP="007A3DE0">
      <w:pPr>
        <w:spacing w:line="360" w:lineRule="auto"/>
        <w:ind w:left="720"/>
        <w:rPr>
          <w:rFonts w:cs="Calibri"/>
          <w:b/>
          <w:bCs/>
          <w:i/>
        </w:rPr>
      </w:pPr>
      <w:r w:rsidRPr="005E25F1">
        <w:rPr>
          <w:rFonts w:cs="Calibri"/>
          <w:b/>
          <w:iCs/>
        </w:rPr>
        <w:t>State Operations Manual (SOM) Chapter 3 – Additional Program Activities</w:t>
      </w:r>
      <w:r w:rsidRPr="00863844">
        <w:rPr>
          <w:rFonts w:cs="Calibri"/>
          <w:b/>
          <w:bCs/>
          <w:i/>
        </w:rPr>
        <w:t xml:space="preserve"> </w:t>
      </w:r>
    </w:p>
    <w:p w14:paraId="3785C44F" w14:textId="35698745" w:rsidR="007A3DE0" w:rsidRPr="0044697A" w:rsidRDefault="007A3DE0" w:rsidP="007A3DE0">
      <w:pPr>
        <w:spacing w:line="360" w:lineRule="auto"/>
        <w:ind w:left="720"/>
        <w:rPr>
          <w:b/>
          <w:i/>
        </w:rPr>
      </w:pPr>
      <w:r w:rsidRPr="00863844">
        <w:rPr>
          <w:rFonts w:cs="Calibri"/>
          <w:b/>
          <w:bCs/>
          <w:i/>
        </w:rPr>
        <w:t xml:space="preserve">RCW </w:t>
      </w:r>
      <w:r w:rsidRPr="0044697A">
        <w:rPr>
          <w:b/>
          <w:bCs/>
          <w:i/>
        </w:rPr>
        <w:t xml:space="preserve">74.34 </w:t>
      </w:r>
      <w:r w:rsidRPr="0044697A">
        <w:rPr>
          <w:b/>
          <w:i/>
        </w:rPr>
        <w:t>– Abuse of Vulnerable Adults</w:t>
      </w:r>
    </w:p>
    <w:p w14:paraId="21C8D062" w14:textId="77777777" w:rsidR="007A3DE0" w:rsidRPr="0044697A" w:rsidRDefault="007A3DE0" w:rsidP="007A3DE0">
      <w:pPr>
        <w:spacing w:line="360" w:lineRule="auto"/>
        <w:ind w:left="720"/>
        <w:rPr>
          <w:b/>
          <w:i/>
        </w:rPr>
      </w:pPr>
      <w:r w:rsidRPr="0044697A">
        <w:rPr>
          <w:b/>
          <w:bCs/>
          <w:i/>
        </w:rPr>
        <w:t xml:space="preserve">WAC 388-112A </w:t>
      </w:r>
      <w:r w:rsidRPr="0044697A">
        <w:rPr>
          <w:b/>
          <w:i/>
        </w:rPr>
        <w:t>– Residential Long – Term Care Services Training</w:t>
      </w:r>
    </w:p>
    <w:p w14:paraId="2FEF1698" w14:textId="77777777" w:rsidR="007A3DE0" w:rsidRPr="0044697A" w:rsidRDefault="007A3DE0" w:rsidP="007A3DE0">
      <w:pPr>
        <w:spacing w:line="360" w:lineRule="auto"/>
        <w:ind w:left="720"/>
        <w:rPr>
          <w:b/>
          <w:i/>
        </w:rPr>
      </w:pPr>
      <w:r w:rsidRPr="0044697A">
        <w:rPr>
          <w:b/>
          <w:bCs/>
          <w:i/>
        </w:rPr>
        <w:t xml:space="preserve">WAC 388-113 </w:t>
      </w:r>
      <w:r w:rsidRPr="0044697A">
        <w:rPr>
          <w:b/>
          <w:i/>
        </w:rPr>
        <w:t>– Disqualifying Crimes and Negative Actions</w:t>
      </w:r>
    </w:p>
    <w:p w14:paraId="354F6FB8" w14:textId="757AFD6E" w:rsidR="00B41E80" w:rsidRPr="005E25F1" w:rsidRDefault="00DE2075" w:rsidP="00DE2075">
      <w:pPr>
        <w:spacing w:line="360" w:lineRule="auto"/>
        <w:ind w:firstLine="720"/>
        <w:rPr>
          <w:b/>
          <w:i/>
          <w:iCs/>
        </w:rPr>
      </w:pPr>
      <w:r w:rsidRPr="005E25F1">
        <w:rPr>
          <w:b/>
          <w:i/>
          <w:iCs/>
        </w:rPr>
        <w:t>ALF Guidebook</w:t>
      </w:r>
    </w:p>
    <w:p w14:paraId="1104258F" w14:textId="645BEAE6" w:rsidR="00B41E80" w:rsidRDefault="00B41E80" w:rsidP="00B41E80">
      <w:pPr>
        <w:spacing w:line="360" w:lineRule="auto"/>
        <w:rPr>
          <w:b/>
          <w:i/>
        </w:rPr>
      </w:pPr>
      <w:r w:rsidRPr="006A78CA">
        <w:rPr>
          <w:b/>
          <w:i/>
          <w:sz w:val="28"/>
          <w:szCs w:val="28"/>
        </w:rPr>
        <w:t xml:space="preserve">Section 3: </w:t>
      </w:r>
      <w:r>
        <w:rPr>
          <w:b/>
          <w:i/>
        </w:rPr>
        <w:t>Policies and Procedures</w:t>
      </w:r>
    </w:p>
    <w:p w14:paraId="23EAF425" w14:textId="186F5962" w:rsidR="00B41E80" w:rsidRDefault="00B41E80" w:rsidP="00B41E80">
      <w:pPr>
        <w:spacing w:line="360" w:lineRule="auto"/>
        <w:rPr>
          <w:b/>
          <w:i/>
        </w:rPr>
      </w:pPr>
      <w:r>
        <w:rPr>
          <w:b/>
          <w:i/>
        </w:rPr>
        <w:tab/>
        <w:t>Provider Notification of IDR Rights</w:t>
      </w:r>
    </w:p>
    <w:p w14:paraId="07A5022A" w14:textId="77777777" w:rsidR="00B41E80" w:rsidRDefault="00B41E80" w:rsidP="00B41E80">
      <w:pPr>
        <w:spacing w:line="360" w:lineRule="auto"/>
        <w:rPr>
          <w:b/>
          <w:i/>
        </w:rPr>
      </w:pPr>
      <w:r>
        <w:rPr>
          <w:b/>
          <w:i/>
        </w:rPr>
        <w:tab/>
        <w:t>Provider IDR Request Procedure</w:t>
      </w:r>
    </w:p>
    <w:p w14:paraId="6050CD1D" w14:textId="77777777" w:rsidR="00B41E80" w:rsidRDefault="00B41E80" w:rsidP="00B41E80">
      <w:pPr>
        <w:spacing w:line="360" w:lineRule="auto"/>
        <w:rPr>
          <w:b/>
          <w:i/>
        </w:rPr>
      </w:pPr>
      <w:r>
        <w:rPr>
          <w:b/>
          <w:i/>
        </w:rPr>
        <w:tab/>
        <w:t>Receipt/Scheduling - IDR Requests</w:t>
      </w:r>
    </w:p>
    <w:p w14:paraId="16D9B2CB" w14:textId="77777777" w:rsidR="00B41E80" w:rsidRDefault="00B41E80" w:rsidP="00B41E80">
      <w:pPr>
        <w:spacing w:line="360" w:lineRule="auto"/>
        <w:rPr>
          <w:b/>
          <w:i/>
        </w:rPr>
      </w:pPr>
      <w:r>
        <w:rPr>
          <w:b/>
          <w:i/>
        </w:rPr>
        <w:tab/>
        <w:t>Department Evidence</w:t>
      </w:r>
    </w:p>
    <w:p w14:paraId="0830219B" w14:textId="7C2CF001" w:rsidR="00B41E80" w:rsidRDefault="00B41E80" w:rsidP="00B41E80">
      <w:pPr>
        <w:spacing w:line="360" w:lineRule="auto"/>
        <w:rPr>
          <w:b/>
          <w:i/>
        </w:rPr>
      </w:pPr>
      <w:r>
        <w:rPr>
          <w:b/>
          <w:i/>
        </w:rPr>
        <w:tab/>
      </w:r>
      <w:r w:rsidR="0095103B">
        <w:rPr>
          <w:b/>
          <w:i/>
        </w:rPr>
        <w:t xml:space="preserve">Virtual </w:t>
      </w:r>
      <w:r>
        <w:rPr>
          <w:b/>
          <w:i/>
        </w:rPr>
        <w:t>In Person</w:t>
      </w:r>
      <w:r w:rsidR="00AB7A62">
        <w:rPr>
          <w:b/>
          <w:i/>
        </w:rPr>
        <w:t xml:space="preserve"> </w:t>
      </w:r>
      <w:r>
        <w:rPr>
          <w:b/>
          <w:i/>
        </w:rPr>
        <w:t>and Telephone IDR Reviews</w:t>
      </w:r>
    </w:p>
    <w:p w14:paraId="3985FC9E" w14:textId="506BD461" w:rsidR="00B41E80" w:rsidRDefault="00B41E80" w:rsidP="00B41E80">
      <w:pPr>
        <w:spacing w:line="360" w:lineRule="auto"/>
        <w:rPr>
          <w:b/>
          <w:i/>
        </w:rPr>
      </w:pPr>
      <w:r>
        <w:rPr>
          <w:b/>
          <w:i/>
        </w:rPr>
        <w:lastRenderedPageBreak/>
        <w:tab/>
      </w:r>
      <w:r w:rsidR="00C17E08">
        <w:rPr>
          <w:b/>
          <w:i/>
        </w:rPr>
        <w:t>Documentation</w:t>
      </w:r>
      <w:r>
        <w:rPr>
          <w:b/>
          <w:i/>
        </w:rPr>
        <w:t xml:space="preserve"> IDR Reviews</w:t>
      </w:r>
    </w:p>
    <w:p w14:paraId="643913E9" w14:textId="77777777" w:rsidR="00B41E80" w:rsidRDefault="00B41E80" w:rsidP="00B41E80">
      <w:pPr>
        <w:spacing w:line="360" w:lineRule="auto"/>
        <w:rPr>
          <w:b/>
          <w:i/>
        </w:rPr>
      </w:pPr>
      <w:r>
        <w:rPr>
          <w:b/>
          <w:i/>
        </w:rPr>
        <w:tab/>
        <w:t>Analysis Considerations</w:t>
      </w:r>
    </w:p>
    <w:p w14:paraId="75FDBF3B" w14:textId="50BE12E6" w:rsidR="007002EE" w:rsidRDefault="00B41E80" w:rsidP="00CF10DC">
      <w:pPr>
        <w:spacing w:line="360" w:lineRule="auto"/>
      </w:pPr>
      <w:r>
        <w:rPr>
          <w:b/>
          <w:i/>
        </w:rPr>
        <w:tab/>
        <w:t>Provider IDR Results Communication</w:t>
      </w:r>
    </w:p>
    <w:p w14:paraId="29C98192" w14:textId="77777777" w:rsidR="007002EE" w:rsidRDefault="007002EE"/>
    <w:p w14:paraId="6FF84EA0" w14:textId="7A092D37" w:rsidR="003C50A8" w:rsidRDefault="003C50A8">
      <w:r>
        <w:br w:type="page"/>
      </w:r>
    </w:p>
    <w:p w14:paraId="4D1894EF" w14:textId="77777777" w:rsidR="007002EE" w:rsidRDefault="007002EE"/>
    <w:p w14:paraId="1E9D26B3" w14:textId="77777777" w:rsidR="007002EE" w:rsidRDefault="007002EE"/>
    <w:p w14:paraId="6FF5D9AF" w14:textId="77777777" w:rsidR="00B41E80" w:rsidRPr="00F54E90" w:rsidRDefault="00B41E80" w:rsidP="00B41E80">
      <w:pPr>
        <w:ind w:left="-270"/>
        <w:rPr>
          <w:b/>
          <w:sz w:val="32"/>
          <w:szCs w:val="32"/>
        </w:rPr>
      </w:pPr>
      <w:r w:rsidRPr="003B67F3">
        <w:rPr>
          <w:b/>
          <w:sz w:val="32"/>
          <w:szCs w:val="32"/>
        </w:rPr>
        <w:t>DEFINITION</w:t>
      </w:r>
      <w:r>
        <w:rPr>
          <w:b/>
          <w:sz w:val="32"/>
          <w:szCs w:val="32"/>
        </w:rPr>
        <w:t>S</w:t>
      </w:r>
    </w:p>
    <w:p w14:paraId="45AD00D7" w14:textId="77777777" w:rsidR="00B41E80" w:rsidRPr="00362A9E" w:rsidRDefault="00B41E80" w:rsidP="00B41E80">
      <w:pPr>
        <w:ind w:left="-270"/>
        <w:rPr>
          <w:bCs/>
        </w:rPr>
      </w:pPr>
      <w:r>
        <w:rPr>
          <w:b/>
        </w:rPr>
        <w:t xml:space="preserve">AA: </w:t>
      </w:r>
      <w:r>
        <w:rPr>
          <w:bCs/>
        </w:rPr>
        <w:t>Administrative Assistant</w:t>
      </w:r>
    </w:p>
    <w:p w14:paraId="19061219" w14:textId="77777777" w:rsidR="00B41E80" w:rsidRDefault="00B41E80" w:rsidP="00B41E80">
      <w:pPr>
        <w:ind w:left="-270"/>
      </w:pPr>
      <w:r w:rsidRPr="007A5BCB">
        <w:rPr>
          <w:b/>
        </w:rPr>
        <w:t>Aging and Long-Term Support Administration (ALTSA)</w:t>
      </w:r>
      <w:r w:rsidRPr="003B67F3">
        <w:t>: ALTSA is an Administration of the Departmen</w:t>
      </w:r>
      <w:r>
        <w:t>t of Social and Health Services</w:t>
      </w:r>
    </w:p>
    <w:p w14:paraId="6CD5A945" w14:textId="77777777" w:rsidR="005C40EE" w:rsidRPr="00C0026C" w:rsidRDefault="005C40EE" w:rsidP="005C40EE">
      <w:pPr>
        <w:ind w:left="-270"/>
      </w:pPr>
      <w:r>
        <w:rPr>
          <w:b/>
          <w:bCs/>
        </w:rPr>
        <w:t xml:space="preserve">Centers for Medicare and Medicaid Services (CMS): </w:t>
      </w:r>
      <w:r>
        <w:t>Federal agency responsible for regulation of Nursing Homes</w:t>
      </w:r>
    </w:p>
    <w:p w14:paraId="5BCBA437" w14:textId="77777777" w:rsidR="005C40EE" w:rsidRPr="00BE56EC" w:rsidRDefault="005C40EE" w:rsidP="005C40EE">
      <w:pPr>
        <w:ind w:left="-270"/>
        <w:rPr>
          <w:bCs/>
        </w:rPr>
      </w:pPr>
      <w:r>
        <w:rPr>
          <w:b/>
        </w:rPr>
        <w:t>Code of Federal Regulations (</w:t>
      </w:r>
      <w:r w:rsidRPr="00BE56EC">
        <w:rPr>
          <w:b/>
        </w:rPr>
        <w:t>CFR</w:t>
      </w:r>
      <w:r>
        <w:rPr>
          <w:b/>
        </w:rPr>
        <w:t>)</w:t>
      </w:r>
      <w:r w:rsidRPr="00BE56EC">
        <w:rPr>
          <w:b/>
        </w:rPr>
        <w:t>:</w:t>
      </w:r>
      <w:r>
        <w:rPr>
          <w:bCs/>
        </w:rPr>
        <w:t xml:space="preserve">  T</w:t>
      </w:r>
      <w:r w:rsidRPr="00BE56EC">
        <w:rPr>
          <w:bCs/>
        </w:rPr>
        <w:t>he codification of the general and permanent rules published in the Federal Register by the departments and agencies of the Federal Government. </w:t>
      </w:r>
    </w:p>
    <w:p w14:paraId="74030227" w14:textId="77777777" w:rsidR="00B41E80" w:rsidRPr="003455D4" w:rsidRDefault="00B41E80" w:rsidP="00B41E80">
      <w:pPr>
        <w:ind w:left="-270"/>
      </w:pPr>
      <w:r>
        <w:rPr>
          <w:b/>
        </w:rPr>
        <w:t xml:space="preserve">Confidential: </w:t>
      </w:r>
      <w:r>
        <w:t xml:space="preserve">Restricting the sharing of information with the exception of involved department staff </w:t>
      </w:r>
    </w:p>
    <w:p w14:paraId="32768F99" w14:textId="77777777" w:rsidR="00B41E80" w:rsidRDefault="00B41E80" w:rsidP="00B41E80">
      <w:pPr>
        <w:ind w:left="-270"/>
      </w:pPr>
      <w:r w:rsidRPr="007A5BCB">
        <w:rPr>
          <w:b/>
        </w:rPr>
        <w:t>Department</w:t>
      </w:r>
      <w:r w:rsidRPr="003B67F3">
        <w:t>:</w:t>
      </w:r>
      <w:r w:rsidRPr="000A543A">
        <w:t xml:space="preserve"> </w:t>
      </w:r>
      <w:r>
        <w:t>ALTSA</w:t>
      </w:r>
    </w:p>
    <w:p w14:paraId="096FBD1F" w14:textId="77777777" w:rsidR="00B41E80" w:rsidRPr="003B67F3" w:rsidRDefault="00B41E80" w:rsidP="00B41E80">
      <w:pPr>
        <w:ind w:left="-270"/>
      </w:pPr>
      <w:r w:rsidRPr="007A5BCB">
        <w:rPr>
          <w:b/>
        </w:rPr>
        <w:t>Department Staff</w:t>
      </w:r>
      <w:r w:rsidRPr="000A543A">
        <w:t xml:space="preserve">: Staff employed by </w:t>
      </w:r>
      <w:r>
        <w:t>ALTSA</w:t>
      </w:r>
    </w:p>
    <w:p w14:paraId="1EB70E41" w14:textId="73325E91" w:rsidR="00B41E80" w:rsidRPr="003B67F3" w:rsidRDefault="00C17E08" w:rsidP="00B41E80">
      <w:pPr>
        <w:tabs>
          <w:tab w:val="left" w:pos="180"/>
        </w:tabs>
        <w:ind w:left="-270"/>
      </w:pPr>
      <w:r>
        <w:rPr>
          <w:b/>
        </w:rPr>
        <w:t>Documentation</w:t>
      </w:r>
      <w:r w:rsidR="00B41E80" w:rsidRPr="007A5BCB">
        <w:rPr>
          <w:b/>
        </w:rPr>
        <w:t xml:space="preserve"> Review</w:t>
      </w:r>
      <w:r w:rsidR="00B41E80" w:rsidRPr="003B67F3">
        <w:t>:</w:t>
      </w:r>
      <w:r w:rsidR="00B41E80" w:rsidRPr="000A543A">
        <w:t xml:space="preserve"> An IDR in which only documents submitted by associated parties are part of the review</w:t>
      </w:r>
    </w:p>
    <w:p w14:paraId="6FAA8BBB" w14:textId="77777777" w:rsidR="00B41E80" w:rsidRPr="003B67F3" w:rsidRDefault="00B41E80" w:rsidP="00B41E80">
      <w:pPr>
        <w:ind w:left="-270"/>
      </w:pPr>
      <w:r w:rsidRPr="007A5BCB">
        <w:rPr>
          <w:b/>
        </w:rPr>
        <w:t>Division Director</w:t>
      </w:r>
      <w:r w:rsidRPr="003B67F3">
        <w:t>:</w:t>
      </w:r>
      <w:r w:rsidRPr="000A543A">
        <w:t xml:space="preserve"> Director of Residential Care Services</w:t>
      </w:r>
    </w:p>
    <w:p w14:paraId="7CBF8701" w14:textId="77777777" w:rsidR="00B41E80" w:rsidRPr="003B67F3" w:rsidRDefault="00B41E80" w:rsidP="00B41E80">
      <w:pPr>
        <w:ind w:left="-270" w:right="-90"/>
      </w:pPr>
      <w:r w:rsidRPr="007A5BCB">
        <w:rPr>
          <w:b/>
        </w:rPr>
        <w:t>Enforcement Action</w:t>
      </w:r>
      <w:r w:rsidRPr="003B67F3">
        <w:t>:</w:t>
      </w:r>
      <w:r w:rsidRPr="003B67F3">
        <w:rPr>
          <w:rFonts w:ascii="Helvetica" w:hAnsi="Helvetica"/>
          <w:color w:val="000000"/>
          <w:shd w:val="clear" w:color="auto" w:fill="FFFFFF"/>
        </w:rPr>
        <w:t xml:space="preserve"> </w:t>
      </w:r>
      <w:r w:rsidRPr="000A543A">
        <w:t>RCS’s r</w:t>
      </w:r>
      <w:r w:rsidRPr="003B67F3">
        <w:t xml:space="preserve">esponses to </w:t>
      </w:r>
      <w:r w:rsidRPr="000A543A">
        <w:t xml:space="preserve">serious </w:t>
      </w:r>
      <w:r w:rsidRPr="003B67F3">
        <w:t xml:space="preserve">noncompliance with </w:t>
      </w:r>
      <w:r w:rsidRPr="000A543A">
        <w:t xml:space="preserve">RCW </w:t>
      </w:r>
      <w:r>
        <w:t>18.51,</w:t>
      </w:r>
      <w:r w:rsidRPr="003B67F3">
        <w:t xml:space="preserve"> </w:t>
      </w:r>
      <w:r w:rsidRPr="000A543A">
        <w:t>WAC 388-</w:t>
      </w:r>
      <w:r>
        <w:t xml:space="preserve">97, 42 CFR 488.331 and SOM 7212 1 – 4 </w:t>
      </w:r>
    </w:p>
    <w:p w14:paraId="5AAB3E27" w14:textId="77777777" w:rsidR="00B41E80" w:rsidRPr="003B67F3" w:rsidRDefault="00B41E80" w:rsidP="00B41E80">
      <w:pPr>
        <w:ind w:left="-270" w:right="-180"/>
      </w:pPr>
      <w:r w:rsidRPr="007A5BCB">
        <w:rPr>
          <w:b/>
        </w:rPr>
        <w:t>Evidence</w:t>
      </w:r>
      <w:r w:rsidRPr="003B67F3">
        <w:t xml:space="preserve">: </w:t>
      </w:r>
      <w:r w:rsidRPr="000A543A">
        <w:t xml:space="preserve">Data presented as proof of facts that </w:t>
      </w:r>
      <w:r>
        <w:t>may</w:t>
      </w:r>
      <w:r w:rsidRPr="000A543A">
        <w:t xml:space="preserve"> include testimony, records, documents or objects</w:t>
      </w:r>
    </w:p>
    <w:p w14:paraId="183DE23A" w14:textId="77777777" w:rsidR="00B41E80" w:rsidRPr="003B67F3" w:rsidRDefault="00B41E80" w:rsidP="00B41E80">
      <w:pPr>
        <w:ind w:left="-270"/>
      </w:pPr>
      <w:r w:rsidRPr="007A5BCB">
        <w:rPr>
          <w:b/>
        </w:rPr>
        <w:t>IDR Program AA</w:t>
      </w:r>
      <w:r w:rsidRPr="003B67F3">
        <w:t>:</w:t>
      </w:r>
      <w:r w:rsidRPr="000A543A">
        <w:t xml:space="preserve"> Administrative support staff for the IDR program</w:t>
      </w:r>
    </w:p>
    <w:p w14:paraId="191C878A" w14:textId="77777777" w:rsidR="00B41E80" w:rsidRDefault="00B41E80" w:rsidP="00B41E80">
      <w:pPr>
        <w:ind w:left="-270"/>
      </w:pPr>
      <w:r w:rsidRPr="007A5BCB">
        <w:rPr>
          <w:b/>
        </w:rPr>
        <w:t>IDR Volunteer Coordinator</w:t>
      </w:r>
      <w:r w:rsidRPr="003B67F3">
        <w:t>:</w:t>
      </w:r>
      <w:r w:rsidRPr="000A543A">
        <w:t xml:space="preserve"> RCS staff responsible for coordinating all IDR volunteer activities</w:t>
      </w:r>
    </w:p>
    <w:p w14:paraId="76888302" w14:textId="77777777" w:rsidR="00B41E80" w:rsidRPr="005719F3" w:rsidRDefault="00B41E80" w:rsidP="00B41E80">
      <w:pPr>
        <w:ind w:left="-270"/>
      </w:pPr>
      <w:r>
        <w:rPr>
          <w:b/>
        </w:rPr>
        <w:t xml:space="preserve">In-Person: </w:t>
      </w:r>
      <w:r>
        <w:t>Review will be conducted virtually using video technology</w:t>
      </w:r>
    </w:p>
    <w:p w14:paraId="6E16E7AC" w14:textId="77777777" w:rsidR="00B41E80" w:rsidRPr="00593785" w:rsidRDefault="00B41E80" w:rsidP="00B41E80">
      <w:pPr>
        <w:ind w:left="-270"/>
      </w:pPr>
      <w:r w:rsidRPr="007A5BCB">
        <w:rPr>
          <w:b/>
        </w:rPr>
        <w:t>Licensee</w:t>
      </w:r>
      <w:r w:rsidRPr="00593785">
        <w:t xml:space="preserve">: </w:t>
      </w:r>
      <w:r w:rsidRPr="000A543A">
        <w:t xml:space="preserve">Individual or entity licensed as a </w:t>
      </w:r>
      <w:r>
        <w:t>Nursing</w:t>
      </w:r>
      <w:r w:rsidRPr="000A543A">
        <w:t xml:space="preserve"> Home </w:t>
      </w:r>
      <w:r>
        <w:t>(NH)</w:t>
      </w:r>
      <w:r w:rsidRPr="000A543A">
        <w:t xml:space="preserve"> provider</w:t>
      </w:r>
    </w:p>
    <w:p w14:paraId="770C9338" w14:textId="77777777" w:rsidR="00B41E80" w:rsidRDefault="00B41E80" w:rsidP="00B41E80">
      <w:pPr>
        <w:ind w:left="-270"/>
      </w:pPr>
      <w:r w:rsidRPr="007A5BCB">
        <w:rPr>
          <w:b/>
        </w:rPr>
        <w:t>Provider</w:t>
      </w:r>
      <w:r w:rsidRPr="00593785">
        <w:t>:</w:t>
      </w:r>
      <w:r w:rsidRPr="000A543A">
        <w:t xml:space="preserve"> May be used interchangeably with licensee</w:t>
      </w:r>
    </w:p>
    <w:p w14:paraId="0DE06321" w14:textId="657A6F30" w:rsidR="00B41E80" w:rsidRPr="00593785" w:rsidRDefault="00B41E80" w:rsidP="00B41E80">
      <w:pPr>
        <w:ind w:left="-270"/>
      </w:pPr>
      <w:r w:rsidRPr="007A5BCB">
        <w:rPr>
          <w:b/>
        </w:rPr>
        <w:t>Residential Care Services (RCS)</w:t>
      </w:r>
      <w:r w:rsidRPr="000A543A">
        <w:t xml:space="preserve"> –Residential Care Services is a Division within ALTSA and provides the regulatory oversight of </w:t>
      </w:r>
      <w:r>
        <w:t>Nursing</w:t>
      </w:r>
      <w:r w:rsidRPr="000A543A">
        <w:t xml:space="preserve"> Homes</w:t>
      </w:r>
    </w:p>
    <w:p w14:paraId="7A52F283" w14:textId="77777777" w:rsidR="00B41E80" w:rsidRPr="00593785" w:rsidRDefault="00B41E80" w:rsidP="00B41E80">
      <w:pPr>
        <w:ind w:left="-270" w:right="-540"/>
      </w:pPr>
      <w:r w:rsidRPr="007A5BCB">
        <w:rPr>
          <w:b/>
        </w:rPr>
        <w:t>RCS Staff</w:t>
      </w:r>
      <w:r w:rsidRPr="00593785">
        <w:t>:</w:t>
      </w:r>
      <w:r w:rsidRPr="000A543A">
        <w:t xml:space="preserve"> Residential Care Services employee responsible for issuing the citation or enforcement in dispute</w:t>
      </w:r>
    </w:p>
    <w:p w14:paraId="2B62FCC6" w14:textId="26F2493E" w:rsidR="00E47957" w:rsidRPr="00CF10DC" w:rsidRDefault="00E47957" w:rsidP="00B41E80">
      <w:pPr>
        <w:ind w:left="-270"/>
        <w:rPr>
          <w:bCs/>
        </w:rPr>
      </w:pPr>
      <w:r>
        <w:rPr>
          <w:b/>
        </w:rPr>
        <w:t>Secure Tracking And Reporting System (STARS)</w:t>
      </w:r>
      <w:r w:rsidR="00AD605E">
        <w:rPr>
          <w:b/>
        </w:rPr>
        <w:t>:</w:t>
      </w:r>
      <w:r w:rsidR="00AD605E">
        <w:rPr>
          <w:bCs/>
        </w:rPr>
        <w:t xml:space="preserve">  </w:t>
      </w:r>
      <w:r w:rsidR="004B18E8">
        <w:rPr>
          <w:bCs/>
        </w:rPr>
        <w:t>Electronic database system used by RCS staff</w:t>
      </w:r>
    </w:p>
    <w:p w14:paraId="5B2E7F0E" w14:textId="438A4AC3" w:rsidR="00B41E80" w:rsidRDefault="00B41E80" w:rsidP="00B41E80">
      <w:pPr>
        <w:ind w:left="-270"/>
      </w:pPr>
      <w:r w:rsidRPr="007A5BCB">
        <w:rPr>
          <w:b/>
        </w:rPr>
        <w:t>State Agency</w:t>
      </w:r>
      <w:r w:rsidRPr="00593785">
        <w:t>:</w:t>
      </w:r>
      <w:r w:rsidRPr="000A543A">
        <w:t xml:space="preserve"> May be used interchangeably with RCS, ALTSA or DSHS</w:t>
      </w:r>
    </w:p>
    <w:p w14:paraId="21CD127B" w14:textId="77777777" w:rsidR="00B41E80" w:rsidRDefault="00B41E80" w:rsidP="00B41E80">
      <w:pPr>
        <w:ind w:left="-270"/>
      </w:pPr>
      <w:r w:rsidRPr="007A5BCB">
        <w:rPr>
          <w:b/>
        </w:rPr>
        <w:t>Statement of Deficiencies</w:t>
      </w:r>
      <w:r w:rsidRPr="00593785">
        <w:t xml:space="preserve">: </w:t>
      </w:r>
      <w:r w:rsidRPr="000A543A">
        <w:t>(SOD) Report submitted by RCS staff documenting proof of the citation or enforcement</w:t>
      </w:r>
      <w:r>
        <w:t xml:space="preserve"> (commonly referred to by the DSHS document number 2567)</w:t>
      </w:r>
    </w:p>
    <w:p w14:paraId="6E528C5A" w14:textId="77777777" w:rsidR="002023F6" w:rsidRPr="00BE56EC" w:rsidRDefault="002023F6" w:rsidP="002023F6">
      <w:pPr>
        <w:ind w:left="-270"/>
        <w:rPr>
          <w:bCs/>
        </w:rPr>
      </w:pPr>
      <w:r w:rsidRPr="00BE56EC">
        <w:rPr>
          <w:b/>
        </w:rPr>
        <w:t>State Operations Manual (SOM):</w:t>
      </w:r>
      <w:r w:rsidRPr="00BE56EC">
        <w:rPr>
          <w:bCs/>
        </w:rPr>
        <w:t xml:space="preserve"> </w:t>
      </w:r>
      <w:r>
        <w:rPr>
          <w:bCs/>
        </w:rPr>
        <w:t xml:space="preserve">Centers for Medicare and Medicaid Services federal document containing rules and guidelines for state surveys. </w:t>
      </w:r>
    </w:p>
    <w:p w14:paraId="7536B5FC" w14:textId="77777777" w:rsidR="00B41E80" w:rsidRPr="00252DAF" w:rsidRDefault="00B41E80" w:rsidP="00B41E80">
      <w:pPr>
        <w:ind w:left="-270"/>
      </w:pPr>
      <w:r>
        <w:rPr>
          <w:b/>
        </w:rPr>
        <w:t>Supporting Documentation</w:t>
      </w:r>
      <w:r>
        <w:t>: Relevant documents submitted to support dispute of the citation or enforcement</w:t>
      </w:r>
    </w:p>
    <w:p w14:paraId="4EF067E7" w14:textId="77777777" w:rsidR="00B41E80" w:rsidRPr="00593785" w:rsidRDefault="00B41E80" w:rsidP="00B41E80">
      <w:pPr>
        <w:ind w:left="-270"/>
      </w:pPr>
      <w:r>
        <w:rPr>
          <w:b/>
        </w:rPr>
        <w:t>Telep</w:t>
      </w:r>
      <w:r w:rsidRPr="007A5BCB">
        <w:rPr>
          <w:b/>
        </w:rPr>
        <w:t>hone Review</w:t>
      </w:r>
      <w:r w:rsidRPr="00593785">
        <w:t xml:space="preserve">: </w:t>
      </w:r>
      <w:r w:rsidRPr="000A543A">
        <w:t>An IDR in which the disputing provider participates by phone</w:t>
      </w:r>
    </w:p>
    <w:p w14:paraId="77CEDD5C" w14:textId="77777777" w:rsidR="00B41E80" w:rsidRDefault="00B41E80" w:rsidP="00B41E80">
      <w:pPr>
        <w:ind w:left="-270"/>
      </w:pPr>
      <w:r>
        <w:rPr>
          <w:b/>
        </w:rPr>
        <w:t>Traditional IDR</w:t>
      </w:r>
      <w:r>
        <w:t>: IDR heard by a single Department Staff not involved with decision making related to the citation or enforcement action</w:t>
      </w:r>
    </w:p>
    <w:p w14:paraId="4A054C2F" w14:textId="77777777" w:rsidR="007002EE" w:rsidRDefault="007002EE"/>
    <w:p w14:paraId="21BCD4B7" w14:textId="77777777" w:rsidR="007002EE" w:rsidRDefault="007002EE"/>
    <w:p w14:paraId="4701F2D8" w14:textId="77777777" w:rsidR="00B41E80" w:rsidRDefault="00B41E80">
      <w:pPr>
        <w:rPr>
          <w:b/>
          <w:i/>
          <w:sz w:val="32"/>
          <w:szCs w:val="32"/>
        </w:rPr>
      </w:pPr>
      <w:r>
        <w:rPr>
          <w:b/>
          <w:i/>
          <w:sz w:val="32"/>
          <w:szCs w:val="32"/>
        </w:rPr>
        <w:br w:type="page"/>
      </w:r>
    </w:p>
    <w:p w14:paraId="4B9B0363" w14:textId="437DAA7A" w:rsidR="00B41E80" w:rsidRPr="0095345A" w:rsidRDefault="00B41E80" w:rsidP="00B41E80">
      <w:pPr>
        <w:rPr>
          <w:b/>
          <w:i/>
          <w:sz w:val="32"/>
          <w:szCs w:val="32"/>
        </w:rPr>
      </w:pPr>
      <w:r w:rsidRPr="0095345A">
        <w:rPr>
          <w:b/>
          <w:i/>
          <w:sz w:val="32"/>
          <w:szCs w:val="32"/>
        </w:rPr>
        <w:t>SECTION 1.</w:t>
      </w:r>
    </w:p>
    <w:p w14:paraId="14DDD26C" w14:textId="77777777" w:rsidR="00B41E80" w:rsidRDefault="00B41E80" w:rsidP="00B41E80">
      <w:pPr>
        <w:pStyle w:val="ListParagraph"/>
        <w:numPr>
          <w:ilvl w:val="0"/>
          <w:numId w:val="1"/>
        </w:numPr>
        <w:rPr>
          <w:b/>
          <w:i/>
          <w:sz w:val="28"/>
          <w:szCs w:val="28"/>
        </w:rPr>
      </w:pPr>
      <w:r w:rsidRPr="006A78CA">
        <w:rPr>
          <w:b/>
          <w:i/>
          <w:sz w:val="28"/>
          <w:szCs w:val="28"/>
        </w:rPr>
        <w:t>Preface</w:t>
      </w:r>
    </w:p>
    <w:p w14:paraId="1CDE2A77" w14:textId="77777777" w:rsidR="00B41E80" w:rsidRPr="006A78CA" w:rsidRDefault="00B41E80" w:rsidP="00B41E80">
      <w:pPr>
        <w:pStyle w:val="ListParagraph"/>
        <w:ind w:left="1440"/>
        <w:rPr>
          <w:b/>
          <w:i/>
          <w:sz w:val="28"/>
          <w:szCs w:val="28"/>
        </w:rPr>
      </w:pPr>
    </w:p>
    <w:p w14:paraId="120FD7AC" w14:textId="77777777" w:rsidR="00B41E80" w:rsidRDefault="00B41E80" w:rsidP="00B41E80">
      <w:pPr>
        <w:pStyle w:val="ListParagraph"/>
        <w:numPr>
          <w:ilvl w:val="0"/>
          <w:numId w:val="1"/>
        </w:numPr>
        <w:rPr>
          <w:b/>
          <w:i/>
          <w:sz w:val="28"/>
          <w:szCs w:val="28"/>
        </w:rPr>
      </w:pPr>
      <w:r w:rsidRPr="006A78CA">
        <w:rPr>
          <w:b/>
          <w:i/>
          <w:sz w:val="28"/>
          <w:szCs w:val="28"/>
        </w:rPr>
        <w:t>ALTSA Mission Values and Vision</w:t>
      </w:r>
    </w:p>
    <w:p w14:paraId="04D19D0E" w14:textId="77777777" w:rsidR="00B41E80" w:rsidRPr="008B477C" w:rsidRDefault="00B41E80" w:rsidP="00B41E80">
      <w:pPr>
        <w:rPr>
          <w:b/>
          <w:i/>
          <w:sz w:val="28"/>
          <w:szCs w:val="28"/>
        </w:rPr>
      </w:pPr>
    </w:p>
    <w:p w14:paraId="7882E512" w14:textId="77777777" w:rsidR="00B41E80" w:rsidRDefault="00B41E80" w:rsidP="00B41E80">
      <w:pPr>
        <w:pStyle w:val="ListParagraph"/>
        <w:numPr>
          <w:ilvl w:val="0"/>
          <w:numId w:val="1"/>
        </w:numPr>
        <w:rPr>
          <w:b/>
          <w:i/>
          <w:sz w:val="28"/>
          <w:szCs w:val="28"/>
        </w:rPr>
      </w:pPr>
      <w:r w:rsidRPr="006A78CA">
        <w:rPr>
          <w:b/>
          <w:i/>
          <w:sz w:val="28"/>
          <w:szCs w:val="28"/>
        </w:rPr>
        <w:t>R</w:t>
      </w:r>
      <w:r>
        <w:rPr>
          <w:b/>
          <w:i/>
          <w:sz w:val="28"/>
          <w:szCs w:val="28"/>
        </w:rPr>
        <w:t>esidential Care Services Purpose and Objectives</w:t>
      </w:r>
    </w:p>
    <w:p w14:paraId="509ACC37" w14:textId="77777777" w:rsidR="00B41E80" w:rsidRPr="006A78CA" w:rsidRDefault="00B41E80" w:rsidP="00B41E80">
      <w:pPr>
        <w:pStyle w:val="ListParagraph"/>
        <w:ind w:left="1440"/>
        <w:rPr>
          <w:b/>
          <w:i/>
          <w:sz w:val="28"/>
          <w:szCs w:val="28"/>
        </w:rPr>
      </w:pPr>
    </w:p>
    <w:p w14:paraId="015E6613" w14:textId="24AB71D9" w:rsidR="007002EE" w:rsidRDefault="00B41E80" w:rsidP="005E25F1">
      <w:pPr>
        <w:pStyle w:val="ListParagraph"/>
        <w:numPr>
          <w:ilvl w:val="0"/>
          <w:numId w:val="1"/>
        </w:numPr>
      </w:pPr>
      <w:r w:rsidRPr="00A5040D">
        <w:rPr>
          <w:b/>
          <w:i/>
          <w:sz w:val="28"/>
          <w:szCs w:val="28"/>
        </w:rPr>
        <w:t>Guiding Principles</w:t>
      </w:r>
      <w:r w:rsidR="00A5040D">
        <w:rPr>
          <w:b/>
          <w:i/>
          <w:sz w:val="28"/>
          <w:szCs w:val="28"/>
        </w:rPr>
        <w:t xml:space="preserve"> and</w:t>
      </w:r>
      <w:r w:rsidRPr="00A5040D">
        <w:rPr>
          <w:b/>
          <w:i/>
          <w:sz w:val="28"/>
          <w:szCs w:val="28"/>
        </w:rPr>
        <w:t xml:space="preserve"> Code of Ethics </w:t>
      </w:r>
    </w:p>
    <w:p w14:paraId="45E93CDC" w14:textId="77777777" w:rsidR="00C16E1B" w:rsidRDefault="00C16E1B">
      <w:pPr>
        <w:rPr>
          <w:b/>
          <w:i/>
          <w:sz w:val="28"/>
          <w:szCs w:val="28"/>
        </w:rPr>
      </w:pPr>
      <w:r>
        <w:rPr>
          <w:b/>
          <w:i/>
          <w:sz w:val="28"/>
          <w:szCs w:val="28"/>
        </w:rPr>
        <w:br w:type="page"/>
      </w:r>
    </w:p>
    <w:p w14:paraId="0DDCCBE2" w14:textId="01F24261" w:rsidR="00B41E80" w:rsidRPr="00A959CE" w:rsidRDefault="00B41E80" w:rsidP="00B41E80">
      <w:pPr>
        <w:rPr>
          <w:b/>
          <w:i/>
          <w:sz w:val="28"/>
          <w:szCs w:val="28"/>
        </w:rPr>
      </w:pPr>
      <w:r>
        <w:rPr>
          <w:b/>
          <w:i/>
          <w:sz w:val="28"/>
          <w:szCs w:val="28"/>
        </w:rPr>
        <w:t>PREFACE</w:t>
      </w:r>
    </w:p>
    <w:p w14:paraId="6A8657C5" w14:textId="77777777" w:rsidR="00B41E80" w:rsidRPr="00A959CE" w:rsidRDefault="00B41E80" w:rsidP="00B41E80"/>
    <w:p w14:paraId="3EE20306" w14:textId="77777777" w:rsidR="00B41E80" w:rsidRPr="00A959CE" w:rsidRDefault="00B41E80" w:rsidP="00B41E80">
      <w:r>
        <w:t xml:space="preserve">The goal of Informal Dispute Resolution is to give providers the opportunity to dispute regulatory decisions and ensure that citations and enforcement actions are supported by fair and consistent application of the regulations using evidence informed practice (when available and applicable).  </w:t>
      </w:r>
    </w:p>
    <w:p w14:paraId="7F9ACA94" w14:textId="77777777" w:rsidR="00B41E80" w:rsidRPr="00A959CE" w:rsidRDefault="00B41E80" w:rsidP="00B41E80"/>
    <w:p w14:paraId="705A81F4" w14:textId="29ACA4CC" w:rsidR="00B41E80" w:rsidRPr="00A959CE" w:rsidRDefault="00B41E80" w:rsidP="00B41E80">
      <w:r>
        <w:t xml:space="preserve">This guidebook offers defined, structured, and adaptable steps to meet this goal.  Its function is to act as an instruction manual for completing traditional IDRs.  For a complete guide to IDR processes, please see the Informal Dispute Resolution Standard Operating Procedures Manual (SOP): </w:t>
      </w:r>
      <w:hyperlink r:id="rId10" w:history="1">
        <w:r w:rsidRPr="00E85E2A">
          <w:rPr>
            <w:color w:val="0000FF"/>
            <w:u w:val="single"/>
          </w:rPr>
          <w:t>Chapter 22 - Informal Dispute Resolution.pdf (wa.gov)</w:t>
        </w:r>
      </w:hyperlink>
      <w:r>
        <w:t>.</w:t>
      </w:r>
    </w:p>
    <w:p w14:paraId="5B3866F3" w14:textId="77777777" w:rsidR="00B41E80" w:rsidRPr="00A959CE" w:rsidRDefault="00B41E80" w:rsidP="00B41E80"/>
    <w:p w14:paraId="1DD2551E" w14:textId="77777777" w:rsidR="00B41E80" w:rsidRPr="00A959CE" w:rsidRDefault="00B41E80" w:rsidP="00B41E80">
      <w:r>
        <w:t xml:space="preserve">This guidebook provides core business process information but is not the law.  Federal and state laws regarding the IDR process have precedence over this document. </w:t>
      </w:r>
    </w:p>
    <w:p w14:paraId="29181566" w14:textId="77777777" w:rsidR="00B41E80" w:rsidRPr="00A959CE" w:rsidRDefault="00B41E80" w:rsidP="00B41E80"/>
    <w:p w14:paraId="1BF9B80F" w14:textId="77777777" w:rsidR="00B41E80" w:rsidRDefault="00B41E80" w:rsidP="00B41E80">
      <w:pPr>
        <w:rPr>
          <w:b/>
          <w:i/>
          <w:sz w:val="28"/>
          <w:szCs w:val="28"/>
        </w:rPr>
      </w:pPr>
    </w:p>
    <w:p w14:paraId="5616CE4C" w14:textId="77777777" w:rsidR="00B41E80" w:rsidRDefault="00B41E80" w:rsidP="00B41E80">
      <w:pPr>
        <w:rPr>
          <w:b/>
          <w:i/>
          <w:sz w:val="28"/>
          <w:szCs w:val="28"/>
        </w:rPr>
      </w:pPr>
      <w:r w:rsidRPr="0095345A">
        <w:rPr>
          <w:b/>
          <w:i/>
          <w:sz w:val="28"/>
          <w:szCs w:val="28"/>
        </w:rPr>
        <w:t>ALTSA MISSION, VALUES AND VISION</w:t>
      </w:r>
    </w:p>
    <w:p w14:paraId="43F511F3" w14:textId="77777777" w:rsidR="00B41E80" w:rsidRPr="008E7BE8" w:rsidRDefault="00B41E80" w:rsidP="00B41E80">
      <w:pPr>
        <w:rPr>
          <w:sz w:val="28"/>
          <w:szCs w:val="28"/>
        </w:rPr>
      </w:pPr>
    </w:p>
    <w:p w14:paraId="2BBE770A" w14:textId="77777777" w:rsidR="00B41E80" w:rsidRDefault="00B41E80" w:rsidP="00B41E80">
      <w:pPr>
        <w:rPr>
          <w:b/>
        </w:rPr>
      </w:pPr>
      <w:r w:rsidRPr="00EC0F3E">
        <w:rPr>
          <w:b/>
        </w:rPr>
        <w:t>Aging and Long-Term Support Administration</w:t>
      </w:r>
      <w:r>
        <w:rPr>
          <w:b/>
        </w:rPr>
        <w:t xml:space="preserve"> (ALTSA)</w:t>
      </w:r>
    </w:p>
    <w:p w14:paraId="44E9735B" w14:textId="77777777" w:rsidR="00B41E80" w:rsidRPr="00EC0F3E" w:rsidRDefault="00B41E80" w:rsidP="00B41E80">
      <w:pPr>
        <w:rPr>
          <w:b/>
        </w:rPr>
      </w:pPr>
    </w:p>
    <w:p w14:paraId="4AFB30CA" w14:textId="77777777" w:rsidR="00B41E80" w:rsidRPr="008B477C" w:rsidRDefault="00B41E80" w:rsidP="00B41E80">
      <w:pPr>
        <w:pStyle w:val="ListParagraph"/>
        <w:numPr>
          <w:ilvl w:val="0"/>
          <w:numId w:val="8"/>
        </w:numPr>
      </w:pPr>
      <w:r w:rsidRPr="008B477C">
        <w:rPr>
          <w:b/>
        </w:rPr>
        <w:t>Mission:</w:t>
      </w:r>
      <w:r w:rsidRPr="008B477C">
        <w:t xml:space="preserve"> </w:t>
      </w:r>
    </w:p>
    <w:p w14:paraId="218BA135" w14:textId="77777777" w:rsidR="00B41E80" w:rsidRDefault="00B41E80" w:rsidP="00B41E80">
      <w:pPr>
        <w:pStyle w:val="ListParagraph"/>
      </w:pPr>
      <w:r>
        <w:t>We partner with people to access support, care and resources.</w:t>
      </w:r>
    </w:p>
    <w:p w14:paraId="04B43058" w14:textId="77777777" w:rsidR="00B41E80" w:rsidRDefault="00B41E80" w:rsidP="00B41E80">
      <w:pPr>
        <w:pStyle w:val="ListParagraph"/>
      </w:pPr>
    </w:p>
    <w:p w14:paraId="0FAF5B64" w14:textId="77777777" w:rsidR="00B41E80" w:rsidRPr="00EC0F3E" w:rsidRDefault="00B41E80" w:rsidP="00B41E80">
      <w:pPr>
        <w:pStyle w:val="ListParagraph"/>
        <w:numPr>
          <w:ilvl w:val="0"/>
          <w:numId w:val="2"/>
        </w:numPr>
        <w:rPr>
          <w:b/>
        </w:rPr>
      </w:pPr>
      <w:r w:rsidRPr="00EC0F3E">
        <w:rPr>
          <w:b/>
        </w:rPr>
        <w:t>Values</w:t>
      </w:r>
      <w:r>
        <w:rPr>
          <w:b/>
        </w:rPr>
        <w:t>:</w:t>
      </w:r>
    </w:p>
    <w:p w14:paraId="5551C060" w14:textId="77777777" w:rsidR="00B41E80" w:rsidRPr="008B477C" w:rsidRDefault="00B41E80" w:rsidP="00B41E80">
      <w:pPr>
        <w:pStyle w:val="ListParagraph"/>
        <w:numPr>
          <w:ilvl w:val="0"/>
          <w:numId w:val="3"/>
        </w:numPr>
        <w:spacing w:after="160"/>
        <w:ind w:left="1440"/>
      </w:pPr>
      <w:r>
        <w:rPr>
          <w:b/>
          <w:bCs/>
        </w:rPr>
        <w:t>Welcome</w:t>
      </w:r>
      <w:r w:rsidRPr="008B477C">
        <w:rPr>
          <w:b/>
          <w:bCs/>
        </w:rPr>
        <w:t xml:space="preserve"> </w:t>
      </w:r>
      <w:r>
        <w:t>all with access and inclusion.</w:t>
      </w:r>
    </w:p>
    <w:p w14:paraId="3C4E13CB" w14:textId="77777777" w:rsidR="00B41E80" w:rsidRPr="008B477C" w:rsidRDefault="00B41E80" w:rsidP="00B41E80">
      <w:pPr>
        <w:pStyle w:val="ListParagraph"/>
        <w:numPr>
          <w:ilvl w:val="0"/>
          <w:numId w:val="3"/>
        </w:numPr>
        <w:spacing w:after="160"/>
        <w:ind w:left="1440"/>
      </w:pPr>
      <w:r>
        <w:rPr>
          <w:b/>
          <w:bCs/>
        </w:rPr>
        <w:t>Serve</w:t>
      </w:r>
      <w:r w:rsidRPr="008B477C">
        <w:rPr>
          <w:b/>
          <w:bCs/>
        </w:rPr>
        <w:t xml:space="preserve"> </w:t>
      </w:r>
      <w:r>
        <w:t>with respect and dignity.</w:t>
      </w:r>
    </w:p>
    <w:p w14:paraId="1A5A2253" w14:textId="77777777" w:rsidR="00B41E80" w:rsidRPr="008B477C" w:rsidRDefault="00B41E80" w:rsidP="00B41E80">
      <w:pPr>
        <w:pStyle w:val="ListParagraph"/>
        <w:numPr>
          <w:ilvl w:val="0"/>
          <w:numId w:val="3"/>
        </w:numPr>
        <w:spacing w:after="160"/>
        <w:ind w:left="1440"/>
      </w:pPr>
      <w:r>
        <w:rPr>
          <w:b/>
          <w:bCs/>
        </w:rPr>
        <w:t>Collaborate</w:t>
      </w:r>
      <w:r w:rsidRPr="008B477C">
        <w:t xml:space="preserve"> </w:t>
      </w:r>
      <w:r>
        <w:t xml:space="preserve">with community. </w:t>
      </w:r>
    </w:p>
    <w:p w14:paraId="0EE379E3" w14:textId="77777777" w:rsidR="00B41E80" w:rsidRPr="008B477C" w:rsidRDefault="00B41E80" w:rsidP="00B41E80">
      <w:pPr>
        <w:pStyle w:val="ListParagraph"/>
        <w:numPr>
          <w:ilvl w:val="0"/>
          <w:numId w:val="3"/>
        </w:numPr>
        <w:spacing w:after="160"/>
        <w:ind w:left="1440"/>
      </w:pPr>
      <w:r>
        <w:rPr>
          <w:b/>
          <w:bCs/>
        </w:rPr>
        <w:t>Improve</w:t>
      </w:r>
      <w:r w:rsidRPr="008B477C">
        <w:t xml:space="preserve"> </w:t>
      </w:r>
      <w:r>
        <w:t xml:space="preserve">services continually. </w:t>
      </w:r>
    </w:p>
    <w:p w14:paraId="47C7A1A0" w14:textId="77777777" w:rsidR="00B41E80" w:rsidRPr="008B477C" w:rsidRDefault="00B41E80" w:rsidP="00B41E80">
      <w:pPr>
        <w:pStyle w:val="ListParagraph"/>
        <w:numPr>
          <w:ilvl w:val="0"/>
          <w:numId w:val="3"/>
        </w:numPr>
        <w:spacing w:after="160"/>
        <w:ind w:left="1440"/>
      </w:pPr>
      <w:r>
        <w:rPr>
          <w:b/>
          <w:bCs/>
        </w:rPr>
        <w:t>Communicate</w:t>
      </w:r>
      <w:r w:rsidRPr="008B477C">
        <w:t xml:space="preserve"> </w:t>
      </w:r>
      <w:r>
        <w:t>with clarity and choices.</w:t>
      </w:r>
    </w:p>
    <w:p w14:paraId="50905EC0" w14:textId="77777777" w:rsidR="00B41E80" w:rsidRDefault="00B41E80" w:rsidP="00B41E80">
      <w:pPr>
        <w:pStyle w:val="ListParagraph"/>
        <w:ind w:left="1530"/>
      </w:pPr>
    </w:p>
    <w:p w14:paraId="4D8FCD9B" w14:textId="77777777" w:rsidR="00B41E80" w:rsidRDefault="00B41E80" w:rsidP="00B41E80">
      <w:pPr>
        <w:pStyle w:val="ListParagraph"/>
        <w:numPr>
          <w:ilvl w:val="0"/>
          <w:numId w:val="2"/>
        </w:numPr>
      </w:pPr>
      <w:r w:rsidRPr="008B4AD4">
        <w:rPr>
          <w:b/>
        </w:rPr>
        <w:t>Vision</w:t>
      </w:r>
      <w:r>
        <w:rPr>
          <w:b/>
        </w:rPr>
        <w:t xml:space="preserve"> – </w:t>
      </w:r>
      <w:r>
        <w:t>People find human services to shape their own lives.</w:t>
      </w:r>
    </w:p>
    <w:p w14:paraId="20CF95B1" w14:textId="77777777" w:rsidR="00B41E80" w:rsidRPr="006D3FE7" w:rsidRDefault="00B41E80" w:rsidP="00B41E80">
      <w:pPr>
        <w:pStyle w:val="ListParagraph"/>
        <w:rPr>
          <w:bCs/>
        </w:rPr>
      </w:pPr>
      <w:r>
        <w:rPr>
          <w:bCs/>
        </w:rPr>
        <w:t>We strive for this through priorities such as:</w:t>
      </w:r>
    </w:p>
    <w:p w14:paraId="56AE6DBB" w14:textId="77777777" w:rsidR="00B41E80" w:rsidRDefault="00B41E80" w:rsidP="00B41E80">
      <w:pPr>
        <w:pStyle w:val="ListParagraph"/>
        <w:numPr>
          <w:ilvl w:val="0"/>
          <w:numId w:val="7"/>
        </w:numPr>
      </w:pPr>
      <w:r>
        <w:t>Building economic justice.</w:t>
      </w:r>
    </w:p>
    <w:p w14:paraId="7CB4953E" w14:textId="77777777" w:rsidR="00B41E80" w:rsidRDefault="00B41E80" w:rsidP="00B41E80">
      <w:pPr>
        <w:pStyle w:val="ListParagraph"/>
        <w:numPr>
          <w:ilvl w:val="0"/>
          <w:numId w:val="7"/>
        </w:numPr>
      </w:pPr>
      <w:r>
        <w:t>Making modern changes to behavioral health.</w:t>
      </w:r>
    </w:p>
    <w:p w14:paraId="36CE6475" w14:textId="77777777" w:rsidR="00B41E80" w:rsidRDefault="00B41E80" w:rsidP="00B41E80">
      <w:pPr>
        <w:pStyle w:val="ListParagraph"/>
        <w:numPr>
          <w:ilvl w:val="0"/>
          <w:numId w:val="7"/>
        </w:numPr>
      </w:pPr>
      <w:r>
        <w:t>Advancing person-centered services.</w:t>
      </w:r>
    </w:p>
    <w:p w14:paraId="26F0BCF0" w14:textId="77777777" w:rsidR="00B41E80" w:rsidRDefault="00B41E80" w:rsidP="00B41E80">
      <w:pPr>
        <w:pStyle w:val="ListParagraph"/>
        <w:numPr>
          <w:ilvl w:val="0"/>
          <w:numId w:val="7"/>
        </w:numPr>
      </w:pPr>
      <w:r>
        <w:t>Serving people in their community of choice.</w:t>
      </w:r>
    </w:p>
    <w:p w14:paraId="7C8D1442" w14:textId="77777777" w:rsidR="00B41E80" w:rsidRPr="00E44304" w:rsidRDefault="00B41E80" w:rsidP="00B41E80">
      <w:pPr>
        <w:pStyle w:val="ListParagraph"/>
        <w:numPr>
          <w:ilvl w:val="0"/>
          <w:numId w:val="7"/>
        </w:numPr>
      </w:pPr>
      <w:r>
        <w:t>Innovating technology.</w:t>
      </w:r>
    </w:p>
    <w:p w14:paraId="4B4F1658" w14:textId="77777777" w:rsidR="00B41E80" w:rsidRDefault="00B41E80" w:rsidP="00B41E80"/>
    <w:p w14:paraId="34191D3D" w14:textId="77777777" w:rsidR="00B41E80" w:rsidRDefault="00B41E80" w:rsidP="00B41E80">
      <w:pPr>
        <w:rPr>
          <w:b/>
          <w:i/>
          <w:sz w:val="28"/>
          <w:szCs w:val="28"/>
        </w:rPr>
      </w:pPr>
    </w:p>
    <w:p w14:paraId="31FCFB25" w14:textId="77777777" w:rsidR="00B4609A" w:rsidRDefault="00B4609A">
      <w:pPr>
        <w:rPr>
          <w:b/>
          <w:i/>
          <w:sz w:val="28"/>
          <w:szCs w:val="28"/>
        </w:rPr>
      </w:pPr>
      <w:r>
        <w:rPr>
          <w:b/>
          <w:i/>
          <w:sz w:val="28"/>
          <w:szCs w:val="28"/>
        </w:rPr>
        <w:br w:type="page"/>
      </w:r>
    </w:p>
    <w:p w14:paraId="3A34F2E2" w14:textId="46728249" w:rsidR="00B41E80" w:rsidRPr="00E44304" w:rsidRDefault="00B41E80" w:rsidP="00B41E80">
      <w:pPr>
        <w:rPr>
          <w:b/>
          <w:i/>
          <w:sz w:val="28"/>
          <w:szCs w:val="28"/>
        </w:rPr>
      </w:pPr>
      <w:r>
        <w:rPr>
          <w:b/>
          <w:i/>
          <w:sz w:val="28"/>
          <w:szCs w:val="28"/>
        </w:rPr>
        <w:t>RESIDENTIAL CARE SERVICES (RCS)</w:t>
      </w:r>
    </w:p>
    <w:p w14:paraId="1C56A7A3" w14:textId="77777777" w:rsidR="00B41E80" w:rsidRPr="008B477C" w:rsidRDefault="00B41E80" w:rsidP="00B41E80">
      <w:pPr>
        <w:rPr>
          <w:b/>
        </w:rPr>
      </w:pPr>
    </w:p>
    <w:p w14:paraId="4369E265" w14:textId="77777777" w:rsidR="00B41E80" w:rsidRPr="008B477C" w:rsidRDefault="00B41E80" w:rsidP="00B41E80">
      <w:pPr>
        <w:pStyle w:val="ListParagraph"/>
        <w:numPr>
          <w:ilvl w:val="0"/>
          <w:numId w:val="2"/>
        </w:numPr>
        <w:rPr>
          <w:b/>
        </w:rPr>
      </w:pPr>
      <w:r w:rsidRPr="00F21EE4">
        <w:rPr>
          <w:b/>
        </w:rPr>
        <w:t xml:space="preserve">Our purpose </w:t>
      </w:r>
      <w:r w:rsidRPr="008B477C">
        <w:t>- To promote and protect the rights, security and well-being of individuals living in licensed or certified residential settings.</w:t>
      </w:r>
    </w:p>
    <w:p w14:paraId="501F0FC9" w14:textId="77777777" w:rsidR="00B41E80" w:rsidRPr="008B477C" w:rsidRDefault="00B41E80" w:rsidP="00B41E80">
      <w:pPr>
        <w:pStyle w:val="ListParagraph"/>
        <w:rPr>
          <w:b/>
        </w:rPr>
      </w:pPr>
    </w:p>
    <w:p w14:paraId="52AD7CB7" w14:textId="77777777" w:rsidR="00B41E80" w:rsidRPr="008B477C" w:rsidRDefault="00B41E80" w:rsidP="00B41E80">
      <w:pPr>
        <w:pStyle w:val="ListParagraph"/>
        <w:numPr>
          <w:ilvl w:val="0"/>
          <w:numId w:val="2"/>
        </w:numPr>
        <w:spacing w:after="160"/>
        <w:rPr>
          <w:b/>
        </w:rPr>
      </w:pPr>
      <w:r w:rsidRPr="00F21EE4">
        <w:rPr>
          <w:b/>
        </w:rPr>
        <w:t>Our objectives include</w:t>
      </w:r>
      <w:r w:rsidRPr="008B477C">
        <w:rPr>
          <w:b/>
        </w:rPr>
        <w:t>:</w:t>
      </w:r>
    </w:p>
    <w:p w14:paraId="64966B7E" w14:textId="77777777" w:rsidR="00B41E80" w:rsidRPr="00F21EE4" w:rsidRDefault="00B41E80" w:rsidP="00B41E80">
      <w:pPr>
        <w:pStyle w:val="ListParagraph"/>
        <w:numPr>
          <w:ilvl w:val="0"/>
          <w:numId w:val="4"/>
        </w:numPr>
        <w:ind w:left="1440"/>
      </w:pPr>
      <w:r w:rsidRPr="00F21EE4">
        <w:t xml:space="preserve">Advocacy partnerships with vulnerable individuals, their representatives, family members, providers, and others working for their benefit. </w:t>
      </w:r>
    </w:p>
    <w:p w14:paraId="79A6BA01" w14:textId="77777777" w:rsidR="00B41E80" w:rsidRPr="00F21EE4" w:rsidRDefault="00B41E80" w:rsidP="00B41E80">
      <w:pPr>
        <w:pStyle w:val="ListParagraph"/>
        <w:numPr>
          <w:ilvl w:val="0"/>
          <w:numId w:val="4"/>
        </w:numPr>
        <w:ind w:left="1440"/>
      </w:pPr>
      <w:r w:rsidRPr="00F21EE4">
        <w:t xml:space="preserve">A fair, consistent, and efficient regulatory system that promotes positive outcomes. </w:t>
      </w:r>
    </w:p>
    <w:p w14:paraId="0C3AB486" w14:textId="77777777" w:rsidR="00B41E80" w:rsidRPr="00F21EE4" w:rsidRDefault="00B41E80" w:rsidP="00B41E80">
      <w:pPr>
        <w:pStyle w:val="ListParagraph"/>
        <w:numPr>
          <w:ilvl w:val="0"/>
          <w:numId w:val="4"/>
        </w:numPr>
        <w:ind w:left="1440"/>
      </w:pPr>
      <w:r w:rsidRPr="00F21EE4">
        <w:t>A division culture that values learning, respect, improvement, teamwork, and adaptability.</w:t>
      </w:r>
    </w:p>
    <w:p w14:paraId="432C2B68" w14:textId="77777777" w:rsidR="00B41E80" w:rsidRPr="00F21EE4" w:rsidRDefault="00B41E80" w:rsidP="00B41E80">
      <w:pPr>
        <w:pStyle w:val="ListParagraph"/>
        <w:numPr>
          <w:ilvl w:val="0"/>
          <w:numId w:val="4"/>
        </w:numPr>
        <w:ind w:left="1440"/>
      </w:pPr>
      <w:r w:rsidRPr="00F21EE4">
        <w:t>Individual and organization efforts to build a working environment that attracts and retains a highly skilled workforce.</w:t>
      </w:r>
    </w:p>
    <w:p w14:paraId="108A0D80" w14:textId="77777777" w:rsidR="00B41E80" w:rsidRPr="0095345A" w:rsidRDefault="00B41E80" w:rsidP="00B41E80">
      <w:pPr>
        <w:pStyle w:val="ListParagraph"/>
      </w:pPr>
    </w:p>
    <w:p w14:paraId="1B349D60" w14:textId="77777777" w:rsidR="00B41E80" w:rsidRDefault="00B41E80" w:rsidP="00B41E80">
      <w:pPr>
        <w:rPr>
          <w:sz w:val="28"/>
          <w:szCs w:val="28"/>
        </w:rPr>
      </w:pPr>
    </w:p>
    <w:p w14:paraId="4C86365A" w14:textId="77777777" w:rsidR="00B41E80" w:rsidRPr="00F21EE4" w:rsidRDefault="00B41E80" w:rsidP="00B41E80">
      <w:pPr>
        <w:rPr>
          <w:b/>
          <w:i/>
          <w:sz w:val="28"/>
          <w:szCs w:val="28"/>
        </w:rPr>
      </w:pPr>
      <w:r w:rsidRPr="00F21EE4">
        <w:rPr>
          <w:b/>
          <w:i/>
          <w:sz w:val="28"/>
          <w:szCs w:val="28"/>
        </w:rPr>
        <w:t>GUIDING PRINCIPLES, CODE OF ETHICS and CONFLICT OF INTEREST</w:t>
      </w:r>
    </w:p>
    <w:p w14:paraId="53E009AA" w14:textId="77777777" w:rsidR="00B41E80" w:rsidRPr="0085627A" w:rsidRDefault="00B41E80" w:rsidP="00B41E80">
      <w:pPr>
        <w:rPr>
          <w:i/>
          <w:sz w:val="22"/>
          <w:szCs w:val="22"/>
        </w:rPr>
      </w:pPr>
    </w:p>
    <w:p w14:paraId="54DF98F8" w14:textId="77777777" w:rsidR="00B41E80" w:rsidRDefault="00B41E80" w:rsidP="00B41E80">
      <w:pPr>
        <w:rPr>
          <w:b/>
        </w:rPr>
      </w:pPr>
      <w:r w:rsidRPr="00F21EE4">
        <w:rPr>
          <w:b/>
        </w:rPr>
        <w:t>Guiding Principles</w:t>
      </w:r>
    </w:p>
    <w:p w14:paraId="20FC569C" w14:textId="77777777" w:rsidR="00B41E80" w:rsidRDefault="00B41E80" w:rsidP="00B41E80">
      <w:pPr>
        <w:rPr>
          <w:b/>
        </w:rPr>
      </w:pPr>
    </w:p>
    <w:p w14:paraId="0B936376" w14:textId="77777777" w:rsidR="00B41E80" w:rsidRPr="008B477C" w:rsidRDefault="00B41E80" w:rsidP="00B41E80">
      <w:pPr>
        <w:pStyle w:val="ListParagraph"/>
        <w:numPr>
          <w:ilvl w:val="0"/>
          <w:numId w:val="5"/>
        </w:numPr>
      </w:pPr>
      <w:r>
        <w:t>A</w:t>
      </w:r>
      <w:r w:rsidRPr="008B477C">
        <w:t>ct in good faith, treat others with respect and professionalism recognizing that disagreements will occur.</w:t>
      </w:r>
    </w:p>
    <w:p w14:paraId="305B4F9B" w14:textId="77777777" w:rsidR="00B41E80" w:rsidRPr="008B477C" w:rsidRDefault="00B41E80" w:rsidP="00B41E80">
      <w:pPr>
        <w:pStyle w:val="ListParagraph"/>
        <w:numPr>
          <w:ilvl w:val="0"/>
          <w:numId w:val="5"/>
        </w:numPr>
      </w:pPr>
      <w:r>
        <w:t>Comply</w:t>
      </w:r>
      <w:r w:rsidRPr="008B477C">
        <w:t xml:space="preserve"> with legal requirements of the program.</w:t>
      </w:r>
    </w:p>
    <w:p w14:paraId="3A09A774" w14:textId="77777777" w:rsidR="00B41E80" w:rsidRPr="008B477C" w:rsidRDefault="00B41E80" w:rsidP="00B41E80">
      <w:pPr>
        <w:pStyle w:val="ListParagraph"/>
        <w:numPr>
          <w:ilvl w:val="0"/>
          <w:numId w:val="5"/>
        </w:numPr>
      </w:pPr>
      <w:r>
        <w:t>Remain consistent with</w:t>
      </w:r>
      <w:r w:rsidRPr="008B477C">
        <w:t xml:space="preserve"> required timetables associated with adverse compliance actions.</w:t>
      </w:r>
    </w:p>
    <w:p w14:paraId="1F69E52F" w14:textId="77777777" w:rsidR="00B41E80" w:rsidRPr="00543626" w:rsidRDefault="00B41E80" w:rsidP="00B41E80">
      <w:pPr>
        <w:pStyle w:val="ListParagraph"/>
        <w:numPr>
          <w:ilvl w:val="0"/>
          <w:numId w:val="5"/>
        </w:numPr>
      </w:pPr>
      <w:r w:rsidRPr="00543626">
        <w:rPr>
          <w:rFonts w:cs="Arial"/>
          <w:spacing w:val="-4"/>
        </w:rPr>
        <w:t xml:space="preserve">RCS regulated settings have a practice in place where the provider can contact the assigned Field Manager (FM) to request simple or minor edits without requesting an IDR. </w:t>
      </w:r>
      <w:r w:rsidRPr="00543626">
        <w:rPr>
          <w:rFonts w:cs="Arial"/>
        </w:rPr>
        <w:t>A minor or simple edit means a change to a SOD that would not lead to modification, deletion, or removal of a violation, parts of a violation, or an enforcement remedy imposed by the Department of Social and Health Services</w:t>
      </w:r>
      <w:r w:rsidRPr="00752004">
        <w:rPr>
          <w:rFonts w:cs="Arial"/>
        </w:rPr>
        <w:t>. Examples include:</w:t>
      </w:r>
    </w:p>
    <w:p w14:paraId="3C89FFF6" w14:textId="77777777" w:rsidR="00B41E80" w:rsidRPr="00543626" w:rsidRDefault="00B41E80" w:rsidP="00B41E80">
      <w:pPr>
        <w:numPr>
          <w:ilvl w:val="1"/>
          <w:numId w:val="5"/>
        </w:numPr>
        <w:rPr>
          <w:rFonts w:cs="Arial"/>
        </w:rPr>
      </w:pPr>
      <w:r w:rsidRPr="00543626">
        <w:rPr>
          <w:rFonts w:cs="Arial"/>
        </w:rPr>
        <w:t>Reference to a client or resident identified as part of a sample</w:t>
      </w:r>
      <w:r>
        <w:rPr>
          <w:rFonts w:cs="Arial"/>
        </w:rPr>
        <w:t>.</w:t>
      </w:r>
    </w:p>
    <w:p w14:paraId="152D4993" w14:textId="77777777" w:rsidR="00B41E80" w:rsidRPr="00543626" w:rsidRDefault="00B41E80" w:rsidP="00B41E80">
      <w:pPr>
        <w:numPr>
          <w:ilvl w:val="1"/>
          <w:numId w:val="5"/>
        </w:numPr>
        <w:rPr>
          <w:rFonts w:cs="Arial"/>
        </w:rPr>
      </w:pPr>
      <w:r w:rsidRPr="00543626">
        <w:rPr>
          <w:rFonts w:cs="Arial"/>
        </w:rPr>
        <w:t>Date</w:t>
      </w:r>
      <w:r>
        <w:rPr>
          <w:rFonts w:cs="Arial"/>
        </w:rPr>
        <w:t>.</w:t>
      </w:r>
    </w:p>
    <w:p w14:paraId="056C51A4" w14:textId="77777777" w:rsidR="00B41E80" w:rsidRPr="00543626" w:rsidRDefault="00B41E80" w:rsidP="00B41E80">
      <w:pPr>
        <w:numPr>
          <w:ilvl w:val="1"/>
          <w:numId w:val="5"/>
        </w:numPr>
        <w:rPr>
          <w:rFonts w:cs="Arial"/>
        </w:rPr>
      </w:pPr>
      <w:r w:rsidRPr="00543626">
        <w:rPr>
          <w:rFonts w:cs="Arial"/>
        </w:rPr>
        <w:t>Client, resident, or staff identifier</w:t>
      </w:r>
      <w:r>
        <w:rPr>
          <w:rFonts w:cs="Arial"/>
        </w:rPr>
        <w:t>.</w:t>
      </w:r>
    </w:p>
    <w:p w14:paraId="2784ADC3" w14:textId="77777777" w:rsidR="00B41E80" w:rsidRPr="00543626" w:rsidRDefault="00B41E80" w:rsidP="00B41E80">
      <w:pPr>
        <w:numPr>
          <w:ilvl w:val="1"/>
          <w:numId w:val="5"/>
        </w:numPr>
        <w:rPr>
          <w:rFonts w:cs="Arial"/>
        </w:rPr>
      </w:pPr>
      <w:r w:rsidRPr="00543626">
        <w:rPr>
          <w:rFonts w:cs="Arial"/>
        </w:rPr>
        <w:t>Gender identification of a client or resident; and</w:t>
      </w:r>
    </w:p>
    <w:p w14:paraId="280AD99F" w14:textId="77777777" w:rsidR="00B41E80" w:rsidRDefault="00B41E80" w:rsidP="00B41E80">
      <w:pPr>
        <w:numPr>
          <w:ilvl w:val="1"/>
          <w:numId w:val="5"/>
        </w:numPr>
        <w:rPr>
          <w:rFonts w:cs="Arial"/>
        </w:rPr>
      </w:pPr>
      <w:r w:rsidRPr="00543626">
        <w:rPr>
          <w:rFonts w:cs="Arial"/>
        </w:rPr>
        <w:t>Title or name of a document.</w:t>
      </w:r>
    </w:p>
    <w:p w14:paraId="434B830D" w14:textId="77777777" w:rsidR="00B41E80" w:rsidRDefault="00B41E80" w:rsidP="00B41E80">
      <w:pPr>
        <w:ind w:left="720"/>
        <w:rPr>
          <w:rFonts w:cs="Arial"/>
        </w:rPr>
      </w:pPr>
      <w:r w:rsidRPr="00F1543C">
        <w:rPr>
          <w:rFonts w:cs="Arial"/>
          <w:b/>
        </w:rPr>
        <w:t>This internal guidance does not negate a provider’s option to request an Informal Dispute Resolution</w:t>
      </w:r>
      <w:r w:rsidRPr="00F1543C">
        <w:rPr>
          <w:rFonts w:cs="Arial"/>
        </w:rPr>
        <w:t xml:space="preserve">.     </w:t>
      </w:r>
    </w:p>
    <w:p w14:paraId="42EF5ED7" w14:textId="77777777" w:rsidR="00B41E80" w:rsidRPr="00543626" w:rsidRDefault="00B41E80" w:rsidP="00B41E80">
      <w:pPr>
        <w:ind w:left="720"/>
      </w:pPr>
      <w:r w:rsidRPr="00543626">
        <w:t>(See MB R2</w:t>
      </w:r>
      <w:r>
        <w:t>2</w:t>
      </w:r>
      <w:r w:rsidRPr="00543626">
        <w:t>-0</w:t>
      </w:r>
      <w:r>
        <w:t>44</w:t>
      </w:r>
      <w:r w:rsidRPr="00543626">
        <w:t xml:space="preserve"> for more details.)</w:t>
      </w:r>
    </w:p>
    <w:p w14:paraId="74164521" w14:textId="77777777" w:rsidR="00B41E80" w:rsidRDefault="00B41E80" w:rsidP="00B41E80">
      <w:pPr>
        <w:pStyle w:val="ListParagraph"/>
        <w:numPr>
          <w:ilvl w:val="0"/>
          <w:numId w:val="5"/>
        </w:numPr>
      </w:pPr>
      <w:r w:rsidRPr="00543626">
        <w:t xml:space="preserve">The IDR process will not be used to challenge any other aspect of the </w:t>
      </w:r>
      <w:r>
        <w:t>survey</w:t>
      </w:r>
      <w:r w:rsidRPr="00543626">
        <w:t xml:space="preserve"> or investigative process including</w:t>
      </w:r>
      <w:r w:rsidRPr="008B477C">
        <w:t>:</w:t>
      </w:r>
    </w:p>
    <w:p w14:paraId="2A8AF0CA" w14:textId="77777777" w:rsidR="00B41E80" w:rsidRPr="003B67F3" w:rsidRDefault="00B41E80" w:rsidP="00B41E80">
      <w:pPr>
        <w:pStyle w:val="ListParagraph"/>
        <w:numPr>
          <w:ilvl w:val="0"/>
          <w:numId w:val="12"/>
        </w:numPr>
      </w:pPr>
      <w:r w:rsidRPr="003B67F3">
        <w:t>The choice of remedies recommended or applied because of deficiencies.</w:t>
      </w:r>
    </w:p>
    <w:p w14:paraId="2F4446C2" w14:textId="77777777" w:rsidR="00B41E80" w:rsidRPr="003B67F3" w:rsidRDefault="00B41E80" w:rsidP="00B41E80">
      <w:pPr>
        <w:pStyle w:val="ListParagraph"/>
        <w:numPr>
          <w:ilvl w:val="0"/>
          <w:numId w:val="12"/>
        </w:numPr>
      </w:pPr>
      <w:r w:rsidRPr="003B67F3">
        <w:t>Failure of department staff to comply with the survey/licensing process</w:t>
      </w:r>
      <w:r>
        <w:t>.</w:t>
      </w:r>
    </w:p>
    <w:p w14:paraId="695B3DFE" w14:textId="77777777" w:rsidR="00B41E80" w:rsidRPr="003B67F3" w:rsidRDefault="00B41E80" w:rsidP="00B41E80">
      <w:pPr>
        <w:pStyle w:val="ListParagraph"/>
        <w:numPr>
          <w:ilvl w:val="0"/>
          <w:numId w:val="12"/>
        </w:numPr>
      </w:pPr>
      <w:r w:rsidRPr="003B67F3">
        <w:t>Inconsistency of department staff in citing deficiencies among facilities</w:t>
      </w:r>
      <w:r>
        <w:t>.</w:t>
      </w:r>
    </w:p>
    <w:p w14:paraId="6C6617FB" w14:textId="77777777" w:rsidR="00B41E80" w:rsidRPr="003B67F3" w:rsidRDefault="00B41E80" w:rsidP="00B41E80">
      <w:pPr>
        <w:pStyle w:val="ListParagraph"/>
        <w:numPr>
          <w:ilvl w:val="0"/>
          <w:numId w:val="12"/>
        </w:numPr>
      </w:pPr>
      <w:r w:rsidRPr="003B67F3">
        <w:t>Inadequacy or inaccuracy of the IDR process</w:t>
      </w:r>
      <w:r>
        <w:t>.</w:t>
      </w:r>
    </w:p>
    <w:p w14:paraId="23B2E8CE" w14:textId="77777777" w:rsidR="00B41E80" w:rsidRPr="003B67F3" w:rsidRDefault="00B41E80" w:rsidP="00B41E80">
      <w:pPr>
        <w:pStyle w:val="ListParagraph"/>
        <w:numPr>
          <w:ilvl w:val="0"/>
          <w:numId w:val="12"/>
        </w:numPr>
      </w:pPr>
      <w:r w:rsidRPr="003B67F3">
        <w:t>Other previously administered citation(s)</w:t>
      </w:r>
      <w:r>
        <w:t xml:space="preserve"> or enforcement actions.</w:t>
      </w:r>
    </w:p>
    <w:p w14:paraId="26648038" w14:textId="6D6C3BFD" w:rsidR="00B41E80" w:rsidRPr="005D7507" w:rsidRDefault="00B41E80" w:rsidP="005D7507">
      <w:pPr>
        <w:pStyle w:val="ListParagraph"/>
        <w:numPr>
          <w:ilvl w:val="0"/>
          <w:numId w:val="5"/>
        </w:numPr>
        <w:rPr>
          <w:b/>
          <w:bCs/>
        </w:rPr>
      </w:pPr>
      <w:r w:rsidRPr="008B477C">
        <w:t>IDR is an informal administrative process</w:t>
      </w:r>
      <w:r>
        <w:t xml:space="preserve">, </w:t>
      </w:r>
      <w:r w:rsidRPr="008B477C">
        <w:t>is not a formal evidentiary hearing</w:t>
      </w:r>
      <w:r>
        <w:t xml:space="preserve"> and recordings are not allowed.</w:t>
      </w:r>
    </w:p>
    <w:p w14:paraId="7897AD3F" w14:textId="77777777" w:rsidR="00B41E80" w:rsidRDefault="00B41E80" w:rsidP="00B41E80">
      <w:pPr>
        <w:rPr>
          <w:b/>
        </w:rPr>
      </w:pPr>
    </w:p>
    <w:p w14:paraId="10AAEC11" w14:textId="77777777" w:rsidR="00B41E80" w:rsidRDefault="00B41E80" w:rsidP="00B41E80"/>
    <w:p w14:paraId="4ACFDF6F" w14:textId="77777777" w:rsidR="00B41E80" w:rsidRDefault="00B41E80" w:rsidP="00B41E80">
      <w:pPr>
        <w:rPr>
          <w:b/>
        </w:rPr>
      </w:pPr>
    </w:p>
    <w:p w14:paraId="23BB9412" w14:textId="77777777" w:rsidR="00B41E80" w:rsidRDefault="00B41E80" w:rsidP="00B41E80">
      <w:pPr>
        <w:rPr>
          <w:b/>
          <w:i/>
          <w:sz w:val="32"/>
          <w:szCs w:val="32"/>
        </w:rPr>
      </w:pPr>
    </w:p>
    <w:p w14:paraId="6A439887" w14:textId="77777777" w:rsidR="00B41E80" w:rsidRDefault="00B41E80">
      <w:pPr>
        <w:rPr>
          <w:b/>
          <w:i/>
          <w:sz w:val="32"/>
          <w:szCs w:val="32"/>
        </w:rPr>
      </w:pPr>
      <w:r>
        <w:rPr>
          <w:b/>
          <w:i/>
          <w:sz w:val="32"/>
          <w:szCs w:val="32"/>
        </w:rPr>
        <w:br w:type="page"/>
      </w:r>
    </w:p>
    <w:p w14:paraId="3F0A5535" w14:textId="3FEFB6C6" w:rsidR="00B41E80" w:rsidRDefault="00B41E80" w:rsidP="00B41E80">
      <w:pPr>
        <w:rPr>
          <w:b/>
          <w:i/>
          <w:sz w:val="32"/>
          <w:szCs w:val="32"/>
        </w:rPr>
      </w:pPr>
      <w:r w:rsidRPr="00B41E80">
        <w:rPr>
          <w:b/>
          <w:i/>
          <w:sz w:val="32"/>
          <w:szCs w:val="32"/>
        </w:rPr>
        <w:t xml:space="preserve">SECTION 2. </w:t>
      </w:r>
    </w:p>
    <w:p w14:paraId="144A3320" w14:textId="77777777" w:rsidR="00B41E80" w:rsidRDefault="00B41E80" w:rsidP="00B41E80">
      <w:pPr>
        <w:rPr>
          <w:b/>
          <w:i/>
          <w:sz w:val="32"/>
          <w:szCs w:val="32"/>
        </w:rPr>
      </w:pPr>
    </w:p>
    <w:p w14:paraId="4C150648" w14:textId="77777777" w:rsidR="00B41E80" w:rsidRPr="00B41E80" w:rsidRDefault="00B41E80" w:rsidP="00B41E80">
      <w:pPr>
        <w:rPr>
          <w:b/>
          <w:i/>
          <w:sz w:val="28"/>
          <w:szCs w:val="28"/>
        </w:rPr>
      </w:pPr>
      <w:r w:rsidRPr="00B41E80">
        <w:rPr>
          <w:b/>
          <w:i/>
          <w:sz w:val="28"/>
          <w:szCs w:val="28"/>
        </w:rPr>
        <w:t>AUTHORITY</w:t>
      </w:r>
    </w:p>
    <w:p w14:paraId="30ABB828" w14:textId="77777777" w:rsidR="00B41E80" w:rsidRPr="00B41E80" w:rsidRDefault="00B41E80" w:rsidP="00B41E80">
      <w:pPr>
        <w:rPr>
          <w:b/>
          <w:i/>
          <w:sz w:val="28"/>
          <w:szCs w:val="28"/>
        </w:rPr>
      </w:pPr>
    </w:p>
    <w:p w14:paraId="7EF4A91E" w14:textId="04314CC8" w:rsidR="00B41E80" w:rsidRPr="00B41E80" w:rsidRDefault="00B41E80" w:rsidP="003360DE">
      <w:pPr>
        <w:pStyle w:val="ListParagraph"/>
        <w:numPr>
          <w:ilvl w:val="0"/>
          <w:numId w:val="6"/>
        </w:numPr>
        <w:spacing w:after="120" w:line="360" w:lineRule="auto"/>
        <w:rPr>
          <w:b/>
          <w:i/>
          <w:sz w:val="28"/>
          <w:szCs w:val="28"/>
        </w:rPr>
      </w:pPr>
      <w:r w:rsidRPr="00B41E80">
        <w:rPr>
          <w:b/>
          <w:i/>
          <w:sz w:val="28"/>
          <w:szCs w:val="28"/>
        </w:rPr>
        <w:t xml:space="preserve">RCW 70.128.167 </w:t>
      </w:r>
    </w:p>
    <w:p w14:paraId="38A02A55" w14:textId="77777777" w:rsidR="00C64066" w:rsidRPr="00C64066" w:rsidRDefault="00C64066" w:rsidP="003360DE">
      <w:pPr>
        <w:pStyle w:val="ListParagraph"/>
        <w:numPr>
          <w:ilvl w:val="0"/>
          <w:numId w:val="6"/>
        </w:numPr>
        <w:spacing w:after="120" w:line="360" w:lineRule="auto"/>
        <w:rPr>
          <w:b/>
          <w:iCs/>
          <w:sz w:val="28"/>
          <w:szCs w:val="28"/>
        </w:rPr>
      </w:pPr>
      <w:r w:rsidRPr="00C64066">
        <w:rPr>
          <w:b/>
          <w:iCs/>
          <w:sz w:val="28"/>
          <w:szCs w:val="28"/>
        </w:rPr>
        <w:t xml:space="preserve">WAC 388-78A-3210 </w:t>
      </w:r>
    </w:p>
    <w:p w14:paraId="14A734DC" w14:textId="77777777" w:rsidR="00C64066" w:rsidRDefault="00C64066" w:rsidP="003360DE">
      <w:pPr>
        <w:pStyle w:val="ListParagraph"/>
        <w:numPr>
          <w:ilvl w:val="0"/>
          <w:numId w:val="6"/>
        </w:numPr>
        <w:spacing w:after="120" w:line="360" w:lineRule="auto"/>
        <w:rPr>
          <w:b/>
          <w:iCs/>
          <w:sz w:val="28"/>
          <w:szCs w:val="28"/>
        </w:rPr>
      </w:pPr>
      <w:bookmarkStart w:id="0" w:name="_Hlk188433126"/>
      <w:r w:rsidRPr="00C64066">
        <w:rPr>
          <w:b/>
          <w:iCs/>
          <w:sz w:val="28"/>
          <w:szCs w:val="28"/>
        </w:rPr>
        <w:t xml:space="preserve">WAC 388-101-4240 </w:t>
      </w:r>
    </w:p>
    <w:p w14:paraId="16A5268F" w14:textId="77777777" w:rsidR="003360DE" w:rsidRPr="003360DE" w:rsidRDefault="003360DE" w:rsidP="005E25F1">
      <w:pPr>
        <w:pStyle w:val="ListParagraph"/>
        <w:numPr>
          <w:ilvl w:val="0"/>
          <w:numId w:val="6"/>
        </w:numPr>
        <w:spacing w:line="360" w:lineRule="auto"/>
        <w:rPr>
          <w:b/>
          <w:iCs/>
          <w:sz w:val="28"/>
          <w:szCs w:val="28"/>
        </w:rPr>
      </w:pPr>
      <w:r w:rsidRPr="003360DE">
        <w:rPr>
          <w:b/>
          <w:iCs/>
          <w:sz w:val="28"/>
          <w:szCs w:val="28"/>
        </w:rPr>
        <w:t>WAC 388-97-4420</w:t>
      </w:r>
    </w:p>
    <w:p w14:paraId="0A21FE3D" w14:textId="0BE89DD7" w:rsidR="00EE4ADF" w:rsidRPr="00EE4ADF" w:rsidRDefault="00EE4ADF" w:rsidP="005E25F1">
      <w:pPr>
        <w:pStyle w:val="ListParagraph"/>
        <w:numPr>
          <w:ilvl w:val="0"/>
          <w:numId w:val="6"/>
        </w:numPr>
        <w:spacing w:before="75" w:after="150" w:line="360" w:lineRule="auto"/>
        <w:outlineLvl w:val="2"/>
        <w:rPr>
          <w:b/>
          <w:i/>
          <w:sz w:val="28"/>
          <w:szCs w:val="28"/>
        </w:rPr>
      </w:pPr>
      <w:bookmarkStart w:id="1" w:name="_Hlk188434370"/>
      <w:r w:rsidRPr="00EE4ADF">
        <w:rPr>
          <w:b/>
          <w:i/>
          <w:sz w:val="28"/>
          <w:szCs w:val="28"/>
        </w:rPr>
        <w:t>42 CFR 48</w:t>
      </w:r>
      <w:r w:rsidR="009D3FC9">
        <w:rPr>
          <w:b/>
          <w:i/>
          <w:sz w:val="28"/>
          <w:szCs w:val="28"/>
        </w:rPr>
        <w:t>8.331</w:t>
      </w:r>
    </w:p>
    <w:p w14:paraId="5ED4079C" w14:textId="06881469" w:rsidR="007538C4" w:rsidRPr="00C64066" w:rsidRDefault="007538C4" w:rsidP="003360DE">
      <w:pPr>
        <w:pStyle w:val="ListParagraph"/>
        <w:numPr>
          <w:ilvl w:val="0"/>
          <w:numId w:val="6"/>
        </w:numPr>
        <w:spacing w:after="120" w:line="360" w:lineRule="auto"/>
        <w:rPr>
          <w:b/>
          <w:iCs/>
          <w:sz w:val="28"/>
          <w:szCs w:val="28"/>
        </w:rPr>
      </w:pPr>
      <w:r>
        <w:rPr>
          <w:b/>
          <w:iCs/>
          <w:sz w:val="28"/>
          <w:szCs w:val="28"/>
        </w:rPr>
        <w:t>SOM</w:t>
      </w:r>
      <w:bookmarkEnd w:id="1"/>
    </w:p>
    <w:bookmarkEnd w:id="0"/>
    <w:p w14:paraId="404ACFC4" w14:textId="77777777" w:rsidR="00C64066" w:rsidRPr="00B41E80" w:rsidRDefault="00C64066" w:rsidP="005E25F1">
      <w:pPr>
        <w:pStyle w:val="ListParagraph"/>
        <w:spacing w:line="360" w:lineRule="auto"/>
        <w:rPr>
          <w:b/>
          <w:i/>
          <w:sz w:val="28"/>
          <w:szCs w:val="28"/>
        </w:rPr>
      </w:pPr>
    </w:p>
    <w:p w14:paraId="3AFE3231" w14:textId="77777777" w:rsidR="00B41E80" w:rsidRPr="00B41E80" w:rsidRDefault="00B41E80" w:rsidP="00B41E80">
      <w:pPr>
        <w:rPr>
          <w:b/>
          <w:iCs/>
          <w:sz w:val="28"/>
          <w:szCs w:val="28"/>
        </w:rPr>
      </w:pPr>
      <w:r w:rsidRPr="00B41E80">
        <w:rPr>
          <w:b/>
          <w:iCs/>
          <w:sz w:val="28"/>
          <w:szCs w:val="28"/>
        </w:rPr>
        <w:t xml:space="preserve">RCW 70.128.167 </w:t>
      </w:r>
    </w:p>
    <w:p w14:paraId="677EF9BD" w14:textId="77777777" w:rsidR="00B41E80" w:rsidRPr="00781533" w:rsidRDefault="00B41E80" w:rsidP="00B41E80">
      <w:pPr>
        <w:rPr>
          <w:b/>
          <w:iCs/>
          <w:u w:val="single"/>
        </w:rPr>
      </w:pPr>
      <w:r w:rsidRPr="00781533">
        <w:rPr>
          <w:b/>
          <w:iCs/>
          <w:u w:val="single"/>
        </w:rPr>
        <w:t>Disputed violations, enforcement remedies—Informal dispute resolution process.</w:t>
      </w:r>
    </w:p>
    <w:p w14:paraId="621FC3C0" w14:textId="77777777" w:rsidR="00B41E80" w:rsidRPr="00B41E80" w:rsidRDefault="00B41E80" w:rsidP="00B41E80">
      <w:pPr>
        <w:rPr>
          <w:bCs/>
          <w:iCs/>
        </w:rPr>
      </w:pPr>
      <w:r w:rsidRPr="00B41E80">
        <w:rPr>
          <w:bCs/>
          <w:iCs/>
        </w:rPr>
        <w:t xml:space="preserve">(1) The licensee or its designee has the right to an informal dispute resolution process to dispute any violation found or enforcement remedy imposed by the department during a licensing inspection or complaint investigation. The purpose of the informal dispute resolution process is to provide an opportunity for an exchange of information that may lead to the modification, deletion, or removal of a violation, or parts of a violation, or enforcement remedy imposed by the department. </w:t>
      </w:r>
    </w:p>
    <w:p w14:paraId="23727D21" w14:textId="77777777" w:rsidR="00B41E80" w:rsidRPr="00B41E80" w:rsidRDefault="00B41E80" w:rsidP="00B41E80">
      <w:pPr>
        <w:rPr>
          <w:bCs/>
          <w:iCs/>
        </w:rPr>
      </w:pPr>
      <w:r w:rsidRPr="00B41E80">
        <w:rPr>
          <w:bCs/>
          <w:iCs/>
        </w:rPr>
        <w:t xml:space="preserve">(2) The informal dispute resolution process provided by the department shall include, but is not necessarily limited to, an opportunity for review by a department employee who did not participate in, or oversee, the determination of the violation or enforcement remedy under dispute. The department shall develop, or further develop, an informal dispute resolution process consistent with this section. </w:t>
      </w:r>
    </w:p>
    <w:p w14:paraId="323A82F7" w14:textId="77777777" w:rsidR="00B41E80" w:rsidRPr="00B41E80" w:rsidRDefault="00B41E80" w:rsidP="00B41E80">
      <w:pPr>
        <w:rPr>
          <w:bCs/>
          <w:iCs/>
        </w:rPr>
      </w:pPr>
      <w:r w:rsidRPr="00B41E80">
        <w:rPr>
          <w:bCs/>
          <w:iCs/>
        </w:rPr>
        <w:t xml:space="preserve">(3) A request for an informal dispute resolution shall be made to the department within ten working days from the receipt of a written finding of a violation or enforcement remedy. The request shall identify the violation or violations and enforcement remedy or remedies being disputed. The department shall convene a meeting, when possible, within ten working days of receipt of the request for informal dispute resolution, unless by mutual agreement a later date is agreed upon. </w:t>
      </w:r>
    </w:p>
    <w:p w14:paraId="02349682" w14:textId="77777777" w:rsidR="00B41E80" w:rsidRPr="00B41E80" w:rsidRDefault="00B41E80" w:rsidP="00B41E80">
      <w:pPr>
        <w:rPr>
          <w:bCs/>
          <w:iCs/>
        </w:rPr>
      </w:pPr>
      <w:r w:rsidRPr="00B41E80">
        <w:rPr>
          <w:bCs/>
          <w:iCs/>
        </w:rPr>
        <w:t xml:space="preserve">(4) If the department determines that a violation or enforcement remedy should not be cited or imposed, the department shall delete the violation or immediately rescind or modify the enforcement remedy. Upon request, the department shall issue a clean copy of the revised report, statement of deficiencies, or notice of enforcement action. </w:t>
      </w:r>
    </w:p>
    <w:p w14:paraId="0720D956" w14:textId="366373AB" w:rsidR="00B41E80" w:rsidRPr="00B41E80" w:rsidRDefault="00B41E80" w:rsidP="00B41E80">
      <w:pPr>
        <w:rPr>
          <w:b/>
          <w:i/>
        </w:rPr>
      </w:pPr>
      <w:r w:rsidRPr="00B41E80">
        <w:rPr>
          <w:bCs/>
          <w:iCs/>
        </w:rPr>
        <w:t xml:space="preserve">(5) The request for informal dispute resolution does not delay the effective date of any enforcement remedy imposed by the department, except that civil monetary fines are not payable until the exhaustion of any formal hearing and appeal rights provided under this chapter. The licensee shall submit to the department, within the time period prescribed by the department, a plan of correction to address any undisputed violations, and including any violations that still remain following the informal dispute resolution. </w:t>
      </w:r>
      <w:r w:rsidRPr="00B41E80">
        <w:rPr>
          <w:b/>
          <w:i/>
        </w:rPr>
        <w:t xml:space="preserve"> </w:t>
      </w:r>
    </w:p>
    <w:p w14:paraId="00F6552A" w14:textId="77777777" w:rsidR="00B41E80" w:rsidRDefault="00B41E80" w:rsidP="00B41E80">
      <w:pPr>
        <w:rPr>
          <w:b/>
          <w:i/>
          <w:sz w:val="28"/>
          <w:szCs w:val="28"/>
        </w:rPr>
      </w:pPr>
    </w:p>
    <w:p w14:paraId="4C4BDCB4" w14:textId="3B677108" w:rsidR="00B41E80" w:rsidRPr="00B41E80" w:rsidRDefault="00B41E80" w:rsidP="00B41E80">
      <w:pPr>
        <w:rPr>
          <w:b/>
          <w:iCs/>
          <w:sz w:val="28"/>
          <w:szCs w:val="28"/>
        </w:rPr>
      </w:pPr>
      <w:bookmarkStart w:id="2" w:name="_Hlk188433099"/>
      <w:r w:rsidRPr="00B41E80">
        <w:rPr>
          <w:b/>
          <w:iCs/>
          <w:sz w:val="28"/>
          <w:szCs w:val="28"/>
        </w:rPr>
        <w:t>WAC 388-7</w:t>
      </w:r>
      <w:r w:rsidR="00073DEF">
        <w:rPr>
          <w:b/>
          <w:iCs/>
          <w:sz w:val="28"/>
          <w:szCs w:val="28"/>
        </w:rPr>
        <w:t>8A</w:t>
      </w:r>
      <w:r w:rsidRPr="00B41E80">
        <w:rPr>
          <w:b/>
          <w:iCs/>
          <w:sz w:val="28"/>
          <w:szCs w:val="28"/>
        </w:rPr>
        <w:t>-</w:t>
      </w:r>
      <w:r w:rsidR="00073DEF">
        <w:rPr>
          <w:b/>
          <w:iCs/>
          <w:sz w:val="28"/>
          <w:szCs w:val="28"/>
        </w:rPr>
        <w:t>3210</w:t>
      </w:r>
      <w:r w:rsidRPr="00B41E80">
        <w:rPr>
          <w:b/>
          <w:iCs/>
          <w:sz w:val="28"/>
          <w:szCs w:val="28"/>
        </w:rPr>
        <w:t xml:space="preserve"> </w:t>
      </w:r>
    </w:p>
    <w:bookmarkEnd w:id="2"/>
    <w:p w14:paraId="1818B1D5" w14:textId="3C6E7350" w:rsidR="00B41E80" w:rsidRPr="00781533" w:rsidRDefault="00B41E80" w:rsidP="00B41E80">
      <w:pPr>
        <w:rPr>
          <w:b/>
          <w:iCs/>
          <w:u w:val="single"/>
        </w:rPr>
      </w:pPr>
      <w:r w:rsidRPr="00781533">
        <w:rPr>
          <w:b/>
          <w:iCs/>
          <w:u w:val="single"/>
        </w:rPr>
        <w:t xml:space="preserve">Informal dispute resolution (IDR) </w:t>
      </w:r>
    </w:p>
    <w:p w14:paraId="3D37DE32" w14:textId="719BAD3E" w:rsidR="00F943E6" w:rsidRDefault="00F943E6" w:rsidP="00B41E80">
      <w:pPr>
        <w:rPr>
          <w:bCs/>
          <w:iCs/>
        </w:rPr>
      </w:pPr>
      <w:r w:rsidRPr="00F943E6">
        <w:rPr>
          <w:bCs/>
          <w:iCs/>
        </w:rPr>
        <w:t>The assisted living facility has a right to an informal dispute resolution meeting according to department procedure and consistent with RCW </w:t>
      </w:r>
      <w:hyperlink r:id="rId11" w:history="1">
        <w:r w:rsidRPr="00F943E6">
          <w:rPr>
            <w:rStyle w:val="Hyperlink"/>
            <w:b/>
            <w:bCs/>
            <w:iCs/>
          </w:rPr>
          <w:t>18.20.195</w:t>
        </w:r>
      </w:hyperlink>
      <w:r w:rsidRPr="00F943E6">
        <w:rPr>
          <w:bCs/>
          <w:iCs/>
        </w:rPr>
        <w:t>. The assisted living facility must make a request for an informal dispute resolution meeting in writing within ten days of the receipt of the written notice of deficiency.</w:t>
      </w:r>
      <w:r w:rsidRPr="00F943E6" w:rsidDel="00F943E6">
        <w:rPr>
          <w:bCs/>
          <w:iCs/>
        </w:rPr>
        <w:t xml:space="preserve"> </w:t>
      </w:r>
    </w:p>
    <w:p w14:paraId="3DC5206B" w14:textId="77777777" w:rsidR="00F943E6" w:rsidRPr="00B41E80" w:rsidRDefault="00F943E6" w:rsidP="00B41E80">
      <w:pPr>
        <w:rPr>
          <w:bCs/>
          <w:iCs/>
        </w:rPr>
      </w:pPr>
    </w:p>
    <w:p w14:paraId="1F8BF7B4" w14:textId="357F12ED" w:rsidR="00F943E6" w:rsidRPr="00B41E80" w:rsidRDefault="00F943E6" w:rsidP="00F943E6">
      <w:pPr>
        <w:rPr>
          <w:b/>
          <w:iCs/>
          <w:sz w:val="28"/>
          <w:szCs w:val="28"/>
        </w:rPr>
      </w:pPr>
      <w:bookmarkStart w:id="3" w:name="_Hlk188432160"/>
      <w:r w:rsidRPr="00B41E80">
        <w:rPr>
          <w:b/>
          <w:iCs/>
          <w:sz w:val="28"/>
          <w:szCs w:val="28"/>
        </w:rPr>
        <w:t>WAC 388-</w:t>
      </w:r>
      <w:r>
        <w:rPr>
          <w:b/>
          <w:iCs/>
          <w:sz w:val="28"/>
          <w:szCs w:val="28"/>
        </w:rPr>
        <w:t>10</w:t>
      </w:r>
      <w:r w:rsidR="00B33CD1">
        <w:rPr>
          <w:b/>
          <w:iCs/>
          <w:sz w:val="28"/>
          <w:szCs w:val="28"/>
        </w:rPr>
        <w:t>1-4240</w:t>
      </w:r>
      <w:r w:rsidRPr="00B41E80">
        <w:rPr>
          <w:b/>
          <w:iCs/>
          <w:sz w:val="28"/>
          <w:szCs w:val="28"/>
        </w:rPr>
        <w:t xml:space="preserve"> </w:t>
      </w:r>
    </w:p>
    <w:bookmarkEnd w:id="3"/>
    <w:p w14:paraId="2EF9BBEC" w14:textId="2A824B30" w:rsidR="0034658D" w:rsidRPr="00781533" w:rsidRDefault="0034658D" w:rsidP="0034658D">
      <w:pPr>
        <w:rPr>
          <w:b/>
          <w:iCs/>
          <w:u w:val="single"/>
        </w:rPr>
      </w:pPr>
      <w:r w:rsidRPr="00781533">
        <w:rPr>
          <w:b/>
          <w:iCs/>
          <w:u w:val="single"/>
        </w:rPr>
        <w:t xml:space="preserve">Informal dispute resolution (IDR) </w:t>
      </w:r>
    </w:p>
    <w:p w14:paraId="2DFC44B5" w14:textId="77777777" w:rsidR="0034658D" w:rsidRPr="005E25F1" w:rsidRDefault="0034658D" w:rsidP="005E25F1">
      <w:pPr>
        <w:shd w:val="clear" w:color="auto" w:fill="FFFFFF"/>
        <w:jc w:val="both"/>
        <w:rPr>
          <w:rFonts w:eastAsia="Times New Roman" w:cs="Calibri"/>
          <w:color w:val="000000"/>
          <w:kern w:val="0"/>
          <w14:ligatures w14:val="none"/>
        </w:rPr>
      </w:pPr>
      <w:r w:rsidRPr="005E25F1">
        <w:rPr>
          <w:rFonts w:eastAsia="Times New Roman" w:cs="Calibri"/>
          <w:color w:val="000000"/>
          <w:kern w:val="0"/>
          <w14:ligatures w14:val="none"/>
        </w:rPr>
        <w:t>(1) When a service provider disagrees with the department's finding of a violation or certification action under this chapter, the service provider may request an informal dispute resolution meeting with the department.</w:t>
      </w:r>
    </w:p>
    <w:p w14:paraId="41E49744" w14:textId="77777777" w:rsidR="0034658D" w:rsidRPr="005E25F1" w:rsidRDefault="0034658D" w:rsidP="005E25F1">
      <w:pPr>
        <w:shd w:val="clear" w:color="auto" w:fill="FFFFFF"/>
        <w:jc w:val="both"/>
        <w:rPr>
          <w:rFonts w:eastAsia="Times New Roman" w:cs="Calibri"/>
          <w:color w:val="000000"/>
          <w:kern w:val="0"/>
          <w14:ligatures w14:val="none"/>
        </w:rPr>
      </w:pPr>
      <w:r w:rsidRPr="005E25F1">
        <w:rPr>
          <w:rFonts w:eastAsia="Times New Roman" w:cs="Calibri"/>
          <w:color w:val="000000"/>
          <w:kern w:val="0"/>
          <w14:ligatures w14:val="none"/>
        </w:rPr>
        <w:t>(2) The service provider must make a written request to the department for an informal dispute resolution meeting within ten working days of receipt of the written notice of the department's final report of findings and/or certification action.</w:t>
      </w:r>
    </w:p>
    <w:p w14:paraId="798BD86D" w14:textId="77777777" w:rsidR="0034658D" w:rsidRPr="005E25F1" w:rsidRDefault="0034658D" w:rsidP="005E25F1">
      <w:pPr>
        <w:shd w:val="clear" w:color="auto" w:fill="FFFFFF"/>
        <w:jc w:val="both"/>
        <w:rPr>
          <w:rFonts w:eastAsia="Times New Roman" w:cs="Calibri"/>
          <w:color w:val="000000"/>
          <w:kern w:val="0"/>
          <w14:ligatures w14:val="none"/>
        </w:rPr>
      </w:pPr>
      <w:r w:rsidRPr="005E25F1">
        <w:rPr>
          <w:rFonts w:eastAsia="Times New Roman" w:cs="Calibri"/>
          <w:color w:val="000000"/>
          <w:kern w:val="0"/>
          <w14:ligatures w14:val="none"/>
        </w:rPr>
        <w:t>(3) The service provider must submit a written statement identifying the challenged action, and include specifically the issues and regulations involved.</w:t>
      </w:r>
    </w:p>
    <w:p w14:paraId="04FACDCE" w14:textId="77777777" w:rsidR="0034658D" w:rsidRPr="005E25F1" w:rsidRDefault="0034658D" w:rsidP="005E25F1">
      <w:pPr>
        <w:shd w:val="clear" w:color="auto" w:fill="FFFFFF"/>
        <w:jc w:val="both"/>
        <w:rPr>
          <w:rFonts w:eastAsia="Times New Roman" w:cs="Calibri"/>
          <w:color w:val="000000"/>
          <w:kern w:val="0"/>
          <w14:ligatures w14:val="none"/>
        </w:rPr>
      </w:pPr>
      <w:r w:rsidRPr="005E25F1">
        <w:rPr>
          <w:rFonts w:eastAsia="Times New Roman" w:cs="Calibri"/>
          <w:color w:val="000000"/>
          <w:kern w:val="0"/>
          <w14:ligatures w14:val="none"/>
        </w:rPr>
        <w:t>(4) Except for the imposition of civil penalties, the effective date of enforcement actions may not be delayed or suspended pending any hearing or informal dispute resolution process.</w:t>
      </w:r>
    </w:p>
    <w:p w14:paraId="06CF291F" w14:textId="77777777" w:rsidR="007E4B3A" w:rsidRDefault="007E4B3A" w:rsidP="00B41E80">
      <w:pPr>
        <w:rPr>
          <w:bCs/>
          <w:iCs/>
        </w:rPr>
      </w:pPr>
    </w:p>
    <w:p w14:paraId="0D8A66F0" w14:textId="78BA838C" w:rsidR="007E4B3A" w:rsidRPr="005E25F1" w:rsidRDefault="007E4B3A" w:rsidP="00B41E80">
      <w:pPr>
        <w:rPr>
          <w:b/>
          <w:iCs/>
          <w:sz w:val="28"/>
          <w:szCs w:val="28"/>
        </w:rPr>
      </w:pPr>
      <w:bookmarkStart w:id="4" w:name="_Hlk188435435"/>
      <w:r w:rsidRPr="005E25F1">
        <w:rPr>
          <w:b/>
          <w:iCs/>
          <w:sz w:val="28"/>
          <w:szCs w:val="28"/>
        </w:rPr>
        <w:t>WAC 388-97-4420</w:t>
      </w:r>
    </w:p>
    <w:bookmarkEnd w:id="4"/>
    <w:p w14:paraId="36BEE622" w14:textId="2F2FB516" w:rsidR="001631B2" w:rsidRDefault="001631B2" w:rsidP="00B41E80">
      <w:pPr>
        <w:rPr>
          <w:b/>
          <w:iCs/>
          <w:u w:val="single"/>
        </w:rPr>
      </w:pPr>
      <w:r w:rsidRPr="005E25F1">
        <w:rPr>
          <w:b/>
          <w:iCs/>
          <w:u w:val="single"/>
        </w:rPr>
        <w:t>Informal Department Review</w:t>
      </w:r>
    </w:p>
    <w:p w14:paraId="344DCD33" w14:textId="7BE79372" w:rsidR="003B334E" w:rsidRPr="005E25F1" w:rsidRDefault="003B334E" w:rsidP="003B334E">
      <w:pPr>
        <w:shd w:val="clear" w:color="auto" w:fill="FFFFFF"/>
        <w:ind w:firstLine="720"/>
        <w:rPr>
          <w:rFonts w:eastAsia="Times New Roman" w:cs="Calibri"/>
          <w:color w:val="000000"/>
          <w:kern w:val="0"/>
          <w14:ligatures w14:val="none"/>
        </w:rPr>
      </w:pPr>
      <w:r w:rsidRPr="005E25F1">
        <w:rPr>
          <w:rFonts w:eastAsia="Times New Roman" w:cs="Calibri"/>
          <w:color w:val="000000"/>
          <w:kern w:val="0"/>
          <w14:ligatures w14:val="none"/>
        </w:rPr>
        <w:t>(1) For Medicare or Medicaid certified nursing homes, the informal department review process described in this section is the only opportunity for the nursing home to dispute the federal deficiency citation report, unless a federal sanction is imposed.</w:t>
      </w:r>
    </w:p>
    <w:p w14:paraId="27C5E6E2" w14:textId="77777777" w:rsidR="003B334E" w:rsidRPr="005E25F1" w:rsidRDefault="003B334E" w:rsidP="003B334E">
      <w:pPr>
        <w:shd w:val="clear" w:color="auto" w:fill="FFFFFF"/>
        <w:ind w:firstLine="720"/>
        <w:rPr>
          <w:rFonts w:eastAsia="Times New Roman" w:cs="Calibri"/>
          <w:color w:val="000000"/>
          <w:kern w:val="0"/>
          <w14:ligatures w14:val="none"/>
        </w:rPr>
      </w:pPr>
      <w:r w:rsidRPr="005E25F1">
        <w:rPr>
          <w:rFonts w:eastAsia="Times New Roman" w:cs="Calibri"/>
          <w:color w:val="000000"/>
          <w:kern w:val="0"/>
          <w14:ligatures w14:val="none"/>
        </w:rPr>
        <w:t>(2) The nursing home licensee has the right to an informal department review of disputed state or federal citations, or both.</w:t>
      </w:r>
    </w:p>
    <w:p w14:paraId="6E373F45" w14:textId="77777777" w:rsidR="003B334E" w:rsidRPr="005E25F1" w:rsidRDefault="003B334E" w:rsidP="003B334E">
      <w:pPr>
        <w:shd w:val="clear" w:color="auto" w:fill="FFFFFF"/>
        <w:ind w:firstLine="720"/>
        <w:rPr>
          <w:rFonts w:eastAsia="Times New Roman" w:cs="Calibri"/>
          <w:color w:val="000000"/>
          <w:kern w:val="0"/>
          <w14:ligatures w14:val="none"/>
        </w:rPr>
      </w:pPr>
      <w:r w:rsidRPr="005E25F1">
        <w:rPr>
          <w:rFonts w:eastAsia="Times New Roman" w:cs="Calibri"/>
          <w:color w:val="000000"/>
          <w:kern w:val="0"/>
          <w14:ligatures w14:val="none"/>
        </w:rPr>
        <w:t>(3) A licensee must make a written request for an informal department review within ten calendar days of receipt of the department's written deficiency citation(s) report. The request must be directed to the department's designated local aging and disability services administration office and must identify the deficiencies that are being disputed.</w:t>
      </w:r>
    </w:p>
    <w:p w14:paraId="58832BBB" w14:textId="77777777" w:rsidR="003B334E" w:rsidRPr="005E25F1" w:rsidRDefault="003B334E" w:rsidP="003B334E">
      <w:pPr>
        <w:shd w:val="clear" w:color="auto" w:fill="FFFFFF"/>
        <w:ind w:firstLine="720"/>
        <w:rPr>
          <w:rFonts w:eastAsia="Times New Roman" w:cs="Calibri"/>
          <w:color w:val="000000"/>
          <w:kern w:val="0"/>
          <w14:ligatures w14:val="none"/>
        </w:rPr>
      </w:pPr>
      <w:r w:rsidRPr="005E25F1">
        <w:rPr>
          <w:rFonts w:eastAsia="Times New Roman" w:cs="Calibri"/>
          <w:color w:val="000000"/>
          <w:kern w:val="0"/>
          <w14:ligatures w14:val="none"/>
        </w:rPr>
        <w:t>(4) At the informal department review, the licensee or nursing home may provide documentation and verbal explanations related to the disputed federal or state deficiencies, or both.</w:t>
      </w:r>
    </w:p>
    <w:p w14:paraId="3B3193E7" w14:textId="77777777" w:rsidR="003B334E" w:rsidRPr="005E25F1" w:rsidRDefault="003B334E" w:rsidP="003B334E">
      <w:pPr>
        <w:shd w:val="clear" w:color="auto" w:fill="FFFFFF"/>
        <w:ind w:firstLine="720"/>
        <w:rPr>
          <w:rFonts w:eastAsia="Times New Roman" w:cs="Calibri"/>
          <w:color w:val="000000"/>
          <w:kern w:val="0"/>
          <w14:ligatures w14:val="none"/>
        </w:rPr>
      </w:pPr>
      <w:r w:rsidRPr="005E25F1">
        <w:rPr>
          <w:rFonts w:eastAsia="Times New Roman" w:cs="Calibri"/>
          <w:color w:val="000000"/>
          <w:kern w:val="0"/>
          <w14:ligatures w14:val="none"/>
        </w:rPr>
        <w:t>(5) When modifications or deletions are made to the disputed federal or state deficiency citations, or both, the licensee or nursing home must modify or delete the relevant portions of the plan of correction within five days of receipt of the modified or deleted deficiency(ies). The licensee or nursing home may request from the department a clean copy of the revised deficiency citation report.</w:t>
      </w:r>
    </w:p>
    <w:p w14:paraId="7803DF21" w14:textId="77777777" w:rsidR="003B334E" w:rsidRPr="005E25F1" w:rsidRDefault="003B334E" w:rsidP="003B334E">
      <w:pPr>
        <w:shd w:val="clear" w:color="auto" w:fill="FFFFFF"/>
        <w:ind w:firstLine="720"/>
        <w:rPr>
          <w:rFonts w:eastAsia="Times New Roman" w:cs="Calibri"/>
          <w:color w:val="000000"/>
          <w:kern w:val="0"/>
          <w14:ligatures w14:val="none"/>
        </w:rPr>
      </w:pPr>
      <w:r w:rsidRPr="005E25F1">
        <w:rPr>
          <w:rFonts w:eastAsia="Times New Roman" w:cs="Calibri"/>
          <w:color w:val="000000"/>
          <w:kern w:val="0"/>
          <w14:ligatures w14:val="none"/>
        </w:rPr>
        <w:t>(6) If the licensee or nursing home is unwilling to provide the modified plan of correction, the department may impose a per day civil fine for failure to return the modified deficiency citation report to the department in accordance with this subsection.</w:t>
      </w:r>
    </w:p>
    <w:p w14:paraId="15488A54" w14:textId="77777777" w:rsidR="003B334E" w:rsidRPr="005E25F1" w:rsidRDefault="003B334E" w:rsidP="00B41E80">
      <w:pPr>
        <w:rPr>
          <w:rFonts w:cs="Calibri"/>
          <w:bCs/>
          <w:iCs/>
          <w:u w:val="single"/>
        </w:rPr>
      </w:pPr>
    </w:p>
    <w:p w14:paraId="0B0C46EF" w14:textId="77777777" w:rsidR="005653DF" w:rsidRDefault="005653DF" w:rsidP="005653DF">
      <w:pPr>
        <w:spacing w:before="75" w:after="150"/>
        <w:outlineLvl w:val="2"/>
        <w:rPr>
          <w:rFonts w:ascii="Times New Roman" w:hAnsi="Times New Roman" w:cs="Times New Roman"/>
          <w:b/>
          <w:iCs/>
          <w:sz w:val="27"/>
          <w:szCs w:val="27"/>
        </w:rPr>
      </w:pPr>
      <w:r w:rsidRPr="00C51822">
        <w:rPr>
          <w:rFonts w:ascii="Times New Roman" w:hAnsi="Times New Roman" w:cs="Times New Roman"/>
          <w:b/>
          <w:iCs/>
          <w:sz w:val="27"/>
          <w:szCs w:val="27"/>
        </w:rPr>
        <w:t>42 CFR 488.331</w:t>
      </w:r>
    </w:p>
    <w:p w14:paraId="7109E4CF" w14:textId="77777777" w:rsidR="005653DF" w:rsidRPr="00C51822" w:rsidRDefault="005653DF" w:rsidP="005653DF">
      <w:pPr>
        <w:ind w:left="18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 xml:space="preserve">(a) </w:t>
      </w:r>
      <w:r w:rsidRPr="00C51822">
        <w:rPr>
          <w:rFonts w:ascii="Times New Roman" w:eastAsia="Times New Roman" w:hAnsi="Times New Roman" w:cs="Times New Roman"/>
          <w:b/>
          <w:bCs/>
          <w:i/>
          <w:iCs/>
          <w:kern w:val="0"/>
          <w14:ligatures w14:val="none"/>
        </w:rPr>
        <w:t>Opportunity to refute survey findings.</w:t>
      </w:r>
      <w:r w:rsidRPr="00C51822">
        <w:rPr>
          <w:rFonts w:ascii="Times New Roman" w:eastAsia="Times New Roman" w:hAnsi="Times New Roman" w:cs="Times New Roman"/>
          <w:kern w:val="0"/>
          <w14:ligatures w14:val="none"/>
        </w:rPr>
        <w:t xml:space="preserve"> </w:t>
      </w:r>
    </w:p>
    <w:p w14:paraId="239BDCED" w14:textId="77777777" w:rsidR="005653DF" w:rsidRPr="00C51822" w:rsidRDefault="005653DF" w:rsidP="005653DF">
      <w:pPr>
        <w:ind w:left="360"/>
        <w:rPr>
          <w:rFonts w:ascii="Times New Roman" w:eastAsia="Times New Roman" w:hAnsi="Times New Roman" w:cs="Times New Roman"/>
          <w:kern w:val="0"/>
          <w14:ligatures w14:val="none"/>
        </w:rPr>
      </w:pPr>
      <w:r w:rsidRPr="00C51822">
        <w:rPr>
          <w:rFonts w:ascii="Times New Roman" w:eastAsia="Times New Roman" w:hAnsi="Times New Roman" w:cs="Times New Roman"/>
          <w:kern w:val="0"/>
          <w14:ligatures w14:val="none"/>
        </w:rPr>
        <w:t>(1) For non-Federal surveys, the State must offer a facility an informal opportunity, at the facility's request, to dispute survey findings upon the facility's receipt of the official statement of deficiencies.</w:t>
      </w:r>
    </w:p>
    <w:p w14:paraId="760CDBD5" w14:textId="77777777" w:rsidR="000D0739" w:rsidRDefault="000D0739" w:rsidP="00B41E80">
      <w:pPr>
        <w:rPr>
          <w:b/>
          <w:i/>
        </w:rPr>
      </w:pPr>
    </w:p>
    <w:p w14:paraId="55BDFCB4" w14:textId="0EB8AF99" w:rsidR="006335E9" w:rsidRPr="004A5440" w:rsidRDefault="006335E9" w:rsidP="006335E9">
      <w:pPr>
        <w:rPr>
          <w:rFonts w:ascii="Times New Roman" w:hAnsi="Times New Roman" w:cs="Times New Roman"/>
          <w:b/>
          <w:iCs/>
        </w:rPr>
      </w:pPr>
      <w:r w:rsidRPr="004A5440">
        <w:rPr>
          <w:rFonts w:ascii="Times New Roman" w:hAnsi="Times New Roman" w:cs="Times New Roman"/>
          <w:b/>
          <w:iCs/>
        </w:rPr>
        <w:t xml:space="preserve">State Operations Manual </w:t>
      </w:r>
      <w:r w:rsidR="00480C16" w:rsidRPr="004A5440">
        <w:rPr>
          <w:rFonts w:ascii="Times New Roman" w:hAnsi="Times New Roman" w:cs="Times New Roman"/>
          <w:b/>
          <w:iCs/>
        </w:rPr>
        <w:t xml:space="preserve">(SOM) </w:t>
      </w:r>
      <w:r w:rsidRPr="004A5440">
        <w:rPr>
          <w:rFonts w:ascii="Times New Roman" w:hAnsi="Times New Roman" w:cs="Times New Roman"/>
          <w:b/>
          <w:iCs/>
        </w:rPr>
        <w:t xml:space="preserve">Appendix </w:t>
      </w:r>
      <w:r w:rsidR="00592768" w:rsidRPr="004A5440">
        <w:rPr>
          <w:rFonts w:ascii="Times New Roman" w:hAnsi="Times New Roman" w:cs="Times New Roman"/>
          <w:b/>
          <w:iCs/>
        </w:rPr>
        <w:t>J</w:t>
      </w:r>
      <w:r w:rsidRPr="004A5440">
        <w:rPr>
          <w:rFonts w:ascii="Times New Roman" w:hAnsi="Times New Roman" w:cs="Times New Roman"/>
          <w:b/>
          <w:iCs/>
        </w:rPr>
        <w:t xml:space="preserve"> - Guidance to Surveyors</w:t>
      </w:r>
      <w:r w:rsidR="00592768" w:rsidRPr="004A5440">
        <w:rPr>
          <w:rFonts w:ascii="Times New Roman" w:hAnsi="Times New Roman" w:cs="Times New Roman"/>
          <w:b/>
          <w:iCs/>
        </w:rPr>
        <w:t xml:space="preserve">: Intermediate Care Facilities for Individuals with Intellectual </w:t>
      </w:r>
      <w:r w:rsidR="00600EFA" w:rsidRPr="004A5440">
        <w:rPr>
          <w:rFonts w:ascii="Times New Roman" w:hAnsi="Times New Roman" w:cs="Times New Roman"/>
          <w:b/>
          <w:iCs/>
        </w:rPr>
        <w:t>Disabilities</w:t>
      </w:r>
      <w:r w:rsidRPr="004A5440">
        <w:rPr>
          <w:rFonts w:ascii="Times New Roman" w:hAnsi="Times New Roman" w:cs="Times New Roman"/>
          <w:b/>
          <w:iCs/>
        </w:rPr>
        <w:t xml:space="preserve"> </w:t>
      </w:r>
      <w:hyperlink r:id="rId12" w:history="1">
        <w:r w:rsidR="00FC14BE" w:rsidRPr="00FC14BE">
          <w:rPr>
            <w:color w:val="0000FF"/>
            <w:u w:val="single"/>
          </w:rPr>
          <w:t>som107ap_j_intermcare</w:t>
        </w:r>
      </w:hyperlink>
    </w:p>
    <w:p w14:paraId="749455C9" w14:textId="77777777" w:rsidR="006335E9" w:rsidRPr="00957879" w:rsidRDefault="006335E9" w:rsidP="006335E9">
      <w:pPr>
        <w:rPr>
          <w:rFonts w:ascii="Times New Roman" w:hAnsi="Times New Roman" w:cs="Times New Roman"/>
          <w:b/>
          <w:iCs/>
        </w:rPr>
      </w:pPr>
    </w:p>
    <w:p w14:paraId="79ABFC66" w14:textId="3BE1ABE9" w:rsidR="006335E9" w:rsidRPr="00957879" w:rsidRDefault="006335E9" w:rsidP="006335E9">
      <w:pPr>
        <w:rPr>
          <w:rFonts w:ascii="Times New Roman" w:hAnsi="Times New Roman" w:cs="Times New Roman"/>
        </w:rPr>
      </w:pPr>
      <w:r w:rsidRPr="00957879">
        <w:rPr>
          <w:rFonts w:ascii="Times New Roman" w:hAnsi="Times New Roman" w:cs="Times New Roman"/>
          <w:b/>
          <w:iCs/>
        </w:rPr>
        <w:t xml:space="preserve">State Operations Manual </w:t>
      </w:r>
      <w:r w:rsidR="00480C16">
        <w:rPr>
          <w:rFonts w:ascii="Times New Roman" w:hAnsi="Times New Roman" w:cs="Times New Roman"/>
          <w:b/>
          <w:iCs/>
        </w:rPr>
        <w:t xml:space="preserve">(SOM) </w:t>
      </w:r>
      <w:r w:rsidR="00D03972">
        <w:rPr>
          <w:rFonts w:ascii="Times New Roman" w:hAnsi="Times New Roman" w:cs="Times New Roman"/>
          <w:b/>
          <w:iCs/>
        </w:rPr>
        <w:t>Chapter 3</w:t>
      </w:r>
      <w:r w:rsidRPr="00957879">
        <w:rPr>
          <w:rFonts w:ascii="Times New Roman" w:hAnsi="Times New Roman" w:cs="Times New Roman"/>
          <w:b/>
          <w:iCs/>
        </w:rPr>
        <w:t xml:space="preserve"> – </w:t>
      </w:r>
      <w:r w:rsidR="00D03972">
        <w:rPr>
          <w:rFonts w:ascii="Times New Roman" w:hAnsi="Times New Roman" w:cs="Times New Roman"/>
          <w:b/>
          <w:iCs/>
        </w:rPr>
        <w:t>Additional Program Activities</w:t>
      </w:r>
      <w:r w:rsidR="00863844">
        <w:rPr>
          <w:rFonts w:ascii="Times New Roman" w:hAnsi="Times New Roman" w:cs="Times New Roman"/>
          <w:b/>
          <w:iCs/>
        </w:rPr>
        <w:t xml:space="preserve"> </w:t>
      </w:r>
      <w:hyperlink r:id="rId13" w:history="1">
        <w:r w:rsidR="00863844" w:rsidRPr="00863844">
          <w:rPr>
            <w:color w:val="0000FF"/>
            <w:u w:val="single"/>
          </w:rPr>
          <w:t>State Operations Manual - Additional Program Activities</w:t>
        </w:r>
      </w:hyperlink>
      <w:r w:rsidR="00D03972">
        <w:rPr>
          <w:rFonts w:ascii="Times New Roman" w:hAnsi="Times New Roman" w:cs="Times New Roman"/>
          <w:b/>
          <w:iCs/>
        </w:rPr>
        <w:t xml:space="preserve"> </w:t>
      </w:r>
    </w:p>
    <w:p w14:paraId="347A21C7" w14:textId="77777777" w:rsidR="000D0739" w:rsidRDefault="000D0739" w:rsidP="00B41E80">
      <w:pPr>
        <w:rPr>
          <w:b/>
          <w:i/>
        </w:rPr>
      </w:pPr>
    </w:p>
    <w:p w14:paraId="6086FD96" w14:textId="77777777" w:rsidR="000D0739" w:rsidRPr="007B6DE2" w:rsidRDefault="000D0739" w:rsidP="000D0739">
      <w:pPr>
        <w:rPr>
          <w:rFonts w:cs="Calibri"/>
          <w:b/>
          <w:iCs/>
        </w:rPr>
      </w:pPr>
      <w:r w:rsidRPr="007B6DE2">
        <w:rPr>
          <w:rFonts w:cs="Calibri"/>
          <w:b/>
          <w:bCs/>
          <w:iCs/>
        </w:rPr>
        <w:t xml:space="preserve">RCW 74.34 </w:t>
      </w:r>
      <w:r w:rsidRPr="007B6DE2">
        <w:rPr>
          <w:rFonts w:cs="Calibri"/>
          <w:b/>
          <w:iCs/>
        </w:rPr>
        <w:t xml:space="preserve">– Abuse of Vulnerable Adults  </w:t>
      </w:r>
      <w:hyperlink r:id="rId14" w:history="1">
        <w:r w:rsidRPr="007B6DE2">
          <w:rPr>
            <w:rFonts w:cs="Calibri"/>
            <w:color w:val="0000FF"/>
            <w:u w:val="single"/>
          </w:rPr>
          <w:t>Chapter 74.34 RCW: ABUSE OF VULNERABLE ADULTS</w:t>
        </w:r>
      </w:hyperlink>
    </w:p>
    <w:p w14:paraId="35BB583B" w14:textId="77777777" w:rsidR="000D0739" w:rsidRPr="007B6DE2" w:rsidRDefault="000D0739" w:rsidP="000D0739">
      <w:pPr>
        <w:rPr>
          <w:rFonts w:cs="Calibri"/>
          <w:b/>
          <w:iCs/>
        </w:rPr>
      </w:pPr>
    </w:p>
    <w:p w14:paraId="6F34A91F" w14:textId="77777777" w:rsidR="000D0739" w:rsidRPr="007B6DE2" w:rsidRDefault="000D0739" w:rsidP="000D0739">
      <w:pPr>
        <w:rPr>
          <w:rFonts w:cs="Calibri"/>
          <w:b/>
          <w:iCs/>
        </w:rPr>
      </w:pPr>
      <w:r w:rsidRPr="007B6DE2">
        <w:rPr>
          <w:rFonts w:cs="Calibri"/>
          <w:b/>
          <w:bCs/>
          <w:iCs/>
        </w:rPr>
        <w:t xml:space="preserve">WAC 388-112A </w:t>
      </w:r>
      <w:r w:rsidRPr="007B6DE2">
        <w:rPr>
          <w:rFonts w:cs="Calibri"/>
          <w:b/>
          <w:iCs/>
        </w:rPr>
        <w:t xml:space="preserve">– Residential Long – Term Care Services Training </w:t>
      </w:r>
      <w:hyperlink r:id="rId15" w:history="1">
        <w:r w:rsidRPr="007B6DE2">
          <w:rPr>
            <w:rFonts w:cs="Calibri"/>
            <w:color w:val="0000FF"/>
            <w:u w:val="single"/>
          </w:rPr>
          <w:t>Chapter 388-112A WAC:</w:t>
        </w:r>
      </w:hyperlink>
    </w:p>
    <w:p w14:paraId="5248F45C" w14:textId="77777777" w:rsidR="000D0739" w:rsidRPr="007B6DE2" w:rsidRDefault="000D0739" w:rsidP="000D0739">
      <w:pPr>
        <w:rPr>
          <w:rFonts w:cs="Calibri"/>
          <w:b/>
          <w:iCs/>
        </w:rPr>
      </w:pPr>
    </w:p>
    <w:p w14:paraId="53D34F0D" w14:textId="77777777" w:rsidR="000D0739" w:rsidRPr="007B6DE2" w:rsidRDefault="000D0739" w:rsidP="000D0739">
      <w:pPr>
        <w:rPr>
          <w:rFonts w:cs="Calibri"/>
          <w:b/>
          <w:iCs/>
        </w:rPr>
      </w:pPr>
      <w:r w:rsidRPr="007B6DE2">
        <w:rPr>
          <w:rFonts w:cs="Calibri"/>
          <w:b/>
          <w:bCs/>
          <w:iCs/>
        </w:rPr>
        <w:t xml:space="preserve">WAC 388-113 </w:t>
      </w:r>
      <w:r w:rsidRPr="007B6DE2">
        <w:rPr>
          <w:rFonts w:cs="Calibri"/>
          <w:b/>
          <w:iCs/>
        </w:rPr>
        <w:t xml:space="preserve">– Disqualifying Crimes and Negative Actions </w:t>
      </w:r>
      <w:hyperlink r:id="rId16" w:history="1">
        <w:r w:rsidRPr="007B6DE2">
          <w:rPr>
            <w:rFonts w:cs="Calibri"/>
            <w:color w:val="0000FF"/>
            <w:u w:val="single"/>
          </w:rPr>
          <w:t>Chapter 388-113 WAC:</w:t>
        </w:r>
      </w:hyperlink>
    </w:p>
    <w:p w14:paraId="4C35F0B4" w14:textId="77777777" w:rsidR="000D0739" w:rsidRPr="007B6DE2" w:rsidRDefault="000D0739" w:rsidP="00B41E80">
      <w:pPr>
        <w:rPr>
          <w:rFonts w:cs="Calibri"/>
          <w:b/>
          <w:i/>
        </w:rPr>
      </w:pPr>
    </w:p>
    <w:p w14:paraId="02296F18" w14:textId="267C8819" w:rsidR="008633B0" w:rsidRDefault="00A53E96" w:rsidP="00B41E80">
      <w:pPr>
        <w:rPr>
          <w:rFonts w:cs="Calibri"/>
          <w:b/>
          <w:iCs/>
        </w:rPr>
      </w:pPr>
      <w:r>
        <w:rPr>
          <w:rFonts w:cs="Calibri"/>
          <w:b/>
          <w:iCs/>
        </w:rPr>
        <w:t>ALF</w:t>
      </w:r>
      <w:r w:rsidRPr="007B6DE2">
        <w:rPr>
          <w:rFonts w:cs="Calibri"/>
          <w:b/>
          <w:iCs/>
        </w:rPr>
        <w:t xml:space="preserve"> </w:t>
      </w:r>
      <w:r w:rsidR="008633B0" w:rsidRPr="007B6DE2">
        <w:rPr>
          <w:rFonts w:cs="Calibri"/>
          <w:b/>
          <w:iCs/>
        </w:rPr>
        <w:t xml:space="preserve">Guidebook: </w:t>
      </w:r>
    </w:p>
    <w:p w14:paraId="209187F4" w14:textId="7CF5782C" w:rsidR="00B41E80" w:rsidRPr="00D61100" w:rsidRDefault="00D96991">
      <w:pPr>
        <w:rPr>
          <w:b/>
          <w:iCs/>
          <w:sz w:val="28"/>
          <w:szCs w:val="28"/>
        </w:rPr>
      </w:pPr>
      <w:hyperlink r:id="rId17" w:history="1">
        <w:r w:rsidRPr="00D96991">
          <w:rPr>
            <w:color w:val="0000FF"/>
            <w:u w:val="single"/>
          </w:rPr>
          <w:t>22-1749.pdf</w:t>
        </w:r>
      </w:hyperlink>
      <w:r w:rsidR="00B41E80">
        <w:rPr>
          <w:b/>
          <w:i/>
          <w:sz w:val="28"/>
          <w:szCs w:val="28"/>
        </w:rPr>
        <w:br w:type="page"/>
      </w:r>
    </w:p>
    <w:p w14:paraId="24CDC3FF" w14:textId="3E3F61A3" w:rsidR="00B41E80" w:rsidRPr="00B41E80" w:rsidRDefault="00B41E80" w:rsidP="00B41E80">
      <w:pPr>
        <w:rPr>
          <w:b/>
          <w:i/>
          <w:sz w:val="32"/>
          <w:szCs w:val="32"/>
        </w:rPr>
      </w:pPr>
      <w:r w:rsidRPr="00B41E80">
        <w:rPr>
          <w:b/>
          <w:i/>
          <w:sz w:val="32"/>
          <w:szCs w:val="32"/>
        </w:rPr>
        <w:t>Section 3</w:t>
      </w:r>
    </w:p>
    <w:p w14:paraId="5E8F33D7" w14:textId="77777777" w:rsidR="00B41E80" w:rsidRDefault="00B41E80" w:rsidP="00B41E80">
      <w:pPr>
        <w:rPr>
          <w:b/>
          <w:i/>
          <w:sz w:val="28"/>
          <w:szCs w:val="28"/>
        </w:rPr>
      </w:pPr>
    </w:p>
    <w:p w14:paraId="2F2F2D75" w14:textId="77777777" w:rsidR="00B41E80" w:rsidRDefault="00B41E80" w:rsidP="00B41E80">
      <w:pPr>
        <w:rPr>
          <w:b/>
          <w:i/>
          <w:sz w:val="28"/>
          <w:szCs w:val="28"/>
        </w:rPr>
      </w:pPr>
      <w:r w:rsidRPr="00B41E80">
        <w:rPr>
          <w:b/>
          <w:i/>
          <w:sz w:val="28"/>
          <w:szCs w:val="28"/>
        </w:rPr>
        <w:t xml:space="preserve">POLICIES AND PROCEDURES </w:t>
      </w:r>
    </w:p>
    <w:p w14:paraId="792F92D5" w14:textId="77777777" w:rsidR="00B41E80" w:rsidRPr="00FA18E2" w:rsidRDefault="00B41E80" w:rsidP="00B41E80">
      <w:pPr>
        <w:pStyle w:val="ListParagraph"/>
        <w:numPr>
          <w:ilvl w:val="0"/>
          <w:numId w:val="14"/>
        </w:numPr>
        <w:rPr>
          <w:bCs/>
          <w:iCs/>
        </w:rPr>
      </w:pPr>
      <w:r w:rsidRPr="00FA18E2">
        <w:rPr>
          <w:bCs/>
          <w:iCs/>
        </w:rPr>
        <w:t xml:space="preserve">Provider Notification of IDR Rights </w:t>
      </w:r>
    </w:p>
    <w:p w14:paraId="19DCA284" w14:textId="77777777" w:rsidR="00B41E80" w:rsidRPr="00FA18E2" w:rsidRDefault="00B41E80" w:rsidP="00B41E80">
      <w:pPr>
        <w:pStyle w:val="ListParagraph"/>
        <w:numPr>
          <w:ilvl w:val="0"/>
          <w:numId w:val="14"/>
        </w:numPr>
        <w:rPr>
          <w:bCs/>
          <w:iCs/>
        </w:rPr>
      </w:pPr>
      <w:r w:rsidRPr="00FA18E2">
        <w:rPr>
          <w:bCs/>
          <w:iCs/>
        </w:rPr>
        <w:t xml:space="preserve">Provider IDR Request Procedure </w:t>
      </w:r>
    </w:p>
    <w:p w14:paraId="472BB5A0" w14:textId="77777777" w:rsidR="00B41E80" w:rsidRPr="00FA18E2" w:rsidRDefault="00B41E80" w:rsidP="00B41E80">
      <w:pPr>
        <w:pStyle w:val="ListParagraph"/>
        <w:numPr>
          <w:ilvl w:val="0"/>
          <w:numId w:val="14"/>
        </w:numPr>
        <w:rPr>
          <w:bCs/>
          <w:iCs/>
        </w:rPr>
      </w:pPr>
      <w:r w:rsidRPr="00FA18E2">
        <w:rPr>
          <w:bCs/>
          <w:iCs/>
        </w:rPr>
        <w:t xml:space="preserve">Receipt/Scheduling – IDR Requests </w:t>
      </w:r>
    </w:p>
    <w:p w14:paraId="3BF7C463" w14:textId="77777777" w:rsidR="00B41E80" w:rsidRPr="00FA18E2" w:rsidRDefault="00B41E80" w:rsidP="00B41E80">
      <w:pPr>
        <w:pStyle w:val="ListParagraph"/>
        <w:numPr>
          <w:ilvl w:val="0"/>
          <w:numId w:val="14"/>
        </w:numPr>
        <w:rPr>
          <w:bCs/>
          <w:iCs/>
        </w:rPr>
      </w:pPr>
      <w:r w:rsidRPr="00FA18E2">
        <w:rPr>
          <w:bCs/>
          <w:iCs/>
        </w:rPr>
        <w:t xml:space="preserve">RCS Evidence </w:t>
      </w:r>
    </w:p>
    <w:p w14:paraId="7FCFBA1A" w14:textId="5C29FD8F" w:rsidR="00B41E80" w:rsidRPr="00FA18E2" w:rsidRDefault="00954B2D" w:rsidP="00B41E80">
      <w:pPr>
        <w:pStyle w:val="ListParagraph"/>
        <w:numPr>
          <w:ilvl w:val="0"/>
          <w:numId w:val="14"/>
        </w:numPr>
        <w:rPr>
          <w:bCs/>
          <w:iCs/>
        </w:rPr>
      </w:pPr>
      <w:r>
        <w:rPr>
          <w:bCs/>
          <w:iCs/>
        </w:rPr>
        <w:t xml:space="preserve">Virtual </w:t>
      </w:r>
      <w:r w:rsidR="00B41E80" w:rsidRPr="00FA18E2">
        <w:rPr>
          <w:bCs/>
          <w:iCs/>
        </w:rPr>
        <w:t xml:space="preserve">In Person and Telephone IDR Reviews </w:t>
      </w:r>
    </w:p>
    <w:p w14:paraId="6F83C388" w14:textId="1BFE294D" w:rsidR="00B41E80" w:rsidRPr="00FA18E2" w:rsidRDefault="00C17E08" w:rsidP="00B41E80">
      <w:pPr>
        <w:pStyle w:val="ListParagraph"/>
        <w:numPr>
          <w:ilvl w:val="0"/>
          <w:numId w:val="14"/>
        </w:numPr>
        <w:rPr>
          <w:bCs/>
          <w:iCs/>
        </w:rPr>
      </w:pPr>
      <w:r>
        <w:rPr>
          <w:bCs/>
          <w:iCs/>
        </w:rPr>
        <w:t>Documentation</w:t>
      </w:r>
      <w:r w:rsidR="00B41E80" w:rsidRPr="00FA18E2">
        <w:rPr>
          <w:bCs/>
          <w:iCs/>
        </w:rPr>
        <w:t xml:space="preserve"> IDR Reviews </w:t>
      </w:r>
    </w:p>
    <w:p w14:paraId="3DED20CB" w14:textId="2F4AE3A4" w:rsidR="00B41E80" w:rsidRPr="00FA18E2" w:rsidRDefault="00B41E80" w:rsidP="00B41E80">
      <w:pPr>
        <w:pStyle w:val="ListParagraph"/>
        <w:numPr>
          <w:ilvl w:val="0"/>
          <w:numId w:val="14"/>
        </w:numPr>
        <w:rPr>
          <w:bCs/>
          <w:iCs/>
        </w:rPr>
      </w:pPr>
      <w:r w:rsidRPr="00FA18E2">
        <w:rPr>
          <w:bCs/>
          <w:iCs/>
        </w:rPr>
        <w:t xml:space="preserve">Analysis Considerations </w:t>
      </w:r>
    </w:p>
    <w:p w14:paraId="777F3625" w14:textId="48BC80B2" w:rsidR="00B41E80" w:rsidRPr="00FA18E2" w:rsidRDefault="00B41E80" w:rsidP="00B41E80">
      <w:pPr>
        <w:pStyle w:val="ListParagraph"/>
        <w:numPr>
          <w:ilvl w:val="0"/>
          <w:numId w:val="14"/>
        </w:numPr>
        <w:rPr>
          <w:bCs/>
          <w:iCs/>
        </w:rPr>
      </w:pPr>
      <w:r w:rsidRPr="00FA18E2">
        <w:rPr>
          <w:bCs/>
          <w:iCs/>
        </w:rPr>
        <w:t xml:space="preserve">Traditional IDR Recommendations </w:t>
      </w:r>
    </w:p>
    <w:p w14:paraId="6F11AECC" w14:textId="1B08E9BF" w:rsidR="00B41E80" w:rsidRPr="00FA18E2" w:rsidRDefault="00B41E80" w:rsidP="00B41E80">
      <w:pPr>
        <w:pStyle w:val="ListParagraph"/>
        <w:numPr>
          <w:ilvl w:val="0"/>
          <w:numId w:val="14"/>
        </w:numPr>
        <w:rPr>
          <w:bCs/>
          <w:iCs/>
        </w:rPr>
      </w:pPr>
      <w:r w:rsidRPr="00FA18E2">
        <w:rPr>
          <w:bCs/>
          <w:iCs/>
        </w:rPr>
        <w:t xml:space="preserve">Provider IDR Results Communication  </w:t>
      </w:r>
    </w:p>
    <w:p w14:paraId="0646B2EF" w14:textId="77777777" w:rsidR="00B41E80" w:rsidRDefault="00B41E80" w:rsidP="00B41E80">
      <w:pPr>
        <w:rPr>
          <w:b/>
          <w:i/>
          <w:sz w:val="28"/>
          <w:szCs w:val="28"/>
        </w:rPr>
      </w:pPr>
    </w:p>
    <w:p w14:paraId="653BD5A1" w14:textId="77777777" w:rsidR="00B41E80" w:rsidRDefault="00B41E80" w:rsidP="00B41E80">
      <w:pPr>
        <w:rPr>
          <w:b/>
          <w:i/>
          <w:sz w:val="28"/>
          <w:szCs w:val="28"/>
        </w:rPr>
      </w:pPr>
      <w:r w:rsidRPr="00B41E80">
        <w:rPr>
          <w:b/>
          <w:i/>
          <w:sz w:val="28"/>
          <w:szCs w:val="28"/>
        </w:rPr>
        <w:t xml:space="preserve">PROVIDER NOTIFICATION OF IDR RIGHTS </w:t>
      </w:r>
    </w:p>
    <w:p w14:paraId="06D6B2F8" w14:textId="77777777" w:rsidR="00B41E80" w:rsidRPr="00B41E80" w:rsidRDefault="00B41E80" w:rsidP="00B41E80">
      <w:pPr>
        <w:pStyle w:val="ListParagraph"/>
        <w:numPr>
          <w:ilvl w:val="0"/>
          <w:numId w:val="15"/>
        </w:numPr>
        <w:rPr>
          <w:bCs/>
          <w:iCs/>
        </w:rPr>
      </w:pPr>
      <w:r w:rsidRPr="00B41E80">
        <w:rPr>
          <w:bCs/>
          <w:iCs/>
        </w:rPr>
        <w:t>RCS informs providers of their right to an IDR review in two forms:</w:t>
      </w:r>
    </w:p>
    <w:p w14:paraId="39DA55E3" w14:textId="77777777" w:rsidR="00B41E80" w:rsidRPr="00B41E80" w:rsidRDefault="00B41E80" w:rsidP="00B41E80">
      <w:pPr>
        <w:pStyle w:val="ListParagraph"/>
        <w:numPr>
          <w:ilvl w:val="1"/>
          <w:numId w:val="15"/>
        </w:numPr>
        <w:rPr>
          <w:bCs/>
          <w:iCs/>
        </w:rPr>
      </w:pPr>
      <w:r w:rsidRPr="00B41E80">
        <w:rPr>
          <w:bCs/>
          <w:iCs/>
        </w:rPr>
        <w:t xml:space="preserve">Cover Letters of SODs without enforcement; and </w:t>
      </w:r>
    </w:p>
    <w:p w14:paraId="0306FC2E" w14:textId="77CB0A4F" w:rsidR="00B41E80" w:rsidRPr="00B41E80" w:rsidRDefault="00B41E80" w:rsidP="00B41E80">
      <w:pPr>
        <w:pStyle w:val="ListParagraph"/>
        <w:numPr>
          <w:ilvl w:val="1"/>
          <w:numId w:val="15"/>
        </w:numPr>
        <w:rPr>
          <w:bCs/>
          <w:iCs/>
        </w:rPr>
      </w:pPr>
      <w:r w:rsidRPr="00B41E80">
        <w:rPr>
          <w:bCs/>
          <w:iCs/>
        </w:rPr>
        <w:t xml:space="preserve">Enforcement letters </w:t>
      </w:r>
    </w:p>
    <w:p w14:paraId="0A480FD0" w14:textId="77777777" w:rsidR="00B41E80" w:rsidRPr="00B41E80" w:rsidRDefault="00B41E80" w:rsidP="00B41E80">
      <w:pPr>
        <w:pStyle w:val="ListParagraph"/>
        <w:numPr>
          <w:ilvl w:val="0"/>
          <w:numId w:val="15"/>
        </w:numPr>
        <w:rPr>
          <w:bCs/>
          <w:iCs/>
        </w:rPr>
      </w:pPr>
      <w:r w:rsidRPr="00B41E80">
        <w:rPr>
          <w:bCs/>
          <w:iCs/>
        </w:rPr>
        <w:t xml:space="preserve">Cover letters to SODs and Enforcement letters will: </w:t>
      </w:r>
    </w:p>
    <w:p w14:paraId="2F6716D8" w14:textId="77777777" w:rsidR="00B41E80" w:rsidRPr="00B41E80" w:rsidRDefault="00B41E80" w:rsidP="00B41E80">
      <w:pPr>
        <w:pStyle w:val="ListParagraph"/>
        <w:numPr>
          <w:ilvl w:val="1"/>
          <w:numId w:val="15"/>
        </w:numPr>
        <w:rPr>
          <w:bCs/>
          <w:iCs/>
        </w:rPr>
      </w:pPr>
      <w:r w:rsidRPr="00B41E80">
        <w:rPr>
          <w:bCs/>
          <w:iCs/>
        </w:rPr>
        <w:t xml:space="preserve">Explain the providers’ rights. </w:t>
      </w:r>
    </w:p>
    <w:p w14:paraId="54AEDD0A" w14:textId="77777777" w:rsidR="00B41E80" w:rsidRPr="00B41E80" w:rsidRDefault="00B41E80" w:rsidP="00B41E80">
      <w:pPr>
        <w:pStyle w:val="ListParagraph"/>
        <w:numPr>
          <w:ilvl w:val="1"/>
          <w:numId w:val="15"/>
        </w:numPr>
        <w:rPr>
          <w:bCs/>
          <w:iCs/>
        </w:rPr>
      </w:pPr>
      <w:r w:rsidRPr="00B41E80">
        <w:rPr>
          <w:bCs/>
          <w:iCs/>
        </w:rPr>
        <w:t xml:space="preserve">Provide the website needed for information to request an IDR. </w:t>
      </w:r>
    </w:p>
    <w:p w14:paraId="143E99F7" w14:textId="63CE7378" w:rsidR="008C286F" w:rsidRPr="00B41E80" w:rsidRDefault="008C286F" w:rsidP="008C286F">
      <w:pPr>
        <w:pStyle w:val="ListParagraph"/>
        <w:numPr>
          <w:ilvl w:val="1"/>
          <w:numId w:val="15"/>
        </w:numPr>
        <w:rPr>
          <w:bCs/>
          <w:iCs/>
        </w:rPr>
      </w:pPr>
      <w:r w:rsidRPr="00B41E80">
        <w:rPr>
          <w:bCs/>
          <w:iCs/>
        </w:rPr>
        <w:t>Indicate submission timelines that must be followed</w:t>
      </w:r>
      <w:r>
        <w:rPr>
          <w:bCs/>
          <w:iCs/>
        </w:rPr>
        <w:t xml:space="preserve"> when submitting an IDR request</w:t>
      </w:r>
      <w:r w:rsidRPr="00B41E80">
        <w:rPr>
          <w:bCs/>
          <w:iCs/>
        </w:rPr>
        <w:t xml:space="preserve">. </w:t>
      </w:r>
    </w:p>
    <w:p w14:paraId="08834FD2" w14:textId="3E8284EB" w:rsidR="00B41E80" w:rsidRPr="00B41E80" w:rsidRDefault="00B41E80" w:rsidP="00B41E80">
      <w:pPr>
        <w:pStyle w:val="ListParagraph"/>
        <w:numPr>
          <w:ilvl w:val="1"/>
          <w:numId w:val="15"/>
        </w:numPr>
        <w:rPr>
          <w:bCs/>
          <w:iCs/>
        </w:rPr>
      </w:pPr>
      <w:r w:rsidRPr="00B41E80">
        <w:rPr>
          <w:bCs/>
          <w:iCs/>
        </w:rPr>
        <w:t xml:space="preserve">Include the fax and/or email address that requests must be sent to. </w:t>
      </w:r>
    </w:p>
    <w:p w14:paraId="193D7FCD" w14:textId="77777777" w:rsidR="00B41E80" w:rsidRDefault="00B41E80" w:rsidP="00B41E80">
      <w:pPr>
        <w:rPr>
          <w:b/>
          <w:i/>
          <w:sz w:val="28"/>
          <w:szCs w:val="28"/>
        </w:rPr>
      </w:pPr>
    </w:p>
    <w:p w14:paraId="1F05635C" w14:textId="77777777" w:rsidR="00B41E80" w:rsidRDefault="00B41E80" w:rsidP="00B41E80">
      <w:pPr>
        <w:rPr>
          <w:b/>
          <w:i/>
          <w:sz w:val="28"/>
          <w:szCs w:val="28"/>
        </w:rPr>
      </w:pPr>
      <w:r w:rsidRPr="00B41E80">
        <w:rPr>
          <w:b/>
          <w:i/>
          <w:sz w:val="28"/>
          <w:szCs w:val="28"/>
        </w:rPr>
        <w:t xml:space="preserve">PROVIDER IDR REQUEST PROCEDURE </w:t>
      </w:r>
    </w:p>
    <w:p w14:paraId="7C56DCB3" w14:textId="77777777" w:rsidR="00D61100" w:rsidRDefault="00D61100" w:rsidP="00B41E80">
      <w:pPr>
        <w:rPr>
          <w:b/>
          <w:i/>
        </w:rPr>
      </w:pPr>
    </w:p>
    <w:p w14:paraId="6FAE17D6" w14:textId="2898169B" w:rsidR="00B41E80" w:rsidRPr="00D61100" w:rsidRDefault="00B41E80" w:rsidP="00B41E80">
      <w:pPr>
        <w:rPr>
          <w:b/>
          <w:i/>
        </w:rPr>
      </w:pPr>
      <w:r w:rsidRPr="00D61100">
        <w:rPr>
          <w:b/>
          <w:i/>
        </w:rPr>
        <w:t xml:space="preserve">You may request a “Traditional” IDR as explained below. </w:t>
      </w:r>
    </w:p>
    <w:p w14:paraId="0751B93D" w14:textId="77777777" w:rsidR="00B41E80" w:rsidRDefault="00B41E80" w:rsidP="00B41E80">
      <w:pPr>
        <w:rPr>
          <w:bCs/>
          <w:iCs/>
        </w:rPr>
      </w:pPr>
    </w:p>
    <w:p w14:paraId="5D1453CA" w14:textId="77777777" w:rsidR="00B41E80" w:rsidRPr="00D61100" w:rsidRDefault="00B41E80" w:rsidP="00B41E80">
      <w:pPr>
        <w:rPr>
          <w:b/>
          <w:iCs/>
        </w:rPr>
      </w:pPr>
      <w:r w:rsidRPr="00D61100">
        <w:rPr>
          <w:b/>
          <w:iCs/>
        </w:rPr>
        <w:t xml:space="preserve">Traditional IDR Procedures </w:t>
      </w:r>
      <w:r w:rsidRPr="00D61100">
        <w:rPr>
          <w:bCs/>
          <w:iCs/>
        </w:rPr>
        <w:t>(Reviewed by IDR Program Manager)</w:t>
      </w:r>
      <w:r w:rsidRPr="00D61100">
        <w:rPr>
          <w:b/>
          <w:iCs/>
        </w:rPr>
        <w:t xml:space="preserve"> </w:t>
      </w:r>
    </w:p>
    <w:p w14:paraId="1FE1D5E3" w14:textId="25D1E1D4" w:rsidR="00B41E80" w:rsidRPr="00B41E80" w:rsidRDefault="00B41E80" w:rsidP="00B41E80">
      <w:pPr>
        <w:pStyle w:val="ListParagraph"/>
        <w:numPr>
          <w:ilvl w:val="0"/>
          <w:numId w:val="17"/>
        </w:numPr>
        <w:rPr>
          <w:bCs/>
          <w:iCs/>
        </w:rPr>
      </w:pPr>
      <w:r w:rsidRPr="00B41E80">
        <w:rPr>
          <w:bCs/>
          <w:iCs/>
        </w:rPr>
        <w:t xml:space="preserve">Providers requesting a traditional IDR must submit the request to headquarters within </w:t>
      </w:r>
      <w:r w:rsidRPr="00D61100">
        <w:rPr>
          <w:bCs/>
          <w:iCs/>
          <w:u w:val="single"/>
        </w:rPr>
        <w:t>10 working days</w:t>
      </w:r>
      <w:r w:rsidRPr="00B41E80">
        <w:rPr>
          <w:bCs/>
          <w:iCs/>
        </w:rPr>
        <w:t xml:space="preserve"> </w:t>
      </w:r>
      <w:r w:rsidR="00C01148">
        <w:rPr>
          <w:bCs/>
          <w:iCs/>
        </w:rPr>
        <w:t>(</w:t>
      </w:r>
      <w:r w:rsidR="00C01148" w:rsidRPr="00895E6A">
        <w:rPr>
          <w:bCs/>
          <w:iCs/>
        </w:rPr>
        <w:t xml:space="preserve">10 </w:t>
      </w:r>
      <w:r w:rsidR="00C01148" w:rsidRPr="00FA18E2">
        <w:rPr>
          <w:bCs/>
          <w:iCs/>
          <w:u w:val="single"/>
        </w:rPr>
        <w:t>calendar</w:t>
      </w:r>
      <w:r w:rsidR="00C01148" w:rsidRPr="00895E6A">
        <w:rPr>
          <w:bCs/>
          <w:iCs/>
        </w:rPr>
        <w:t xml:space="preserve"> days for </w:t>
      </w:r>
      <w:r w:rsidR="00C01148" w:rsidRPr="005E25F1">
        <w:rPr>
          <w:bCs/>
          <w:iCs/>
          <w:u w:val="single"/>
        </w:rPr>
        <w:t>ICF/IID</w:t>
      </w:r>
      <w:r w:rsidR="00C01148" w:rsidRPr="005E25F1">
        <w:rPr>
          <w:bCs/>
          <w:iCs/>
        </w:rPr>
        <w:t xml:space="preserve"> providers</w:t>
      </w:r>
      <w:r w:rsidR="00C01148">
        <w:rPr>
          <w:bCs/>
          <w:iCs/>
        </w:rPr>
        <w:t xml:space="preserve">) </w:t>
      </w:r>
      <w:r w:rsidRPr="00B41E80">
        <w:rPr>
          <w:bCs/>
          <w:iCs/>
        </w:rPr>
        <w:t xml:space="preserve">of receipt of the SOD. </w:t>
      </w:r>
    </w:p>
    <w:p w14:paraId="029BE512" w14:textId="77777777" w:rsidR="00B80114" w:rsidRDefault="00586DCE" w:rsidP="00B41E80">
      <w:pPr>
        <w:pStyle w:val="ListParagraph"/>
        <w:numPr>
          <w:ilvl w:val="0"/>
          <w:numId w:val="17"/>
        </w:numPr>
        <w:rPr>
          <w:bCs/>
          <w:iCs/>
        </w:rPr>
      </w:pPr>
      <w:r w:rsidRPr="00586DCE">
        <w:rPr>
          <w:bCs/>
          <w:iCs/>
        </w:rPr>
        <w:t xml:space="preserve">The IDR Request must include: </w:t>
      </w:r>
    </w:p>
    <w:p w14:paraId="082A67CE" w14:textId="77777777" w:rsidR="00B80114" w:rsidRDefault="00586DCE" w:rsidP="00B80114">
      <w:pPr>
        <w:pStyle w:val="ListParagraph"/>
        <w:numPr>
          <w:ilvl w:val="1"/>
          <w:numId w:val="17"/>
        </w:numPr>
        <w:rPr>
          <w:bCs/>
          <w:iCs/>
        </w:rPr>
      </w:pPr>
      <w:r w:rsidRPr="00586DCE">
        <w:rPr>
          <w:bCs/>
          <w:iCs/>
        </w:rPr>
        <w:t xml:space="preserve">Date requested. </w:t>
      </w:r>
    </w:p>
    <w:p w14:paraId="1349EC81" w14:textId="77777777" w:rsidR="00B80114" w:rsidRDefault="00586DCE" w:rsidP="00B80114">
      <w:pPr>
        <w:pStyle w:val="ListParagraph"/>
        <w:numPr>
          <w:ilvl w:val="1"/>
          <w:numId w:val="17"/>
        </w:numPr>
        <w:rPr>
          <w:bCs/>
          <w:iCs/>
        </w:rPr>
      </w:pPr>
      <w:r w:rsidRPr="00586DCE">
        <w:rPr>
          <w:bCs/>
          <w:iCs/>
        </w:rPr>
        <w:t xml:space="preserve">Facility Name and license #. </w:t>
      </w:r>
    </w:p>
    <w:p w14:paraId="72047FE6" w14:textId="77777777" w:rsidR="00B80114" w:rsidRDefault="00586DCE" w:rsidP="00B80114">
      <w:pPr>
        <w:pStyle w:val="ListParagraph"/>
        <w:numPr>
          <w:ilvl w:val="1"/>
          <w:numId w:val="17"/>
        </w:numPr>
        <w:rPr>
          <w:bCs/>
          <w:iCs/>
        </w:rPr>
      </w:pPr>
      <w:r w:rsidRPr="00586DCE">
        <w:rPr>
          <w:bCs/>
          <w:iCs/>
        </w:rPr>
        <w:t xml:space="preserve">Provider/Administrator Name. </w:t>
      </w:r>
    </w:p>
    <w:p w14:paraId="4F8B86F0" w14:textId="77777777" w:rsidR="00B80114" w:rsidRDefault="00586DCE" w:rsidP="00B80114">
      <w:pPr>
        <w:pStyle w:val="ListParagraph"/>
        <w:numPr>
          <w:ilvl w:val="1"/>
          <w:numId w:val="17"/>
        </w:numPr>
        <w:rPr>
          <w:bCs/>
          <w:iCs/>
        </w:rPr>
      </w:pPr>
      <w:r w:rsidRPr="00586DCE">
        <w:rPr>
          <w:bCs/>
          <w:iCs/>
        </w:rPr>
        <w:t xml:space="preserve">Email address for Provider/Administrator (this is important). </w:t>
      </w:r>
    </w:p>
    <w:p w14:paraId="4B2B5F3A" w14:textId="77777777" w:rsidR="00B80114" w:rsidRDefault="00586DCE" w:rsidP="00B80114">
      <w:pPr>
        <w:pStyle w:val="ListParagraph"/>
        <w:numPr>
          <w:ilvl w:val="1"/>
          <w:numId w:val="17"/>
        </w:numPr>
        <w:rPr>
          <w:bCs/>
          <w:iCs/>
        </w:rPr>
      </w:pPr>
      <w:r w:rsidRPr="00586DCE">
        <w:rPr>
          <w:bCs/>
          <w:iCs/>
        </w:rPr>
        <w:t>Phone number(s).</w:t>
      </w:r>
    </w:p>
    <w:p w14:paraId="451AB129" w14:textId="4A8140C6" w:rsidR="00B80114" w:rsidRDefault="00586DCE" w:rsidP="00B80114">
      <w:pPr>
        <w:pStyle w:val="ListParagraph"/>
        <w:numPr>
          <w:ilvl w:val="1"/>
          <w:numId w:val="17"/>
        </w:numPr>
        <w:rPr>
          <w:bCs/>
          <w:iCs/>
        </w:rPr>
      </w:pPr>
      <w:r w:rsidRPr="00586DCE">
        <w:rPr>
          <w:bCs/>
          <w:iCs/>
        </w:rPr>
        <w:t>Compliance/Cover letter date</w:t>
      </w:r>
      <w:r w:rsidR="00DB6A76">
        <w:rPr>
          <w:bCs/>
          <w:iCs/>
        </w:rPr>
        <w:t>, if applicable</w:t>
      </w:r>
      <w:r w:rsidRPr="00586DCE">
        <w:rPr>
          <w:bCs/>
          <w:iCs/>
        </w:rPr>
        <w:t xml:space="preserve">. </w:t>
      </w:r>
    </w:p>
    <w:p w14:paraId="60968F34" w14:textId="2BF8F743" w:rsidR="00B80114" w:rsidRDefault="00586DCE" w:rsidP="00B80114">
      <w:pPr>
        <w:pStyle w:val="ListParagraph"/>
        <w:numPr>
          <w:ilvl w:val="1"/>
          <w:numId w:val="17"/>
        </w:numPr>
        <w:rPr>
          <w:bCs/>
          <w:iCs/>
        </w:rPr>
      </w:pPr>
      <w:r w:rsidRPr="00586DCE">
        <w:rPr>
          <w:bCs/>
          <w:iCs/>
        </w:rPr>
        <w:t>Compliance Determination (CD) ID # and SOD date</w:t>
      </w:r>
      <w:r w:rsidR="00232107">
        <w:rPr>
          <w:bCs/>
          <w:iCs/>
        </w:rPr>
        <w:t xml:space="preserve"> (found on the first page of the SOD)</w:t>
      </w:r>
      <w:r w:rsidRPr="00586DCE">
        <w:rPr>
          <w:bCs/>
          <w:iCs/>
        </w:rPr>
        <w:t xml:space="preserve">. </w:t>
      </w:r>
    </w:p>
    <w:p w14:paraId="53E69D65" w14:textId="51718B52" w:rsidR="00B80114" w:rsidRDefault="00586DCE" w:rsidP="00B80114">
      <w:pPr>
        <w:pStyle w:val="ListParagraph"/>
        <w:numPr>
          <w:ilvl w:val="1"/>
          <w:numId w:val="17"/>
        </w:numPr>
        <w:rPr>
          <w:bCs/>
          <w:iCs/>
        </w:rPr>
      </w:pPr>
      <w:r w:rsidRPr="00586DCE">
        <w:rPr>
          <w:bCs/>
          <w:iCs/>
        </w:rPr>
        <w:t>IDR type being requested</w:t>
      </w:r>
      <w:r w:rsidR="00895E6A">
        <w:rPr>
          <w:bCs/>
          <w:iCs/>
        </w:rPr>
        <w:t xml:space="preserve">: </w:t>
      </w:r>
      <w:r w:rsidR="005B3243">
        <w:rPr>
          <w:bCs/>
          <w:iCs/>
        </w:rPr>
        <w:t xml:space="preserve">virtual </w:t>
      </w:r>
      <w:r w:rsidR="00895E6A">
        <w:rPr>
          <w:bCs/>
          <w:iCs/>
        </w:rPr>
        <w:t xml:space="preserve">in person, telephone or </w:t>
      </w:r>
      <w:r w:rsidR="00C17E08">
        <w:rPr>
          <w:bCs/>
          <w:iCs/>
        </w:rPr>
        <w:t>documentation</w:t>
      </w:r>
      <w:r w:rsidR="00895E6A">
        <w:rPr>
          <w:bCs/>
          <w:iCs/>
        </w:rPr>
        <w:t xml:space="preserve"> review</w:t>
      </w:r>
      <w:r w:rsidRPr="00586DCE">
        <w:rPr>
          <w:bCs/>
          <w:iCs/>
        </w:rPr>
        <w:t xml:space="preserve">. </w:t>
      </w:r>
    </w:p>
    <w:p w14:paraId="00666462" w14:textId="21DBD9E4" w:rsidR="00586DCE" w:rsidRDefault="00586DCE" w:rsidP="005E25F1">
      <w:pPr>
        <w:pStyle w:val="ListParagraph"/>
        <w:numPr>
          <w:ilvl w:val="1"/>
          <w:numId w:val="17"/>
        </w:numPr>
        <w:rPr>
          <w:bCs/>
          <w:iCs/>
        </w:rPr>
      </w:pPr>
      <w:r w:rsidRPr="00586DCE">
        <w:rPr>
          <w:bCs/>
          <w:iCs/>
        </w:rPr>
        <w:t>Citations being disputed.</w:t>
      </w:r>
      <w:r w:rsidR="001B1627">
        <w:rPr>
          <w:bCs/>
          <w:iCs/>
        </w:rPr>
        <w:t xml:space="preserve"> It is also helpful to include why you are disputing the citation.</w:t>
      </w:r>
    </w:p>
    <w:p w14:paraId="14A7B7F9" w14:textId="77777777" w:rsidR="00A30B7B" w:rsidRPr="00B41E80" w:rsidRDefault="00A30B7B" w:rsidP="00A30B7B">
      <w:pPr>
        <w:pStyle w:val="ListParagraph"/>
        <w:numPr>
          <w:ilvl w:val="0"/>
          <w:numId w:val="17"/>
        </w:numPr>
        <w:rPr>
          <w:bCs/>
          <w:iCs/>
        </w:rPr>
      </w:pPr>
      <w:r w:rsidRPr="00B41E80">
        <w:rPr>
          <w:bCs/>
          <w:iCs/>
        </w:rPr>
        <w:t xml:space="preserve">The department prefers requests be sent electronically to </w:t>
      </w:r>
      <w:hyperlink r:id="rId18" w:history="1">
        <w:r w:rsidRPr="00994396">
          <w:rPr>
            <w:rStyle w:val="Hyperlink"/>
            <w:bCs/>
            <w:iCs/>
          </w:rPr>
          <w:t>RCSIDR@dshs.wa.gov</w:t>
        </w:r>
      </w:hyperlink>
      <w:r>
        <w:rPr>
          <w:bCs/>
          <w:iCs/>
        </w:rPr>
        <w:t xml:space="preserve"> </w:t>
      </w:r>
      <w:r w:rsidRPr="00B41E80">
        <w:rPr>
          <w:bCs/>
          <w:iCs/>
        </w:rPr>
        <w:t>but will accept documents by fax</w:t>
      </w:r>
      <w:r>
        <w:rPr>
          <w:bCs/>
          <w:iCs/>
        </w:rPr>
        <w:t xml:space="preserve"> (360-725-3225)</w:t>
      </w:r>
      <w:r w:rsidRPr="00B41E80">
        <w:rPr>
          <w:bCs/>
          <w:iCs/>
        </w:rPr>
        <w:t xml:space="preserve">. </w:t>
      </w:r>
    </w:p>
    <w:p w14:paraId="78F3E8C9" w14:textId="77777777" w:rsidR="00D61100" w:rsidRDefault="00D61100" w:rsidP="00D61100">
      <w:pPr>
        <w:pStyle w:val="ListParagraph"/>
        <w:numPr>
          <w:ilvl w:val="0"/>
          <w:numId w:val="17"/>
        </w:numPr>
      </w:pPr>
      <w:r>
        <w:t xml:space="preserve">The department requests that supporting evidence be submitted at least </w:t>
      </w:r>
      <w:r w:rsidRPr="00716D64">
        <w:rPr>
          <w:u w:val="single"/>
        </w:rPr>
        <w:t>seven</w:t>
      </w:r>
      <w:r>
        <w:t xml:space="preserve"> days prior to the date of the IDR to ensure materials are reviewed prior to the IDR.</w:t>
      </w:r>
    </w:p>
    <w:p w14:paraId="40365A1C" w14:textId="77777777" w:rsidR="00D61100" w:rsidRDefault="00D61100" w:rsidP="00D61100">
      <w:pPr>
        <w:pStyle w:val="ListParagraph"/>
        <w:numPr>
          <w:ilvl w:val="0"/>
          <w:numId w:val="17"/>
        </w:numPr>
      </w:pPr>
      <w:r>
        <w:t xml:space="preserve">Supporting documentation should be clearly labeled and organized to maximize reviewer’s understanding of documentation (i.e.: Exhibit A). </w:t>
      </w:r>
    </w:p>
    <w:p w14:paraId="002BBE04" w14:textId="77777777" w:rsidR="00D61100" w:rsidRPr="00487DEC" w:rsidRDefault="00D61100" w:rsidP="00D61100">
      <w:pPr>
        <w:pStyle w:val="ListParagraph"/>
        <w:numPr>
          <w:ilvl w:val="0"/>
          <w:numId w:val="17"/>
        </w:numPr>
      </w:pPr>
      <w:r w:rsidRPr="0083052C">
        <w:t xml:space="preserve">If </w:t>
      </w:r>
      <w:r>
        <w:t xml:space="preserve">minor </w:t>
      </w:r>
      <w:r w:rsidRPr="0083052C">
        <w:t>editorial changes are requested, IDR staff will refer the licensee back to field offices to resolve the matter.</w:t>
      </w:r>
      <w:r>
        <w:t xml:space="preserve">  This guidance does not negate the provider’s option to request an IDR. Should the field opt to not make minor editorial changes, the provider can request an IDR. Timelines for requesting IDRs still must be adhered to.</w:t>
      </w:r>
    </w:p>
    <w:p w14:paraId="29254AC3" w14:textId="77777777" w:rsidR="00D61100" w:rsidRPr="00487DEC" w:rsidRDefault="00D61100" w:rsidP="00D61100">
      <w:pPr>
        <w:pStyle w:val="ListParagraph"/>
        <w:numPr>
          <w:ilvl w:val="0"/>
          <w:numId w:val="17"/>
        </w:numPr>
        <w:tabs>
          <w:tab w:val="left" w:pos="6352"/>
        </w:tabs>
        <w:spacing w:after="160" w:line="259" w:lineRule="auto"/>
        <w:rPr>
          <w:rFonts w:cs="Arial"/>
        </w:rPr>
      </w:pPr>
      <w:r w:rsidRPr="00487DEC">
        <w:rPr>
          <w:rFonts w:cs="Arial"/>
        </w:rPr>
        <w:t xml:space="preserve">A minor or simple edit means a change to a SOD that would not lead to modification, deletion, or removal of a violation, parts of a violation, or an enforcement remedy imposed by the Department of Social and Health Services. </w:t>
      </w:r>
      <w:r>
        <w:rPr>
          <w:rFonts w:cs="Arial"/>
        </w:rPr>
        <w:t>Examples of minor editorial changes are as follows:</w:t>
      </w:r>
    </w:p>
    <w:p w14:paraId="16B1F43C" w14:textId="77777777" w:rsidR="00D61100" w:rsidRPr="00487DEC" w:rsidRDefault="00D61100" w:rsidP="00D61100">
      <w:pPr>
        <w:numPr>
          <w:ilvl w:val="1"/>
          <w:numId w:val="25"/>
        </w:numPr>
        <w:rPr>
          <w:rFonts w:cs="Arial"/>
        </w:rPr>
      </w:pPr>
      <w:r w:rsidRPr="00487DEC">
        <w:rPr>
          <w:rFonts w:cs="Arial"/>
        </w:rPr>
        <w:t>Reference to a client or resident identified as part of a sample;</w:t>
      </w:r>
    </w:p>
    <w:p w14:paraId="43F3580C" w14:textId="77777777" w:rsidR="00D61100" w:rsidRPr="00487DEC" w:rsidRDefault="00D61100" w:rsidP="00D61100">
      <w:pPr>
        <w:numPr>
          <w:ilvl w:val="1"/>
          <w:numId w:val="25"/>
        </w:numPr>
        <w:rPr>
          <w:rFonts w:cs="Arial"/>
        </w:rPr>
      </w:pPr>
      <w:r>
        <w:rPr>
          <w:rFonts w:cs="Arial"/>
        </w:rPr>
        <w:t>Incorrect date</w:t>
      </w:r>
      <w:r w:rsidRPr="00487DEC">
        <w:rPr>
          <w:rFonts w:cs="Arial"/>
        </w:rPr>
        <w:t>;</w:t>
      </w:r>
    </w:p>
    <w:p w14:paraId="69858B50" w14:textId="77777777" w:rsidR="00D61100" w:rsidRPr="00487DEC" w:rsidRDefault="00D61100" w:rsidP="00D61100">
      <w:pPr>
        <w:numPr>
          <w:ilvl w:val="1"/>
          <w:numId w:val="25"/>
        </w:numPr>
        <w:rPr>
          <w:rFonts w:cs="Arial"/>
        </w:rPr>
      </w:pPr>
      <w:r>
        <w:rPr>
          <w:rFonts w:cs="Arial"/>
        </w:rPr>
        <w:t>Incorrect c</w:t>
      </w:r>
      <w:r w:rsidRPr="00487DEC">
        <w:rPr>
          <w:rFonts w:cs="Arial"/>
        </w:rPr>
        <w:t>lient, resident, or staff identifier;</w:t>
      </w:r>
    </w:p>
    <w:p w14:paraId="433E7CCA" w14:textId="77777777" w:rsidR="00D61100" w:rsidRPr="00487DEC" w:rsidRDefault="00D61100" w:rsidP="00D61100">
      <w:pPr>
        <w:numPr>
          <w:ilvl w:val="1"/>
          <w:numId w:val="25"/>
        </w:numPr>
        <w:rPr>
          <w:rFonts w:cs="Arial"/>
        </w:rPr>
      </w:pPr>
      <w:r>
        <w:rPr>
          <w:rFonts w:cs="Arial"/>
        </w:rPr>
        <w:t>Gender</w:t>
      </w:r>
      <w:r w:rsidRPr="00487DEC">
        <w:rPr>
          <w:rFonts w:cs="Arial"/>
        </w:rPr>
        <w:t xml:space="preserve"> identification of a client or resident; </w:t>
      </w:r>
      <w:r>
        <w:rPr>
          <w:rFonts w:cs="Arial"/>
        </w:rPr>
        <w:t>or</w:t>
      </w:r>
    </w:p>
    <w:p w14:paraId="4F462D78" w14:textId="77777777" w:rsidR="00D61100" w:rsidRPr="00487DEC" w:rsidRDefault="00D61100" w:rsidP="00D61100">
      <w:pPr>
        <w:numPr>
          <w:ilvl w:val="1"/>
          <w:numId w:val="25"/>
        </w:numPr>
        <w:rPr>
          <w:rFonts w:cs="Arial"/>
        </w:rPr>
      </w:pPr>
      <w:r>
        <w:rPr>
          <w:rFonts w:cs="Arial"/>
        </w:rPr>
        <w:t>Incorrect t</w:t>
      </w:r>
      <w:r w:rsidRPr="00487DEC">
        <w:rPr>
          <w:rFonts w:cs="Arial"/>
        </w:rPr>
        <w:t xml:space="preserve">itle or name of a document. </w:t>
      </w:r>
    </w:p>
    <w:p w14:paraId="524B3780" w14:textId="77777777" w:rsidR="00D61100" w:rsidRPr="008B477C" w:rsidRDefault="00D61100" w:rsidP="00D61100">
      <w:pPr>
        <w:pStyle w:val="ListParagraph"/>
        <w:numPr>
          <w:ilvl w:val="0"/>
          <w:numId w:val="17"/>
        </w:numPr>
      </w:pPr>
      <w:r w:rsidRPr="008B477C">
        <w:t>The department will not accept late requests</w:t>
      </w:r>
      <w:r>
        <w:t xml:space="preserve"> </w:t>
      </w:r>
      <w:r w:rsidRPr="008B477C">
        <w:t>for any reason.</w:t>
      </w:r>
    </w:p>
    <w:p w14:paraId="6488A469" w14:textId="77777777" w:rsidR="00B41E80" w:rsidRPr="00B95EF2" w:rsidRDefault="00B41E80" w:rsidP="00CF10DC">
      <w:pPr>
        <w:pStyle w:val="ListParagraph"/>
        <w:rPr>
          <w:b/>
          <w:i/>
          <w:sz w:val="28"/>
          <w:szCs w:val="28"/>
        </w:rPr>
      </w:pPr>
    </w:p>
    <w:p w14:paraId="1446DB81" w14:textId="77777777" w:rsidR="00D61100" w:rsidRDefault="00D61100" w:rsidP="00B41E80">
      <w:pPr>
        <w:rPr>
          <w:b/>
          <w:i/>
          <w:sz w:val="28"/>
          <w:szCs w:val="28"/>
        </w:rPr>
      </w:pPr>
    </w:p>
    <w:p w14:paraId="08F35A7A" w14:textId="0EFCD367" w:rsidR="00B41E80" w:rsidRDefault="00B41E80" w:rsidP="00B41E80">
      <w:pPr>
        <w:rPr>
          <w:b/>
          <w:i/>
          <w:sz w:val="28"/>
          <w:szCs w:val="28"/>
        </w:rPr>
      </w:pPr>
      <w:r w:rsidRPr="00B41E80">
        <w:rPr>
          <w:b/>
          <w:i/>
          <w:sz w:val="28"/>
          <w:szCs w:val="28"/>
        </w:rPr>
        <w:t xml:space="preserve">RECEIPT/SCHEDULING – IDR REQUEST </w:t>
      </w:r>
    </w:p>
    <w:p w14:paraId="6D6D2974" w14:textId="77777777" w:rsidR="00D61100" w:rsidRDefault="00D61100" w:rsidP="00B41E80">
      <w:pPr>
        <w:rPr>
          <w:b/>
          <w:i/>
          <w:sz w:val="28"/>
          <w:szCs w:val="28"/>
        </w:rPr>
      </w:pPr>
    </w:p>
    <w:p w14:paraId="72008ADD" w14:textId="6061D4C7" w:rsidR="00B41E80" w:rsidRPr="00B41E80" w:rsidRDefault="00B41E80" w:rsidP="00B41E80">
      <w:pPr>
        <w:pStyle w:val="ListParagraph"/>
        <w:numPr>
          <w:ilvl w:val="0"/>
          <w:numId w:val="18"/>
        </w:numPr>
        <w:rPr>
          <w:bCs/>
          <w:iCs/>
        </w:rPr>
      </w:pPr>
      <w:r w:rsidRPr="00B41E80">
        <w:rPr>
          <w:bCs/>
          <w:iCs/>
        </w:rPr>
        <w:t xml:space="preserve">IDR Program AA will date stamp the IDR Request when received by RCS and determine whether the request was timely, complete, and accurate. </w:t>
      </w:r>
    </w:p>
    <w:p w14:paraId="305B1BE7" w14:textId="099E96C1" w:rsidR="00B41E80" w:rsidRPr="00B41E80" w:rsidRDefault="00ED0B7E" w:rsidP="00B41E80">
      <w:pPr>
        <w:pStyle w:val="ListParagraph"/>
        <w:numPr>
          <w:ilvl w:val="0"/>
          <w:numId w:val="18"/>
        </w:numPr>
        <w:rPr>
          <w:bCs/>
          <w:iCs/>
        </w:rPr>
      </w:pPr>
      <w:r>
        <w:rPr>
          <w:bCs/>
          <w:iCs/>
        </w:rPr>
        <w:t>T</w:t>
      </w:r>
      <w:r w:rsidR="00B41E80" w:rsidRPr="00B41E80">
        <w:rPr>
          <w:bCs/>
          <w:iCs/>
        </w:rPr>
        <w:t xml:space="preserve">he IDR Program AA will </w:t>
      </w:r>
      <w:r w:rsidR="00F12BA6">
        <w:rPr>
          <w:bCs/>
          <w:iCs/>
        </w:rPr>
        <w:t xml:space="preserve">follow up with the provider </w:t>
      </w:r>
      <w:r w:rsidR="00D30CDC">
        <w:rPr>
          <w:bCs/>
          <w:iCs/>
        </w:rPr>
        <w:t xml:space="preserve">for any clarifications needed. </w:t>
      </w:r>
    </w:p>
    <w:p w14:paraId="1788081C" w14:textId="77777777" w:rsidR="00B41E80" w:rsidRPr="00B41E80" w:rsidRDefault="00B41E80" w:rsidP="00B41E80">
      <w:pPr>
        <w:pStyle w:val="ListParagraph"/>
        <w:numPr>
          <w:ilvl w:val="0"/>
          <w:numId w:val="18"/>
        </w:numPr>
        <w:rPr>
          <w:bCs/>
          <w:iCs/>
        </w:rPr>
      </w:pPr>
      <w:r w:rsidRPr="00B41E80">
        <w:rPr>
          <w:bCs/>
          <w:iCs/>
        </w:rPr>
        <w:t xml:space="preserve">If the request is approved and contact is made with the provider, the IDR Program AA will send a scheduling letter to the provider that includes: </w:t>
      </w:r>
    </w:p>
    <w:p w14:paraId="0D20BE80" w14:textId="77777777" w:rsidR="00B41E80" w:rsidRPr="00B41E80" w:rsidRDefault="00B41E80" w:rsidP="00B41E80">
      <w:pPr>
        <w:pStyle w:val="ListParagraph"/>
        <w:numPr>
          <w:ilvl w:val="1"/>
          <w:numId w:val="18"/>
        </w:numPr>
        <w:rPr>
          <w:bCs/>
          <w:iCs/>
        </w:rPr>
      </w:pPr>
      <w:r w:rsidRPr="00B41E80">
        <w:rPr>
          <w:bCs/>
          <w:iCs/>
        </w:rPr>
        <w:t xml:space="preserve">Date and time of scheduled IDR review. </w:t>
      </w:r>
    </w:p>
    <w:p w14:paraId="2769FF6A" w14:textId="4D9A4AA3" w:rsidR="00B41E80" w:rsidRPr="00B41E80" w:rsidRDefault="00B41E80" w:rsidP="00B41E80">
      <w:pPr>
        <w:pStyle w:val="ListParagraph"/>
        <w:numPr>
          <w:ilvl w:val="1"/>
          <w:numId w:val="18"/>
        </w:numPr>
        <w:rPr>
          <w:bCs/>
          <w:iCs/>
        </w:rPr>
      </w:pPr>
      <w:r w:rsidRPr="00B41E80">
        <w:rPr>
          <w:bCs/>
          <w:iCs/>
        </w:rPr>
        <w:t>Type of IDR review requested (</w:t>
      </w:r>
      <w:r w:rsidR="00B54B68">
        <w:rPr>
          <w:bCs/>
          <w:iCs/>
        </w:rPr>
        <w:t xml:space="preserve">virtual </w:t>
      </w:r>
      <w:r w:rsidR="00E26948">
        <w:rPr>
          <w:bCs/>
          <w:iCs/>
        </w:rPr>
        <w:t>in person</w:t>
      </w:r>
      <w:r w:rsidRPr="00B41E80">
        <w:rPr>
          <w:bCs/>
          <w:iCs/>
        </w:rPr>
        <w:t xml:space="preserve">, </w:t>
      </w:r>
      <w:r w:rsidR="00B54B68">
        <w:rPr>
          <w:bCs/>
          <w:iCs/>
        </w:rPr>
        <w:t>tele</w:t>
      </w:r>
      <w:r w:rsidRPr="00B41E80">
        <w:rPr>
          <w:bCs/>
          <w:iCs/>
        </w:rPr>
        <w:t xml:space="preserve">phone, </w:t>
      </w:r>
      <w:r w:rsidR="00C17E08">
        <w:rPr>
          <w:bCs/>
          <w:iCs/>
        </w:rPr>
        <w:t>documentation</w:t>
      </w:r>
      <w:r w:rsidRPr="00B41E80">
        <w:rPr>
          <w:bCs/>
          <w:iCs/>
        </w:rPr>
        <w:t xml:space="preserve">). </w:t>
      </w:r>
    </w:p>
    <w:p w14:paraId="19D6941F" w14:textId="41D9DB2A" w:rsidR="00B41E80" w:rsidRPr="00B41E80" w:rsidRDefault="009C3DAA" w:rsidP="00B41E80">
      <w:pPr>
        <w:pStyle w:val="ListParagraph"/>
        <w:numPr>
          <w:ilvl w:val="1"/>
          <w:numId w:val="18"/>
        </w:numPr>
        <w:rPr>
          <w:bCs/>
          <w:iCs/>
        </w:rPr>
      </w:pPr>
      <w:r>
        <w:rPr>
          <w:bCs/>
          <w:iCs/>
        </w:rPr>
        <w:t>Meeting access</w:t>
      </w:r>
      <w:r w:rsidR="006D75ED" w:rsidRPr="00B41E80">
        <w:rPr>
          <w:bCs/>
          <w:iCs/>
        </w:rPr>
        <w:t xml:space="preserve"> </w:t>
      </w:r>
      <w:r>
        <w:rPr>
          <w:bCs/>
          <w:iCs/>
        </w:rPr>
        <w:t>for</w:t>
      </w:r>
      <w:r w:rsidRPr="00B41E80">
        <w:rPr>
          <w:bCs/>
          <w:iCs/>
        </w:rPr>
        <w:t xml:space="preserve"> </w:t>
      </w:r>
      <w:r w:rsidR="00B41E80" w:rsidRPr="00B41E80">
        <w:rPr>
          <w:bCs/>
          <w:iCs/>
        </w:rPr>
        <w:t xml:space="preserve">the IDR </w:t>
      </w:r>
      <w:r w:rsidR="00B54B68">
        <w:rPr>
          <w:bCs/>
          <w:iCs/>
        </w:rPr>
        <w:t xml:space="preserve">virtual </w:t>
      </w:r>
      <w:r>
        <w:rPr>
          <w:bCs/>
          <w:iCs/>
        </w:rPr>
        <w:t>in person</w:t>
      </w:r>
      <w:r w:rsidRPr="00B41E80">
        <w:rPr>
          <w:bCs/>
          <w:iCs/>
        </w:rPr>
        <w:t xml:space="preserve"> </w:t>
      </w:r>
      <w:r w:rsidR="00B41E80" w:rsidRPr="00B41E80">
        <w:rPr>
          <w:bCs/>
          <w:iCs/>
        </w:rPr>
        <w:t xml:space="preserve">meeting </w:t>
      </w:r>
      <w:r w:rsidR="00BD296B">
        <w:rPr>
          <w:bCs/>
          <w:iCs/>
        </w:rPr>
        <w:t>and/</w:t>
      </w:r>
      <w:r w:rsidR="00B41E80" w:rsidRPr="00B41E80">
        <w:rPr>
          <w:bCs/>
          <w:iCs/>
        </w:rPr>
        <w:t xml:space="preserve">or the telephone number if the provider chooses to participate by phone. </w:t>
      </w:r>
    </w:p>
    <w:p w14:paraId="21FD10D0" w14:textId="77777777" w:rsidR="00B41E80" w:rsidRPr="00B41E80" w:rsidRDefault="00B41E80" w:rsidP="00B41E80">
      <w:pPr>
        <w:pStyle w:val="ListParagraph"/>
        <w:numPr>
          <w:ilvl w:val="1"/>
          <w:numId w:val="18"/>
        </w:numPr>
        <w:rPr>
          <w:bCs/>
          <w:iCs/>
        </w:rPr>
      </w:pPr>
      <w:r w:rsidRPr="00B41E80">
        <w:rPr>
          <w:bCs/>
          <w:iCs/>
        </w:rPr>
        <w:t>Provider’s disputed violations/enforcements actions.</w:t>
      </w:r>
    </w:p>
    <w:p w14:paraId="4284A974" w14:textId="2CD928C0" w:rsidR="00B41E80" w:rsidRDefault="00B41E80" w:rsidP="00B41E80">
      <w:pPr>
        <w:pStyle w:val="ListParagraph"/>
        <w:numPr>
          <w:ilvl w:val="1"/>
          <w:numId w:val="18"/>
        </w:numPr>
        <w:rPr>
          <w:bCs/>
          <w:iCs/>
        </w:rPr>
      </w:pPr>
      <w:r w:rsidRPr="00B41E80">
        <w:rPr>
          <w:bCs/>
          <w:iCs/>
        </w:rPr>
        <w:t xml:space="preserve">The names and titles of provider participants who will be attending the IDR. </w:t>
      </w:r>
    </w:p>
    <w:p w14:paraId="46331649" w14:textId="4808D5B2" w:rsidR="00D30CDC" w:rsidRPr="00B41E80" w:rsidRDefault="00D30CDC" w:rsidP="00B41E80">
      <w:pPr>
        <w:pStyle w:val="ListParagraph"/>
        <w:numPr>
          <w:ilvl w:val="1"/>
          <w:numId w:val="18"/>
        </w:numPr>
        <w:rPr>
          <w:bCs/>
          <w:iCs/>
        </w:rPr>
      </w:pPr>
      <w:r>
        <w:rPr>
          <w:bCs/>
          <w:iCs/>
        </w:rPr>
        <w:t>Information on how to access the meeting.</w:t>
      </w:r>
    </w:p>
    <w:p w14:paraId="067D2DEF" w14:textId="4F94C639" w:rsidR="00D61100" w:rsidRPr="00301C87" w:rsidRDefault="00D61100" w:rsidP="00314BE1">
      <w:pPr>
        <w:pStyle w:val="ListParagraph"/>
        <w:numPr>
          <w:ilvl w:val="0"/>
          <w:numId w:val="18"/>
        </w:numPr>
      </w:pPr>
      <w:r>
        <w:t>IDRs are scheduled as soon as a time slot is available.</w:t>
      </w:r>
    </w:p>
    <w:p w14:paraId="4721B8E1" w14:textId="77777777" w:rsidR="00EA1303" w:rsidRDefault="00EA1303" w:rsidP="00D61100">
      <w:pPr>
        <w:rPr>
          <w:b/>
          <w:i/>
          <w:sz w:val="28"/>
          <w:szCs w:val="28"/>
        </w:rPr>
      </w:pPr>
    </w:p>
    <w:p w14:paraId="6C0B8EAB" w14:textId="77777777" w:rsidR="00EA1303" w:rsidRDefault="00EA1303" w:rsidP="00D61100">
      <w:pPr>
        <w:rPr>
          <w:b/>
          <w:i/>
          <w:sz w:val="28"/>
          <w:szCs w:val="28"/>
        </w:rPr>
      </w:pPr>
    </w:p>
    <w:p w14:paraId="64A1D67D" w14:textId="77777777" w:rsidR="00314BE1" w:rsidRDefault="00314BE1" w:rsidP="00D61100">
      <w:pPr>
        <w:rPr>
          <w:b/>
          <w:i/>
          <w:sz w:val="28"/>
          <w:szCs w:val="28"/>
        </w:rPr>
      </w:pPr>
    </w:p>
    <w:p w14:paraId="3E79B51A" w14:textId="77777777" w:rsidR="00314BE1" w:rsidRDefault="00314BE1" w:rsidP="00D61100">
      <w:pPr>
        <w:rPr>
          <w:b/>
          <w:i/>
          <w:sz w:val="28"/>
          <w:szCs w:val="28"/>
        </w:rPr>
      </w:pPr>
    </w:p>
    <w:p w14:paraId="599815E3" w14:textId="39C595AB" w:rsidR="00D61100" w:rsidRDefault="00D61100" w:rsidP="00D61100">
      <w:pPr>
        <w:rPr>
          <w:b/>
          <w:i/>
          <w:sz w:val="28"/>
          <w:szCs w:val="28"/>
        </w:rPr>
      </w:pPr>
      <w:r>
        <w:rPr>
          <w:b/>
          <w:i/>
          <w:sz w:val="28"/>
          <w:szCs w:val="28"/>
        </w:rPr>
        <w:t>RESCHEDULING/NO SHOW</w:t>
      </w:r>
    </w:p>
    <w:p w14:paraId="3A8C9B1A" w14:textId="77777777" w:rsidR="00D61100" w:rsidRPr="0085627A" w:rsidRDefault="00D61100" w:rsidP="00D61100">
      <w:pPr>
        <w:rPr>
          <w:b/>
          <w:i/>
          <w:sz w:val="22"/>
          <w:szCs w:val="22"/>
        </w:rPr>
      </w:pPr>
    </w:p>
    <w:p w14:paraId="3F271507" w14:textId="77777777" w:rsidR="00D61100" w:rsidRPr="00D61100" w:rsidRDefault="00D61100" w:rsidP="00D61100">
      <w:pPr>
        <w:rPr>
          <w:rFonts w:eastAsia="Times New Roman" w:cs="Calibri"/>
        </w:rPr>
      </w:pPr>
      <w:r w:rsidRPr="00D61100">
        <w:rPr>
          <w:rFonts w:eastAsia="Times New Roman" w:cs="Calibri"/>
        </w:rPr>
        <w:t>Occasionally providers will need to reschedule IDRs for mitigating circumstances.  The IDR Administrative Assistant will:</w:t>
      </w:r>
    </w:p>
    <w:p w14:paraId="595E8C8D" w14:textId="77777777" w:rsidR="00D61100" w:rsidRPr="00D61100" w:rsidRDefault="00D61100" w:rsidP="00D61100">
      <w:pPr>
        <w:pStyle w:val="ListParagraph"/>
        <w:numPr>
          <w:ilvl w:val="0"/>
          <w:numId w:val="26"/>
        </w:numPr>
        <w:rPr>
          <w:rFonts w:eastAsia="Times New Roman" w:cs="Calibri"/>
        </w:rPr>
      </w:pPr>
      <w:r w:rsidRPr="00D61100">
        <w:rPr>
          <w:rFonts w:eastAsia="Times New Roman" w:cs="Calibri"/>
        </w:rPr>
        <w:t xml:space="preserve">Contact provider and reschedule a new date and time.  </w:t>
      </w:r>
    </w:p>
    <w:p w14:paraId="1B42E35A" w14:textId="77777777" w:rsidR="00D61100" w:rsidRPr="00D61100" w:rsidRDefault="00D61100" w:rsidP="00D61100">
      <w:pPr>
        <w:numPr>
          <w:ilvl w:val="1"/>
          <w:numId w:val="26"/>
        </w:numPr>
        <w:textAlignment w:val="center"/>
        <w:rPr>
          <w:rFonts w:eastAsia="Times New Roman" w:cs="Calibri"/>
        </w:rPr>
      </w:pPr>
      <w:r w:rsidRPr="00D61100">
        <w:rPr>
          <w:rFonts w:eastAsia="Times New Roman" w:cs="Calibri"/>
        </w:rPr>
        <w:t>Reschedules are done at next available date within 60 day timeline.</w:t>
      </w:r>
    </w:p>
    <w:p w14:paraId="7018BD46" w14:textId="3A97DCCB" w:rsidR="00D61100" w:rsidRPr="00D61100" w:rsidRDefault="00D61100" w:rsidP="00D61100">
      <w:pPr>
        <w:numPr>
          <w:ilvl w:val="1"/>
          <w:numId w:val="26"/>
        </w:numPr>
        <w:textAlignment w:val="center"/>
        <w:rPr>
          <w:rFonts w:cs="Calibri"/>
          <w:b/>
          <w:i/>
          <w:sz w:val="28"/>
          <w:szCs w:val="28"/>
        </w:rPr>
      </w:pPr>
      <w:r w:rsidRPr="00D61100">
        <w:rPr>
          <w:rFonts w:eastAsia="Times New Roman" w:cs="Calibri"/>
        </w:rPr>
        <w:t xml:space="preserve">Providers are allowed to reschedule up to one time with valid reason and mindful of 60 day timeline.  </w:t>
      </w:r>
      <w:r w:rsidR="00C17E08">
        <w:rPr>
          <w:rFonts w:eastAsia="Times New Roman" w:cs="Calibri"/>
        </w:rPr>
        <w:t>Documentation</w:t>
      </w:r>
      <w:r w:rsidRPr="00D61100">
        <w:rPr>
          <w:rFonts w:eastAsia="Times New Roman" w:cs="Calibri"/>
        </w:rPr>
        <w:t xml:space="preserve"> review will be scheduled if another reschedule is requested and if unable to be accommodated prior to 60 day timeline.</w:t>
      </w:r>
    </w:p>
    <w:p w14:paraId="00220E82" w14:textId="77777777" w:rsidR="00D61100" w:rsidRPr="00D61100" w:rsidRDefault="00D61100" w:rsidP="00D61100">
      <w:pPr>
        <w:textAlignment w:val="center"/>
        <w:rPr>
          <w:rFonts w:eastAsia="Times New Roman" w:cs="Calibri"/>
        </w:rPr>
      </w:pPr>
    </w:p>
    <w:p w14:paraId="3593503E" w14:textId="77777777" w:rsidR="00D61100" w:rsidRPr="00D61100" w:rsidRDefault="00D61100" w:rsidP="00D61100">
      <w:pPr>
        <w:textAlignment w:val="center"/>
        <w:rPr>
          <w:rFonts w:eastAsia="Times New Roman" w:cs="Calibri"/>
        </w:rPr>
      </w:pPr>
      <w:r w:rsidRPr="00D61100">
        <w:rPr>
          <w:rFonts w:eastAsia="Times New Roman" w:cs="Calibri"/>
        </w:rPr>
        <w:t>Provider No Show for scheduled IDR:</w:t>
      </w:r>
    </w:p>
    <w:p w14:paraId="6F7A2B25" w14:textId="77777777" w:rsidR="00D61100" w:rsidRPr="00D61100" w:rsidRDefault="00D61100" w:rsidP="00D61100">
      <w:pPr>
        <w:pStyle w:val="ListParagraph"/>
        <w:numPr>
          <w:ilvl w:val="0"/>
          <w:numId w:val="26"/>
        </w:numPr>
        <w:textAlignment w:val="center"/>
        <w:rPr>
          <w:rFonts w:eastAsia="Times New Roman" w:cs="Calibri"/>
        </w:rPr>
      </w:pPr>
      <w:r w:rsidRPr="00D61100">
        <w:rPr>
          <w:rFonts w:eastAsia="Times New Roman" w:cs="Calibri"/>
        </w:rPr>
        <w:t>Program Manager will contact provider and consult with IDR Unit Manager for potential reschedule option.</w:t>
      </w:r>
    </w:p>
    <w:p w14:paraId="6B3E5481" w14:textId="77777777" w:rsidR="00D61100" w:rsidRPr="00B41E80" w:rsidRDefault="00D61100" w:rsidP="00B41E80">
      <w:pPr>
        <w:rPr>
          <w:bCs/>
          <w:iCs/>
          <w:sz w:val="28"/>
          <w:szCs w:val="28"/>
        </w:rPr>
      </w:pPr>
    </w:p>
    <w:p w14:paraId="59F556FB" w14:textId="77777777" w:rsidR="00D61100" w:rsidRDefault="00D61100" w:rsidP="00B41E80">
      <w:pPr>
        <w:rPr>
          <w:b/>
          <w:i/>
          <w:sz w:val="28"/>
          <w:szCs w:val="28"/>
        </w:rPr>
      </w:pPr>
    </w:p>
    <w:p w14:paraId="40BC28ED" w14:textId="65881716" w:rsidR="00B41E80" w:rsidRDefault="006A24EF" w:rsidP="00B41E80">
      <w:pPr>
        <w:rPr>
          <w:b/>
          <w:i/>
          <w:sz w:val="28"/>
          <w:szCs w:val="28"/>
        </w:rPr>
      </w:pPr>
      <w:r>
        <w:rPr>
          <w:b/>
          <w:i/>
          <w:sz w:val="28"/>
          <w:szCs w:val="28"/>
        </w:rPr>
        <w:t xml:space="preserve">VIRTUAL </w:t>
      </w:r>
      <w:r w:rsidR="00B41E80" w:rsidRPr="00B41E80">
        <w:rPr>
          <w:b/>
          <w:i/>
          <w:sz w:val="28"/>
          <w:szCs w:val="28"/>
        </w:rPr>
        <w:t xml:space="preserve">IN PERSON AND TELEPHONE IDR REVIEWS </w:t>
      </w:r>
    </w:p>
    <w:p w14:paraId="29B23D80" w14:textId="77777777" w:rsidR="00D61100" w:rsidRDefault="00D61100" w:rsidP="00B41E80">
      <w:pPr>
        <w:rPr>
          <w:b/>
          <w:i/>
          <w:sz w:val="28"/>
          <w:szCs w:val="28"/>
        </w:rPr>
      </w:pPr>
    </w:p>
    <w:p w14:paraId="12DFB998" w14:textId="4927242F" w:rsidR="00B41E80" w:rsidRPr="00B41E80" w:rsidRDefault="00B41E80" w:rsidP="00B41E80">
      <w:pPr>
        <w:pStyle w:val="ListParagraph"/>
        <w:numPr>
          <w:ilvl w:val="0"/>
          <w:numId w:val="21"/>
        </w:numPr>
        <w:rPr>
          <w:bCs/>
          <w:iCs/>
        </w:rPr>
      </w:pPr>
      <w:r w:rsidRPr="005E25F1">
        <w:rPr>
          <w:bCs/>
          <w:iCs/>
        </w:rPr>
        <w:t>Traditional</w:t>
      </w:r>
      <w:r w:rsidRPr="00B41E80">
        <w:rPr>
          <w:bCs/>
          <w:iCs/>
        </w:rPr>
        <w:t xml:space="preserve"> IDRs will be scheduled throughout each month. </w:t>
      </w:r>
    </w:p>
    <w:p w14:paraId="3F868FC9" w14:textId="5F406B53" w:rsidR="00B41E80" w:rsidRPr="00B41E80" w:rsidRDefault="00B41E80" w:rsidP="00B41E80">
      <w:pPr>
        <w:pStyle w:val="ListParagraph"/>
        <w:numPr>
          <w:ilvl w:val="0"/>
          <w:numId w:val="21"/>
        </w:numPr>
        <w:rPr>
          <w:bCs/>
          <w:iCs/>
        </w:rPr>
      </w:pPr>
      <w:r w:rsidRPr="00B41E80">
        <w:rPr>
          <w:bCs/>
          <w:iCs/>
        </w:rPr>
        <w:t xml:space="preserve">Providers and their employees may participate in the IDR review </w:t>
      </w:r>
      <w:r w:rsidR="00D00D3F">
        <w:rPr>
          <w:bCs/>
          <w:iCs/>
        </w:rPr>
        <w:t xml:space="preserve">virtually </w:t>
      </w:r>
      <w:r w:rsidRPr="00B41E80">
        <w:rPr>
          <w:bCs/>
          <w:iCs/>
        </w:rPr>
        <w:t xml:space="preserve">in person, by telephone, or may submit records for a </w:t>
      </w:r>
      <w:r w:rsidR="00C17E08">
        <w:rPr>
          <w:bCs/>
          <w:iCs/>
        </w:rPr>
        <w:t>documentation</w:t>
      </w:r>
      <w:r w:rsidRPr="00B41E80">
        <w:rPr>
          <w:bCs/>
          <w:iCs/>
        </w:rPr>
        <w:t xml:space="preserve"> review. </w:t>
      </w:r>
    </w:p>
    <w:p w14:paraId="42187C83" w14:textId="7B92AE2D" w:rsidR="00B41E80" w:rsidRPr="00B41E80" w:rsidRDefault="00B41E80" w:rsidP="00B41E80">
      <w:pPr>
        <w:pStyle w:val="ListParagraph"/>
        <w:numPr>
          <w:ilvl w:val="0"/>
          <w:numId w:val="21"/>
        </w:numPr>
        <w:rPr>
          <w:bCs/>
          <w:iCs/>
        </w:rPr>
      </w:pPr>
      <w:r w:rsidRPr="00B41E80">
        <w:rPr>
          <w:bCs/>
          <w:iCs/>
        </w:rPr>
        <w:t xml:space="preserve">Submission of large volumes of overly detailed, redundant, or irrelevant material will impede the review process. </w:t>
      </w:r>
    </w:p>
    <w:p w14:paraId="423F77AC" w14:textId="7F653685" w:rsidR="00B41E80" w:rsidRPr="00B41E80" w:rsidRDefault="00B41E80" w:rsidP="00B41E80">
      <w:pPr>
        <w:pStyle w:val="ListParagraph"/>
        <w:numPr>
          <w:ilvl w:val="0"/>
          <w:numId w:val="21"/>
        </w:numPr>
        <w:rPr>
          <w:bCs/>
          <w:iCs/>
        </w:rPr>
      </w:pPr>
      <w:r w:rsidRPr="00B41E80">
        <w:rPr>
          <w:bCs/>
          <w:iCs/>
        </w:rPr>
        <w:t xml:space="preserve">Only those individuals directly involved with the IDR will be allowed to participate in the meeting. </w:t>
      </w:r>
    </w:p>
    <w:p w14:paraId="007ABF2A" w14:textId="39FF132A" w:rsidR="00B41E80" w:rsidRPr="00B41E80" w:rsidRDefault="00870870" w:rsidP="00B41E80">
      <w:pPr>
        <w:pStyle w:val="ListParagraph"/>
        <w:numPr>
          <w:ilvl w:val="0"/>
          <w:numId w:val="21"/>
        </w:numPr>
        <w:rPr>
          <w:bCs/>
          <w:iCs/>
        </w:rPr>
      </w:pPr>
      <w:r>
        <w:rPr>
          <w:bCs/>
          <w:iCs/>
        </w:rPr>
        <w:t xml:space="preserve">For traditional IDRs: </w:t>
      </w:r>
      <w:r w:rsidR="00B41E80" w:rsidRPr="00B41E80">
        <w:rPr>
          <w:bCs/>
          <w:iCs/>
        </w:rPr>
        <w:t xml:space="preserve"> </w:t>
      </w:r>
    </w:p>
    <w:p w14:paraId="6936BFE9" w14:textId="77777777" w:rsidR="00D61100" w:rsidRDefault="00D61100" w:rsidP="00D61100">
      <w:pPr>
        <w:pStyle w:val="ListParagraph"/>
        <w:numPr>
          <w:ilvl w:val="1"/>
          <w:numId w:val="33"/>
        </w:numPr>
      </w:pPr>
      <w:r>
        <w:t>The provider will be a given a maximum of two hours to present their dispute to the IDR program manager.</w:t>
      </w:r>
    </w:p>
    <w:p w14:paraId="746D4DC5" w14:textId="77777777" w:rsidR="00D61100" w:rsidRDefault="00D61100" w:rsidP="00D61100">
      <w:pPr>
        <w:pStyle w:val="ListParagraph"/>
        <w:numPr>
          <w:ilvl w:val="1"/>
          <w:numId w:val="33"/>
        </w:numPr>
      </w:pPr>
      <w:r>
        <w:t xml:space="preserve">If you choose to provide relevant supporting documentation, this should be submitted seven days prior to the scheduled IDR meeting. Should additional documents be requested during the IDR meeting by the Program Manager, the Program Manager will specify when they need to be submitted. </w:t>
      </w:r>
    </w:p>
    <w:p w14:paraId="204D6FA3" w14:textId="77777777" w:rsidR="00D61100" w:rsidRDefault="00D61100" w:rsidP="00D61100">
      <w:pPr>
        <w:pStyle w:val="ListParagraph"/>
        <w:numPr>
          <w:ilvl w:val="1"/>
          <w:numId w:val="33"/>
        </w:numPr>
      </w:pPr>
      <w:r>
        <w:t>Based on information gathered during the traditional IDR, the IDR Program Manager may contact field staff responsible for initiating the citation or enforcement action with questions and/or request relevant working papers.</w:t>
      </w:r>
    </w:p>
    <w:p w14:paraId="55C07770" w14:textId="675D2B11" w:rsidR="00D61100" w:rsidRPr="00DE685D" w:rsidRDefault="00F96538" w:rsidP="00D61100">
      <w:pPr>
        <w:pStyle w:val="ListParagraph"/>
        <w:numPr>
          <w:ilvl w:val="0"/>
          <w:numId w:val="21"/>
        </w:numPr>
      </w:pPr>
      <w:r>
        <w:t>T</w:t>
      </w:r>
      <w:r w:rsidR="00D61100">
        <w:t>he</w:t>
      </w:r>
      <w:r w:rsidR="00D61100" w:rsidRPr="0083052C">
        <w:t xml:space="preserve"> department SOD is </w:t>
      </w:r>
      <w:r w:rsidR="00D61100">
        <w:t xml:space="preserve">considered </w:t>
      </w:r>
      <w:r w:rsidR="00D61100" w:rsidRPr="0083052C">
        <w:t>a “stand alone” document</w:t>
      </w:r>
      <w:r w:rsidR="00D61100">
        <w:t xml:space="preserve"> and should be considered </w:t>
      </w:r>
      <w:r w:rsidR="00D61100" w:rsidRPr="007A655D">
        <w:t xml:space="preserve">complete, accurate and appropriate </w:t>
      </w:r>
      <w:r w:rsidR="00D61100">
        <w:t>as.</w:t>
      </w:r>
    </w:p>
    <w:p w14:paraId="0BA6DC1D" w14:textId="77777777" w:rsidR="00B41E80" w:rsidRPr="00B41E80" w:rsidRDefault="00B41E80" w:rsidP="00B41E80">
      <w:pPr>
        <w:rPr>
          <w:b/>
          <w:i/>
        </w:rPr>
      </w:pPr>
    </w:p>
    <w:p w14:paraId="429A863C" w14:textId="77777777" w:rsidR="00D61100" w:rsidRDefault="00D61100" w:rsidP="00B41E80">
      <w:pPr>
        <w:rPr>
          <w:b/>
          <w:i/>
          <w:sz w:val="28"/>
          <w:szCs w:val="28"/>
        </w:rPr>
      </w:pPr>
    </w:p>
    <w:p w14:paraId="6CB55616" w14:textId="77777777" w:rsidR="00A92C8C" w:rsidRDefault="00A92C8C" w:rsidP="00B41E80">
      <w:pPr>
        <w:rPr>
          <w:b/>
          <w:i/>
          <w:sz w:val="28"/>
          <w:szCs w:val="28"/>
        </w:rPr>
      </w:pPr>
    </w:p>
    <w:p w14:paraId="54FD413B" w14:textId="77777777" w:rsidR="00A92C8C" w:rsidRDefault="00A92C8C" w:rsidP="00B41E80">
      <w:pPr>
        <w:rPr>
          <w:b/>
          <w:i/>
          <w:sz w:val="28"/>
          <w:szCs w:val="28"/>
        </w:rPr>
      </w:pPr>
    </w:p>
    <w:p w14:paraId="2A58679E" w14:textId="77777777" w:rsidR="00F96538" w:rsidRDefault="00F96538" w:rsidP="00B41E80">
      <w:pPr>
        <w:rPr>
          <w:b/>
          <w:i/>
          <w:sz w:val="28"/>
          <w:szCs w:val="28"/>
        </w:rPr>
      </w:pPr>
    </w:p>
    <w:p w14:paraId="70281745" w14:textId="13C81B69" w:rsidR="00B41E80" w:rsidRDefault="00C17E08" w:rsidP="00B41E80">
      <w:pPr>
        <w:rPr>
          <w:b/>
          <w:i/>
          <w:sz w:val="28"/>
          <w:szCs w:val="28"/>
        </w:rPr>
      </w:pPr>
      <w:r>
        <w:rPr>
          <w:b/>
          <w:i/>
          <w:sz w:val="28"/>
          <w:szCs w:val="28"/>
        </w:rPr>
        <w:t>Documentation</w:t>
      </w:r>
      <w:r w:rsidR="00B41E80" w:rsidRPr="00B41E80">
        <w:rPr>
          <w:b/>
          <w:i/>
          <w:sz w:val="28"/>
          <w:szCs w:val="28"/>
        </w:rPr>
        <w:t xml:space="preserve"> IDR REVIEWS </w:t>
      </w:r>
    </w:p>
    <w:p w14:paraId="71DDAA1E" w14:textId="77777777" w:rsidR="00D61100" w:rsidRPr="00D61100" w:rsidRDefault="00D61100" w:rsidP="00D61100">
      <w:pPr>
        <w:rPr>
          <w:bCs/>
          <w:iCs/>
        </w:rPr>
      </w:pPr>
      <w:r w:rsidRPr="00D61100">
        <w:rPr>
          <w:bCs/>
          <w:iCs/>
        </w:rPr>
        <w:t>The provider may request a document only review.</w:t>
      </w:r>
    </w:p>
    <w:p w14:paraId="5FD42DB1" w14:textId="77777777" w:rsidR="00D61100" w:rsidRPr="00D61100" w:rsidRDefault="00D61100" w:rsidP="00D61100">
      <w:pPr>
        <w:rPr>
          <w:bCs/>
          <w:iCs/>
        </w:rPr>
      </w:pPr>
    </w:p>
    <w:p w14:paraId="6B832823" w14:textId="025E9C67" w:rsidR="00D61100" w:rsidRPr="00D61100" w:rsidRDefault="00726E9E" w:rsidP="00D61100">
      <w:pPr>
        <w:numPr>
          <w:ilvl w:val="0"/>
          <w:numId w:val="36"/>
        </w:numPr>
        <w:rPr>
          <w:bCs/>
          <w:iCs/>
        </w:rPr>
      </w:pPr>
      <w:r>
        <w:rPr>
          <w:bCs/>
          <w:iCs/>
        </w:rPr>
        <w:t xml:space="preserve">A </w:t>
      </w:r>
      <w:r w:rsidR="00C17E08">
        <w:rPr>
          <w:bCs/>
          <w:iCs/>
        </w:rPr>
        <w:t>Documentation</w:t>
      </w:r>
      <w:r>
        <w:rPr>
          <w:bCs/>
          <w:iCs/>
        </w:rPr>
        <w:t xml:space="preserve"> Review IDR is a documentation review only, there will not be a </w:t>
      </w:r>
      <w:r w:rsidR="00684CB7">
        <w:rPr>
          <w:bCs/>
          <w:iCs/>
        </w:rPr>
        <w:t>1:1 meeting with the provider.</w:t>
      </w:r>
    </w:p>
    <w:p w14:paraId="7FA12B9D" w14:textId="789C8506" w:rsidR="00726E9E" w:rsidRPr="00D61100" w:rsidRDefault="00726E9E" w:rsidP="00726E9E">
      <w:pPr>
        <w:numPr>
          <w:ilvl w:val="0"/>
          <w:numId w:val="36"/>
        </w:numPr>
        <w:rPr>
          <w:bCs/>
          <w:iCs/>
        </w:rPr>
      </w:pPr>
      <w:r w:rsidRPr="00D61100">
        <w:rPr>
          <w:bCs/>
          <w:iCs/>
        </w:rPr>
        <w:t xml:space="preserve">The IDR Program Manager </w:t>
      </w:r>
      <w:r>
        <w:rPr>
          <w:bCs/>
          <w:iCs/>
        </w:rPr>
        <w:t>may</w:t>
      </w:r>
      <w:r w:rsidRPr="00D61100">
        <w:rPr>
          <w:bCs/>
          <w:iCs/>
        </w:rPr>
        <w:t xml:space="preserve"> reach out to the provider prior to the </w:t>
      </w:r>
      <w:r w:rsidR="00C17E08">
        <w:rPr>
          <w:bCs/>
          <w:iCs/>
        </w:rPr>
        <w:t>Documentation</w:t>
      </w:r>
      <w:r w:rsidRPr="00D61100">
        <w:rPr>
          <w:bCs/>
          <w:iCs/>
        </w:rPr>
        <w:t xml:space="preserve"> Review to clarify </w:t>
      </w:r>
      <w:r w:rsidR="00684CB7">
        <w:rPr>
          <w:bCs/>
          <w:iCs/>
        </w:rPr>
        <w:t>any questions</w:t>
      </w:r>
      <w:r w:rsidRPr="00D61100">
        <w:rPr>
          <w:bCs/>
          <w:iCs/>
        </w:rPr>
        <w:t xml:space="preserve">. </w:t>
      </w:r>
    </w:p>
    <w:p w14:paraId="21A7BAC8" w14:textId="78DB1F12" w:rsidR="00D61100" w:rsidRPr="00D61100" w:rsidRDefault="00D61100" w:rsidP="00D61100">
      <w:pPr>
        <w:numPr>
          <w:ilvl w:val="0"/>
          <w:numId w:val="36"/>
        </w:numPr>
        <w:rPr>
          <w:bCs/>
          <w:iCs/>
        </w:rPr>
      </w:pPr>
      <w:r w:rsidRPr="00D61100">
        <w:rPr>
          <w:bCs/>
          <w:iCs/>
        </w:rPr>
        <w:t>The IDR Program Manager will review materials and may contact field staff responsible for issuing the citation or enforcement action.</w:t>
      </w:r>
    </w:p>
    <w:p w14:paraId="583417F8" w14:textId="4DFF246B" w:rsidR="00D61100" w:rsidRPr="00AA4429" w:rsidRDefault="00D61100" w:rsidP="00AA4429">
      <w:pPr>
        <w:numPr>
          <w:ilvl w:val="0"/>
          <w:numId w:val="36"/>
        </w:numPr>
        <w:rPr>
          <w:bCs/>
          <w:iCs/>
        </w:rPr>
      </w:pPr>
      <w:r w:rsidRPr="00AA4429">
        <w:rPr>
          <w:bCs/>
          <w:iCs/>
        </w:rPr>
        <w:t>The IDR Program Manager will gather information necessary to make an IDR decision.</w:t>
      </w:r>
    </w:p>
    <w:p w14:paraId="5EDAC3A5" w14:textId="77777777" w:rsidR="00D61100" w:rsidRDefault="00D61100" w:rsidP="00B41E80">
      <w:pPr>
        <w:rPr>
          <w:b/>
          <w:i/>
          <w:sz w:val="28"/>
          <w:szCs w:val="28"/>
        </w:rPr>
      </w:pPr>
    </w:p>
    <w:p w14:paraId="0E5280C8" w14:textId="77777777" w:rsidR="00594210" w:rsidRDefault="00594210" w:rsidP="00B41E80">
      <w:pPr>
        <w:rPr>
          <w:b/>
          <w:i/>
          <w:sz w:val="28"/>
          <w:szCs w:val="28"/>
        </w:rPr>
      </w:pPr>
    </w:p>
    <w:p w14:paraId="4F90D949" w14:textId="105E965C" w:rsidR="00B41E80" w:rsidRDefault="00B41E80" w:rsidP="00B41E80">
      <w:pPr>
        <w:rPr>
          <w:b/>
          <w:i/>
          <w:sz w:val="28"/>
          <w:szCs w:val="28"/>
        </w:rPr>
      </w:pPr>
      <w:r w:rsidRPr="00B41E80">
        <w:rPr>
          <w:b/>
          <w:i/>
          <w:sz w:val="28"/>
          <w:szCs w:val="28"/>
        </w:rPr>
        <w:t xml:space="preserve">ANALYSIS CONSIDERATIONS </w:t>
      </w:r>
    </w:p>
    <w:p w14:paraId="480929D7" w14:textId="77777777" w:rsidR="00D61100" w:rsidRDefault="00D61100" w:rsidP="00B41E80">
      <w:pPr>
        <w:rPr>
          <w:b/>
          <w:i/>
          <w:sz w:val="28"/>
          <w:szCs w:val="28"/>
        </w:rPr>
      </w:pPr>
    </w:p>
    <w:p w14:paraId="23CCD402" w14:textId="77777777" w:rsidR="00B41E80" w:rsidRPr="00B41E80" w:rsidRDefault="00B41E80" w:rsidP="00B41E80">
      <w:pPr>
        <w:pStyle w:val="ListParagraph"/>
        <w:numPr>
          <w:ilvl w:val="0"/>
          <w:numId w:val="23"/>
        </w:numPr>
        <w:rPr>
          <w:bCs/>
          <w:iCs/>
        </w:rPr>
      </w:pPr>
      <w:r w:rsidRPr="00B41E80">
        <w:rPr>
          <w:bCs/>
          <w:iCs/>
        </w:rPr>
        <w:t xml:space="preserve">Reviewers conduct a detailed examination of various types of input to determine if there are any facts that suggest a change to the content of the disputed citation or enforcement action. Types of input include: </w:t>
      </w:r>
    </w:p>
    <w:p w14:paraId="63D966F5" w14:textId="77777777" w:rsidR="00D61100" w:rsidRPr="0083052C" w:rsidRDefault="00D61100" w:rsidP="00D61100">
      <w:pPr>
        <w:pStyle w:val="ListParagraph"/>
        <w:numPr>
          <w:ilvl w:val="1"/>
          <w:numId w:val="38"/>
        </w:numPr>
        <w:ind w:left="1080"/>
      </w:pPr>
      <w:r w:rsidRPr="0083052C">
        <w:t xml:space="preserve">The relationship of the evidence in the SOD to facts </w:t>
      </w:r>
      <w:r>
        <w:t xml:space="preserve">presented by </w:t>
      </w:r>
      <w:r w:rsidRPr="0083052C">
        <w:t>the provider</w:t>
      </w:r>
      <w:r>
        <w:t>.</w:t>
      </w:r>
    </w:p>
    <w:p w14:paraId="264FB732" w14:textId="77777777" w:rsidR="00D61100" w:rsidRPr="0083052C" w:rsidRDefault="00D61100" w:rsidP="00D61100">
      <w:pPr>
        <w:pStyle w:val="ListParagraph"/>
        <w:numPr>
          <w:ilvl w:val="1"/>
          <w:numId w:val="38"/>
        </w:numPr>
        <w:ind w:left="1080"/>
      </w:pPr>
      <w:r w:rsidRPr="0083052C">
        <w:t>Evidence in relationship to the regulation cited.</w:t>
      </w:r>
    </w:p>
    <w:p w14:paraId="5B33CC1C" w14:textId="77777777" w:rsidR="00D61100" w:rsidRPr="0083052C" w:rsidRDefault="00D61100" w:rsidP="00D61100">
      <w:pPr>
        <w:pStyle w:val="ListParagraph"/>
        <w:numPr>
          <w:ilvl w:val="1"/>
          <w:numId w:val="38"/>
        </w:numPr>
        <w:ind w:left="1080"/>
      </w:pPr>
      <w:r w:rsidRPr="0083052C">
        <w:t>Notes from the IDR review.</w:t>
      </w:r>
    </w:p>
    <w:p w14:paraId="6D2A2AEE" w14:textId="77777777" w:rsidR="00D61100" w:rsidRPr="0083052C" w:rsidRDefault="00D61100" w:rsidP="00D61100">
      <w:pPr>
        <w:pStyle w:val="ListParagraph"/>
        <w:numPr>
          <w:ilvl w:val="1"/>
          <w:numId w:val="38"/>
        </w:numPr>
        <w:ind w:left="1080"/>
      </w:pPr>
      <w:r>
        <w:t>Points highlighted by the provider.</w:t>
      </w:r>
    </w:p>
    <w:p w14:paraId="05BDE7B9" w14:textId="3F90D12E" w:rsidR="00D61100" w:rsidRPr="0083052C" w:rsidRDefault="00D61100" w:rsidP="00D61100">
      <w:pPr>
        <w:pStyle w:val="ListParagraph"/>
        <w:numPr>
          <w:ilvl w:val="1"/>
          <w:numId w:val="38"/>
        </w:numPr>
        <w:ind w:left="1080"/>
      </w:pPr>
      <w:r w:rsidRPr="0083052C">
        <w:t>Answers to any questions that came up during the course of the meeting</w:t>
      </w:r>
      <w:r w:rsidR="00674FC7">
        <w:t>/documentation review</w:t>
      </w:r>
      <w:r w:rsidRPr="0083052C">
        <w:t>.</w:t>
      </w:r>
    </w:p>
    <w:p w14:paraId="616F500A" w14:textId="77777777" w:rsidR="00D61100" w:rsidRPr="0083052C" w:rsidRDefault="00D61100" w:rsidP="00D61100">
      <w:pPr>
        <w:pStyle w:val="ListParagraph"/>
        <w:numPr>
          <w:ilvl w:val="1"/>
          <w:numId w:val="38"/>
        </w:numPr>
        <w:ind w:left="1080"/>
      </w:pPr>
      <w:r w:rsidRPr="0083052C">
        <w:t xml:space="preserve">Applicable </w:t>
      </w:r>
      <w:r>
        <w:t>regulations</w:t>
      </w:r>
      <w:r w:rsidRPr="0083052C">
        <w:t>.</w:t>
      </w:r>
    </w:p>
    <w:p w14:paraId="065E7371" w14:textId="77777777" w:rsidR="00D61100" w:rsidRPr="0083052C" w:rsidRDefault="00D61100" w:rsidP="00D61100">
      <w:pPr>
        <w:pStyle w:val="ListParagraph"/>
        <w:numPr>
          <w:ilvl w:val="0"/>
          <w:numId w:val="38"/>
        </w:numPr>
        <w:ind w:left="720"/>
      </w:pPr>
      <w:r w:rsidRPr="0083052C">
        <w:t xml:space="preserve">Analysis </w:t>
      </w:r>
      <w:r>
        <w:t>–</w:t>
      </w:r>
      <w:r w:rsidRPr="0083052C">
        <w:t xml:space="preserve"> Philosophy</w:t>
      </w:r>
      <w:r>
        <w:t>:</w:t>
      </w:r>
    </w:p>
    <w:p w14:paraId="707F676D" w14:textId="77777777" w:rsidR="00D61100" w:rsidRPr="0083052C" w:rsidRDefault="00D61100" w:rsidP="00D61100">
      <w:pPr>
        <w:pStyle w:val="ListParagraph"/>
        <w:numPr>
          <w:ilvl w:val="1"/>
          <w:numId w:val="38"/>
        </w:numPr>
        <w:ind w:left="1080"/>
      </w:pPr>
      <w:r w:rsidRPr="0083052C">
        <w:t>Identify the significant evidence for decision-making.  What does it mean?  What else might it mean?</w:t>
      </w:r>
    </w:p>
    <w:p w14:paraId="62AFB556" w14:textId="77777777" w:rsidR="00D61100" w:rsidRPr="0083052C" w:rsidRDefault="00D61100" w:rsidP="00D61100">
      <w:pPr>
        <w:pStyle w:val="ListParagraph"/>
        <w:numPr>
          <w:ilvl w:val="1"/>
          <w:numId w:val="38"/>
        </w:numPr>
        <w:ind w:left="1080"/>
      </w:pPr>
      <w:r w:rsidRPr="0083052C">
        <w:t>Are there any patterns in the evidence?  How does it fit together?</w:t>
      </w:r>
    </w:p>
    <w:p w14:paraId="09CC7E16" w14:textId="77777777" w:rsidR="00D61100" w:rsidRPr="0083052C" w:rsidRDefault="00D61100" w:rsidP="00D61100">
      <w:pPr>
        <w:pStyle w:val="ListParagraph"/>
        <w:numPr>
          <w:ilvl w:val="1"/>
          <w:numId w:val="38"/>
        </w:numPr>
        <w:ind w:left="1080"/>
      </w:pPr>
      <w:r w:rsidRPr="0083052C">
        <w:t>Is there any evidence that does not fit the pattern?  How might this be explained?</w:t>
      </w:r>
    </w:p>
    <w:p w14:paraId="050DBD4E" w14:textId="77777777" w:rsidR="00D61100" w:rsidRPr="0083052C" w:rsidRDefault="00D61100" w:rsidP="00D61100">
      <w:pPr>
        <w:pStyle w:val="ListParagraph"/>
        <w:numPr>
          <w:ilvl w:val="1"/>
          <w:numId w:val="38"/>
        </w:numPr>
        <w:ind w:left="1080"/>
      </w:pPr>
      <w:r w:rsidRPr="0083052C">
        <w:t xml:space="preserve">Are there sufficient interviews, observations, and record reviews to demonstrate </w:t>
      </w:r>
      <w:r>
        <w:t xml:space="preserve">that </w:t>
      </w:r>
      <w:r w:rsidRPr="0083052C">
        <w:t>a preponderance of evidence exists?</w:t>
      </w:r>
    </w:p>
    <w:p w14:paraId="7B240C5C" w14:textId="77777777" w:rsidR="00D61100" w:rsidRPr="00E27B3C" w:rsidRDefault="00D61100" w:rsidP="00D61100">
      <w:pPr>
        <w:pStyle w:val="ListParagraph"/>
        <w:numPr>
          <w:ilvl w:val="1"/>
          <w:numId w:val="38"/>
        </w:numPr>
        <w:ind w:left="1080"/>
        <w:rPr>
          <w:rFonts w:cstheme="minorHAnsi"/>
        </w:rPr>
      </w:pPr>
      <w:r w:rsidRPr="00E27B3C">
        <w:rPr>
          <w:rFonts w:cstheme="minorHAnsi"/>
        </w:rPr>
        <w:t>Do not make changes unless you are sure the weight of the presented facts rises to the level that there is no violation before deleting a violation or there is no evidence of failed practice.</w:t>
      </w:r>
    </w:p>
    <w:p w14:paraId="30FB1A03" w14:textId="42A84467" w:rsidR="00D61100" w:rsidRDefault="00D61100" w:rsidP="00D61100">
      <w:pPr>
        <w:pStyle w:val="ListParagraph"/>
        <w:numPr>
          <w:ilvl w:val="1"/>
          <w:numId w:val="38"/>
        </w:numPr>
        <w:ind w:left="1080"/>
      </w:pPr>
      <w:r w:rsidRPr="0083052C">
        <w:t xml:space="preserve">IDR philosophy is that the evidence in the disputed citation is complete, accurate and appropriate.  </w:t>
      </w:r>
    </w:p>
    <w:p w14:paraId="0703B0A8" w14:textId="77777777" w:rsidR="00B41E80" w:rsidRDefault="00B41E80" w:rsidP="00B41E80">
      <w:pPr>
        <w:rPr>
          <w:b/>
          <w:i/>
          <w:sz w:val="28"/>
          <w:szCs w:val="28"/>
        </w:rPr>
      </w:pPr>
    </w:p>
    <w:p w14:paraId="7B253693" w14:textId="77777777" w:rsidR="00684CB7" w:rsidRDefault="00684CB7" w:rsidP="00B41E80">
      <w:pPr>
        <w:rPr>
          <w:b/>
          <w:i/>
          <w:sz w:val="28"/>
          <w:szCs w:val="28"/>
        </w:rPr>
      </w:pPr>
    </w:p>
    <w:p w14:paraId="67285961" w14:textId="77777777" w:rsidR="00684CB7" w:rsidRDefault="00684CB7" w:rsidP="00B41E80">
      <w:pPr>
        <w:rPr>
          <w:b/>
          <w:i/>
          <w:sz w:val="28"/>
          <w:szCs w:val="28"/>
        </w:rPr>
      </w:pPr>
    </w:p>
    <w:p w14:paraId="3CB1E6CB" w14:textId="77777777" w:rsidR="00684CB7" w:rsidRDefault="00684CB7" w:rsidP="00B41E80">
      <w:pPr>
        <w:rPr>
          <w:b/>
          <w:i/>
          <w:sz w:val="28"/>
          <w:szCs w:val="28"/>
        </w:rPr>
      </w:pPr>
    </w:p>
    <w:p w14:paraId="74112938" w14:textId="77777777" w:rsidR="00684CB7" w:rsidRDefault="00684CB7" w:rsidP="00B41E80">
      <w:pPr>
        <w:rPr>
          <w:b/>
          <w:i/>
          <w:sz w:val="28"/>
          <w:szCs w:val="28"/>
        </w:rPr>
      </w:pPr>
    </w:p>
    <w:p w14:paraId="0D21FA14" w14:textId="77777777" w:rsidR="00D61100" w:rsidRDefault="00D61100" w:rsidP="00D61100">
      <w:pPr>
        <w:rPr>
          <w:b/>
          <w:i/>
          <w:sz w:val="28"/>
          <w:szCs w:val="28"/>
        </w:rPr>
      </w:pPr>
      <w:r>
        <w:rPr>
          <w:b/>
          <w:i/>
          <w:sz w:val="28"/>
          <w:szCs w:val="28"/>
        </w:rPr>
        <w:t>IDR RESULTS</w:t>
      </w:r>
    </w:p>
    <w:p w14:paraId="6B8394C6" w14:textId="77777777" w:rsidR="00D61100" w:rsidRDefault="00D61100" w:rsidP="00D61100">
      <w:pPr>
        <w:rPr>
          <w:b/>
        </w:rPr>
      </w:pPr>
      <w:r>
        <w:rPr>
          <w:b/>
        </w:rPr>
        <w:t xml:space="preserve">There are no appeal rights to an IDR decision. </w:t>
      </w:r>
    </w:p>
    <w:p w14:paraId="5146EEA4" w14:textId="77777777" w:rsidR="00D61100" w:rsidRDefault="00D61100" w:rsidP="00B41E80">
      <w:pPr>
        <w:rPr>
          <w:b/>
          <w:i/>
          <w:sz w:val="28"/>
          <w:szCs w:val="28"/>
        </w:rPr>
      </w:pPr>
    </w:p>
    <w:p w14:paraId="470DC8C0" w14:textId="77777777" w:rsidR="00D61100" w:rsidRDefault="00D61100" w:rsidP="00B41E80">
      <w:pPr>
        <w:rPr>
          <w:b/>
          <w:i/>
          <w:sz w:val="28"/>
          <w:szCs w:val="28"/>
        </w:rPr>
      </w:pPr>
    </w:p>
    <w:p w14:paraId="692A0E3B" w14:textId="411A635B" w:rsidR="00B41E80" w:rsidRDefault="00B41E80" w:rsidP="00B41E80">
      <w:pPr>
        <w:rPr>
          <w:b/>
          <w:i/>
          <w:sz w:val="28"/>
          <w:szCs w:val="28"/>
        </w:rPr>
      </w:pPr>
      <w:r w:rsidRPr="00B41E80">
        <w:rPr>
          <w:b/>
          <w:i/>
          <w:sz w:val="28"/>
          <w:szCs w:val="28"/>
        </w:rPr>
        <w:t xml:space="preserve">TRADITIONAL IDR RESULTS </w:t>
      </w:r>
    </w:p>
    <w:p w14:paraId="6C10847F" w14:textId="77777777" w:rsidR="00B41E80" w:rsidRPr="00B41E80" w:rsidRDefault="00B41E80" w:rsidP="00B41E80">
      <w:pPr>
        <w:pStyle w:val="ListParagraph"/>
        <w:numPr>
          <w:ilvl w:val="0"/>
          <w:numId w:val="13"/>
        </w:numPr>
        <w:rPr>
          <w:bCs/>
          <w:iCs/>
        </w:rPr>
      </w:pPr>
      <w:r w:rsidRPr="00B41E80">
        <w:rPr>
          <w:bCs/>
          <w:iCs/>
        </w:rPr>
        <w:t>The IDR program manager will review evidence to determine whether the outcome complies with established regulation(s).</w:t>
      </w:r>
    </w:p>
    <w:p w14:paraId="7FD31D63" w14:textId="2C1F13EB" w:rsidR="00AA4429" w:rsidRDefault="00AA4429" w:rsidP="00B41E80">
      <w:pPr>
        <w:pStyle w:val="ListParagraph"/>
        <w:numPr>
          <w:ilvl w:val="0"/>
          <w:numId w:val="13"/>
        </w:numPr>
        <w:rPr>
          <w:bCs/>
          <w:iCs/>
        </w:rPr>
      </w:pPr>
      <w:r>
        <w:rPr>
          <w:bCs/>
          <w:iCs/>
        </w:rPr>
        <w:t>If the IDR program manager decides to uphold the citation(s), the following steps must be taken:</w:t>
      </w:r>
    </w:p>
    <w:p w14:paraId="36D2F894" w14:textId="411620C2" w:rsidR="00AA4429" w:rsidRDefault="00AA4429" w:rsidP="00AA4429">
      <w:pPr>
        <w:pStyle w:val="ListParagraph"/>
        <w:numPr>
          <w:ilvl w:val="1"/>
          <w:numId w:val="13"/>
        </w:numPr>
        <w:rPr>
          <w:bCs/>
          <w:iCs/>
        </w:rPr>
      </w:pPr>
      <w:r>
        <w:rPr>
          <w:bCs/>
          <w:iCs/>
        </w:rPr>
        <w:t>Notify involved parties of the decision.</w:t>
      </w:r>
    </w:p>
    <w:p w14:paraId="684EF9D6" w14:textId="1D76D86F" w:rsidR="00AA4429" w:rsidRDefault="00AA4429" w:rsidP="005E25F1">
      <w:pPr>
        <w:pStyle w:val="ListParagraph"/>
        <w:numPr>
          <w:ilvl w:val="1"/>
          <w:numId w:val="13"/>
        </w:numPr>
        <w:rPr>
          <w:bCs/>
          <w:iCs/>
        </w:rPr>
      </w:pPr>
      <w:r>
        <w:rPr>
          <w:bCs/>
          <w:iCs/>
        </w:rPr>
        <w:t>Record the IDR results in the department database.</w:t>
      </w:r>
    </w:p>
    <w:p w14:paraId="3E818090" w14:textId="318614A7" w:rsidR="00B41E80" w:rsidRPr="00B41E80" w:rsidRDefault="00B41E80" w:rsidP="00B41E80">
      <w:pPr>
        <w:pStyle w:val="ListParagraph"/>
        <w:numPr>
          <w:ilvl w:val="0"/>
          <w:numId w:val="13"/>
        </w:numPr>
        <w:rPr>
          <w:bCs/>
          <w:iCs/>
        </w:rPr>
      </w:pPr>
      <w:r w:rsidRPr="00B41E80">
        <w:rPr>
          <w:bCs/>
          <w:iCs/>
        </w:rPr>
        <w:t xml:space="preserve">If the IDR program manager decides to amend the SOD, the following steps must be taken: </w:t>
      </w:r>
    </w:p>
    <w:p w14:paraId="23E8E479" w14:textId="77777777" w:rsidR="00B41E80" w:rsidRPr="00B41E80" w:rsidRDefault="00B41E80" w:rsidP="008C17BF">
      <w:pPr>
        <w:pStyle w:val="ListParagraph"/>
        <w:numPr>
          <w:ilvl w:val="1"/>
          <w:numId w:val="41"/>
        </w:numPr>
        <w:rPr>
          <w:bCs/>
          <w:iCs/>
        </w:rPr>
      </w:pPr>
      <w:r w:rsidRPr="00B41E80">
        <w:rPr>
          <w:bCs/>
          <w:iCs/>
        </w:rPr>
        <w:t xml:space="preserve">Notify involved parties of the decision. </w:t>
      </w:r>
    </w:p>
    <w:p w14:paraId="23A6DB1A" w14:textId="77777777" w:rsidR="00B41E80" w:rsidRPr="00B41E80" w:rsidRDefault="00B41E80" w:rsidP="008C17BF">
      <w:pPr>
        <w:pStyle w:val="ListParagraph"/>
        <w:numPr>
          <w:ilvl w:val="1"/>
          <w:numId w:val="41"/>
        </w:numPr>
        <w:rPr>
          <w:bCs/>
          <w:iCs/>
        </w:rPr>
      </w:pPr>
      <w:r w:rsidRPr="00B41E80">
        <w:rPr>
          <w:bCs/>
          <w:iCs/>
        </w:rPr>
        <w:t xml:space="preserve">Record the IDR results in the department database. </w:t>
      </w:r>
    </w:p>
    <w:p w14:paraId="6E2C3BD8" w14:textId="7D04B189" w:rsidR="00B41E80" w:rsidRPr="00B41E80" w:rsidRDefault="00B41E80" w:rsidP="008C17BF">
      <w:pPr>
        <w:pStyle w:val="ListParagraph"/>
        <w:numPr>
          <w:ilvl w:val="1"/>
          <w:numId w:val="41"/>
        </w:numPr>
        <w:rPr>
          <w:bCs/>
          <w:iCs/>
        </w:rPr>
      </w:pPr>
      <w:r w:rsidRPr="00B41E80">
        <w:rPr>
          <w:bCs/>
          <w:iCs/>
        </w:rPr>
        <w:t>Ensure the provider receives a new amended version of the SOD.</w:t>
      </w:r>
    </w:p>
    <w:p w14:paraId="3200CE59" w14:textId="77777777" w:rsidR="00B41E80" w:rsidRPr="00B41E80" w:rsidRDefault="00B41E80" w:rsidP="00B41E80">
      <w:pPr>
        <w:rPr>
          <w:b/>
          <w:i/>
        </w:rPr>
      </w:pPr>
    </w:p>
    <w:p w14:paraId="63F8EFFE" w14:textId="77777777" w:rsidR="00B41E80" w:rsidRPr="00B41E80" w:rsidRDefault="00B41E80" w:rsidP="00B41E80">
      <w:pPr>
        <w:rPr>
          <w:b/>
          <w:i/>
          <w:sz w:val="28"/>
          <w:szCs w:val="28"/>
        </w:rPr>
      </w:pPr>
    </w:p>
    <w:p w14:paraId="601BBDEF" w14:textId="77777777" w:rsidR="00B41E80" w:rsidRPr="00B41E80" w:rsidRDefault="00B41E80" w:rsidP="00B41E80">
      <w:pPr>
        <w:rPr>
          <w:b/>
          <w:i/>
          <w:sz w:val="28"/>
          <w:szCs w:val="28"/>
        </w:rPr>
      </w:pPr>
    </w:p>
    <w:p w14:paraId="6351229E" w14:textId="77777777" w:rsidR="00B41E80" w:rsidRPr="00B41E80" w:rsidRDefault="00B41E80">
      <w:pPr>
        <w:rPr>
          <w:sz w:val="28"/>
          <w:szCs w:val="28"/>
        </w:rPr>
      </w:pPr>
    </w:p>
    <w:p w14:paraId="1B575F89" w14:textId="77777777" w:rsidR="007002EE" w:rsidRPr="00B41E80" w:rsidRDefault="007002EE">
      <w:pPr>
        <w:rPr>
          <w:sz w:val="28"/>
          <w:szCs w:val="28"/>
        </w:rPr>
      </w:pPr>
    </w:p>
    <w:p w14:paraId="43012672" w14:textId="77777777" w:rsidR="007002EE" w:rsidRPr="00B41E80" w:rsidRDefault="007002EE">
      <w:pPr>
        <w:rPr>
          <w:sz w:val="28"/>
          <w:szCs w:val="28"/>
        </w:rPr>
      </w:pPr>
    </w:p>
    <w:p w14:paraId="349AA85E" w14:textId="77777777" w:rsidR="007002EE" w:rsidRPr="00B41E80" w:rsidRDefault="007002EE">
      <w:pPr>
        <w:rPr>
          <w:sz w:val="28"/>
          <w:szCs w:val="28"/>
        </w:rPr>
      </w:pPr>
    </w:p>
    <w:p w14:paraId="48446710" w14:textId="77777777" w:rsidR="007002EE" w:rsidRPr="00B41E80" w:rsidRDefault="007002EE">
      <w:pPr>
        <w:rPr>
          <w:sz w:val="28"/>
          <w:szCs w:val="28"/>
        </w:rPr>
      </w:pPr>
    </w:p>
    <w:p w14:paraId="4A5953E0" w14:textId="77777777" w:rsidR="007002EE" w:rsidRPr="00B41E80" w:rsidRDefault="007002EE">
      <w:pPr>
        <w:rPr>
          <w:sz w:val="28"/>
          <w:szCs w:val="28"/>
        </w:rPr>
      </w:pPr>
    </w:p>
    <w:p w14:paraId="1C09CA01" w14:textId="77777777" w:rsidR="007002EE" w:rsidRPr="00B41E80" w:rsidRDefault="007002EE">
      <w:pPr>
        <w:rPr>
          <w:sz w:val="28"/>
          <w:szCs w:val="28"/>
        </w:rPr>
      </w:pPr>
    </w:p>
    <w:p w14:paraId="4F82A35D" w14:textId="77777777" w:rsidR="007002EE" w:rsidRPr="00B41E80" w:rsidRDefault="007002EE">
      <w:pPr>
        <w:rPr>
          <w:sz w:val="28"/>
          <w:szCs w:val="28"/>
        </w:rPr>
      </w:pPr>
    </w:p>
    <w:p w14:paraId="6E33C28A" w14:textId="77777777" w:rsidR="007002EE" w:rsidRPr="00B41E80" w:rsidRDefault="007002EE">
      <w:pPr>
        <w:rPr>
          <w:sz w:val="28"/>
          <w:szCs w:val="28"/>
        </w:rPr>
      </w:pPr>
    </w:p>
    <w:p w14:paraId="6F6C2F68" w14:textId="77777777" w:rsidR="007002EE" w:rsidRPr="00B41E80" w:rsidRDefault="007002EE">
      <w:pPr>
        <w:rPr>
          <w:sz w:val="28"/>
          <w:szCs w:val="28"/>
        </w:rPr>
      </w:pPr>
    </w:p>
    <w:p w14:paraId="1A996849" w14:textId="77777777" w:rsidR="007002EE" w:rsidRPr="00B41E80" w:rsidRDefault="007002EE">
      <w:pPr>
        <w:rPr>
          <w:sz w:val="28"/>
          <w:szCs w:val="28"/>
        </w:rPr>
      </w:pPr>
    </w:p>
    <w:p w14:paraId="35941500" w14:textId="77777777" w:rsidR="007002EE" w:rsidRPr="00B41E80" w:rsidRDefault="007002EE">
      <w:pPr>
        <w:rPr>
          <w:sz w:val="28"/>
          <w:szCs w:val="28"/>
        </w:rPr>
      </w:pPr>
    </w:p>
    <w:p w14:paraId="67FB6E74" w14:textId="77777777" w:rsidR="007002EE" w:rsidRPr="00B41E80" w:rsidRDefault="007002EE">
      <w:pPr>
        <w:rPr>
          <w:sz w:val="28"/>
          <w:szCs w:val="28"/>
        </w:rPr>
      </w:pPr>
    </w:p>
    <w:p w14:paraId="4DDEDEAF" w14:textId="77777777" w:rsidR="007002EE" w:rsidRPr="00B41E80" w:rsidRDefault="007002EE">
      <w:pPr>
        <w:rPr>
          <w:sz w:val="28"/>
          <w:szCs w:val="28"/>
        </w:rPr>
      </w:pPr>
    </w:p>
    <w:p w14:paraId="16087D6A" w14:textId="77777777" w:rsidR="007002EE" w:rsidRPr="00B41E80" w:rsidRDefault="007002EE">
      <w:pPr>
        <w:rPr>
          <w:sz w:val="28"/>
          <w:szCs w:val="28"/>
        </w:rPr>
      </w:pPr>
    </w:p>
    <w:p w14:paraId="39CD8C9F" w14:textId="4477C3D2" w:rsidR="007002EE" w:rsidRPr="00B41E80" w:rsidRDefault="007002EE">
      <w:pPr>
        <w:rPr>
          <w:sz w:val="28"/>
          <w:szCs w:val="28"/>
        </w:rPr>
      </w:pPr>
    </w:p>
    <w:sectPr w:rsidR="007002EE" w:rsidRPr="00B41E80" w:rsidSect="007002EE">
      <w:headerReference w:type="even" r:id="rId19"/>
      <w:headerReference w:type="default" r:id="rId20"/>
      <w:footerReference w:type="default" r:id="rId21"/>
      <w:headerReference w:type="first" r:id="rId22"/>
      <w:footerReference w:type="first" r:id="rId23"/>
      <w:pgSz w:w="12240" w:h="15840"/>
      <w:pgMar w:top="1307" w:right="1440" w:bottom="1440" w:left="1440" w:header="403"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EB4B8" w14:textId="77777777" w:rsidR="00A35F3B" w:rsidRDefault="00A35F3B" w:rsidP="00DA37B4">
      <w:r>
        <w:separator/>
      </w:r>
    </w:p>
  </w:endnote>
  <w:endnote w:type="continuationSeparator" w:id="0">
    <w:p w14:paraId="569878FD" w14:textId="77777777" w:rsidR="00A35F3B" w:rsidRDefault="00A35F3B" w:rsidP="00DA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BE593" w14:textId="0CF1E42D" w:rsidR="00B41E80" w:rsidRDefault="00B41E80">
    <w:pPr>
      <w:pStyle w:val="Footer"/>
    </w:pPr>
    <w:r>
      <w:t xml:space="preserve">Washington State Department of Social and Health Services </w:t>
    </w:r>
    <w:r>
      <w:tab/>
    </w:r>
    <w:sdt>
      <w:sdtPr>
        <w:id w:val="-1937661690"/>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Pr>
            <w:noProof/>
          </w:rPr>
          <w:t>2</w:t>
        </w:r>
        <w:r>
          <w:rPr>
            <w:noProof/>
          </w:rPr>
          <w:fldChar w:fldCharType="end"/>
        </w:r>
      </w:sdtContent>
    </w:sdt>
  </w:p>
  <w:p w14:paraId="58E33316" w14:textId="1F3B97D1" w:rsidR="007002EE" w:rsidRDefault="007002EE" w:rsidP="007002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20D521" w14:paraId="29AFCEC0" w14:textId="77777777" w:rsidTr="0520D521">
      <w:trPr>
        <w:trHeight w:val="300"/>
      </w:trPr>
      <w:tc>
        <w:tcPr>
          <w:tcW w:w="3120" w:type="dxa"/>
        </w:tcPr>
        <w:p w14:paraId="6EB46301" w14:textId="4DF1DA16" w:rsidR="0520D521" w:rsidRDefault="0520D521" w:rsidP="0520D521">
          <w:pPr>
            <w:pStyle w:val="Header"/>
            <w:ind w:left="-115"/>
          </w:pPr>
        </w:p>
      </w:tc>
      <w:tc>
        <w:tcPr>
          <w:tcW w:w="3120" w:type="dxa"/>
        </w:tcPr>
        <w:p w14:paraId="6FEDFA04" w14:textId="271A5CD2" w:rsidR="0520D521" w:rsidRDefault="0520D521" w:rsidP="0520D521">
          <w:pPr>
            <w:pStyle w:val="Header"/>
            <w:jc w:val="center"/>
          </w:pPr>
        </w:p>
      </w:tc>
      <w:tc>
        <w:tcPr>
          <w:tcW w:w="3120" w:type="dxa"/>
        </w:tcPr>
        <w:p w14:paraId="302EE4B0" w14:textId="3B0F4898" w:rsidR="0520D521" w:rsidRDefault="0520D521" w:rsidP="0520D521">
          <w:pPr>
            <w:pStyle w:val="Header"/>
            <w:ind w:right="-115"/>
            <w:jc w:val="right"/>
          </w:pPr>
        </w:p>
      </w:tc>
    </w:tr>
  </w:tbl>
  <w:p w14:paraId="143631B4" w14:textId="2202CD82" w:rsidR="0520D521" w:rsidRDefault="0520D521" w:rsidP="0520D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C3DC" w14:textId="77777777" w:rsidR="00A35F3B" w:rsidRDefault="00A35F3B" w:rsidP="00DA37B4">
      <w:r>
        <w:separator/>
      </w:r>
    </w:p>
  </w:footnote>
  <w:footnote w:type="continuationSeparator" w:id="0">
    <w:p w14:paraId="08DD8375" w14:textId="77777777" w:rsidR="00A35F3B" w:rsidRDefault="00A35F3B" w:rsidP="00DA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C3B0" w14:textId="437C5F58" w:rsidR="00DA37B4" w:rsidRDefault="001A2817">
    <w:pPr>
      <w:pStyle w:val="Header"/>
    </w:pPr>
    <w:r>
      <w:rPr>
        <w:noProof/>
      </w:rPr>
      <w:pict w14:anchorId="15628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3" o:spid="_x0000_s1026" type="#_x0000_t75" alt="" style="position:absolute;margin-left:0;margin-top:0;width:618pt;height:800pt;z-index:-251639808;mso-wrap-edited:f;mso-width-percent:0;mso-height-percent:0;mso-position-horizontal:center;mso-position-horizontal-relative:margin;mso-position-vertical:center;mso-position-vertical-relative:margin;mso-width-percent:0;mso-height-percent:0" o:allowincell="f">
          <v:imagedata r:id="rId1" o:title="DSHS Watermark v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20D521" w14:paraId="3B7333DA" w14:textId="77777777" w:rsidTr="0520D521">
      <w:trPr>
        <w:trHeight w:val="300"/>
      </w:trPr>
      <w:tc>
        <w:tcPr>
          <w:tcW w:w="3120" w:type="dxa"/>
        </w:tcPr>
        <w:p w14:paraId="15627406" w14:textId="0A5E0549" w:rsidR="0520D521" w:rsidRDefault="0520D521" w:rsidP="0520D521">
          <w:pPr>
            <w:pStyle w:val="Header"/>
            <w:ind w:left="-115"/>
          </w:pPr>
        </w:p>
      </w:tc>
      <w:tc>
        <w:tcPr>
          <w:tcW w:w="3120" w:type="dxa"/>
        </w:tcPr>
        <w:p w14:paraId="770200C0" w14:textId="5D4D4B01" w:rsidR="0520D521" w:rsidRDefault="0520D521" w:rsidP="0520D521">
          <w:pPr>
            <w:pStyle w:val="Header"/>
            <w:jc w:val="center"/>
          </w:pPr>
        </w:p>
      </w:tc>
      <w:tc>
        <w:tcPr>
          <w:tcW w:w="3120" w:type="dxa"/>
        </w:tcPr>
        <w:p w14:paraId="1C411C13" w14:textId="4DFCD132" w:rsidR="0520D521" w:rsidRDefault="0520D521" w:rsidP="0520D521">
          <w:pPr>
            <w:pStyle w:val="Header"/>
            <w:ind w:right="-115"/>
            <w:jc w:val="right"/>
          </w:pPr>
        </w:p>
      </w:tc>
    </w:tr>
  </w:tbl>
  <w:p w14:paraId="60A175A8" w14:textId="31F11D51" w:rsidR="0520D521" w:rsidRDefault="0520D521" w:rsidP="0520D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57874" w14:textId="1FAC08E3" w:rsidR="00DA37B4" w:rsidRDefault="001A2817">
    <w:pPr>
      <w:pStyle w:val="Header"/>
    </w:pPr>
    <w:r>
      <w:rPr>
        <w:noProof/>
      </w:rPr>
      <w:pict w14:anchorId="25DDB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7997392" o:spid="_x0000_s1025" type="#_x0000_t75" alt="" style="position:absolute;margin-left:0;margin-top:0;width:618pt;height:800pt;z-index:-251641856;mso-wrap-edited:f;mso-width-percent:0;mso-height-percent:0;mso-position-horizontal:center;mso-position-horizontal-relative:margin;mso-position-vertical:center;mso-position-vertical-relative:margin;mso-width-percent:0;mso-height-percent:0" o:allowincell="f">
          <v:imagedata r:id="rId1" o:title="DSHS Watermark v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0E42"/>
    <w:multiLevelType w:val="hybridMultilevel"/>
    <w:tmpl w:val="03146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7C4"/>
    <w:multiLevelType w:val="hybridMultilevel"/>
    <w:tmpl w:val="D316A25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2B325D"/>
    <w:multiLevelType w:val="hybridMultilevel"/>
    <w:tmpl w:val="C46A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A39ED"/>
    <w:multiLevelType w:val="multilevel"/>
    <w:tmpl w:val="0348392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1E7E80"/>
    <w:multiLevelType w:val="hybridMultilevel"/>
    <w:tmpl w:val="8538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03804"/>
    <w:multiLevelType w:val="hybridMultilevel"/>
    <w:tmpl w:val="94FE70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CE66CD"/>
    <w:multiLevelType w:val="hybridMultilevel"/>
    <w:tmpl w:val="12B2A492"/>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E27F46"/>
    <w:multiLevelType w:val="hybridMultilevel"/>
    <w:tmpl w:val="1A2417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56F6A"/>
    <w:multiLevelType w:val="hybridMultilevel"/>
    <w:tmpl w:val="058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F5945"/>
    <w:multiLevelType w:val="hybridMultilevel"/>
    <w:tmpl w:val="0BA88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A5AEC"/>
    <w:multiLevelType w:val="hybridMultilevel"/>
    <w:tmpl w:val="AFD86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D2D61"/>
    <w:multiLevelType w:val="hybridMultilevel"/>
    <w:tmpl w:val="21CC1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6A5CFC"/>
    <w:multiLevelType w:val="multilevel"/>
    <w:tmpl w:val="A2F2CB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73C41D1"/>
    <w:multiLevelType w:val="hybridMultilevel"/>
    <w:tmpl w:val="62BE8E38"/>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7726F"/>
    <w:multiLevelType w:val="hybridMultilevel"/>
    <w:tmpl w:val="D3C490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CA3B59"/>
    <w:multiLevelType w:val="hybridMultilevel"/>
    <w:tmpl w:val="8D9AD168"/>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E2C69FE"/>
    <w:multiLevelType w:val="hybridMultilevel"/>
    <w:tmpl w:val="F3C8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07799"/>
    <w:multiLevelType w:val="hybridMultilevel"/>
    <w:tmpl w:val="42F4FB5C"/>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12035C"/>
    <w:multiLevelType w:val="hybridMultilevel"/>
    <w:tmpl w:val="95686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E93A7B"/>
    <w:multiLevelType w:val="hybridMultilevel"/>
    <w:tmpl w:val="93FA8BE0"/>
    <w:lvl w:ilvl="0" w:tplc="B22CBBD4">
      <w:start w:val="1"/>
      <w:numFmt w:val="bullet"/>
      <w:lvlText w:val="•"/>
      <w:lvlJc w:val="left"/>
      <w:pPr>
        <w:tabs>
          <w:tab w:val="num" w:pos="720"/>
        </w:tabs>
        <w:ind w:left="720" w:hanging="360"/>
      </w:pPr>
      <w:rPr>
        <w:rFonts w:ascii="Arial" w:hAnsi="Arial" w:hint="default"/>
      </w:rPr>
    </w:lvl>
    <w:lvl w:ilvl="1" w:tplc="3654C438">
      <w:start w:val="1"/>
      <w:numFmt w:val="bullet"/>
      <w:lvlText w:val="•"/>
      <w:lvlJc w:val="left"/>
      <w:pPr>
        <w:tabs>
          <w:tab w:val="num" w:pos="1440"/>
        </w:tabs>
        <w:ind w:left="1440" w:hanging="360"/>
      </w:pPr>
      <w:rPr>
        <w:rFonts w:ascii="Arial" w:hAnsi="Arial" w:hint="default"/>
      </w:rPr>
    </w:lvl>
    <w:lvl w:ilvl="2" w:tplc="1C263E10" w:tentative="1">
      <w:start w:val="1"/>
      <w:numFmt w:val="bullet"/>
      <w:lvlText w:val="•"/>
      <w:lvlJc w:val="left"/>
      <w:pPr>
        <w:tabs>
          <w:tab w:val="num" w:pos="2160"/>
        </w:tabs>
        <w:ind w:left="2160" w:hanging="360"/>
      </w:pPr>
      <w:rPr>
        <w:rFonts w:ascii="Arial" w:hAnsi="Arial" w:hint="default"/>
      </w:rPr>
    </w:lvl>
    <w:lvl w:ilvl="3" w:tplc="7B4A4934" w:tentative="1">
      <w:start w:val="1"/>
      <w:numFmt w:val="bullet"/>
      <w:lvlText w:val="•"/>
      <w:lvlJc w:val="left"/>
      <w:pPr>
        <w:tabs>
          <w:tab w:val="num" w:pos="2880"/>
        </w:tabs>
        <w:ind w:left="2880" w:hanging="360"/>
      </w:pPr>
      <w:rPr>
        <w:rFonts w:ascii="Arial" w:hAnsi="Arial" w:hint="default"/>
      </w:rPr>
    </w:lvl>
    <w:lvl w:ilvl="4" w:tplc="AB86E8CC" w:tentative="1">
      <w:start w:val="1"/>
      <w:numFmt w:val="bullet"/>
      <w:lvlText w:val="•"/>
      <w:lvlJc w:val="left"/>
      <w:pPr>
        <w:tabs>
          <w:tab w:val="num" w:pos="3600"/>
        </w:tabs>
        <w:ind w:left="3600" w:hanging="360"/>
      </w:pPr>
      <w:rPr>
        <w:rFonts w:ascii="Arial" w:hAnsi="Arial" w:hint="default"/>
      </w:rPr>
    </w:lvl>
    <w:lvl w:ilvl="5" w:tplc="9C2275D6" w:tentative="1">
      <w:start w:val="1"/>
      <w:numFmt w:val="bullet"/>
      <w:lvlText w:val="•"/>
      <w:lvlJc w:val="left"/>
      <w:pPr>
        <w:tabs>
          <w:tab w:val="num" w:pos="4320"/>
        </w:tabs>
        <w:ind w:left="4320" w:hanging="360"/>
      </w:pPr>
      <w:rPr>
        <w:rFonts w:ascii="Arial" w:hAnsi="Arial" w:hint="default"/>
      </w:rPr>
    </w:lvl>
    <w:lvl w:ilvl="6" w:tplc="0342634E" w:tentative="1">
      <w:start w:val="1"/>
      <w:numFmt w:val="bullet"/>
      <w:lvlText w:val="•"/>
      <w:lvlJc w:val="left"/>
      <w:pPr>
        <w:tabs>
          <w:tab w:val="num" w:pos="5040"/>
        </w:tabs>
        <w:ind w:left="5040" w:hanging="360"/>
      </w:pPr>
      <w:rPr>
        <w:rFonts w:ascii="Arial" w:hAnsi="Arial" w:hint="default"/>
      </w:rPr>
    </w:lvl>
    <w:lvl w:ilvl="7" w:tplc="1DF47526" w:tentative="1">
      <w:start w:val="1"/>
      <w:numFmt w:val="bullet"/>
      <w:lvlText w:val="•"/>
      <w:lvlJc w:val="left"/>
      <w:pPr>
        <w:tabs>
          <w:tab w:val="num" w:pos="5760"/>
        </w:tabs>
        <w:ind w:left="5760" w:hanging="360"/>
      </w:pPr>
      <w:rPr>
        <w:rFonts w:ascii="Arial" w:hAnsi="Arial" w:hint="default"/>
      </w:rPr>
    </w:lvl>
    <w:lvl w:ilvl="8" w:tplc="AFA24AE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381A47"/>
    <w:multiLevelType w:val="hybridMultilevel"/>
    <w:tmpl w:val="F132B8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EA6891"/>
    <w:multiLevelType w:val="hybridMultilevel"/>
    <w:tmpl w:val="7D60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1599C"/>
    <w:multiLevelType w:val="hybridMultilevel"/>
    <w:tmpl w:val="DD8E30E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462E24"/>
    <w:multiLevelType w:val="hybridMultilevel"/>
    <w:tmpl w:val="88582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E83FAB"/>
    <w:multiLevelType w:val="hybridMultilevel"/>
    <w:tmpl w:val="88883E6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14FAC"/>
    <w:multiLevelType w:val="hybridMultilevel"/>
    <w:tmpl w:val="A43E6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303C8"/>
    <w:multiLevelType w:val="hybridMultilevel"/>
    <w:tmpl w:val="DF7661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7B7E94"/>
    <w:multiLevelType w:val="hybridMultilevel"/>
    <w:tmpl w:val="70B6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32A0E"/>
    <w:multiLevelType w:val="hybridMultilevel"/>
    <w:tmpl w:val="314C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A19BC"/>
    <w:multiLevelType w:val="hybridMultilevel"/>
    <w:tmpl w:val="EE2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75AA4"/>
    <w:multiLevelType w:val="hybridMultilevel"/>
    <w:tmpl w:val="1888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B705A"/>
    <w:multiLevelType w:val="multilevel"/>
    <w:tmpl w:val="0B10AA0A"/>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5FD66ADF"/>
    <w:multiLevelType w:val="multilevel"/>
    <w:tmpl w:val="6A000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006D79"/>
    <w:multiLevelType w:val="hybridMultilevel"/>
    <w:tmpl w:val="F68CE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D1C07"/>
    <w:multiLevelType w:val="multilevel"/>
    <w:tmpl w:val="35A8D21C"/>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3FE5A6C"/>
    <w:multiLevelType w:val="hybridMultilevel"/>
    <w:tmpl w:val="60D65D5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736D5"/>
    <w:multiLevelType w:val="hybridMultilevel"/>
    <w:tmpl w:val="B35A066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385CF2"/>
    <w:multiLevelType w:val="hybridMultilevel"/>
    <w:tmpl w:val="0AB2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8F2B1A"/>
    <w:multiLevelType w:val="hybridMultilevel"/>
    <w:tmpl w:val="05FE19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433A2"/>
    <w:multiLevelType w:val="hybridMultilevel"/>
    <w:tmpl w:val="999C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951CE9"/>
    <w:multiLevelType w:val="hybridMultilevel"/>
    <w:tmpl w:val="78666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66FF1"/>
    <w:multiLevelType w:val="hybridMultilevel"/>
    <w:tmpl w:val="6A2C7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3C4EEA"/>
    <w:multiLevelType w:val="hybridMultilevel"/>
    <w:tmpl w:val="E6C2344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7915654">
    <w:abstractNumId w:val="11"/>
  </w:num>
  <w:num w:numId="2" w16cid:durableId="937064046">
    <w:abstractNumId w:val="35"/>
  </w:num>
  <w:num w:numId="3" w16cid:durableId="194197793">
    <w:abstractNumId w:val="0"/>
  </w:num>
  <w:num w:numId="4" w16cid:durableId="1262956053">
    <w:abstractNumId w:val="36"/>
  </w:num>
  <w:num w:numId="5" w16cid:durableId="452791412">
    <w:abstractNumId w:val="20"/>
  </w:num>
  <w:num w:numId="6" w16cid:durableId="206917196">
    <w:abstractNumId w:val="28"/>
  </w:num>
  <w:num w:numId="7" w16cid:durableId="1234240152">
    <w:abstractNumId w:val="23"/>
  </w:num>
  <w:num w:numId="8" w16cid:durableId="1205405710">
    <w:abstractNumId w:val="37"/>
  </w:num>
  <w:num w:numId="9" w16cid:durableId="536429469">
    <w:abstractNumId w:val="29"/>
  </w:num>
  <w:num w:numId="10" w16cid:durableId="621961765">
    <w:abstractNumId w:val="18"/>
  </w:num>
  <w:num w:numId="11" w16cid:durableId="1189107108">
    <w:abstractNumId w:val="5"/>
  </w:num>
  <w:num w:numId="12" w16cid:durableId="560605235">
    <w:abstractNumId w:val="22"/>
  </w:num>
  <w:num w:numId="13" w16cid:durableId="223177213">
    <w:abstractNumId w:val="24"/>
  </w:num>
  <w:num w:numId="14" w16cid:durableId="1208836463">
    <w:abstractNumId w:val="8"/>
  </w:num>
  <w:num w:numId="15" w16cid:durableId="1027414233">
    <w:abstractNumId w:val="40"/>
  </w:num>
  <w:num w:numId="16" w16cid:durableId="320735272">
    <w:abstractNumId w:val="4"/>
  </w:num>
  <w:num w:numId="17" w16cid:durableId="1515874836">
    <w:abstractNumId w:val="16"/>
  </w:num>
  <w:num w:numId="18" w16cid:durableId="2116170019">
    <w:abstractNumId w:val="27"/>
  </w:num>
  <w:num w:numId="19" w16cid:durableId="1548027355">
    <w:abstractNumId w:val="30"/>
  </w:num>
  <w:num w:numId="20" w16cid:durableId="441657047">
    <w:abstractNumId w:val="9"/>
  </w:num>
  <w:num w:numId="21" w16cid:durableId="1364984173">
    <w:abstractNumId w:val="25"/>
  </w:num>
  <w:num w:numId="22" w16cid:durableId="406919281">
    <w:abstractNumId w:val="33"/>
  </w:num>
  <w:num w:numId="23" w16cid:durableId="1385180370">
    <w:abstractNumId w:val="10"/>
  </w:num>
  <w:num w:numId="24" w16cid:durableId="1989360466">
    <w:abstractNumId w:val="41"/>
  </w:num>
  <w:num w:numId="25" w16cid:durableId="1929191771">
    <w:abstractNumId w:val="15"/>
  </w:num>
  <w:num w:numId="26" w16cid:durableId="1773743853">
    <w:abstractNumId w:val="34"/>
  </w:num>
  <w:num w:numId="27" w16cid:durableId="1113011726">
    <w:abstractNumId w:val="21"/>
  </w:num>
  <w:num w:numId="28" w16cid:durableId="1589533043">
    <w:abstractNumId w:val="38"/>
  </w:num>
  <w:num w:numId="29" w16cid:durableId="1094668794">
    <w:abstractNumId w:val="7"/>
  </w:num>
  <w:num w:numId="30" w16cid:durableId="1219589223">
    <w:abstractNumId w:val="42"/>
  </w:num>
  <w:num w:numId="31" w16cid:durableId="1633748300">
    <w:abstractNumId w:val="12"/>
  </w:num>
  <w:num w:numId="32" w16cid:durableId="312873862">
    <w:abstractNumId w:val="26"/>
  </w:num>
  <w:num w:numId="33" w16cid:durableId="178935680">
    <w:abstractNumId w:val="6"/>
  </w:num>
  <w:num w:numId="34" w16cid:durableId="709719123">
    <w:abstractNumId w:val="2"/>
  </w:num>
  <w:num w:numId="35" w16cid:durableId="1518930541">
    <w:abstractNumId w:val="31"/>
  </w:num>
  <w:num w:numId="36" w16cid:durableId="453520534">
    <w:abstractNumId w:val="14"/>
  </w:num>
  <w:num w:numId="37" w16cid:durableId="509027554">
    <w:abstractNumId w:val="13"/>
  </w:num>
  <w:num w:numId="38" w16cid:durableId="1155687557">
    <w:abstractNumId w:val="3"/>
  </w:num>
  <w:num w:numId="39" w16cid:durableId="1484160417">
    <w:abstractNumId w:val="32"/>
  </w:num>
  <w:num w:numId="40" w16cid:durableId="786046487">
    <w:abstractNumId w:val="39"/>
  </w:num>
  <w:num w:numId="41" w16cid:durableId="1776900135">
    <w:abstractNumId w:val="17"/>
  </w:num>
  <w:num w:numId="42" w16cid:durableId="1272280037">
    <w:abstractNumId w:val="1"/>
  </w:num>
  <w:num w:numId="43" w16cid:durableId="15979031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1" w:cryptProviderType="rsaAES" w:cryptAlgorithmClass="hash" w:cryptAlgorithmType="typeAny" w:cryptAlgorithmSid="14" w:cryptSpinCount="100000" w:hash="8Jnwloywzrk5MexeYDJVSy54/SnajoDoyg5PAITnEtZEawPJ43QbE7Pc5JXbM8UcFY9Cz7mvh/oZCBFi3aizrg==" w:salt="JYdtk2LhiLTw2kaPnHNFa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207"/>
    <w:rsid w:val="0001298B"/>
    <w:rsid w:val="00030C15"/>
    <w:rsid w:val="00034BE1"/>
    <w:rsid w:val="00061B12"/>
    <w:rsid w:val="00072E5C"/>
    <w:rsid w:val="00073DEF"/>
    <w:rsid w:val="00086D39"/>
    <w:rsid w:val="000D0739"/>
    <w:rsid w:val="000D1980"/>
    <w:rsid w:val="000F23E5"/>
    <w:rsid w:val="00156B0A"/>
    <w:rsid w:val="001631B2"/>
    <w:rsid w:val="00182A9A"/>
    <w:rsid w:val="0018491D"/>
    <w:rsid w:val="001B1627"/>
    <w:rsid w:val="001C2391"/>
    <w:rsid w:val="00200DC2"/>
    <w:rsid w:val="002023F6"/>
    <w:rsid w:val="002177DF"/>
    <w:rsid w:val="00222FE3"/>
    <w:rsid w:val="00232107"/>
    <w:rsid w:val="002839CB"/>
    <w:rsid w:val="00285839"/>
    <w:rsid w:val="003127C4"/>
    <w:rsid w:val="00314BE1"/>
    <w:rsid w:val="003272AA"/>
    <w:rsid w:val="003335A5"/>
    <w:rsid w:val="00335391"/>
    <w:rsid w:val="003360DE"/>
    <w:rsid w:val="0034658D"/>
    <w:rsid w:val="00392E50"/>
    <w:rsid w:val="003B334E"/>
    <w:rsid w:val="003C50A8"/>
    <w:rsid w:val="003D696F"/>
    <w:rsid w:val="004415F3"/>
    <w:rsid w:val="004541A1"/>
    <w:rsid w:val="00480C16"/>
    <w:rsid w:val="00485FF9"/>
    <w:rsid w:val="00493048"/>
    <w:rsid w:val="004A5440"/>
    <w:rsid w:val="004A64DA"/>
    <w:rsid w:val="004B18E8"/>
    <w:rsid w:val="004C42E1"/>
    <w:rsid w:val="004C7706"/>
    <w:rsid w:val="0055540F"/>
    <w:rsid w:val="005653DF"/>
    <w:rsid w:val="00586DCE"/>
    <w:rsid w:val="00592768"/>
    <w:rsid w:val="00594210"/>
    <w:rsid w:val="005977FE"/>
    <w:rsid w:val="005B3243"/>
    <w:rsid w:val="005C40EE"/>
    <w:rsid w:val="005D7507"/>
    <w:rsid w:val="005E25F1"/>
    <w:rsid w:val="00600730"/>
    <w:rsid w:val="00600EFA"/>
    <w:rsid w:val="00605138"/>
    <w:rsid w:val="00631121"/>
    <w:rsid w:val="006312BB"/>
    <w:rsid w:val="006335E9"/>
    <w:rsid w:val="00674FC7"/>
    <w:rsid w:val="00684CB7"/>
    <w:rsid w:val="00690293"/>
    <w:rsid w:val="00695192"/>
    <w:rsid w:val="006A24EF"/>
    <w:rsid w:val="006C46A3"/>
    <w:rsid w:val="006D75ED"/>
    <w:rsid w:val="007002EE"/>
    <w:rsid w:val="007027B4"/>
    <w:rsid w:val="00703C12"/>
    <w:rsid w:val="00726E9E"/>
    <w:rsid w:val="007538C4"/>
    <w:rsid w:val="00773DC2"/>
    <w:rsid w:val="00781533"/>
    <w:rsid w:val="00795B1D"/>
    <w:rsid w:val="007A375F"/>
    <w:rsid w:val="007A3DE0"/>
    <w:rsid w:val="007B6DE2"/>
    <w:rsid w:val="007C4829"/>
    <w:rsid w:val="007E4B3A"/>
    <w:rsid w:val="00801D95"/>
    <w:rsid w:val="008062E9"/>
    <w:rsid w:val="00831996"/>
    <w:rsid w:val="008633B0"/>
    <w:rsid w:val="00863844"/>
    <w:rsid w:val="00870870"/>
    <w:rsid w:val="00872FDD"/>
    <w:rsid w:val="00893356"/>
    <w:rsid w:val="00895E6A"/>
    <w:rsid w:val="008A2F36"/>
    <w:rsid w:val="008C17BF"/>
    <w:rsid w:val="008C286F"/>
    <w:rsid w:val="00902C10"/>
    <w:rsid w:val="0095103B"/>
    <w:rsid w:val="00954B2D"/>
    <w:rsid w:val="00973798"/>
    <w:rsid w:val="009C3DAA"/>
    <w:rsid w:val="009D3FC9"/>
    <w:rsid w:val="00A07815"/>
    <w:rsid w:val="00A23CB1"/>
    <w:rsid w:val="00A30B7B"/>
    <w:rsid w:val="00A35F3B"/>
    <w:rsid w:val="00A5040D"/>
    <w:rsid w:val="00A53E96"/>
    <w:rsid w:val="00A66530"/>
    <w:rsid w:val="00A72574"/>
    <w:rsid w:val="00A8663B"/>
    <w:rsid w:val="00A92C8C"/>
    <w:rsid w:val="00AA4429"/>
    <w:rsid w:val="00AB7A62"/>
    <w:rsid w:val="00AC18C8"/>
    <w:rsid w:val="00AC4C3C"/>
    <w:rsid w:val="00AD605E"/>
    <w:rsid w:val="00AF3E8A"/>
    <w:rsid w:val="00B07CE4"/>
    <w:rsid w:val="00B25EB6"/>
    <w:rsid w:val="00B30E4A"/>
    <w:rsid w:val="00B33CD1"/>
    <w:rsid w:val="00B35E09"/>
    <w:rsid w:val="00B41E80"/>
    <w:rsid w:val="00B4609A"/>
    <w:rsid w:val="00B47EC0"/>
    <w:rsid w:val="00B54B68"/>
    <w:rsid w:val="00B7345B"/>
    <w:rsid w:val="00B74E23"/>
    <w:rsid w:val="00B80114"/>
    <w:rsid w:val="00B95EF2"/>
    <w:rsid w:val="00BB4DC8"/>
    <w:rsid w:val="00BC23EE"/>
    <w:rsid w:val="00BD296B"/>
    <w:rsid w:val="00BF6845"/>
    <w:rsid w:val="00C01148"/>
    <w:rsid w:val="00C16E1B"/>
    <w:rsid w:val="00C17E08"/>
    <w:rsid w:val="00C319B7"/>
    <w:rsid w:val="00C51EC1"/>
    <w:rsid w:val="00C64066"/>
    <w:rsid w:val="00C909EA"/>
    <w:rsid w:val="00CA33B0"/>
    <w:rsid w:val="00CD6EE5"/>
    <w:rsid w:val="00CF10DC"/>
    <w:rsid w:val="00CF707D"/>
    <w:rsid w:val="00D00D3F"/>
    <w:rsid w:val="00D01221"/>
    <w:rsid w:val="00D03972"/>
    <w:rsid w:val="00D30CDC"/>
    <w:rsid w:val="00D61100"/>
    <w:rsid w:val="00D639EE"/>
    <w:rsid w:val="00D96991"/>
    <w:rsid w:val="00DA2CEA"/>
    <w:rsid w:val="00DA37B4"/>
    <w:rsid w:val="00DA5562"/>
    <w:rsid w:val="00DB6A76"/>
    <w:rsid w:val="00DB6AD2"/>
    <w:rsid w:val="00DD1BC7"/>
    <w:rsid w:val="00DE2075"/>
    <w:rsid w:val="00DE22E1"/>
    <w:rsid w:val="00DE7207"/>
    <w:rsid w:val="00E26948"/>
    <w:rsid w:val="00E47957"/>
    <w:rsid w:val="00E5595D"/>
    <w:rsid w:val="00E576CF"/>
    <w:rsid w:val="00EA0AF9"/>
    <w:rsid w:val="00EA1303"/>
    <w:rsid w:val="00EB3AA4"/>
    <w:rsid w:val="00ED0B7E"/>
    <w:rsid w:val="00ED4079"/>
    <w:rsid w:val="00EE0BBC"/>
    <w:rsid w:val="00EE4ADF"/>
    <w:rsid w:val="00F12BA6"/>
    <w:rsid w:val="00F575D7"/>
    <w:rsid w:val="00F63297"/>
    <w:rsid w:val="00F76B8A"/>
    <w:rsid w:val="00F80612"/>
    <w:rsid w:val="00F943E6"/>
    <w:rsid w:val="00F96538"/>
    <w:rsid w:val="00FA0BB5"/>
    <w:rsid w:val="00FA18E2"/>
    <w:rsid w:val="00FA435C"/>
    <w:rsid w:val="00FC14BE"/>
    <w:rsid w:val="00FE6D80"/>
    <w:rsid w:val="0520D521"/>
    <w:rsid w:val="42C4F3E2"/>
    <w:rsid w:val="6A699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21553"/>
  <w15:chartTrackingRefBased/>
  <w15:docId w15:val="{E6BF4DF9-CE10-D64B-971B-46186FCA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EC1"/>
    <w:pPr>
      <w:keepNext/>
      <w:keepLines/>
      <w:spacing w:before="360" w:after="80"/>
      <w:outlineLvl w:val="0"/>
    </w:pPr>
    <w:rPr>
      <w:rFonts w:eastAsiaTheme="majorEastAsia" w:cstheme="majorBidi"/>
      <w:b/>
      <w:color w:val="193F6F" w:themeColor="accent1"/>
      <w:sz w:val="40"/>
      <w:szCs w:val="40"/>
    </w:rPr>
  </w:style>
  <w:style w:type="paragraph" w:styleId="Heading2">
    <w:name w:val="heading 2"/>
    <w:basedOn w:val="Normal"/>
    <w:next w:val="Normal"/>
    <w:link w:val="Heading2Char"/>
    <w:uiPriority w:val="9"/>
    <w:unhideWhenUsed/>
    <w:qFormat/>
    <w:rsid w:val="00DE7207"/>
    <w:pPr>
      <w:keepNext/>
      <w:keepLines/>
      <w:spacing w:before="160" w:after="80"/>
      <w:outlineLvl w:val="1"/>
    </w:pPr>
    <w:rPr>
      <w:rFonts w:asciiTheme="majorHAnsi" w:eastAsiaTheme="majorEastAsia" w:hAnsiTheme="majorHAnsi" w:cstheme="majorBidi"/>
      <w:color w:val="122E52" w:themeColor="accent1" w:themeShade="BF"/>
      <w:sz w:val="32"/>
      <w:szCs w:val="32"/>
    </w:rPr>
  </w:style>
  <w:style w:type="paragraph" w:styleId="Heading3">
    <w:name w:val="heading 3"/>
    <w:basedOn w:val="Normal"/>
    <w:next w:val="Normal"/>
    <w:link w:val="Heading3Char"/>
    <w:uiPriority w:val="9"/>
    <w:semiHidden/>
    <w:unhideWhenUsed/>
    <w:qFormat/>
    <w:rsid w:val="00DE7207"/>
    <w:pPr>
      <w:keepNext/>
      <w:keepLines/>
      <w:spacing w:before="160" w:after="80"/>
      <w:outlineLvl w:val="2"/>
    </w:pPr>
    <w:rPr>
      <w:rFonts w:eastAsiaTheme="majorEastAsia" w:cstheme="majorBidi"/>
      <w:color w:val="122E52" w:themeColor="accent1" w:themeShade="BF"/>
      <w:sz w:val="28"/>
      <w:szCs w:val="28"/>
    </w:rPr>
  </w:style>
  <w:style w:type="paragraph" w:styleId="Heading4">
    <w:name w:val="heading 4"/>
    <w:basedOn w:val="Normal"/>
    <w:next w:val="Normal"/>
    <w:link w:val="Heading4Char"/>
    <w:uiPriority w:val="9"/>
    <w:semiHidden/>
    <w:unhideWhenUsed/>
    <w:qFormat/>
    <w:rsid w:val="00DE7207"/>
    <w:pPr>
      <w:keepNext/>
      <w:keepLines/>
      <w:spacing w:before="80" w:after="40"/>
      <w:outlineLvl w:val="3"/>
    </w:pPr>
    <w:rPr>
      <w:rFonts w:eastAsiaTheme="majorEastAsia" w:cstheme="majorBidi"/>
      <w:i/>
      <w:iCs/>
      <w:color w:val="122E52" w:themeColor="accent1" w:themeShade="BF"/>
    </w:rPr>
  </w:style>
  <w:style w:type="paragraph" w:styleId="Heading5">
    <w:name w:val="heading 5"/>
    <w:basedOn w:val="Normal"/>
    <w:next w:val="Normal"/>
    <w:link w:val="Heading5Char"/>
    <w:uiPriority w:val="9"/>
    <w:semiHidden/>
    <w:unhideWhenUsed/>
    <w:qFormat/>
    <w:rsid w:val="00DE7207"/>
    <w:pPr>
      <w:keepNext/>
      <w:keepLines/>
      <w:spacing w:before="80" w:after="40"/>
      <w:outlineLvl w:val="4"/>
    </w:pPr>
    <w:rPr>
      <w:rFonts w:eastAsiaTheme="majorEastAsia" w:cstheme="majorBidi"/>
      <w:color w:val="122E52" w:themeColor="accent1" w:themeShade="BF"/>
    </w:rPr>
  </w:style>
  <w:style w:type="paragraph" w:styleId="Heading6">
    <w:name w:val="heading 6"/>
    <w:basedOn w:val="Normal"/>
    <w:next w:val="Normal"/>
    <w:link w:val="Heading6Char"/>
    <w:uiPriority w:val="9"/>
    <w:semiHidden/>
    <w:unhideWhenUsed/>
    <w:qFormat/>
    <w:rsid w:val="00DE72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2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2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2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EC1"/>
    <w:rPr>
      <w:rFonts w:eastAsiaTheme="majorEastAsia" w:cstheme="majorBidi"/>
      <w:b/>
      <w:color w:val="193F6F" w:themeColor="accent1"/>
      <w:sz w:val="40"/>
      <w:szCs w:val="40"/>
    </w:rPr>
  </w:style>
  <w:style w:type="character" w:customStyle="1" w:styleId="Heading2Char">
    <w:name w:val="Heading 2 Char"/>
    <w:basedOn w:val="DefaultParagraphFont"/>
    <w:link w:val="Heading2"/>
    <w:uiPriority w:val="9"/>
    <w:rsid w:val="00DE7207"/>
    <w:rPr>
      <w:rFonts w:asciiTheme="majorHAnsi" w:eastAsiaTheme="majorEastAsia" w:hAnsiTheme="majorHAnsi" w:cstheme="majorBidi"/>
      <w:color w:val="122E52" w:themeColor="accent1" w:themeShade="BF"/>
      <w:sz w:val="32"/>
      <w:szCs w:val="32"/>
    </w:rPr>
  </w:style>
  <w:style w:type="character" w:customStyle="1" w:styleId="Heading3Char">
    <w:name w:val="Heading 3 Char"/>
    <w:basedOn w:val="DefaultParagraphFont"/>
    <w:link w:val="Heading3"/>
    <w:uiPriority w:val="9"/>
    <w:semiHidden/>
    <w:rsid w:val="00DE7207"/>
    <w:rPr>
      <w:rFonts w:eastAsiaTheme="majorEastAsia" w:cstheme="majorBidi"/>
      <w:color w:val="122E52" w:themeColor="accent1" w:themeShade="BF"/>
      <w:sz w:val="28"/>
      <w:szCs w:val="28"/>
    </w:rPr>
  </w:style>
  <w:style w:type="character" w:customStyle="1" w:styleId="Heading4Char">
    <w:name w:val="Heading 4 Char"/>
    <w:basedOn w:val="DefaultParagraphFont"/>
    <w:link w:val="Heading4"/>
    <w:uiPriority w:val="9"/>
    <w:semiHidden/>
    <w:rsid w:val="00DE7207"/>
    <w:rPr>
      <w:rFonts w:eastAsiaTheme="majorEastAsia" w:cstheme="majorBidi"/>
      <w:i/>
      <w:iCs/>
      <w:color w:val="122E52" w:themeColor="accent1" w:themeShade="BF"/>
    </w:rPr>
  </w:style>
  <w:style w:type="character" w:customStyle="1" w:styleId="Heading5Char">
    <w:name w:val="Heading 5 Char"/>
    <w:basedOn w:val="DefaultParagraphFont"/>
    <w:link w:val="Heading5"/>
    <w:uiPriority w:val="9"/>
    <w:semiHidden/>
    <w:rsid w:val="00DE7207"/>
    <w:rPr>
      <w:rFonts w:eastAsiaTheme="majorEastAsia" w:cstheme="majorBidi"/>
      <w:color w:val="122E52" w:themeColor="accent1" w:themeShade="BF"/>
    </w:rPr>
  </w:style>
  <w:style w:type="character" w:customStyle="1" w:styleId="Heading6Char">
    <w:name w:val="Heading 6 Char"/>
    <w:basedOn w:val="DefaultParagraphFont"/>
    <w:link w:val="Heading6"/>
    <w:uiPriority w:val="9"/>
    <w:semiHidden/>
    <w:rsid w:val="00DE7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207"/>
    <w:rPr>
      <w:rFonts w:eastAsiaTheme="majorEastAsia" w:cstheme="majorBidi"/>
      <w:color w:val="272727" w:themeColor="text1" w:themeTint="D8"/>
    </w:rPr>
  </w:style>
  <w:style w:type="paragraph" w:styleId="Title">
    <w:name w:val="Title"/>
    <w:basedOn w:val="Normal"/>
    <w:next w:val="Normal"/>
    <w:link w:val="TitleChar"/>
    <w:uiPriority w:val="10"/>
    <w:qFormat/>
    <w:rsid w:val="00DE72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2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2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7207"/>
    <w:rPr>
      <w:i/>
      <w:iCs/>
      <w:color w:val="404040" w:themeColor="text1" w:themeTint="BF"/>
    </w:rPr>
  </w:style>
  <w:style w:type="paragraph" w:styleId="ListParagraph">
    <w:name w:val="List Paragraph"/>
    <w:basedOn w:val="Normal"/>
    <w:uiPriority w:val="34"/>
    <w:qFormat/>
    <w:rsid w:val="00DE7207"/>
    <w:pPr>
      <w:ind w:left="720"/>
      <w:contextualSpacing/>
    </w:pPr>
  </w:style>
  <w:style w:type="character" w:styleId="IntenseEmphasis">
    <w:name w:val="Intense Emphasis"/>
    <w:basedOn w:val="DefaultParagraphFont"/>
    <w:uiPriority w:val="21"/>
    <w:qFormat/>
    <w:rsid w:val="00DE7207"/>
    <w:rPr>
      <w:i/>
      <w:iCs/>
      <w:color w:val="122E52" w:themeColor="accent1" w:themeShade="BF"/>
    </w:rPr>
  </w:style>
  <w:style w:type="paragraph" w:styleId="IntenseQuote">
    <w:name w:val="Intense Quote"/>
    <w:basedOn w:val="Normal"/>
    <w:next w:val="Normal"/>
    <w:link w:val="IntenseQuoteChar"/>
    <w:uiPriority w:val="30"/>
    <w:qFormat/>
    <w:rsid w:val="00DE7207"/>
    <w:pPr>
      <w:pBdr>
        <w:top w:val="single" w:sz="4" w:space="10" w:color="122E52" w:themeColor="accent1" w:themeShade="BF"/>
        <w:bottom w:val="single" w:sz="4" w:space="10" w:color="122E52" w:themeColor="accent1" w:themeShade="BF"/>
      </w:pBdr>
      <w:spacing w:before="360" w:after="360"/>
      <w:ind w:left="864" w:right="864"/>
      <w:jc w:val="center"/>
    </w:pPr>
    <w:rPr>
      <w:i/>
      <w:iCs/>
      <w:color w:val="122E52" w:themeColor="accent1" w:themeShade="BF"/>
    </w:rPr>
  </w:style>
  <w:style w:type="character" w:customStyle="1" w:styleId="IntenseQuoteChar">
    <w:name w:val="Intense Quote Char"/>
    <w:basedOn w:val="DefaultParagraphFont"/>
    <w:link w:val="IntenseQuote"/>
    <w:uiPriority w:val="30"/>
    <w:rsid w:val="00DE7207"/>
    <w:rPr>
      <w:i/>
      <w:iCs/>
      <w:color w:val="122E52" w:themeColor="accent1" w:themeShade="BF"/>
    </w:rPr>
  </w:style>
  <w:style w:type="character" w:styleId="IntenseReference">
    <w:name w:val="Intense Reference"/>
    <w:basedOn w:val="DefaultParagraphFont"/>
    <w:uiPriority w:val="32"/>
    <w:qFormat/>
    <w:rsid w:val="00DE7207"/>
    <w:rPr>
      <w:b/>
      <w:bCs/>
      <w:smallCaps/>
      <w:color w:val="122E52" w:themeColor="accent1" w:themeShade="BF"/>
      <w:spacing w:val="5"/>
    </w:rPr>
  </w:style>
  <w:style w:type="paragraph" w:styleId="Header">
    <w:name w:val="header"/>
    <w:basedOn w:val="Normal"/>
    <w:link w:val="HeaderChar"/>
    <w:uiPriority w:val="99"/>
    <w:unhideWhenUsed/>
    <w:rsid w:val="00DA37B4"/>
    <w:pPr>
      <w:tabs>
        <w:tab w:val="center" w:pos="4680"/>
        <w:tab w:val="right" w:pos="9360"/>
      </w:tabs>
    </w:pPr>
  </w:style>
  <w:style w:type="character" w:customStyle="1" w:styleId="HeaderChar">
    <w:name w:val="Header Char"/>
    <w:basedOn w:val="DefaultParagraphFont"/>
    <w:link w:val="Header"/>
    <w:uiPriority w:val="99"/>
    <w:rsid w:val="00DA37B4"/>
  </w:style>
  <w:style w:type="paragraph" w:styleId="Footer">
    <w:name w:val="footer"/>
    <w:basedOn w:val="Normal"/>
    <w:link w:val="FooterChar"/>
    <w:uiPriority w:val="99"/>
    <w:unhideWhenUsed/>
    <w:rsid w:val="00DA37B4"/>
    <w:pPr>
      <w:tabs>
        <w:tab w:val="center" w:pos="4680"/>
        <w:tab w:val="right" w:pos="9360"/>
      </w:tabs>
    </w:pPr>
  </w:style>
  <w:style w:type="character" w:customStyle="1" w:styleId="FooterChar">
    <w:name w:val="Footer Char"/>
    <w:basedOn w:val="DefaultParagraphFont"/>
    <w:link w:val="Footer"/>
    <w:uiPriority w:val="99"/>
    <w:rsid w:val="00DA37B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B6DE2"/>
    <w:rPr>
      <w:color w:val="0563C1" w:themeColor="hyperlink"/>
      <w:u w:val="single"/>
    </w:rPr>
  </w:style>
  <w:style w:type="character" w:styleId="UnresolvedMention">
    <w:name w:val="Unresolved Mention"/>
    <w:basedOn w:val="DefaultParagraphFont"/>
    <w:uiPriority w:val="99"/>
    <w:semiHidden/>
    <w:unhideWhenUsed/>
    <w:rsid w:val="007B6DE2"/>
    <w:rPr>
      <w:color w:val="605E5C"/>
      <w:shd w:val="clear" w:color="auto" w:fill="E1DFDD"/>
    </w:rPr>
  </w:style>
  <w:style w:type="character" w:styleId="FollowedHyperlink">
    <w:name w:val="FollowedHyperlink"/>
    <w:basedOn w:val="DefaultParagraphFont"/>
    <w:uiPriority w:val="99"/>
    <w:semiHidden/>
    <w:unhideWhenUsed/>
    <w:rsid w:val="00D61100"/>
    <w:rPr>
      <w:color w:val="C90DB6" w:themeColor="followedHyperlink"/>
      <w:u w:val="single"/>
    </w:rPr>
  </w:style>
  <w:style w:type="paragraph" w:styleId="Revision">
    <w:name w:val="Revision"/>
    <w:hidden/>
    <w:uiPriority w:val="99"/>
    <w:semiHidden/>
    <w:rsid w:val="00B7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18292">
      <w:bodyDiv w:val="1"/>
      <w:marLeft w:val="0"/>
      <w:marRight w:val="0"/>
      <w:marTop w:val="0"/>
      <w:marBottom w:val="0"/>
      <w:divBdr>
        <w:top w:val="none" w:sz="0" w:space="0" w:color="auto"/>
        <w:left w:val="none" w:sz="0" w:space="0" w:color="auto"/>
        <w:bottom w:val="none" w:sz="0" w:space="0" w:color="auto"/>
        <w:right w:val="none" w:sz="0" w:space="0" w:color="auto"/>
      </w:divBdr>
      <w:divsChild>
        <w:div w:id="1876186682">
          <w:marLeft w:val="0"/>
          <w:marRight w:val="0"/>
          <w:marTop w:val="0"/>
          <w:marBottom w:val="0"/>
          <w:divBdr>
            <w:top w:val="none" w:sz="0" w:space="0" w:color="auto"/>
            <w:left w:val="none" w:sz="0" w:space="0" w:color="auto"/>
            <w:bottom w:val="none" w:sz="0" w:space="0" w:color="auto"/>
            <w:right w:val="none" w:sz="0" w:space="0" w:color="auto"/>
          </w:divBdr>
        </w:div>
        <w:div w:id="546112609">
          <w:marLeft w:val="0"/>
          <w:marRight w:val="0"/>
          <w:marTop w:val="0"/>
          <w:marBottom w:val="0"/>
          <w:divBdr>
            <w:top w:val="none" w:sz="0" w:space="0" w:color="auto"/>
            <w:left w:val="none" w:sz="0" w:space="0" w:color="auto"/>
            <w:bottom w:val="none" w:sz="0" w:space="0" w:color="auto"/>
            <w:right w:val="none" w:sz="0" w:space="0" w:color="auto"/>
          </w:divBdr>
        </w:div>
        <w:div w:id="2003662179">
          <w:marLeft w:val="0"/>
          <w:marRight w:val="0"/>
          <w:marTop w:val="0"/>
          <w:marBottom w:val="0"/>
          <w:divBdr>
            <w:top w:val="none" w:sz="0" w:space="0" w:color="auto"/>
            <w:left w:val="none" w:sz="0" w:space="0" w:color="auto"/>
            <w:bottom w:val="none" w:sz="0" w:space="0" w:color="auto"/>
            <w:right w:val="none" w:sz="0" w:space="0" w:color="auto"/>
          </w:divBdr>
        </w:div>
        <w:div w:id="308443101">
          <w:marLeft w:val="0"/>
          <w:marRight w:val="0"/>
          <w:marTop w:val="0"/>
          <w:marBottom w:val="0"/>
          <w:divBdr>
            <w:top w:val="none" w:sz="0" w:space="0" w:color="auto"/>
            <w:left w:val="none" w:sz="0" w:space="0" w:color="auto"/>
            <w:bottom w:val="none" w:sz="0" w:space="0" w:color="auto"/>
            <w:right w:val="none" w:sz="0" w:space="0" w:color="auto"/>
          </w:divBdr>
        </w:div>
      </w:divsChild>
    </w:div>
    <w:div w:id="1448432458">
      <w:bodyDiv w:val="1"/>
      <w:marLeft w:val="0"/>
      <w:marRight w:val="0"/>
      <w:marTop w:val="0"/>
      <w:marBottom w:val="0"/>
      <w:divBdr>
        <w:top w:val="none" w:sz="0" w:space="0" w:color="auto"/>
        <w:left w:val="none" w:sz="0" w:space="0" w:color="auto"/>
        <w:bottom w:val="none" w:sz="0" w:space="0" w:color="auto"/>
        <w:right w:val="none" w:sz="0" w:space="0" w:color="auto"/>
      </w:divBdr>
      <w:divsChild>
        <w:div w:id="400833404">
          <w:marLeft w:val="0"/>
          <w:marRight w:val="0"/>
          <w:marTop w:val="0"/>
          <w:marBottom w:val="0"/>
          <w:divBdr>
            <w:top w:val="none" w:sz="0" w:space="0" w:color="auto"/>
            <w:left w:val="none" w:sz="0" w:space="0" w:color="auto"/>
            <w:bottom w:val="none" w:sz="0" w:space="0" w:color="auto"/>
            <w:right w:val="none" w:sz="0" w:space="0" w:color="auto"/>
          </w:divBdr>
        </w:div>
        <w:div w:id="228538986">
          <w:marLeft w:val="0"/>
          <w:marRight w:val="0"/>
          <w:marTop w:val="0"/>
          <w:marBottom w:val="0"/>
          <w:divBdr>
            <w:top w:val="none" w:sz="0" w:space="0" w:color="auto"/>
            <w:left w:val="none" w:sz="0" w:space="0" w:color="auto"/>
            <w:bottom w:val="none" w:sz="0" w:space="0" w:color="auto"/>
            <w:right w:val="none" w:sz="0" w:space="0" w:color="auto"/>
          </w:divBdr>
        </w:div>
        <w:div w:id="183205447">
          <w:marLeft w:val="0"/>
          <w:marRight w:val="0"/>
          <w:marTop w:val="0"/>
          <w:marBottom w:val="0"/>
          <w:divBdr>
            <w:top w:val="none" w:sz="0" w:space="0" w:color="auto"/>
            <w:left w:val="none" w:sz="0" w:space="0" w:color="auto"/>
            <w:bottom w:val="none" w:sz="0" w:space="0" w:color="auto"/>
            <w:right w:val="none" w:sz="0" w:space="0" w:color="auto"/>
          </w:divBdr>
        </w:div>
        <w:div w:id="339892827">
          <w:marLeft w:val="0"/>
          <w:marRight w:val="0"/>
          <w:marTop w:val="0"/>
          <w:marBottom w:val="0"/>
          <w:divBdr>
            <w:top w:val="none" w:sz="0" w:space="0" w:color="auto"/>
            <w:left w:val="none" w:sz="0" w:space="0" w:color="auto"/>
            <w:bottom w:val="none" w:sz="0" w:space="0" w:color="auto"/>
            <w:right w:val="none" w:sz="0" w:space="0" w:color="auto"/>
          </w:divBdr>
        </w:div>
        <w:div w:id="2064908777">
          <w:marLeft w:val="0"/>
          <w:marRight w:val="0"/>
          <w:marTop w:val="0"/>
          <w:marBottom w:val="0"/>
          <w:divBdr>
            <w:top w:val="none" w:sz="0" w:space="0" w:color="auto"/>
            <w:left w:val="none" w:sz="0" w:space="0" w:color="auto"/>
            <w:bottom w:val="none" w:sz="0" w:space="0" w:color="auto"/>
            <w:right w:val="none" w:sz="0" w:space="0" w:color="auto"/>
          </w:divBdr>
        </w:div>
        <w:div w:id="107462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s.gov/Regulations-and-Guidance/Guidance/Manuals/Downloads/som107c03pdf.pdf" TargetMode="External"/><Relationship Id="rId18" Type="http://schemas.openxmlformats.org/officeDocument/2006/relationships/hyperlink" Target="mailto:RCSIDR@dshs.wa.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ms.gov/Regulations-and-Guidance/Guidance/Manuals/downloads/som107ap_j_intermcare.pdf" TargetMode="External"/><Relationship Id="rId17" Type="http://schemas.openxmlformats.org/officeDocument/2006/relationships/hyperlink" Target="https://www.dshs.wa.gov/sites/default/files/publications/documents/22-1749.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s.leg.wa.gov/wac/default.aspx?cite=388-1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leg.wa.gov/RCW/default.aspx?cite=18.20.19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apps.leg.wa.gov/wac/default.aspx?cite=388-112A" TargetMode="External"/><Relationship Id="rId23" Type="http://schemas.openxmlformats.org/officeDocument/2006/relationships/footer" Target="footer2.xml"/><Relationship Id="rId10" Type="http://schemas.openxmlformats.org/officeDocument/2006/relationships/hyperlink" Target="https://www.dshs.wa.gov/sites/default/files/ALTSA/rcs/documents/SOP/Chapter%2022%20-%20Informal%20Dispute%20Resolution.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leg.wa.gov/RCW/default.aspx?cite=74.34"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SHS Brand Colors">
      <a:dk1>
        <a:srgbClr val="000000"/>
      </a:dk1>
      <a:lt1>
        <a:srgbClr val="FFFFFF"/>
      </a:lt1>
      <a:dk2>
        <a:srgbClr val="006B99"/>
      </a:dk2>
      <a:lt2>
        <a:srgbClr val="E7E6E6"/>
      </a:lt2>
      <a:accent1>
        <a:srgbClr val="193F6F"/>
      </a:accent1>
      <a:accent2>
        <a:srgbClr val="8D6198"/>
      </a:accent2>
      <a:accent3>
        <a:srgbClr val="27A1C6"/>
      </a:accent3>
      <a:accent4>
        <a:srgbClr val="007C69"/>
      </a:accent4>
      <a:accent5>
        <a:srgbClr val="71A330"/>
      </a:accent5>
      <a:accent6>
        <a:srgbClr val="DE7C14"/>
      </a:accent6>
      <a:hlink>
        <a:srgbClr val="0563C1"/>
      </a:hlink>
      <a:folHlink>
        <a:srgbClr val="C90DB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7F343D99CEC041855107C44A0A75DF" ma:contentTypeVersion="4" ma:contentTypeDescription="Create a new document." ma:contentTypeScope="" ma:versionID="bcc0675a5cd5117766b44d3285b17206">
  <xsd:schema xmlns:xsd="http://www.w3.org/2001/XMLSchema" xmlns:xs="http://www.w3.org/2001/XMLSchema" xmlns:p="http://schemas.microsoft.com/office/2006/metadata/properties" xmlns:ns2="613f98a2-2d0a-463c-8c7a-9d65e096d1a4" targetNamespace="http://schemas.microsoft.com/office/2006/metadata/properties" ma:root="true" ma:fieldsID="ac0bd2fdcaa3b2788203eb3b708b7ab7" ns2:_="">
    <xsd:import namespace="613f98a2-2d0a-463c-8c7a-9d65e096d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f98a2-2d0a-463c-8c7a-9d65e096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4B7B1-8E1D-4B62-BC9C-937B73DB4F0C}">
  <ds:schemaRefs>
    <ds:schemaRef ds:uri="http://schemas.microsoft.com/sharepoint/v3/contenttype/forms"/>
  </ds:schemaRefs>
</ds:datastoreItem>
</file>

<file path=customXml/itemProps2.xml><?xml version="1.0" encoding="utf-8"?>
<ds:datastoreItem xmlns:ds="http://schemas.openxmlformats.org/officeDocument/2006/customXml" ds:itemID="{6DE041F9-B1EB-4CA3-A935-A413068A91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B3CA91-07F9-49A7-BCD3-A3BACC73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f98a2-2d0a-463c-8c7a-9d65e096d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3357</Words>
  <Characters>19137</Characters>
  <Application>Microsoft Office Word</Application>
  <DocSecurity>0</DocSecurity>
  <Lines>159</Lines>
  <Paragraphs>44</Paragraphs>
  <ScaleCrop>false</ScaleCrop>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Sara (DSHS/OOS/OISVC)</dc:creator>
  <cp:keywords/>
  <dc:description/>
  <cp:lastModifiedBy>Fueston, Rebecca (DSHS/ALTSA/RCS)</cp:lastModifiedBy>
  <cp:revision>120</cp:revision>
  <dcterms:created xsi:type="dcterms:W3CDTF">2025-01-14T17:51:00Z</dcterms:created>
  <dcterms:modified xsi:type="dcterms:W3CDTF">2025-02-06T19:12:00Z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0x010100CD7F343D99CEC041855107C44A0A75DF</vt:lpwstr>
  </property>
</Properties>
</file>