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FE52B" w14:textId="77777777" w:rsidR="002F0BBB" w:rsidRDefault="002F0BBB">
      <w:pPr>
        <w:suppressAutoHyphens/>
        <w:jc w:val="both"/>
        <w:rPr>
          <w:spacing w:val="-3"/>
          <w:sz w:val="26"/>
          <w:szCs w:val="26"/>
        </w:rPr>
      </w:pPr>
      <w:bookmarkStart w:id="0" w:name="_GoBack"/>
      <w:bookmarkEnd w:id="0"/>
    </w:p>
    <w:p w14:paraId="3007A11A" w14:textId="77777777" w:rsidR="002F0BBB" w:rsidRDefault="00CB0275">
      <w:pPr>
        <w:suppressAutoHyphens/>
        <w:jc w:val="both"/>
        <w:rPr>
          <w:spacing w:val="-3"/>
          <w:sz w:val="26"/>
          <w:szCs w:val="26"/>
        </w:rPr>
      </w:pPr>
      <w:r>
        <w:rPr>
          <w:noProof/>
        </w:rPr>
        <w:drawing>
          <wp:anchor distT="0" distB="0" distL="114300" distR="114300" simplePos="0" relativeHeight="251657728" behindDoc="0" locked="0" layoutInCell="1" allowOverlap="1">
            <wp:simplePos x="0" y="0"/>
            <wp:positionH relativeFrom="column">
              <wp:posOffset>2966085</wp:posOffset>
            </wp:positionH>
            <wp:positionV relativeFrom="paragraph">
              <wp:posOffset>95885</wp:posOffset>
            </wp:positionV>
            <wp:extent cx="6762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C2D4D" w14:textId="77777777" w:rsidR="002F0BBB" w:rsidRDefault="002F0BBB">
      <w:pPr>
        <w:suppressAutoHyphens/>
        <w:jc w:val="both"/>
        <w:rPr>
          <w:spacing w:val="-3"/>
          <w:sz w:val="26"/>
          <w:szCs w:val="26"/>
        </w:rPr>
      </w:pPr>
    </w:p>
    <w:p w14:paraId="6122A80E" w14:textId="77777777" w:rsidR="0082334A" w:rsidRDefault="0082334A" w:rsidP="0082334A">
      <w:pPr>
        <w:suppressAutoHyphens/>
        <w:jc w:val="center"/>
        <w:rPr>
          <w:rFonts w:ascii="Arial" w:hAnsi="Arial" w:cs="Arial"/>
          <w:sz w:val="22"/>
        </w:rPr>
      </w:pPr>
    </w:p>
    <w:p w14:paraId="09960D10" w14:textId="77777777" w:rsidR="0082334A" w:rsidRDefault="0082334A" w:rsidP="0082334A">
      <w:pPr>
        <w:suppressAutoHyphens/>
        <w:jc w:val="center"/>
        <w:rPr>
          <w:rFonts w:ascii="Arial" w:hAnsi="Arial" w:cs="Arial"/>
          <w:sz w:val="22"/>
        </w:rPr>
      </w:pPr>
    </w:p>
    <w:p w14:paraId="5C7FC879" w14:textId="77777777" w:rsidR="0082334A" w:rsidRDefault="0082334A" w:rsidP="0082334A">
      <w:pPr>
        <w:jc w:val="center"/>
        <w:rPr>
          <w:sz w:val="22"/>
        </w:rPr>
      </w:pPr>
    </w:p>
    <w:p w14:paraId="2D3AA37F" w14:textId="77777777" w:rsidR="0082334A" w:rsidRPr="0084704C" w:rsidRDefault="0082334A" w:rsidP="0082334A">
      <w:pPr>
        <w:jc w:val="center"/>
        <w:rPr>
          <w:b/>
          <w:color w:val="339966"/>
          <w:sz w:val="24"/>
          <w:szCs w:val="24"/>
        </w:rPr>
      </w:pPr>
      <w:r w:rsidRPr="0084704C">
        <w:rPr>
          <w:b/>
          <w:color w:val="339966"/>
          <w:sz w:val="24"/>
          <w:szCs w:val="24"/>
        </w:rPr>
        <w:t>STATE OF WASHINGTON</w:t>
      </w:r>
    </w:p>
    <w:p w14:paraId="3D9F1B4D" w14:textId="77777777" w:rsidR="0082334A" w:rsidRPr="0084704C" w:rsidRDefault="0082334A" w:rsidP="0082334A">
      <w:pPr>
        <w:jc w:val="center"/>
        <w:rPr>
          <w:b/>
          <w:i/>
          <w:iCs/>
          <w:color w:val="339966"/>
          <w:sz w:val="24"/>
          <w:szCs w:val="24"/>
        </w:rPr>
      </w:pPr>
      <w:r w:rsidRPr="0084704C">
        <w:rPr>
          <w:b/>
          <w:color w:val="339966"/>
          <w:sz w:val="24"/>
          <w:szCs w:val="24"/>
        </w:rPr>
        <w:t>DEPARTMENT OF SOCIAL AND HEALTH SERVICES</w:t>
      </w:r>
    </w:p>
    <w:p w14:paraId="1BE71C7C" w14:textId="77777777" w:rsidR="0082334A" w:rsidRDefault="0082334A" w:rsidP="0082334A">
      <w:pPr>
        <w:jc w:val="center"/>
        <w:rPr>
          <w:b/>
          <w:i/>
          <w:iCs/>
          <w:color w:val="339966"/>
          <w:sz w:val="24"/>
          <w:szCs w:val="24"/>
        </w:rPr>
      </w:pPr>
      <w:r w:rsidRPr="0084704C">
        <w:rPr>
          <w:b/>
          <w:i/>
          <w:iCs/>
          <w:color w:val="339966"/>
          <w:sz w:val="24"/>
          <w:szCs w:val="24"/>
        </w:rPr>
        <w:t xml:space="preserve">Aging and </w:t>
      </w:r>
      <w:r>
        <w:rPr>
          <w:b/>
          <w:i/>
          <w:iCs/>
          <w:color w:val="339966"/>
          <w:sz w:val="24"/>
          <w:szCs w:val="24"/>
        </w:rPr>
        <w:t>Long-Term Support</w:t>
      </w:r>
      <w:r w:rsidRPr="0084704C">
        <w:rPr>
          <w:b/>
          <w:i/>
          <w:iCs/>
          <w:color w:val="339966"/>
          <w:sz w:val="24"/>
          <w:szCs w:val="24"/>
        </w:rPr>
        <w:t xml:space="preserve"> Administration</w:t>
      </w:r>
    </w:p>
    <w:p w14:paraId="0C3C8DC7" w14:textId="77777777" w:rsidR="0082334A" w:rsidRPr="0084704C" w:rsidRDefault="0082334A" w:rsidP="0082334A">
      <w:pPr>
        <w:jc w:val="center"/>
        <w:rPr>
          <w:color w:val="339966"/>
          <w:sz w:val="24"/>
          <w:szCs w:val="24"/>
        </w:rPr>
      </w:pPr>
      <w:r w:rsidRPr="0084704C">
        <w:rPr>
          <w:b/>
          <w:i/>
          <w:iCs/>
          <w:color w:val="339966"/>
          <w:sz w:val="24"/>
          <w:szCs w:val="24"/>
        </w:rPr>
        <w:t>PO Box 45600, Olympia, Washington 98504-5600</w:t>
      </w:r>
    </w:p>
    <w:p w14:paraId="0A17BEC6" w14:textId="77777777" w:rsidR="0082334A" w:rsidRPr="00DB07FD" w:rsidRDefault="0082334A" w:rsidP="0082334A">
      <w:pPr>
        <w:suppressAutoHyphens/>
        <w:jc w:val="center"/>
        <w:rPr>
          <w:b/>
          <w:sz w:val="22"/>
        </w:rPr>
      </w:pPr>
    </w:p>
    <w:p w14:paraId="4BFE5D3D" w14:textId="77777777" w:rsidR="0082334A" w:rsidRPr="00DB07FD" w:rsidRDefault="00A962D8" w:rsidP="0082334A">
      <w:pPr>
        <w:suppressAutoHyphens/>
        <w:jc w:val="center"/>
        <w:rPr>
          <w:sz w:val="24"/>
          <w:szCs w:val="24"/>
        </w:rPr>
      </w:pPr>
      <w:r>
        <w:rPr>
          <w:sz w:val="24"/>
          <w:szCs w:val="24"/>
        </w:rPr>
        <w:t>December 20</w:t>
      </w:r>
      <w:r w:rsidR="0082334A" w:rsidRPr="00DB07FD">
        <w:rPr>
          <w:sz w:val="24"/>
          <w:szCs w:val="24"/>
        </w:rPr>
        <w:t>, 2019</w:t>
      </w:r>
    </w:p>
    <w:p w14:paraId="784BC68C" w14:textId="77777777" w:rsidR="0082334A" w:rsidRPr="00DB07FD" w:rsidRDefault="0082334A" w:rsidP="0082334A">
      <w:pPr>
        <w:tabs>
          <w:tab w:val="left" w:pos="-720"/>
        </w:tabs>
        <w:suppressAutoHyphens/>
        <w:jc w:val="both"/>
        <w:rPr>
          <w:spacing w:val="-3"/>
          <w:sz w:val="24"/>
          <w:szCs w:val="24"/>
        </w:rPr>
      </w:pPr>
    </w:p>
    <w:p w14:paraId="0E0CDD73" w14:textId="77777777" w:rsidR="0082334A" w:rsidRPr="00DB07FD" w:rsidRDefault="0082334A" w:rsidP="0082334A">
      <w:pPr>
        <w:tabs>
          <w:tab w:val="left" w:pos="-720"/>
        </w:tabs>
        <w:suppressAutoHyphens/>
        <w:jc w:val="both"/>
        <w:rPr>
          <w:spacing w:val="-3"/>
          <w:sz w:val="24"/>
          <w:szCs w:val="24"/>
        </w:rPr>
      </w:pPr>
      <w:r w:rsidRPr="00DB07FD">
        <w:rPr>
          <w:b/>
          <w:spacing w:val="-3"/>
          <w:sz w:val="24"/>
          <w:szCs w:val="24"/>
        </w:rPr>
        <w:t>TO:</w:t>
      </w:r>
      <w:r w:rsidRPr="00DB07FD">
        <w:rPr>
          <w:spacing w:val="-3"/>
          <w:sz w:val="24"/>
          <w:szCs w:val="24"/>
        </w:rPr>
        <w:tab/>
      </w:r>
      <w:r w:rsidRPr="00DB07FD">
        <w:rPr>
          <w:spacing w:val="-3"/>
          <w:sz w:val="24"/>
          <w:szCs w:val="24"/>
        </w:rPr>
        <w:tab/>
        <w:t>Interested Persons</w:t>
      </w:r>
    </w:p>
    <w:p w14:paraId="1E985088" w14:textId="77777777" w:rsidR="0082334A" w:rsidRPr="00DB07FD" w:rsidRDefault="0082334A" w:rsidP="0082334A">
      <w:pPr>
        <w:tabs>
          <w:tab w:val="left" w:pos="-720"/>
        </w:tabs>
        <w:suppressAutoHyphens/>
        <w:jc w:val="both"/>
        <w:rPr>
          <w:spacing w:val="-3"/>
          <w:sz w:val="24"/>
          <w:szCs w:val="24"/>
        </w:rPr>
      </w:pPr>
    </w:p>
    <w:p w14:paraId="54563D62" w14:textId="77777777" w:rsidR="00EC623E" w:rsidRPr="00DB07FD" w:rsidRDefault="0082334A" w:rsidP="0082334A">
      <w:pPr>
        <w:tabs>
          <w:tab w:val="left" w:pos="-720"/>
        </w:tabs>
        <w:suppressAutoHyphens/>
        <w:jc w:val="both"/>
        <w:rPr>
          <w:spacing w:val="-3"/>
          <w:sz w:val="24"/>
          <w:szCs w:val="24"/>
        </w:rPr>
      </w:pPr>
      <w:r w:rsidRPr="00DB07FD">
        <w:rPr>
          <w:b/>
          <w:spacing w:val="-3"/>
          <w:sz w:val="24"/>
          <w:szCs w:val="24"/>
        </w:rPr>
        <w:t>FROM:</w:t>
      </w:r>
      <w:r w:rsidRPr="00DB07FD">
        <w:rPr>
          <w:spacing w:val="-3"/>
          <w:sz w:val="24"/>
          <w:szCs w:val="24"/>
        </w:rPr>
        <w:tab/>
        <w:t>Libby Wagner,</w:t>
      </w:r>
      <w:r w:rsidR="00EC623E" w:rsidRPr="00DB07FD">
        <w:rPr>
          <w:spacing w:val="-3"/>
          <w:sz w:val="24"/>
          <w:szCs w:val="24"/>
        </w:rPr>
        <w:t xml:space="preserve"> Adult Family Home Policy Program Manager</w:t>
      </w:r>
    </w:p>
    <w:p w14:paraId="0B7DB97D" w14:textId="77777777" w:rsidR="00EC623E" w:rsidRPr="00DB07FD" w:rsidRDefault="00EC623E" w:rsidP="0082334A">
      <w:pPr>
        <w:tabs>
          <w:tab w:val="left" w:pos="-720"/>
        </w:tabs>
        <w:suppressAutoHyphens/>
        <w:jc w:val="both"/>
        <w:rPr>
          <w:spacing w:val="-3"/>
          <w:sz w:val="24"/>
          <w:szCs w:val="24"/>
        </w:rPr>
      </w:pPr>
      <w:r w:rsidRPr="00DB07FD">
        <w:rPr>
          <w:spacing w:val="-3"/>
          <w:sz w:val="24"/>
          <w:szCs w:val="24"/>
        </w:rPr>
        <w:tab/>
      </w:r>
      <w:r w:rsidRPr="00DB07FD">
        <w:rPr>
          <w:spacing w:val="-3"/>
          <w:sz w:val="24"/>
          <w:szCs w:val="24"/>
        </w:rPr>
        <w:tab/>
        <w:t>Aging and Long-Term Support Administration</w:t>
      </w:r>
    </w:p>
    <w:p w14:paraId="71419E90" w14:textId="77777777" w:rsidR="00EC623E" w:rsidRPr="00DB07FD" w:rsidRDefault="00EC623E" w:rsidP="0082334A">
      <w:pPr>
        <w:tabs>
          <w:tab w:val="left" w:pos="-720"/>
        </w:tabs>
        <w:suppressAutoHyphens/>
        <w:jc w:val="both"/>
        <w:rPr>
          <w:spacing w:val="-3"/>
          <w:sz w:val="24"/>
          <w:szCs w:val="24"/>
        </w:rPr>
      </w:pPr>
      <w:r w:rsidRPr="00DB07FD">
        <w:rPr>
          <w:spacing w:val="-3"/>
          <w:sz w:val="24"/>
          <w:szCs w:val="24"/>
        </w:rPr>
        <w:tab/>
      </w:r>
      <w:r w:rsidRPr="00DB07FD">
        <w:rPr>
          <w:spacing w:val="-3"/>
          <w:sz w:val="24"/>
          <w:szCs w:val="24"/>
        </w:rPr>
        <w:tab/>
        <w:t>Residential Care Services</w:t>
      </w:r>
    </w:p>
    <w:p w14:paraId="7D6CF651" w14:textId="77777777" w:rsidR="0082334A" w:rsidRPr="00DB07FD" w:rsidRDefault="0082334A" w:rsidP="0082334A">
      <w:pPr>
        <w:tabs>
          <w:tab w:val="left" w:pos="-720"/>
        </w:tabs>
        <w:suppressAutoHyphens/>
        <w:jc w:val="both"/>
        <w:rPr>
          <w:spacing w:val="-3"/>
          <w:sz w:val="24"/>
          <w:szCs w:val="24"/>
        </w:rPr>
      </w:pPr>
      <w:r w:rsidRPr="00DB07FD">
        <w:rPr>
          <w:spacing w:val="-3"/>
          <w:sz w:val="24"/>
          <w:szCs w:val="24"/>
        </w:rPr>
        <w:tab/>
      </w:r>
      <w:r w:rsidRPr="00DB07FD">
        <w:rPr>
          <w:spacing w:val="-3"/>
          <w:sz w:val="24"/>
          <w:szCs w:val="24"/>
        </w:rPr>
        <w:tab/>
      </w:r>
    </w:p>
    <w:p w14:paraId="583272F1" w14:textId="77777777" w:rsidR="0082334A" w:rsidRPr="00DB07FD" w:rsidRDefault="0082334A" w:rsidP="0082334A">
      <w:pPr>
        <w:tabs>
          <w:tab w:val="left" w:pos="-720"/>
        </w:tabs>
        <w:suppressAutoHyphens/>
        <w:rPr>
          <w:b/>
          <w:i/>
          <w:iCs/>
          <w:sz w:val="24"/>
          <w:szCs w:val="24"/>
        </w:rPr>
      </w:pPr>
      <w:r w:rsidRPr="00DB07FD">
        <w:rPr>
          <w:b/>
          <w:spacing w:val="-3"/>
          <w:sz w:val="24"/>
          <w:szCs w:val="24"/>
        </w:rPr>
        <w:t>SUBJECT:</w:t>
      </w:r>
      <w:r w:rsidRPr="00DB07FD">
        <w:rPr>
          <w:spacing w:val="-3"/>
          <w:sz w:val="24"/>
          <w:szCs w:val="24"/>
        </w:rPr>
        <w:tab/>
      </w:r>
      <w:r w:rsidRPr="00DB07FD">
        <w:rPr>
          <w:b/>
          <w:sz w:val="24"/>
          <w:szCs w:val="24"/>
        </w:rPr>
        <w:t xml:space="preserve">CONCISE EXPLANATORY STATEMENT </w:t>
      </w:r>
      <w:r w:rsidRPr="00DB07FD">
        <w:rPr>
          <w:b/>
          <w:i/>
          <w:iCs/>
          <w:sz w:val="24"/>
          <w:szCs w:val="24"/>
        </w:rPr>
        <w:t>(per RCW 34.05.325)</w:t>
      </w:r>
    </w:p>
    <w:p w14:paraId="22706896" w14:textId="77777777" w:rsidR="0082334A" w:rsidRPr="00DB07FD" w:rsidRDefault="0082334A" w:rsidP="0082334A">
      <w:pPr>
        <w:ind w:left="720" w:firstLine="720"/>
        <w:rPr>
          <w:sz w:val="24"/>
          <w:szCs w:val="24"/>
        </w:rPr>
      </w:pPr>
      <w:r w:rsidRPr="00DB07FD">
        <w:rPr>
          <w:sz w:val="24"/>
          <w:szCs w:val="24"/>
        </w:rPr>
        <w:t xml:space="preserve">For Significant Legislative Rules </w:t>
      </w:r>
    </w:p>
    <w:p w14:paraId="4D68FE96" w14:textId="77777777" w:rsidR="002F0BBB" w:rsidRPr="00DB07FD" w:rsidRDefault="0082334A" w:rsidP="00925A8A">
      <w:pPr>
        <w:ind w:left="720" w:firstLine="720"/>
        <w:rPr>
          <w:sz w:val="24"/>
          <w:szCs w:val="24"/>
        </w:rPr>
      </w:pPr>
      <w:r w:rsidRPr="00DB07FD">
        <w:rPr>
          <w:sz w:val="24"/>
          <w:szCs w:val="24"/>
        </w:rPr>
        <w:t>Proposed as WSR</w:t>
      </w:r>
      <w:r w:rsidR="00A962D8">
        <w:rPr>
          <w:sz w:val="24"/>
          <w:szCs w:val="24"/>
        </w:rPr>
        <w:t xml:space="preserve"> 19-17-065 and 19-21-117</w:t>
      </w:r>
    </w:p>
    <w:p w14:paraId="4FFB8DE4" w14:textId="77777777" w:rsidR="002F0BBB" w:rsidRDefault="002F0BBB">
      <w:pPr>
        <w:rPr>
          <w:sz w:val="24"/>
          <w:szCs w:val="24"/>
          <w:u w:val="single"/>
        </w:rPr>
      </w:pPr>
    </w:p>
    <w:p w14:paraId="007F5606" w14:textId="77777777" w:rsidR="00D75586" w:rsidRDefault="00023C5A" w:rsidP="00045BAF">
      <w:pPr>
        <w:spacing w:after="240"/>
        <w:rPr>
          <w:sz w:val="24"/>
          <w:szCs w:val="24"/>
        </w:rPr>
      </w:pPr>
      <w:r>
        <w:rPr>
          <w:sz w:val="24"/>
          <w:szCs w:val="24"/>
          <w:u w:val="single"/>
        </w:rPr>
        <w:t xml:space="preserve">SUBJECT MATTER AND </w:t>
      </w:r>
      <w:r w:rsidR="002F0BBB">
        <w:rPr>
          <w:sz w:val="24"/>
          <w:szCs w:val="24"/>
          <w:u w:val="single"/>
        </w:rPr>
        <w:t>WAC</w:t>
      </w:r>
      <w:r w:rsidR="007E7AA8">
        <w:rPr>
          <w:sz w:val="24"/>
          <w:szCs w:val="24"/>
          <w:u w:val="single"/>
        </w:rPr>
        <w:t xml:space="preserve"> NO</w:t>
      </w:r>
      <w:r>
        <w:rPr>
          <w:sz w:val="24"/>
          <w:szCs w:val="24"/>
          <w:u w:val="single"/>
        </w:rPr>
        <w:t>.</w:t>
      </w:r>
      <w:r w:rsidR="002F0BBB">
        <w:rPr>
          <w:sz w:val="24"/>
          <w:szCs w:val="24"/>
        </w:rPr>
        <w:t>:</w:t>
      </w:r>
    </w:p>
    <w:p w14:paraId="3013D0C3" w14:textId="77777777" w:rsidR="00B3106F" w:rsidRDefault="0082334A" w:rsidP="00A962D8">
      <w:pPr>
        <w:spacing w:after="240"/>
        <w:rPr>
          <w:sz w:val="24"/>
          <w:szCs w:val="24"/>
        </w:rPr>
      </w:pPr>
      <w:r>
        <w:rPr>
          <w:sz w:val="24"/>
          <w:szCs w:val="24"/>
        </w:rPr>
        <w:t xml:space="preserve">WAC Chapter 388-76 </w:t>
      </w:r>
      <w:r w:rsidR="00CA59CB">
        <w:rPr>
          <w:sz w:val="24"/>
          <w:szCs w:val="24"/>
        </w:rPr>
        <w:t>Adult Family Home Minimum Licensing Requirements</w:t>
      </w:r>
    </w:p>
    <w:p w14:paraId="033CA59B" w14:textId="77777777" w:rsidR="00EC623E" w:rsidRDefault="00EC623E" w:rsidP="00B3106F">
      <w:pPr>
        <w:rPr>
          <w:sz w:val="24"/>
          <w:szCs w:val="24"/>
        </w:rPr>
      </w:pPr>
      <w:r>
        <w:rPr>
          <w:sz w:val="24"/>
          <w:szCs w:val="24"/>
        </w:rPr>
        <w:t>New Section:</w:t>
      </w:r>
    </w:p>
    <w:p w14:paraId="48A9E557" w14:textId="77777777" w:rsidR="002F0BBB" w:rsidRDefault="00B3106F" w:rsidP="00A962D8">
      <w:pPr>
        <w:rPr>
          <w:sz w:val="24"/>
          <w:szCs w:val="24"/>
        </w:rPr>
      </w:pPr>
      <w:r>
        <w:rPr>
          <w:sz w:val="24"/>
          <w:szCs w:val="24"/>
        </w:rPr>
        <w:t>388-76-10</w:t>
      </w:r>
      <w:r w:rsidR="00A962D8">
        <w:rPr>
          <w:sz w:val="24"/>
          <w:szCs w:val="24"/>
        </w:rPr>
        <w:t>401 Home and community-based setting requirements</w:t>
      </w:r>
    </w:p>
    <w:p w14:paraId="38D01B61" w14:textId="77777777" w:rsidR="00A962D8" w:rsidRDefault="00A962D8" w:rsidP="00A962D8">
      <w:pPr>
        <w:rPr>
          <w:sz w:val="24"/>
          <w:szCs w:val="24"/>
        </w:rPr>
      </w:pPr>
    </w:p>
    <w:p w14:paraId="22B72617" w14:textId="77777777" w:rsidR="002F0BBB" w:rsidRDefault="002F0BBB" w:rsidP="009537A9">
      <w:pPr>
        <w:spacing w:after="240"/>
        <w:rPr>
          <w:sz w:val="24"/>
          <w:szCs w:val="24"/>
        </w:rPr>
      </w:pPr>
      <w:r>
        <w:rPr>
          <w:sz w:val="24"/>
          <w:szCs w:val="24"/>
          <w:u w:val="single"/>
        </w:rPr>
        <w:t>REASON FOR ADOPTION</w:t>
      </w:r>
      <w:r w:rsidR="00E30F7A">
        <w:rPr>
          <w:sz w:val="24"/>
          <w:szCs w:val="24"/>
        </w:rPr>
        <w:t>:</w:t>
      </w:r>
      <w:r w:rsidR="00CA59CB">
        <w:rPr>
          <w:sz w:val="24"/>
          <w:szCs w:val="24"/>
        </w:rPr>
        <w:t xml:space="preserve"> </w:t>
      </w:r>
      <w:r w:rsidR="00D60A1C" w:rsidRPr="00D60A1C">
        <w:rPr>
          <w:sz w:val="24"/>
          <w:szCs w:val="24"/>
        </w:rPr>
        <w:t>This proposal incorporates federal requirements for Home and Community Based Settings into the state licensing requirements for adult family homes. These regulations improve quality of life in adult family homes by giving residents greater opportunities to make decisions about their lives and care. The intent of these changes are to ensure that residents are able to receive care in a homelike setting and reduce dependence on isolating settings or institutions. By incorporating federal requirements into the state regulations, this will help adult family home providers to understand and meet their obligations</w:t>
      </w:r>
      <w:r w:rsidR="00D60A1C">
        <w:rPr>
          <w:sz w:val="24"/>
          <w:szCs w:val="24"/>
        </w:rPr>
        <w:t>.</w:t>
      </w:r>
    </w:p>
    <w:p w14:paraId="673D0FA1" w14:textId="77777777" w:rsidR="009E7806" w:rsidRDefault="007E7AA8" w:rsidP="00EC623E">
      <w:pPr>
        <w:spacing w:after="240"/>
        <w:rPr>
          <w:sz w:val="24"/>
          <w:szCs w:val="24"/>
        </w:rPr>
      </w:pPr>
      <w:r>
        <w:rPr>
          <w:sz w:val="24"/>
          <w:szCs w:val="24"/>
          <w:u w:val="single"/>
        </w:rPr>
        <w:t>DESCRIPTION OF</w:t>
      </w:r>
      <w:r w:rsidR="00023C5A">
        <w:rPr>
          <w:sz w:val="24"/>
          <w:szCs w:val="24"/>
          <w:u w:val="single"/>
        </w:rPr>
        <w:t xml:space="preserve"> HOW THE RULE IMP</w:t>
      </w:r>
      <w:r w:rsidR="00045BAF">
        <w:rPr>
          <w:sz w:val="24"/>
          <w:szCs w:val="24"/>
          <w:u w:val="single"/>
        </w:rPr>
        <w:t>LEMENTS A</w:t>
      </w:r>
      <w:r w:rsidR="00023C5A">
        <w:rPr>
          <w:sz w:val="24"/>
          <w:szCs w:val="24"/>
          <w:u w:val="single"/>
        </w:rPr>
        <w:t xml:space="preserve"> LEGISLATIVE DIRECTIVE OR INTENT:</w:t>
      </w:r>
      <w:r w:rsidR="00ED3235" w:rsidRPr="00D61CAB">
        <w:rPr>
          <w:sz w:val="24"/>
          <w:szCs w:val="24"/>
        </w:rPr>
        <w:t xml:space="preserve"> </w:t>
      </w:r>
      <w:r w:rsidR="00ED3235">
        <w:rPr>
          <w:sz w:val="24"/>
          <w:szCs w:val="24"/>
        </w:rPr>
        <w:t xml:space="preserve"> </w:t>
      </w:r>
      <w:r w:rsidR="009E7806">
        <w:rPr>
          <w:sz w:val="24"/>
          <w:szCs w:val="24"/>
        </w:rPr>
        <w:t xml:space="preserve">Chapter 70.128 RCW </w:t>
      </w:r>
      <w:r w:rsidR="00DA1232">
        <w:rPr>
          <w:sz w:val="24"/>
          <w:szCs w:val="24"/>
        </w:rPr>
        <w:t>requires adult family homes to follow all state and federal laws. 70.128.040 RCW directs the department to ensure the rules, policies, and procedures used to regulate adult family homes are not overly complex, but rather are easy to understand. Adult family homes are already bound by the federal home and community based setting requirements. This new rule adapts those requirements into state regulations to make it easier for them to be found by adult family home providers.</w:t>
      </w:r>
    </w:p>
    <w:p w14:paraId="2C8D7413" w14:textId="77777777" w:rsidR="00EC623E" w:rsidRPr="00D61CAB" w:rsidRDefault="007E7AA8" w:rsidP="00045BAF">
      <w:pPr>
        <w:spacing w:after="240"/>
        <w:rPr>
          <w:sz w:val="24"/>
          <w:szCs w:val="24"/>
        </w:rPr>
      </w:pPr>
      <w:r>
        <w:rPr>
          <w:sz w:val="24"/>
          <w:szCs w:val="24"/>
          <w:u w:val="single"/>
        </w:rPr>
        <w:t>STATUTES AUTHORIZING</w:t>
      </w:r>
      <w:r w:rsidR="00023C5A">
        <w:rPr>
          <w:sz w:val="24"/>
          <w:szCs w:val="24"/>
          <w:u w:val="single"/>
        </w:rPr>
        <w:t xml:space="preserve"> THE ADOPTION OF RULES ON THIS SUBJECT:</w:t>
      </w:r>
      <w:r w:rsidR="00D61CAB">
        <w:rPr>
          <w:sz w:val="24"/>
          <w:szCs w:val="24"/>
        </w:rPr>
        <w:t xml:space="preserve"> </w:t>
      </w:r>
      <w:r w:rsidR="005F3B57">
        <w:rPr>
          <w:sz w:val="24"/>
          <w:szCs w:val="24"/>
        </w:rPr>
        <w:t xml:space="preserve">70.128.040 RCW </w:t>
      </w:r>
    </w:p>
    <w:p w14:paraId="49AAB58C" w14:textId="77777777" w:rsidR="00023C5A" w:rsidRDefault="00023C5A" w:rsidP="00045BAF">
      <w:pPr>
        <w:ind w:left="360"/>
        <w:rPr>
          <w:sz w:val="24"/>
          <w:szCs w:val="24"/>
          <w:u w:val="single"/>
        </w:rPr>
      </w:pPr>
    </w:p>
    <w:p w14:paraId="3503A1FD" w14:textId="77777777" w:rsidR="00DA1232" w:rsidRDefault="007E7AA8" w:rsidP="00DA1232">
      <w:pPr>
        <w:spacing w:after="240"/>
        <w:rPr>
          <w:sz w:val="24"/>
          <w:szCs w:val="24"/>
        </w:rPr>
      </w:pPr>
      <w:r>
        <w:rPr>
          <w:sz w:val="24"/>
          <w:szCs w:val="24"/>
          <w:u w:val="single"/>
        </w:rPr>
        <w:t>DESCRIPTION OF</w:t>
      </w:r>
      <w:r w:rsidR="00023C5A">
        <w:rPr>
          <w:sz w:val="24"/>
          <w:szCs w:val="24"/>
          <w:u w:val="single"/>
        </w:rPr>
        <w:t xml:space="preserve"> THE PROCESS TO IN</w:t>
      </w:r>
      <w:r>
        <w:rPr>
          <w:sz w:val="24"/>
          <w:szCs w:val="24"/>
          <w:u w:val="single"/>
        </w:rPr>
        <w:t>VOLVE PUBLIC STAKEHOLDERS IN THIS RULE’S</w:t>
      </w:r>
      <w:r w:rsidR="00023C5A">
        <w:rPr>
          <w:sz w:val="24"/>
          <w:szCs w:val="24"/>
          <w:u w:val="single"/>
        </w:rPr>
        <w:t xml:space="preserve"> DEVELOPMENT:</w:t>
      </w:r>
      <w:r w:rsidR="00EC623E">
        <w:rPr>
          <w:sz w:val="24"/>
          <w:szCs w:val="24"/>
        </w:rPr>
        <w:t xml:space="preserve"> In addition to the required notification and comment process that is part of the rule making process, </w:t>
      </w:r>
      <w:r w:rsidR="00DA1232">
        <w:rPr>
          <w:sz w:val="24"/>
          <w:szCs w:val="24"/>
        </w:rPr>
        <w:t xml:space="preserve">the text of the new rule was provided to the Adult Family Home Council, the office of the Long Term Care Ombuds Program, and multiple interested adult family home licensees for feedback. </w:t>
      </w:r>
    </w:p>
    <w:p w14:paraId="676A307D" w14:textId="77777777" w:rsidR="00023C5A" w:rsidRPr="00023C5A" w:rsidRDefault="00EC623E" w:rsidP="00DA1232">
      <w:pPr>
        <w:spacing w:after="240"/>
        <w:rPr>
          <w:sz w:val="24"/>
          <w:szCs w:val="24"/>
          <w:u w:val="single"/>
        </w:rPr>
      </w:pPr>
      <w:r>
        <w:rPr>
          <w:sz w:val="24"/>
          <w:szCs w:val="24"/>
        </w:rPr>
        <w:lastRenderedPageBreak/>
        <w:t xml:space="preserve">The draft </w:t>
      </w:r>
      <w:r w:rsidR="00DA1232">
        <w:rPr>
          <w:sz w:val="24"/>
          <w:szCs w:val="24"/>
        </w:rPr>
        <w:t>language was</w:t>
      </w:r>
      <w:r>
        <w:rPr>
          <w:sz w:val="24"/>
          <w:szCs w:val="24"/>
        </w:rPr>
        <w:t xml:space="preserve"> posted on the Adult Family Home provider website. A letter was also posted, with notifications of the posting going to stakeholders to inform them of the rule-making process and</w:t>
      </w:r>
      <w:r w:rsidR="005F3B57">
        <w:rPr>
          <w:sz w:val="24"/>
          <w:szCs w:val="24"/>
        </w:rPr>
        <w:t xml:space="preserve"> to</w:t>
      </w:r>
      <w:r>
        <w:rPr>
          <w:sz w:val="24"/>
          <w:szCs w:val="24"/>
        </w:rPr>
        <w:t xml:space="preserve"> encourage them to contact us regarding questions or suggestions for the rule development. A public hearing was held on </w:t>
      </w:r>
      <w:r w:rsidR="00DA1232">
        <w:rPr>
          <w:sz w:val="24"/>
          <w:szCs w:val="24"/>
        </w:rPr>
        <w:t>September 24, 2019. After the first public hearing, it was determined that the rule constituted a significant legislative rule, although the original CR 102 filing had not listed it as such. A supplemental CR 102 was filed to correct that error, opening a second public comment period. A second public hearing was held on November 26, 2019. No public comments were received in either public comment period.</w:t>
      </w:r>
    </w:p>
    <w:p w14:paraId="6FD3137C" w14:textId="77777777" w:rsidR="00045BAF" w:rsidRDefault="00045BAF">
      <w:pPr>
        <w:rPr>
          <w:sz w:val="24"/>
          <w:szCs w:val="24"/>
        </w:rPr>
      </w:pPr>
    </w:p>
    <w:p w14:paraId="0F9F615A" w14:textId="77777777" w:rsidR="002F0BBB" w:rsidRDefault="002F0BBB">
      <w:pPr>
        <w:rPr>
          <w:sz w:val="24"/>
          <w:szCs w:val="24"/>
        </w:rPr>
      </w:pPr>
      <w:r>
        <w:rPr>
          <w:sz w:val="24"/>
          <w:szCs w:val="24"/>
          <w:u w:val="single"/>
        </w:rPr>
        <w:t>CHANGES MADE SINCE THE RULE WAS PROPOSED</w:t>
      </w:r>
      <w:r w:rsidR="007E7AA8">
        <w:rPr>
          <w:sz w:val="24"/>
          <w:szCs w:val="24"/>
          <w:u w:val="single"/>
        </w:rPr>
        <w:t>:</w:t>
      </w:r>
      <w:r>
        <w:rPr>
          <w:sz w:val="24"/>
          <w:szCs w:val="24"/>
        </w:rPr>
        <w:t xml:space="preserve">  (check one)</w:t>
      </w:r>
    </w:p>
    <w:p w14:paraId="70668359" w14:textId="77777777" w:rsidR="002F0BBB" w:rsidRDefault="002F0BBB">
      <w:pPr>
        <w:rPr>
          <w:sz w:val="24"/>
          <w:szCs w:val="24"/>
        </w:rPr>
      </w:pPr>
    </w:p>
    <w:p w14:paraId="27C9DC61" w14:textId="77777777" w:rsidR="002F0BBB" w:rsidRDefault="009E7806">
      <w:pPr>
        <w:ind w:left="720" w:hanging="720"/>
        <w:rPr>
          <w:sz w:val="24"/>
          <w:szCs w:val="24"/>
        </w:rPr>
      </w:pPr>
      <w:r>
        <w:rPr>
          <w:sz w:val="24"/>
          <w:szCs w:val="24"/>
        </w:rPr>
        <w:fldChar w:fldCharType="begin">
          <w:ffData>
            <w:name w:val="Check1"/>
            <w:enabled/>
            <w:calcOnExit w:val="0"/>
            <w:checkBox>
              <w:sizeAuto/>
              <w:default w:val="1"/>
            </w:checkBox>
          </w:ffData>
        </w:fldChar>
      </w:r>
      <w:bookmarkStart w:id="1" w:name="Check1"/>
      <w:r>
        <w:rPr>
          <w:sz w:val="24"/>
          <w:szCs w:val="24"/>
        </w:rPr>
        <w:instrText xml:space="preserve"> FORMCHECKBOX </w:instrText>
      </w:r>
      <w:r w:rsidR="00EE0687">
        <w:rPr>
          <w:sz w:val="24"/>
          <w:szCs w:val="24"/>
        </w:rPr>
      </w:r>
      <w:r w:rsidR="00EE0687">
        <w:rPr>
          <w:sz w:val="24"/>
          <w:szCs w:val="24"/>
        </w:rPr>
        <w:fldChar w:fldCharType="separate"/>
      </w:r>
      <w:r>
        <w:rPr>
          <w:sz w:val="24"/>
          <w:szCs w:val="24"/>
        </w:rPr>
        <w:fldChar w:fldCharType="end"/>
      </w:r>
      <w:bookmarkEnd w:id="1"/>
      <w:r w:rsidR="002F0BBB">
        <w:rPr>
          <w:sz w:val="24"/>
          <w:szCs w:val="24"/>
        </w:rPr>
        <w:tab/>
        <w:t xml:space="preserve">The </w:t>
      </w:r>
      <w:r w:rsidR="00023C5A">
        <w:rPr>
          <w:sz w:val="24"/>
          <w:szCs w:val="24"/>
        </w:rPr>
        <w:t xml:space="preserve">rule </w:t>
      </w:r>
      <w:r w:rsidR="002F0BBB">
        <w:rPr>
          <w:sz w:val="24"/>
          <w:szCs w:val="24"/>
        </w:rPr>
        <w:t xml:space="preserve">text </w:t>
      </w:r>
      <w:r w:rsidR="00023C5A">
        <w:rPr>
          <w:sz w:val="24"/>
          <w:szCs w:val="24"/>
        </w:rPr>
        <w:t>being adopted and Cost-Benefit Analysis do</w:t>
      </w:r>
      <w:r w:rsidR="002F0BBB">
        <w:rPr>
          <w:sz w:val="24"/>
          <w:szCs w:val="24"/>
        </w:rPr>
        <w:t xml:space="preserve"> not differ from </w:t>
      </w:r>
      <w:r w:rsidR="00023C5A">
        <w:rPr>
          <w:sz w:val="24"/>
          <w:szCs w:val="24"/>
        </w:rPr>
        <w:t>proposal</w:t>
      </w:r>
      <w:r w:rsidR="002F0BBB">
        <w:rPr>
          <w:sz w:val="24"/>
          <w:szCs w:val="24"/>
        </w:rPr>
        <w:t>.</w:t>
      </w:r>
    </w:p>
    <w:p w14:paraId="06183036" w14:textId="77777777" w:rsidR="002F0BBB" w:rsidRDefault="002F0BBB">
      <w:pPr>
        <w:ind w:left="720" w:hanging="720"/>
        <w:rPr>
          <w:sz w:val="24"/>
          <w:szCs w:val="24"/>
        </w:rPr>
      </w:pPr>
    </w:p>
    <w:p w14:paraId="68FE3938" w14:textId="77777777" w:rsidR="002F0BBB" w:rsidRDefault="002F0BBB">
      <w:pPr>
        <w:ind w:left="720" w:hanging="720"/>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EE0687">
        <w:rPr>
          <w:sz w:val="24"/>
          <w:szCs w:val="24"/>
        </w:rPr>
      </w:r>
      <w:r w:rsidR="00EE0687">
        <w:rPr>
          <w:sz w:val="24"/>
          <w:szCs w:val="24"/>
        </w:rPr>
        <w:fldChar w:fldCharType="separate"/>
      </w:r>
      <w:r>
        <w:rPr>
          <w:sz w:val="24"/>
          <w:szCs w:val="24"/>
        </w:rPr>
        <w:fldChar w:fldCharType="end"/>
      </w:r>
      <w:r>
        <w:rPr>
          <w:sz w:val="24"/>
          <w:szCs w:val="24"/>
        </w:rPr>
        <w:tab/>
        <w:t xml:space="preserve">The </w:t>
      </w:r>
      <w:r w:rsidR="00023C5A">
        <w:rPr>
          <w:sz w:val="24"/>
          <w:szCs w:val="24"/>
        </w:rPr>
        <w:t xml:space="preserve">rule </w:t>
      </w:r>
      <w:r>
        <w:rPr>
          <w:sz w:val="24"/>
          <w:szCs w:val="24"/>
        </w:rPr>
        <w:t xml:space="preserve">text being adopted </w:t>
      </w:r>
      <w:r w:rsidR="00023C5A">
        <w:rPr>
          <w:sz w:val="24"/>
          <w:szCs w:val="24"/>
        </w:rPr>
        <w:t>and/or Cost-Benefit Analysis contain</w:t>
      </w:r>
      <w:r>
        <w:rPr>
          <w:sz w:val="24"/>
          <w:szCs w:val="24"/>
        </w:rPr>
        <w:t xml:space="preserve"> only editoria</w:t>
      </w:r>
      <w:r w:rsidR="00023C5A">
        <w:rPr>
          <w:sz w:val="24"/>
          <w:szCs w:val="24"/>
        </w:rPr>
        <w:t>l changes from the proposal</w:t>
      </w:r>
      <w:r>
        <w:rPr>
          <w:sz w:val="24"/>
          <w:szCs w:val="24"/>
        </w:rPr>
        <w:t>.</w:t>
      </w:r>
    </w:p>
    <w:p w14:paraId="7BE5FC9F" w14:textId="77777777" w:rsidR="002F0BBB" w:rsidRDefault="002F0BBB">
      <w:pPr>
        <w:ind w:left="720" w:hanging="720"/>
        <w:rPr>
          <w:sz w:val="24"/>
          <w:szCs w:val="24"/>
        </w:rPr>
      </w:pPr>
    </w:p>
    <w:p w14:paraId="41195374" w14:textId="77777777" w:rsidR="002F0BBB" w:rsidRDefault="009E7806" w:rsidP="009537A9">
      <w:pPr>
        <w:ind w:left="720" w:hanging="720"/>
        <w:rPr>
          <w:sz w:val="24"/>
          <w:szCs w:val="24"/>
        </w:rPr>
      </w:pPr>
      <w:r>
        <w:rPr>
          <w:sz w:val="24"/>
          <w:szCs w:val="24"/>
        </w:rPr>
        <w:fldChar w:fldCharType="begin">
          <w:ffData>
            <w:name w:val="Check2"/>
            <w:enabled/>
            <w:calcOnExit w:val="0"/>
            <w:checkBox>
              <w:sizeAuto/>
              <w:default w:val="0"/>
            </w:checkBox>
          </w:ffData>
        </w:fldChar>
      </w:r>
      <w:bookmarkStart w:id="2" w:name="Check2"/>
      <w:r>
        <w:rPr>
          <w:sz w:val="24"/>
          <w:szCs w:val="24"/>
        </w:rPr>
        <w:instrText xml:space="preserve"> FORMCHECKBOX </w:instrText>
      </w:r>
      <w:r w:rsidR="00EE0687">
        <w:rPr>
          <w:sz w:val="24"/>
          <w:szCs w:val="24"/>
        </w:rPr>
      </w:r>
      <w:r w:rsidR="00EE0687">
        <w:rPr>
          <w:sz w:val="24"/>
          <w:szCs w:val="24"/>
        </w:rPr>
        <w:fldChar w:fldCharType="separate"/>
      </w:r>
      <w:r>
        <w:rPr>
          <w:sz w:val="24"/>
          <w:szCs w:val="24"/>
        </w:rPr>
        <w:fldChar w:fldCharType="end"/>
      </w:r>
      <w:bookmarkEnd w:id="2"/>
      <w:r w:rsidR="002F0BBB">
        <w:rPr>
          <w:sz w:val="24"/>
          <w:szCs w:val="24"/>
        </w:rPr>
        <w:tab/>
        <w:t xml:space="preserve">The text of the adopted rule </w:t>
      </w:r>
      <w:r w:rsidR="00023C5A">
        <w:rPr>
          <w:sz w:val="24"/>
          <w:szCs w:val="24"/>
        </w:rPr>
        <w:t>and/or Cost-Benefit Analysis vary</w:t>
      </w:r>
      <w:r w:rsidR="002F0BBB">
        <w:rPr>
          <w:sz w:val="24"/>
          <w:szCs w:val="24"/>
        </w:rPr>
        <w:t xml:space="preserve"> from the </w:t>
      </w:r>
      <w:r w:rsidR="00023C5A">
        <w:rPr>
          <w:sz w:val="24"/>
          <w:szCs w:val="24"/>
        </w:rPr>
        <w:t>proposal</w:t>
      </w:r>
      <w:r w:rsidR="00045BAF">
        <w:rPr>
          <w:sz w:val="24"/>
          <w:szCs w:val="24"/>
        </w:rPr>
        <w:t>.  The changes, other than editing changes,</w:t>
      </w:r>
      <w:r w:rsidR="002F0BBB">
        <w:rPr>
          <w:sz w:val="24"/>
          <w:szCs w:val="24"/>
        </w:rPr>
        <w:t xml:space="preserve"> follow:</w:t>
      </w:r>
      <w:r w:rsidR="005F3B57">
        <w:rPr>
          <w:sz w:val="24"/>
          <w:szCs w:val="24"/>
        </w:rPr>
        <w:t xml:space="preserve"> Please see table below.</w:t>
      </w:r>
    </w:p>
    <w:p w14:paraId="03A34E01" w14:textId="77777777" w:rsidR="00023C5A" w:rsidRDefault="00023C5A">
      <w:pPr>
        <w:rPr>
          <w:sz w:val="24"/>
          <w:szCs w:val="24"/>
        </w:rPr>
      </w:pPr>
    </w:p>
    <w:p w14:paraId="2AF42D11" w14:textId="77777777" w:rsidR="002F0BBB" w:rsidRDefault="002F0BBB">
      <w:pPr>
        <w:ind w:firstLine="720"/>
        <w:rPr>
          <w:sz w:val="24"/>
          <w:szCs w:val="24"/>
        </w:rPr>
      </w:pPr>
      <w:r>
        <w:rPr>
          <w:sz w:val="24"/>
          <w:szCs w:val="24"/>
        </w:rPr>
        <w:t xml:space="preserve">The changes were made because: </w:t>
      </w:r>
    </w:p>
    <w:p w14:paraId="7471C18F" w14:textId="77777777" w:rsidR="009537A9" w:rsidRDefault="009537A9">
      <w:pPr>
        <w:ind w:firstLine="720"/>
        <w:rPr>
          <w:sz w:val="24"/>
          <w:szCs w:val="24"/>
        </w:rPr>
      </w:pPr>
    </w:p>
    <w:p w14:paraId="4B1B89BA" w14:textId="77777777" w:rsidR="009537A9" w:rsidRDefault="009537A9">
      <w:pPr>
        <w:ind w:firstLine="720"/>
        <w:rPr>
          <w:sz w:val="24"/>
          <w:szCs w:val="24"/>
        </w:rPr>
      </w:pPr>
    </w:p>
    <w:p w14:paraId="7A7F8B4B" w14:textId="77777777" w:rsidR="009537A9" w:rsidRDefault="009537A9">
      <w:pPr>
        <w:ind w:firstLine="720"/>
        <w:rPr>
          <w:sz w:val="24"/>
          <w:szCs w:val="24"/>
        </w:rPr>
      </w:pPr>
    </w:p>
    <w:p w14:paraId="0A0FBD93" w14:textId="77777777" w:rsidR="00045BAF" w:rsidRDefault="00045BAF">
      <w:pPr>
        <w:rPr>
          <w:sz w:val="24"/>
          <w:szCs w:val="24"/>
        </w:rPr>
      </w:pPr>
    </w:p>
    <w:tbl>
      <w:tblPr>
        <w:tblW w:w="10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64"/>
        <w:gridCol w:w="5364"/>
      </w:tblGrid>
      <w:tr w:rsidR="002F0BBB" w14:paraId="188448AC" w14:textId="77777777" w:rsidTr="009E7806">
        <w:tc>
          <w:tcPr>
            <w:tcW w:w="5364" w:type="dxa"/>
            <w:shd w:val="pct10" w:color="auto" w:fill="auto"/>
          </w:tcPr>
          <w:p w14:paraId="18E877A9" w14:textId="77777777" w:rsidR="002F0BBB" w:rsidRDefault="002F0BBB">
            <w:pPr>
              <w:jc w:val="center"/>
              <w:rPr>
                <w:sz w:val="24"/>
                <w:szCs w:val="24"/>
              </w:rPr>
            </w:pPr>
            <w:r>
              <w:rPr>
                <w:sz w:val="24"/>
                <w:szCs w:val="24"/>
              </w:rPr>
              <w:t>SUMMARY OF COMMENTS RECEIVED</w:t>
            </w:r>
          </w:p>
        </w:tc>
        <w:tc>
          <w:tcPr>
            <w:tcW w:w="5364" w:type="dxa"/>
            <w:shd w:val="pct10" w:color="auto" w:fill="auto"/>
          </w:tcPr>
          <w:p w14:paraId="29435E45" w14:textId="77777777" w:rsidR="002F0BBB" w:rsidRDefault="002F0BBB">
            <w:pPr>
              <w:jc w:val="center"/>
              <w:rPr>
                <w:sz w:val="24"/>
                <w:szCs w:val="24"/>
              </w:rPr>
            </w:pPr>
            <w:r>
              <w:rPr>
                <w:sz w:val="22"/>
                <w:szCs w:val="22"/>
              </w:rPr>
              <w:t>THE DEPARTMENT CONSIDERED ALL THE COMMENTS.   THE ACTIONS TAKEN IN RESPONSE TO THE COMMENTS, OR THE REASONS NO ACTIONS WERE TAKEN, FOLLOW.</w:t>
            </w:r>
          </w:p>
        </w:tc>
      </w:tr>
      <w:tr w:rsidR="009E7806" w14:paraId="433CA79B" w14:textId="77777777" w:rsidTr="009E7806">
        <w:tc>
          <w:tcPr>
            <w:tcW w:w="5364" w:type="dxa"/>
            <w:shd w:val="clear" w:color="auto" w:fill="auto"/>
          </w:tcPr>
          <w:p w14:paraId="25E4AC87" w14:textId="77777777" w:rsidR="009E7806" w:rsidRDefault="009E7806">
            <w:pPr>
              <w:jc w:val="center"/>
              <w:rPr>
                <w:sz w:val="24"/>
                <w:szCs w:val="24"/>
              </w:rPr>
            </w:pPr>
          </w:p>
        </w:tc>
        <w:tc>
          <w:tcPr>
            <w:tcW w:w="5364" w:type="dxa"/>
            <w:shd w:val="clear" w:color="auto" w:fill="auto"/>
          </w:tcPr>
          <w:p w14:paraId="50BB79CE" w14:textId="77777777" w:rsidR="009E7806" w:rsidRDefault="009E7806">
            <w:pPr>
              <w:jc w:val="center"/>
              <w:rPr>
                <w:sz w:val="22"/>
                <w:szCs w:val="22"/>
              </w:rPr>
            </w:pPr>
          </w:p>
        </w:tc>
      </w:tr>
    </w:tbl>
    <w:p w14:paraId="08F6C200" w14:textId="77777777" w:rsidR="002F0BBB" w:rsidRDefault="002F0BBB">
      <w:pPr>
        <w:rPr>
          <w:sz w:val="24"/>
          <w:szCs w:val="24"/>
        </w:rPr>
      </w:pPr>
    </w:p>
    <w:p w14:paraId="7D7D218F" w14:textId="77777777" w:rsidR="002F0BBB" w:rsidRDefault="002F0BBB">
      <w:pPr>
        <w:rPr>
          <w:sz w:val="24"/>
          <w:szCs w:val="24"/>
        </w:rPr>
      </w:pPr>
    </w:p>
    <w:p w14:paraId="447D678E" w14:textId="77777777" w:rsidR="002F0BBB" w:rsidRDefault="002F0BBB">
      <w:pPr>
        <w:rPr>
          <w:sz w:val="24"/>
          <w:szCs w:val="24"/>
        </w:rPr>
      </w:pPr>
      <w:r>
        <w:rPr>
          <w:sz w:val="24"/>
          <w:szCs w:val="24"/>
        </w:rPr>
        <w:t>cc:  DSHS Rules Coordinator</w:t>
      </w:r>
    </w:p>
    <w:sectPr w:rsidR="002F0BBB">
      <w:footerReference w:type="default" r:id="rId11"/>
      <w:pgSz w:w="12240" w:h="15840"/>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F17F9" w14:textId="77777777" w:rsidR="00EA6786" w:rsidRDefault="00EA6786">
      <w:r>
        <w:separator/>
      </w:r>
    </w:p>
  </w:endnote>
  <w:endnote w:type="continuationSeparator" w:id="0">
    <w:p w14:paraId="36E76A8C" w14:textId="77777777" w:rsidR="00EA6786" w:rsidRDefault="00EA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17E9D" w14:textId="55E1DB8F" w:rsidR="00EA6786" w:rsidRDefault="00EA6786" w:rsidP="00023C5A">
    <w:pPr>
      <w:pStyle w:val="Footer"/>
    </w:pPr>
    <w:r>
      <w:t>Concise Explanatory Statement for Significant Legislative Rules</w:t>
    </w:r>
    <w:r>
      <w:tab/>
    </w:r>
    <w:r>
      <w:tab/>
      <w:t xml:space="preserve">Page </w:t>
    </w:r>
    <w:r>
      <w:fldChar w:fldCharType="begin"/>
    </w:r>
    <w:r>
      <w:instrText xml:space="preserve"> PAGE </w:instrText>
    </w:r>
    <w:r>
      <w:fldChar w:fldCharType="separate"/>
    </w:r>
    <w:r w:rsidR="00EE0687">
      <w:rPr>
        <w:noProof/>
      </w:rPr>
      <w:t>1</w:t>
    </w:r>
    <w:r>
      <w:fldChar w:fldCharType="end"/>
    </w:r>
    <w:r>
      <w:t xml:space="preserve"> of </w:t>
    </w:r>
    <w:fldSimple w:instr=" NUMPAGES ">
      <w:r w:rsidR="00EE0687">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32B86" w14:textId="77777777" w:rsidR="00EA6786" w:rsidRDefault="00EA6786">
      <w:r>
        <w:separator/>
      </w:r>
    </w:p>
  </w:footnote>
  <w:footnote w:type="continuationSeparator" w:id="0">
    <w:p w14:paraId="66596907" w14:textId="77777777" w:rsidR="00EA6786" w:rsidRDefault="00EA6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F5"/>
    <w:rsid w:val="00023C5A"/>
    <w:rsid w:val="00045BAF"/>
    <w:rsid w:val="0004701A"/>
    <w:rsid w:val="000679F8"/>
    <w:rsid w:val="000C70A0"/>
    <w:rsid w:val="001213B2"/>
    <w:rsid w:val="001411D9"/>
    <w:rsid w:val="00172581"/>
    <w:rsid w:val="002E2068"/>
    <w:rsid w:val="002F0BBB"/>
    <w:rsid w:val="002F15E1"/>
    <w:rsid w:val="00315DC2"/>
    <w:rsid w:val="00342DB8"/>
    <w:rsid w:val="00354A55"/>
    <w:rsid w:val="003605CC"/>
    <w:rsid w:val="00375852"/>
    <w:rsid w:val="003E503B"/>
    <w:rsid w:val="004F23F5"/>
    <w:rsid w:val="005032EE"/>
    <w:rsid w:val="0051195C"/>
    <w:rsid w:val="00584479"/>
    <w:rsid w:val="005A372B"/>
    <w:rsid w:val="005B36FE"/>
    <w:rsid w:val="005F3B57"/>
    <w:rsid w:val="0065507B"/>
    <w:rsid w:val="0070080D"/>
    <w:rsid w:val="00715680"/>
    <w:rsid w:val="00743177"/>
    <w:rsid w:val="007752F5"/>
    <w:rsid w:val="007E7AA8"/>
    <w:rsid w:val="008001B7"/>
    <w:rsid w:val="0082334A"/>
    <w:rsid w:val="00852150"/>
    <w:rsid w:val="008B71DB"/>
    <w:rsid w:val="008C3C97"/>
    <w:rsid w:val="00925A8A"/>
    <w:rsid w:val="009537A9"/>
    <w:rsid w:val="009D0B33"/>
    <w:rsid w:val="009E7806"/>
    <w:rsid w:val="00A962D8"/>
    <w:rsid w:val="00AD2D71"/>
    <w:rsid w:val="00B0398C"/>
    <w:rsid w:val="00B072CB"/>
    <w:rsid w:val="00B15AA6"/>
    <w:rsid w:val="00B3106F"/>
    <w:rsid w:val="00B33A5C"/>
    <w:rsid w:val="00B87E05"/>
    <w:rsid w:val="00BA5A8B"/>
    <w:rsid w:val="00CA59CB"/>
    <w:rsid w:val="00CB0275"/>
    <w:rsid w:val="00CC48A7"/>
    <w:rsid w:val="00CD1DF6"/>
    <w:rsid w:val="00D60A1C"/>
    <w:rsid w:val="00D61CAB"/>
    <w:rsid w:val="00D75586"/>
    <w:rsid w:val="00D84819"/>
    <w:rsid w:val="00DA1232"/>
    <w:rsid w:val="00DB07FD"/>
    <w:rsid w:val="00DB72BE"/>
    <w:rsid w:val="00E30F7A"/>
    <w:rsid w:val="00E71F9B"/>
    <w:rsid w:val="00EA6786"/>
    <w:rsid w:val="00EC623E"/>
    <w:rsid w:val="00ED3235"/>
    <w:rsid w:val="00EE0687"/>
    <w:rsid w:val="00EE3E60"/>
    <w:rsid w:val="00F0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1F10981"/>
  <w15:chartTrackingRefBased/>
  <w15:docId w15:val="{F191B23F-B50A-425D-BA41-321AA8DF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2">
    <w:name w:val="heading 2"/>
    <w:basedOn w:val="Normal"/>
    <w:next w:val="Normal"/>
    <w:link w:val="Heading2Char"/>
    <w:qFormat/>
    <w:rsid w:val="0082334A"/>
    <w:pPr>
      <w:keepNext/>
      <w:adjustRightInd w:val="0"/>
      <w:ind w:left="720"/>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3C5A"/>
    <w:pPr>
      <w:tabs>
        <w:tab w:val="center" w:pos="4320"/>
        <w:tab w:val="right" w:pos="8640"/>
      </w:tabs>
    </w:pPr>
  </w:style>
  <w:style w:type="paragraph" w:styleId="Footer">
    <w:name w:val="footer"/>
    <w:basedOn w:val="Normal"/>
    <w:rsid w:val="00023C5A"/>
    <w:pPr>
      <w:tabs>
        <w:tab w:val="center" w:pos="4320"/>
        <w:tab w:val="right" w:pos="8640"/>
      </w:tabs>
    </w:pPr>
  </w:style>
  <w:style w:type="character" w:customStyle="1" w:styleId="Heading2Char">
    <w:name w:val="Heading 2 Char"/>
    <w:link w:val="Heading2"/>
    <w:rsid w:val="0082334A"/>
    <w:rPr>
      <w:rFonts w:ascii="Arial" w:hAnsi="Arial" w:cs="Arial"/>
      <w:b/>
      <w:bCs/>
      <w:sz w:val="24"/>
    </w:rPr>
  </w:style>
  <w:style w:type="character" w:styleId="CommentReference">
    <w:name w:val="annotation reference"/>
    <w:uiPriority w:val="99"/>
    <w:rsid w:val="0082334A"/>
    <w:rPr>
      <w:sz w:val="16"/>
      <w:szCs w:val="16"/>
    </w:rPr>
  </w:style>
  <w:style w:type="paragraph" w:styleId="CommentText">
    <w:name w:val="annotation text"/>
    <w:basedOn w:val="Normal"/>
    <w:link w:val="CommentTextChar"/>
    <w:rsid w:val="0082334A"/>
  </w:style>
  <w:style w:type="character" w:customStyle="1" w:styleId="CommentTextChar">
    <w:name w:val="Comment Text Char"/>
    <w:basedOn w:val="DefaultParagraphFont"/>
    <w:link w:val="CommentText"/>
    <w:rsid w:val="0082334A"/>
  </w:style>
  <w:style w:type="paragraph" w:styleId="CommentSubject">
    <w:name w:val="annotation subject"/>
    <w:basedOn w:val="CommentText"/>
    <w:next w:val="CommentText"/>
    <w:link w:val="CommentSubjectChar"/>
    <w:rsid w:val="0082334A"/>
    <w:rPr>
      <w:b/>
      <w:bCs/>
    </w:rPr>
  </w:style>
  <w:style w:type="character" w:customStyle="1" w:styleId="CommentSubjectChar">
    <w:name w:val="Comment Subject Char"/>
    <w:link w:val="CommentSubject"/>
    <w:rsid w:val="0082334A"/>
    <w:rPr>
      <w:b/>
      <w:bCs/>
    </w:rPr>
  </w:style>
  <w:style w:type="paragraph" w:styleId="BalloonText">
    <w:name w:val="Balloon Text"/>
    <w:basedOn w:val="Normal"/>
    <w:link w:val="BalloonTextChar"/>
    <w:rsid w:val="0082334A"/>
    <w:rPr>
      <w:rFonts w:ascii="Segoe UI" w:hAnsi="Segoe UI" w:cs="Segoe UI"/>
      <w:sz w:val="18"/>
      <w:szCs w:val="18"/>
    </w:rPr>
  </w:style>
  <w:style w:type="character" w:customStyle="1" w:styleId="BalloonTextChar">
    <w:name w:val="Balloon Text Char"/>
    <w:link w:val="BalloonText"/>
    <w:rsid w:val="00823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D8883-BC99-4F26-9E7F-8456FC6380AD}">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A1B311D-326B-4E86-BE4C-7A127225A6C4}">
  <ds:schemaRefs>
    <ds:schemaRef ds:uri="http://schemas.microsoft.com/sharepoint/v3/contenttype/forms"/>
  </ds:schemaRefs>
</ds:datastoreItem>
</file>

<file path=customXml/itemProps3.xml><?xml version="1.0" encoding="utf-8"?>
<ds:datastoreItem xmlns:ds="http://schemas.openxmlformats.org/officeDocument/2006/customXml" ds:itemID="{672B24F9-EA2C-4F70-99B9-53342B46E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DE2991-510E-4784-9286-0EDFBEF2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CONCISE EXPLANATORY STATEMENT</vt:lpstr>
    </vt:vector>
  </TitlesOfParts>
  <Company>State of Washington</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CONCISE EXPLANATORY STATEMENT</dc:title>
  <dc:subject/>
  <dc:creator>DSHS</dc:creator>
  <cp:keywords/>
  <dc:description/>
  <cp:lastModifiedBy>Bantog, Clare (DSHS/ALTSA/RCS)</cp:lastModifiedBy>
  <cp:revision>2</cp:revision>
  <cp:lastPrinted>2006-06-07T18:05:00Z</cp:lastPrinted>
  <dcterms:created xsi:type="dcterms:W3CDTF">2020-01-16T16:26:00Z</dcterms:created>
  <dcterms:modified xsi:type="dcterms:W3CDTF">2020-01-16T16:26:00Z</dcterms:modified>
</cp:coreProperties>
</file>