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A35570" w:rsidRDefault="007617BF" w:rsidP="007617BF">
      <w:pPr>
        <w:spacing w:after="120" w:line="240" w:lineRule="auto"/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A35570">
        <w:rPr>
          <w:rFonts w:asciiTheme="minorHAnsi" w:hAnsiTheme="minorHAnsi" w:cstheme="minorHAnsi"/>
          <w:b/>
          <w:smallCaps/>
          <w:color w:val="0070C0"/>
          <w:sz w:val="32"/>
          <w:szCs w:val="32"/>
        </w:rPr>
        <w:t>Adult Family Home (AFH) Information Sheet</w:t>
      </w:r>
    </w:p>
    <w:p w14:paraId="3F78DEFB" w14:textId="7D0ABA2F" w:rsidR="007617BF" w:rsidRPr="00A35570" w:rsidRDefault="00380163" w:rsidP="007617BF">
      <w:pPr>
        <w:spacing w:after="0" w:line="240" w:lineRule="auto"/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</w:pPr>
      <w:r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M</w:t>
      </w:r>
      <w:r w:rsidR="00AA06F9">
        <w:rPr>
          <w:rStyle w:val="Heading1Char"/>
          <w:rFonts w:asciiTheme="minorHAnsi" w:hAnsiTheme="minorHAnsi" w:cstheme="minorHAnsi"/>
          <w:b w:val="0"/>
          <w:bCs/>
          <w:color w:val="0070C0"/>
          <w:sz w:val="32"/>
          <w:szCs w:val="32"/>
        </w:rPr>
        <w:t>edication Assistance</w:t>
      </w:r>
    </w:p>
    <w:p w14:paraId="20138455" w14:textId="77777777" w:rsidR="007617BF" w:rsidRPr="003A6F39" w:rsidRDefault="007617BF" w:rsidP="007617BF">
      <w:pPr>
        <w:spacing w:after="0" w:line="240" w:lineRule="auto"/>
        <w:ind w:right="-360"/>
        <w:rPr>
          <w:rFonts w:asciiTheme="minorHAnsi" w:hAnsiTheme="minorHAnsi" w:cstheme="minorHAnsi"/>
          <w:b/>
          <w:szCs w:val="24"/>
        </w:rPr>
      </w:pPr>
    </w:p>
    <w:p w14:paraId="67A72CE2" w14:textId="6BC8D31F" w:rsidR="00135CA3" w:rsidRPr="00475AB3" w:rsidRDefault="00135CA3" w:rsidP="00DF6C55">
      <w:pPr>
        <w:rPr>
          <w:b/>
          <w:bCs/>
          <w:szCs w:val="24"/>
        </w:rPr>
      </w:pPr>
      <w:r w:rsidRPr="00475AB3">
        <w:rPr>
          <w:b/>
          <w:bCs/>
          <w:szCs w:val="24"/>
        </w:rPr>
        <w:t xml:space="preserve">Review </w:t>
      </w:r>
      <w:hyperlink r:id="rId8" w:history="1">
        <w:r w:rsidRPr="00475AB3">
          <w:rPr>
            <w:rStyle w:val="Hyperlink"/>
            <w:b/>
            <w:bCs/>
            <w:szCs w:val="24"/>
          </w:rPr>
          <w:t>Chapter 388-76 WAC</w:t>
        </w:r>
      </w:hyperlink>
      <w:r w:rsidRPr="00475AB3">
        <w:rPr>
          <w:b/>
          <w:bCs/>
          <w:szCs w:val="24"/>
        </w:rPr>
        <w:t xml:space="preserve"> for current licensing requirements</w:t>
      </w:r>
    </w:p>
    <w:p w14:paraId="62401B53" w14:textId="0C2D0039" w:rsidR="00AA06F9" w:rsidRPr="006051A6" w:rsidRDefault="00AA06F9" w:rsidP="00AA06F9">
      <w:pPr>
        <w:rPr>
          <w:rFonts w:cs="Arial"/>
          <w:smallCaps/>
        </w:rPr>
      </w:pPr>
      <w:r w:rsidRPr="00AA06F9">
        <w:rPr>
          <w:b/>
          <w:bCs/>
        </w:rPr>
        <w:t>Do I need to keep medication information if the resident independently self-administers their medication?</w:t>
      </w:r>
      <w:r>
        <w:rPr>
          <w:b/>
          <w:bCs/>
        </w:rPr>
        <w:t xml:space="preserve"> </w:t>
      </w:r>
      <w:r w:rsidRPr="003827F5">
        <w:rPr>
          <w:rFonts w:cs="Arial"/>
        </w:rPr>
        <w:t>See</w:t>
      </w:r>
      <w:r w:rsidRPr="006051A6">
        <w:rPr>
          <w:rFonts w:cs="Arial"/>
          <w:smallCaps/>
        </w:rPr>
        <w:t xml:space="preserve"> WAC </w:t>
      </w:r>
      <w:hyperlink r:id="rId9" w:anchor="388-76-10320" w:history="1">
        <w:r w:rsidRPr="00AA06F9">
          <w:rPr>
            <w:rStyle w:val="Hyperlink"/>
            <w:rFonts w:cs="Arial"/>
            <w:smallCaps/>
          </w:rPr>
          <w:t>388-76-10320</w:t>
        </w:r>
      </w:hyperlink>
      <w:r>
        <w:rPr>
          <w:rFonts w:cs="Arial"/>
          <w:smallCaps/>
        </w:rPr>
        <w:t>.</w:t>
      </w:r>
    </w:p>
    <w:p w14:paraId="506519D1" w14:textId="77777777" w:rsidR="00AA06F9" w:rsidRPr="00BC3A72" w:rsidRDefault="00AA06F9" w:rsidP="00AA06F9">
      <w:pPr>
        <w:numPr>
          <w:ilvl w:val="0"/>
          <w:numId w:val="30"/>
        </w:numPr>
        <w:spacing w:before="120" w:after="0" w:line="240" w:lineRule="auto"/>
        <w:ind w:right="-547"/>
        <w:rPr>
          <w:rFonts w:cs="Arial"/>
        </w:rPr>
      </w:pPr>
      <w:r w:rsidRPr="00BC3A72">
        <w:rPr>
          <w:rFonts w:cs="Arial"/>
        </w:rPr>
        <w:t>Yes, you need to have an accurate listing of the medications the resident is taking.</w:t>
      </w:r>
    </w:p>
    <w:p w14:paraId="519C3886" w14:textId="77777777" w:rsidR="00AA06F9" w:rsidRPr="001E1A9A" w:rsidRDefault="00AA06F9" w:rsidP="00AA06F9">
      <w:pPr>
        <w:rPr>
          <w:rFonts w:cs="Arial"/>
        </w:rPr>
      </w:pPr>
    </w:p>
    <w:p w14:paraId="5DAE9B7C" w14:textId="77777777" w:rsidR="00B435E1" w:rsidRDefault="00AA06F9" w:rsidP="00B435E1">
      <w:pPr>
        <w:rPr>
          <w:b/>
          <w:bCs/>
        </w:rPr>
      </w:pPr>
      <w:r w:rsidRPr="00AA06F9">
        <w:rPr>
          <w:b/>
          <w:bCs/>
        </w:rPr>
        <w:t>What information do I need to keep when I am helping residents with their medication?</w:t>
      </w:r>
      <w:r>
        <w:rPr>
          <w:b/>
          <w:bCs/>
        </w:rPr>
        <w:t xml:space="preserve"> </w:t>
      </w:r>
    </w:p>
    <w:p w14:paraId="27952933" w14:textId="195EC7AF" w:rsidR="00AA06F9" w:rsidRPr="00B435E1" w:rsidRDefault="00AA06F9" w:rsidP="00B435E1">
      <w:pPr>
        <w:pStyle w:val="ListParagraph"/>
        <w:numPr>
          <w:ilvl w:val="0"/>
          <w:numId w:val="30"/>
        </w:numPr>
        <w:rPr>
          <w:b/>
          <w:bCs/>
        </w:rPr>
      </w:pPr>
      <w:r w:rsidRPr="00B435E1">
        <w:rPr>
          <w:rFonts w:cs="Arial"/>
        </w:rPr>
        <w:t>You must have a medication procedure/system to make sure that residents will receive the medications as they are ordered by the doctor</w:t>
      </w:r>
      <w:r w:rsidR="00B435E1" w:rsidRPr="00B435E1">
        <w:rPr>
          <w:rFonts w:cs="Arial"/>
        </w:rPr>
        <w:t xml:space="preserve"> - </w:t>
      </w:r>
      <w:r w:rsidR="00B435E1" w:rsidRPr="00B435E1">
        <w:rPr>
          <w:rFonts w:cs="Arial"/>
        </w:rPr>
        <w:t>See</w:t>
      </w:r>
      <w:r w:rsidR="00B435E1" w:rsidRPr="00B435E1">
        <w:rPr>
          <w:rFonts w:cs="Arial"/>
          <w:smallCaps/>
        </w:rPr>
        <w:t xml:space="preserve"> WAC </w:t>
      </w:r>
      <w:hyperlink r:id="rId10" w:anchor="388-76-10430" w:history="1">
        <w:r w:rsidR="00B435E1" w:rsidRPr="00B435E1">
          <w:rPr>
            <w:rStyle w:val="Hyperlink"/>
            <w:rFonts w:cs="Arial"/>
            <w:smallCaps/>
          </w:rPr>
          <w:t>388-76-10430</w:t>
        </w:r>
      </w:hyperlink>
      <w:r w:rsidR="00B435E1" w:rsidRPr="00B435E1">
        <w:rPr>
          <w:rFonts w:cs="Arial"/>
          <w:smallCaps/>
        </w:rPr>
        <w:t>.</w:t>
      </w:r>
    </w:p>
    <w:p w14:paraId="205A5FFF" w14:textId="5B9A191F" w:rsidR="00AA06F9" w:rsidRPr="00BC3A72" w:rsidRDefault="00AA06F9" w:rsidP="00AA06F9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>You must make sure the medication procedure/system you have meets all the laws and rules about medication assistance and medication administration</w:t>
      </w:r>
      <w:r w:rsidR="00B435E1">
        <w:rPr>
          <w:rFonts w:cs="Arial"/>
        </w:rPr>
        <w:t>.</w:t>
      </w:r>
    </w:p>
    <w:p w14:paraId="462184A4" w14:textId="0DECF3E6" w:rsidR="00AA06F9" w:rsidRPr="00BC3A72" w:rsidRDefault="00AA06F9" w:rsidP="00AA06F9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>
        <w:rPr>
          <w:rFonts w:cs="Arial"/>
        </w:rPr>
        <w:t>You must maintain a medication log</w:t>
      </w:r>
      <w:r w:rsidR="00B435E1">
        <w:rPr>
          <w:rFonts w:cs="Arial"/>
        </w:rPr>
        <w:t xml:space="preserve"> – See </w:t>
      </w:r>
      <w:r>
        <w:rPr>
          <w:rFonts w:cs="Arial"/>
        </w:rPr>
        <w:t xml:space="preserve">WAC </w:t>
      </w:r>
      <w:hyperlink r:id="rId11" w:history="1">
        <w:r w:rsidRPr="00B435E1">
          <w:rPr>
            <w:rStyle w:val="Hyperlink"/>
            <w:rFonts w:cs="Arial"/>
          </w:rPr>
          <w:t>388-76-10475</w:t>
        </w:r>
      </w:hyperlink>
      <w:r w:rsidRPr="00BC3A72">
        <w:rPr>
          <w:rFonts w:cs="Arial"/>
        </w:rPr>
        <w:t>.</w:t>
      </w:r>
    </w:p>
    <w:p w14:paraId="0EEA5A9A" w14:textId="77777777" w:rsidR="00AA06F9" w:rsidRPr="001E1A9A" w:rsidRDefault="00AA06F9" w:rsidP="00AA06F9">
      <w:pPr>
        <w:rPr>
          <w:rFonts w:cs="Arial"/>
        </w:rPr>
      </w:pPr>
    </w:p>
    <w:p w14:paraId="4FA28350" w14:textId="77777777" w:rsidR="00AA06F9" w:rsidRPr="00B435E1" w:rsidRDefault="00AA06F9" w:rsidP="00B435E1">
      <w:pPr>
        <w:rPr>
          <w:b/>
          <w:bCs/>
        </w:rPr>
      </w:pPr>
      <w:r w:rsidRPr="00B435E1">
        <w:rPr>
          <w:b/>
          <w:bCs/>
        </w:rPr>
        <w:t xml:space="preserve">What information do I need before I can assist residents with their medication?  </w:t>
      </w:r>
    </w:p>
    <w:p w14:paraId="289464D6" w14:textId="71515716" w:rsidR="00AA06F9" w:rsidRPr="00BC3A72" w:rsidRDefault="00AA06F9" w:rsidP="00AA06F9">
      <w:pPr>
        <w:numPr>
          <w:ilvl w:val="0"/>
          <w:numId w:val="27"/>
        </w:numPr>
        <w:spacing w:before="120" w:after="0" w:line="240" w:lineRule="auto"/>
        <w:ind w:right="-547"/>
        <w:rPr>
          <w:rFonts w:cs="Arial"/>
        </w:rPr>
      </w:pPr>
      <w:r w:rsidRPr="00BC3A72">
        <w:rPr>
          <w:rFonts w:cs="Arial"/>
        </w:rPr>
        <w:t>You must have a resident assessment that tells you the amount of medication assistance needed by the resident</w:t>
      </w:r>
      <w:r w:rsidR="00B435E1">
        <w:rPr>
          <w:rFonts w:cs="Arial"/>
        </w:rPr>
        <w:t xml:space="preserve"> – See WAC </w:t>
      </w:r>
      <w:hyperlink r:id="rId12" w:anchor="388-76-10335" w:history="1">
        <w:r w:rsidR="00B435E1" w:rsidRPr="00B435E1">
          <w:rPr>
            <w:rStyle w:val="Hyperlink"/>
            <w:rFonts w:cs="Arial"/>
          </w:rPr>
          <w:t>388-76-10335</w:t>
        </w:r>
      </w:hyperlink>
      <w:r w:rsidR="00B435E1">
        <w:rPr>
          <w:rFonts w:cs="Arial"/>
        </w:rPr>
        <w:t>.</w:t>
      </w:r>
    </w:p>
    <w:p w14:paraId="5FED383D" w14:textId="33EF60DC" w:rsidR="00AA06F9" w:rsidRPr="00BC3A72" w:rsidRDefault="00AA06F9" w:rsidP="00AA06F9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>You must have a resident negotiated care plan that tells you the amount of medication assistance you will provide to the resident</w:t>
      </w:r>
      <w:r w:rsidR="00B435E1">
        <w:rPr>
          <w:rFonts w:cs="Arial"/>
        </w:rPr>
        <w:t xml:space="preserve"> – See WAC </w:t>
      </w:r>
      <w:hyperlink r:id="rId13" w:anchor="388-76-10355" w:history="1">
        <w:r w:rsidR="00B435E1" w:rsidRPr="00B435E1">
          <w:rPr>
            <w:rStyle w:val="Hyperlink"/>
            <w:rFonts w:cs="Arial"/>
          </w:rPr>
          <w:t>388-76-10355</w:t>
        </w:r>
      </w:hyperlink>
      <w:r w:rsidR="00B435E1">
        <w:rPr>
          <w:rFonts w:cs="Arial"/>
        </w:rPr>
        <w:t>.</w:t>
      </w:r>
    </w:p>
    <w:p w14:paraId="2A93557A" w14:textId="77777777" w:rsidR="00AA06F9" w:rsidRPr="00BC3A72" w:rsidRDefault="00AA06F9" w:rsidP="00AA06F9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 xml:space="preserve">If the resident needs help taking medications, carefully review </w:t>
      </w:r>
      <w:r>
        <w:rPr>
          <w:rFonts w:cs="Arial"/>
        </w:rPr>
        <w:t xml:space="preserve">Medication </w:t>
      </w:r>
      <w:r w:rsidRPr="00BC3A72">
        <w:rPr>
          <w:rFonts w:cs="Arial"/>
        </w:rPr>
        <w:t>regulations in WAC 388-76.</w:t>
      </w:r>
    </w:p>
    <w:p w14:paraId="7142F093" w14:textId="7D063699" w:rsidR="00AA06F9" w:rsidRDefault="00AA06F9" w:rsidP="00AA06F9">
      <w:pPr>
        <w:rPr>
          <w:rFonts w:cs="Arial"/>
        </w:rPr>
      </w:pPr>
    </w:p>
    <w:p w14:paraId="7269790D" w14:textId="5355D019" w:rsidR="00B435E1" w:rsidRDefault="00B435E1" w:rsidP="00AA06F9">
      <w:pPr>
        <w:rPr>
          <w:rFonts w:cs="Arial"/>
        </w:rPr>
      </w:pPr>
    </w:p>
    <w:p w14:paraId="1E1D29F9" w14:textId="5FDFF598" w:rsidR="00B435E1" w:rsidRDefault="00B435E1" w:rsidP="00AA06F9">
      <w:pPr>
        <w:rPr>
          <w:rFonts w:cs="Arial"/>
        </w:rPr>
      </w:pPr>
    </w:p>
    <w:p w14:paraId="2DDDB4A4" w14:textId="77777777" w:rsidR="00B435E1" w:rsidRPr="001E1A9A" w:rsidRDefault="00B435E1" w:rsidP="00AA06F9">
      <w:pPr>
        <w:rPr>
          <w:rFonts w:cs="Arial"/>
        </w:rPr>
      </w:pPr>
    </w:p>
    <w:p w14:paraId="1127B855" w14:textId="2A5BA271" w:rsidR="00AA06F9" w:rsidRPr="00B435E1" w:rsidRDefault="00AA06F9" w:rsidP="00B435E1">
      <w:pPr>
        <w:rPr>
          <w:b/>
          <w:bCs/>
        </w:rPr>
      </w:pPr>
      <w:r w:rsidRPr="00B435E1">
        <w:rPr>
          <w:b/>
          <w:bCs/>
        </w:rPr>
        <w:t xml:space="preserve">What if a resident refuses to take their medication? </w:t>
      </w:r>
      <w:r w:rsidRPr="003827F5">
        <w:rPr>
          <w:rFonts w:cs="Arial"/>
        </w:rPr>
        <w:t>See</w:t>
      </w:r>
      <w:r w:rsidRPr="006051A6">
        <w:rPr>
          <w:rFonts w:cs="Arial"/>
          <w:smallCaps/>
        </w:rPr>
        <w:t xml:space="preserve"> WAC </w:t>
      </w:r>
      <w:hyperlink r:id="rId14" w:anchor="388-76-10435" w:history="1">
        <w:r w:rsidRPr="00B435E1">
          <w:rPr>
            <w:rStyle w:val="Hyperlink"/>
            <w:rFonts w:cs="Arial"/>
            <w:smallCaps/>
          </w:rPr>
          <w:t>388-76-10435</w:t>
        </w:r>
      </w:hyperlink>
      <w:r w:rsidR="00B435E1">
        <w:rPr>
          <w:rFonts w:cs="Arial"/>
          <w:smallCaps/>
        </w:rPr>
        <w:t>.</w:t>
      </w:r>
    </w:p>
    <w:p w14:paraId="3BD760DB" w14:textId="77777777" w:rsidR="00AA06F9" w:rsidRPr="00BC3A72" w:rsidRDefault="00AA06F9" w:rsidP="00AA06F9">
      <w:pPr>
        <w:numPr>
          <w:ilvl w:val="0"/>
          <w:numId w:val="28"/>
        </w:numPr>
        <w:spacing w:before="120" w:after="0" w:line="240" w:lineRule="auto"/>
        <w:ind w:right="-547"/>
        <w:rPr>
          <w:rFonts w:cs="Arial"/>
        </w:rPr>
      </w:pPr>
      <w:r w:rsidRPr="00BC3A72">
        <w:rPr>
          <w:rFonts w:cs="Arial"/>
        </w:rPr>
        <w:t>You must notify the resident’s doctor or nurse; unless</w:t>
      </w:r>
    </w:p>
    <w:p w14:paraId="50AB9271" w14:textId="77777777" w:rsidR="00AA06F9" w:rsidRPr="00BC3A72" w:rsidRDefault="00AA06F9" w:rsidP="00AA06F9">
      <w:pPr>
        <w:numPr>
          <w:ilvl w:val="0"/>
          <w:numId w:val="28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>The provider, co-provider, entity representative, resident manager or caregiver is a nurse or other health professional that is able to make a judgment about the impact of the resident’s refusal.</w:t>
      </w:r>
    </w:p>
    <w:p w14:paraId="611DCD91" w14:textId="77777777" w:rsidR="00AA06F9" w:rsidRPr="001E1A9A" w:rsidRDefault="00AA06F9" w:rsidP="00AA06F9">
      <w:pPr>
        <w:ind w:left="90"/>
        <w:rPr>
          <w:rFonts w:cs="Arial"/>
        </w:rPr>
      </w:pPr>
    </w:p>
    <w:p w14:paraId="518617A7" w14:textId="4750FAED" w:rsidR="00AA06F9" w:rsidRPr="00B435E1" w:rsidRDefault="00AA06F9" w:rsidP="00B435E1">
      <w:pPr>
        <w:rPr>
          <w:b/>
          <w:bCs/>
        </w:rPr>
      </w:pPr>
      <w:r w:rsidRPr="00B435E1">
        <w:rPr>
          <w:b/>
          <w:bCs/>
        </w:rPr>
        <w:t xml:space="preserve">What records must I keep for each resident? </w:t>
      </w:r>
      <w:r w:rsidRPr="003827F5">
        <w:rPr>
          <w:rFonts w:cs="Arial"/>
        </w:rPr>
        <w:t>See</w:t>
      </w:r>
      <w:r w:rsidRPr="006051A6">
        <w:rPr>
          <w:rFonts w:cs="Arial"/>
          <w:smallCaps/>
        </w:rPr>
        <w:t xml:space="preserve"> WAC </w:t>
      </w:r>
      <w:hyperlink r:id="rId15" w:anchor="388-76-10430" w:history="1">
        <w:r w:rsidR="00B435E1" w:rsidRPr="00B435E1">
          <w:rPr>
            <w:rStyle w:val="Hyperlink"/>
            <w:rFonts w:cs="Arial"/>
            <w:smallCaps/>
          </w:rPr>
          <w:t>388-76-10430</w:t>
        </w:r>
      </w:hyperlink>
      <w:r w:rsidR="00B435E1">
        <w:rPr>
          <w:rFonts w:cs="Arial"/>
          <w:smallCaps/>
        </w:rPr>
        <w:t xml:space="preserve"> </w:t>
      </w:r>
      <w:r w:rsidRPr="003827F5">
        <w:rPr>
          <w:rFonts w:cs="Arial"/>
        </w:rPr>
        <w:t>and</w:t>
      </w:r>
      <w:r w:rsidRPr="006051A6">
        <w:rPr>
          <w:rFonts w:cs="Arial"/>
          <w:smallCaps/>
        </w:rPr>
        <w:t xml:space="preserve"> WAC </w:t>
      </w:r>
      <w:hyperlink r:id="rId16" w:history="1">
        <w:r w:rsidR="00B435E1" w:rsidRPr="00B435E1">
          <w:rPr>
            <w:rStyle w:val="Hyperlink"/>
            <w:rFonts w:cs="Arial"/>
          </w:rPr>
          <w:t>388-76-10475</w:t>
        </w:r>
      </w:hyperlink>
      <w:r w:rsidR="00B435E1">
        <w:rPr>
          <w:rFonts w:cs="Arial"/>
        </w:rPr>
        <w:t>.</w:t>
      </w:r>
    </w:p>
    <w:p w14:paraId="20463BA9" w14:textId="77777777" w:rsidR="00AA06F9" w:rsidRPr="00BC3A72" w:rsidRDefault="00AA06F9" w:rsidP="00AA06F9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>You must keep records for each resident that includes a current list of prescribed and over-the-counter medications; and</w:t>
      </w:r>
    </w:p>
    <w:p w14:paraId="416B7BA4" w14:textId="77777777" w:rsidR="00AA06F9" w:rsidRPr="00BC3A72" w:rsidRDefault="00AA06F9" w:rsidP="00AA06F9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BC3A72">
        <w:rPr>
          <w:rFonts w:cs="Arial"/>
        </w:rPr>
        <w:t>A current and up-to-date medication log that tells how medication was provided to the resident.</w:t>
      </w:r>
    </w:p>
    <w:p w14:paraId="537313B9" w14:textId="77777777" w:rsidR="00AA06F9" w:rsidRPr="001E1A9A" w:rsidRDefault="00AA06F9" w:rsidP="00AA06F9">
      <w:pPr>
        <w:spacing w:before="40"/>
        <w:rPr>
          <w:rFonts w:cs="Arial"/>
        </w:rPr>
      </w:pPr>
    </w:p>
    <w:p w14:paraId="2A1DE092" w14:textId="3D68E85B" w:rsidR="00AA06F9" w:rsidRPr="006051A6" w:rsidRDefault="00AA06F9" w:rsidP="00B435E1">
      <w:pPr>
        <w:rPr>
          <w:rFonts w:cs="Arial"/>
          <w:smallCaps/>
        </w:rPr>
      </w:pPr>
      <w:r w:rsidRPr="00B435E1">
        <w:rPr>
          <w:b/>
          <w:bCs/>
        </w:rPr>
        <w:t>For further information about medication requirements</w:t>
      </w:r>
      <w:r w:rsidR="00B435E1">
        <w:rPr>
          <w:b/>
          <w:bCs/>
        </w:rPr>
        <w:t xml:space="preserve">: </w:t>
      </w:r>
      <w:r w:rsidR="00B435E1" w:rsidRPr="00B435E1">
        <w:t>S</w:t>
      </w:r>
      <w:r w:rsidRPr="003827F5">
        <w:rPr>
          <w:rFonts w:cs="Arial"/>
        </w:rPr>
        <w:t>ee</w:t>
      </w:r>
      <w:r w:rsidRPr="006051A6">
        <w:rPr>
          <w:rFonts w:cs="Arial"/>
          <w:smallCaps/>
        </w:rPr>
        <w:t xml:space="preserve"> WAC </w:t>
      </w:r>
      <w:hyperlink r:id="rId17" w:anchor="388-76-10430" w:history="1">
        <w:r w:rsidR="00B435E1" w:rsidRPr="00B435E1">
          <w:rPr>
            <w:rStyle w:val="Hyperlink"/>
            <w:rFonts w:cs="Arial"/>
            <w:smallCaps/>
          </w:rPr>
          <w:t>388-76-10430</w:t>
        </w:r>
      </w:hyperlink>
      <w:r w:rsidR="00B435E1">
        <w:rPr>
          <w:rFonts w:cs="Arial"/>
          <w:smallCaps/>
        </w:rPr>
        <w:t xml:space="preserve"> </w:t>
      </w:r>
      <w:r w:rsidRPr="003827F5">
        <w:rPr>
          <w:rFonts w:cs="Arial"/>
        </w:rPr>
        <w:t>through</w:t>
      </w:r>
      <w:r w:rsidRPr="006051A6">
        <w:rPr>
          <w:rFonts w:cs="Arial"/>
          <w:smallCaps/>
        </w:rPr>
        <w:t xml:space="preserve"> WAC 388-76-10490  </w:t>
      </w:r>
    </w:p>
    <w:p w14:paraId="573D0A2B" w14:textId="77777777" w:rsidR="00AA06F9" w:rsidRPr="00B435E1" w:rsidRDefault="00AA06F9" w:rsidP="00B435E1">
      <w:pPr>
        <w:rPr>
          <w:b/>
          <w:bCs/>
        </w:rPr>
      </w:pPr>
      <w:r w:rsidRPr="00B435E1">
        <w:rPr>
          <w:b/>
          <w:bCs/>
        </w:rPr>
        <w:t xml:space="preserve">For information about nurse delegation </w:t>
      </w:r>
    </w:p>
    <w:p w14:paraId="5BBC03C0" w14:textId="1E82AA49" w:rsidR="00AA06F9" w:rsidRPr="006051A6" w:rsidRDefault="00AA06F9" w:rsidP="00AA06F9">
      <w:pPr>
        <w:spacing w:before="120"/>
        <w:ind w:left="720" w:right="-547" w:hanging="360"/>
        <w:rPr>
          <w:rFonts w:cs="Arial"/>
          <w:smallCaps/>
        </w:rPr>
      </w:pPr>
      <w:r w:rsidRPr="003827F5">
        <w:rPr>
          <w:rFonts w:cs="Arial"/>
        </w:rPr>
        <w:t>See</w:t>
      </w:r>
      <w:r w:rsidRPr="006051A6">
        <w:rPr>
          <w:rFonts w:cs="Arial"/>
          <w:smallCaps/>
        </w:rPr>
        <w:t xml:space="preserve"> WAC </w:t>
      </w:r>
      <w:hyperlink r:id="rId18" w:anchor="246-840-910" w:history="1">
        <w:r w:rsidRPr="00B435E1">
          <w:rPr>
            <w:rStyle w:val="Hyperlink"/>
            <w:rFonts w:cs="Arial"/>
            <w:smallCaps/>
          </w:rPr>
          <w:t>246-840-910</w:t>
        </w:r>
      </w:hyperlink>
      <w:r w:rsidRPr="006051A6">
        <w:rPr>
          <w:rFonts w:cs="Arial"/>
          <w:smallCaps/>
        </w:rPr>
        <w:t xml:space="preserve"> </w:t>
      </w:r>
      <w:r w:rsidRPr="003827F5">
        <w:rPr>
          <w:rFonts w:cs="Arial"/>
        </w:rPr>
        <w:t>through</w:t>
      </w:r>
      <w:r w:rsidRPr="006051A6">
        <w:rPr>
          <w:rFonts w:cs="Arial"/>
          <w:smallCaps/>
        </w:rPr>
        <w:t xml:space="preserve"> WAC 246-840-970</w:t>
      </w:r>
    </w:p>
    <w:p w14:paraId="1AD0FCD4" w14:textId="77777777" w:rsidR="00B16916" w:rsidRPr="0085527F" w:rsidRDefault="00B16916" w:rsidP="00B16916">
      <w:pPr>
        <w:rPr>
          <w:rFonts w:cs="Arial"/>
          <w:sz w:val="20"/>
          <w:szCs w:val="20"/>
        </w:rPr>
      </w:pPr>
    </w:p>
    <w:p w14:paraId="61C36D3B" w14:textId="7B58C9EE" w:rsidR="007617BF" w:rsidRPr="007617BF" w:rsidRDefault="00387621" w:rsidP="00475AB3">
      <w:pPr>
        <w:rPr>
          <w:rFonts w:asciiTheme="minorHAnsi" w:hAnsiTheme="minorHAnsi" w:cstheme="minorHAnsi"/>
          <w:b/>
          <w:smallCaps/>
          <w:color w:val="0070C0"/>
          <w:sz w:val="32"/>
          <w:szCs w:val="32"/>
        </w:rPr>
      </w:pPr>
      <w:r w:rsidRPr="003A6F39">
        <w:rPr>
          <w:rFonts w:asciiTheme="minorHAnsi" w:hAnsiTheme="minorHAnsi" w:cstheme="minorHAnsi"/>
          <w:i/>
          <w:iCs/>
          <w:szCs w:val="24"/>
        </w:rPr>
        <w:t xml:space="preserve">(Updated </w:t>
      </w:r>
      <w:r w:rsidR="00AC6896" w:rsidRPr="003A6F39">
        <w:rPr>
          <w:rFonts w:asciiTheme="minorHAnsi" w:hAnsiTheme="minorHAnsi" w:cstheme="minorHAnsi"/>
          <w:i/>
          <w:iCs/>
          <w:szCs w:val="24"/>
        </w:rPr>
        <w:t>October</w:t>
      </w:r>
      <w:r w:rsidRPr="003A6F39">
        <w:rPr>
          <w:rFonts w:asciiTheme="minorHAnsi" w:hAnsiTheme="minorHAnsi" w:cstheme="minorHAnsi"/>
          <w:i/>
          <w:iCs/>
          <w:szCs w:val="24"/>
        </w:rPr>
        <w:t>, 2021)</w:t>
      </w:r>
      <w:r w:rsidRPr="003A6F39">
        <w:rPr>
          <w:rFonts w:asciiTheme="minorHAnsi" w:hAnsiTheme="minorHAnsi" w:cstheme="minorHAnsi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9"/>
      <w:footerReference w:type="default" r:id="rId20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5AEF"/>
    <w:multiLevelType w:val="hybridMultilevel"/>
    <w:tmpl w:val="2D267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0698"/>
    <w:multiLevelType w:val="hybridMultilevel"/>
    <w:tmpl w:val="6C5A4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A630B2C"/>
    <w:multiLevelType w:val="hybridMultilevel"/>
    <w:tmpl w:val="6B529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657B9"/>
    <w:multiLevelType w:val="hybridMultilevel"/>
    <w:tmpl w:val="1F962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C134D3"/>
    <w:multiLevelType w:val="hybridMultilevel"/>
    <w:tmpl w:val="D54EA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72CB9"/>
    <w:multiLevelType w:val="hybridMultilevel"/>
    <w:tmpl w:val="0C4C1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43305"/>
    <w:multiLevelType w:val="hybridMultilevel"/>
    <w:tmpl w:val="014AB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05492"/>
    <w:multiLevelType w:val="hybridMultilevel"/>
    <w:tmpl w:val="6DFC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DA78A5"/>
    <w:multiLevelType w:val="hybridMultilevel"/>
    <w:tmpl w:val="2F0E9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7"/>
  </w:num>
  <w:num w:numId="4">
    <w:abstractNumId w:val="5"/>
  </w:num>
  <w:num w:numId="5">
    <w:abstractNumId w:val="9"/>
  </w:num>
  <w:num w:numId="6">
    <w:abstractNumId w:val="11"/>
  </w:num>
  <w:num w:numId="7">
    <w:abstractNumId w:val="22"/>
  </w:num>
  <w:num w:numId="8">
    <w:abstractNumId w:val="1"/>
  </w:num>
  <w:num w:numId="9">
    <w:abstractNumId w:val="4"/>
  </w:num>
  <w:num w:numId="10">
    <w:abstractNumId w:val="20"/>
  </w:num>
  <w:num w:numId="11">
    <w:abstractNumId w:val="28"/>
  </w:num>
  <w:num w:numId="12">
    <w:abstractNumId w:val="2"/>
  </w:num>
  <w:num w:numId="13">
    <w:abstractNumId w:val="18"/>
  </w:num>
  <w:num w:numId="14">
    <w:abstractNumId w:val="19"/>
  </w:num>
  <w:num w:numId="15">
    <w:abstractNumId w:val="21"/>
  </w:num>
  <w:num w:numId="16">
    <w:abstractNumId w:val="7"/>
  </w:num>
  <w:num w:numId="17">
    <w:abstractNumId w:val="15"/>
  </w:num>
  <w:num w:numId="18">
    <w:abstractNumId w:val="23"/>
  </w:num>
  <w:num w:numId="19">
    <w:abstractNumId w:val="0"/>
  </w:num>
  <w:num w:numId="20">
    <w:abstractNumId w:val="10"/>
  </w:num>
  <w:num w:numId="21">
    <w:abstractNumId w:val="26"/>
  </w:num>
  <w:num w:numId="22">
    <w:abstractNumId w:val="16"/>
  </w:num>
  <w:num w:numId="23">
    <w:abstractNumId w:val="17"/>
  </w:num>
  <w:num w:numId="24">
    <w:abstractNumId w:val="8"/>
  </w:num>
  <w:num w:numId="25">
    <w:abstractNumId w:val="29"/>
  </w:num>
  <w:num w:numId="26">
    <w:abstractNumId w:val="25"/>
  </w:num>
  <w:num w:numId="27">
    <w:abstractNumId w:val="6"/>
  </w:num>
  <w:num w:numId="28">
    <w:abstractNumId w:val="14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A1E12"/>
    <w:rsid w:val="000F7285"/>
    <w:rsid w:val="00135CA3"/>
    <w:rsid w:val="00216FD8"/>
    <w:rsid w:val="002A1AE9"/>
    <w:rsid w:val="002E41A9"/>
    <w:rsid w:val="00336E2C"/>
    <w:rsid w:val="00380163"/>
    <w:rsid w:val="00387621"/>
    <w:rsid w:val="003A6F39"/>
    <w:rsid w:val="003B6960"/>
    <w:rsid w:val="003C1AB1"/>
    <w:rsid w:val="003D065A"/>
    <w:rsid w:val="003D263E"/>
    <w:rsid w:val="00451375"/>
    <w:rsid w:val="00471AFC"/>
    <w:rsid w:val="00475AB3"/>
    <w:rsid w:val="00493043"/>
    <w:rsid w:val="004A19A7"/>
    <w:rsid w:val="00524A12"/>
    <w:rsid w:val="0056716A"/>
    <w:rsid w:val="005C2EB5"/>
    <w:rsid w:val="005E48F1"/>
    <w:rsid w:val="005F11AA"/>
    <w:rsid w:val="00640533"/>
    <w:rsid w:val="0066741A"/>
    <w:rsid w:val="006A1598"/>
    <w:rsid w:val="006C1CE7"/>
    <w:rsid w:val="006C3AB1"/>
    <w:rsid w:val="007402FB"/>
    <w:rsid w:val="007617BF"/>
    <w:rsid w:val="007D3452"/>
    <w:rsid w:val="007F79DB"/>
    <w:rsid w:val="00822301"/>
    <w:rsid w:val="0084400E"/>
    <w:rsid w:val="008B7B00"/>
    <w:rsid w:val="00921228"/>
    <w:rsid w:val="00934236"/>
    <w:rsid w:val="00996548"/>
    <w:rsid w:val="009A29B8"/>
    <w:rsid w:val="00A04A8C"/>
    <w:rsid w:val="00A16A87"/>
    <w:rsid w:val="00A35570"/>
    <w:rsid w:val="00AA04CF"/>
    <w:rsid w:val="00AA06F9"/>
    <w:rsid w:val="00AB43AD"/>
    <w:rsid w:val="00AC6896"/>
    <w:rsid w:val="00B16916"/>
    <w:rsid w:val="00B435E1"/>
    <w:rsid w:val="00C161F9"/>
    <w:rsid w:val="00C46609"/>
    <w:rsid w:val="00CB6E15"/>
    <w:rsid w:val="00CD4413"/>
    <w:rsid w:val="00D421FC"/>
    <w:rsid w:val="00D504F7"/>
    <w:rsid w:val="00D73707"/>
    <w:rsid w:val="00DF6C55"/>
    <w:rsid w:val="00E223D0"/>
    <w:rsid w:val="00E33B8F"/>
    <w:rsid w:val="00E6044E"/>
    <w:rsid w:val="00E92F49"/>
    <w:rsid w:val="00EB5555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.leg.wa.gov/wac/default.aspx?cite=388-76&amp;full=true" TargetMode="External"/><Relationship Id="rId18" Type="http://schemas.openxmlformats.org/officeDocument/2006/relationships/hyperlink" Target="https://app.leg.wa.gov/wac/default.aspx?cite=246-840&amp;full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17" Type="http://schemas.openxmlformats.org/officeDocument/2006/relationships/hyperlink" Target="https://app.leg.wa.gov/wac/default.aspx?cite=388-76&amp;full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dshsapoly2411c\DATA1\RCS%20Policy%20Unit\Staff%20Folders\Libby\Information%20sheet%20updates\See%20WAC%20388-76-10475.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See%20WAC%20388-76-10475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388-76&amp;full=true" TargetMode="External"/><Relationship Id="rId10" Type="http://schemas.openxmlformats.org/officeDocument/2006/relationships/hyperlink" Target="https://app.leg.wa.gov/wac/default.aspx?cite=388-76&amp;full=tru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yperlink" Target="https://app.leg.wa.gov/wac/default.aspx?cite=388-76&amp;full=tru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29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2021-10-02T00:47:00Z</dcterms:created>
  <dcterms:modified xsi:type="dcterms:W3CDTF">2021-10-02T01:16:00Z</dcterms:modified>
</cp:coreProperties>
</file>