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340FDF40" w:rsidR="007617BF" w:rsidRPr="007A62B5" w:rsidRDefault="00611A0D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 xml:space="preserve">Resident </w:t>
      </w:r>
      <w:r w:rsidR="00FC0DB1">
        <w:rPr>
          <w:rStyle w:val="Heading1Char"/>
          <w:rFonts w:cs="Arial"/>
          <w:b w:val="0"/>
          <w:bCs/>
          <w:color w:val="0070C0"/>
          <w:sz w:val="28"/>
          <w:szCs w:val="28"/>
        </w:rPr>
        <w:t>R</w:t>
      </w:r>
      <w:r w:rsidR="00D82E1C">
        <w:rPr>
          <w:rStyle w:val="Heading1Char"/>
          <w:rFonts w:cs="Arial"/>
          <w:b w:val="0"/>
          <w:bCs/>
          <w:color w:val="0070C0"/>
          <w:sz w:val="28"/>
          <w:szCs w:val="28"/>
        </w:rPr>
        <w:t>ights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6489F957" w14:textId="77777777" w:rsidR="00E36B81" w:rsidRPr="00BF6D87" w:rsidRDefault="00E36B81" w:rsidP="00E36B81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6CA364CF" w14:textId="77777777" w:rsidR="00D82E1C" w:rsidRPr="00BD3F76" w:rsidRDefault="00D82E1C" w:rsidP="00D82E1C">
      <w:pPr>
        <w:rPr>
          <w:rFonts w:ascii="Arial Bold" w:hAnsi="Arial Bold" w:cs="Arial"/>
          <w:b/>
          <w:szCs w:val="24"/>
        </w:rPr>
      </w:pPr>
      <w:r w:rsidRPr="00BD3F76">
        <w:rPr>
          <w:rFonts w:ascii="Arial Bold" w:hAnsi="Arial Bold" w:cs="Arial"/>
          <w:b/>
          <w:szCs w:val="24"/>
        </w:rPr>
        <w:t xml:space="preserve">What rights do residents have in the home? </w:t>
      </w:r>
    </w:p>
    <w:p w14:paraId="535F55F4" w14:textId="53EFBD92" w:rsidR="00D82E1C" w:rsidRPr="00BD3F76" w:rsidRDefault="00D82E1C" w:rsidP="00D82E1C">
      <w:pPr>
        <w:spacing w:before="120" w:after="40"/>
        <w:ind w:firstLine="720"/>
        <w:rPr>
          <w:rFonts w:cs="Arial"/>
          <w:szCs w:val="24"/>
        </w:rPr>
      </w:pPr>
      <w:r w:rsidRPr="00BD3F76">
        <w:rPr>
          <w:rFonts w:cs="Arial"/>
          <w:szCs w:val="24"/>
        </w:rPr>
        <w:t xml:space="preserve">See </w:t>
      </w:r>
      <w:hyperlink r:id="rId9" w:anchor="388-76-10510" w:history="1">
        <w:r w:rsidRPr="00BD3F76">
          <w:rPr>
            <w:rStyle w:val="Hyperlink"/>
            <w:rFonts w:cs="Arial"/>
            <w:szCs w:val="24"/>
          </w:rPr>
          <w:t>WAC 388-76-10510</w:t>
        </w:r>
      </w:hyperlink>
    </w:p>
    <w:p w14:paraId="0B715C1E" w14:textId="77777777" w:rsidR="00D82E1C" w:rsidRPr="00BD3F76" w:rsidRDefault="00D82E1C" w:rsidP="00D82E1C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 w:rsidRPr="00BD3F76">
        <w:rPr>
          <w:rFonts w:cs="Arial"/>
          <w:szCs w:val="24"/>
        </w:rPr>
        <w:t>Some basic rights for residents include:</w:t>
      </w:r>
    </w:p>
    <w:p w14:paraId="16E7A2A6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To receive appropriate care and services;</w:t>
      </w:r>
    </w:p>
    <w:p w14:paraId="4F57732D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To be treated with courtesy;</w:t>
      </w:r>
    </w:p>
    <w:p w14:paraId="68EA5A04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To continue to enjoy basic civil and legal rights (such as privacy and confidentiality in written and telephone communications, and in expressing their grievances);</w:t>
      </w:r>
    </w:p>
    <w:p w14:paraId="018C2F09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To exercise reasonable control over life decisions (such as choice of food, participation in activities, bedtime, access to visitors, and privacy);</w:t>
      </w:r>
    </w:p>
    <w:p w14:paraId="79F52F1A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The opportunity to engage in religious, political, civic, recreational, and other social activities of their choice;</w:t>
      </w:r>
    </w:p>
    <w:p w14:paraId="4E1CF98C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To be cared for in a manner that promotes the resident’s present qualify of life including a safe, clean, comfortable, and homelike environment; and</w:t>
      </w:r>
    </w:p>
    <w:p w14:paraId="489E540A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 w:right="-270"/>
        <w:rPr>
          <w:rFonts w:cs="Arial"/>
          <w:spacing w:val="-4"/>
          <w:szCs w:val="24"/>
        </w:rPr>
      </w:pPr>
      <w:r w:rsidRPr="00BD3F76">
        <w:rPr>
          <w:rFonts w:cs="Arial"/>
          <w:spacing w:val="-4"/>
          <w:szCs w:val="24"/>
        </w:rPr>
        <w:t>To allow the resident to use his or her personal belongings to the extent possible.</w:t>
      </w:r>
    </w:p>
    <w:p w14:paraId="7D0AD7D9" w14:textId="77777777" w:rsidR="00D82E1C" w:rsidRPr="00BD3F76" w:rsidRDefault="00D82E1C" w:rsidP="00D82E1C">
      <w:pPr>
        <w:rPr>
          <w:rFonts w:cs="Arial"/>
          <w:szCs w:val="24"/>
        </w:rPr>
      </w:pPr>
    </w:p>
    <w:p w14:paraId="2407A655" w14:textId="77777777" w:rsidR="00D82E1C" w:rsidRPr="00BD3F76" w:rsidRDefault="00D82E1C" w:rsidP="00D82E1C">
      <w:pPr>
        <w:rPr>
          <w:rFonts w:ascii="Arial Bold" w:hAnsi="Arial Bold" w:cs="Arial"/>
          <w:b/>
          <w:szCs w:val="24"/>
        </w:rPr>
      </w:pPr>
      <w:r w:rsidRPr="00BD3F76">
        <w:rPr>
          <w:rFonts w:ascii="Arial Bold" w:hAnsi="Arial Bold" w:cs="Arial"/>
          <w:b/>
          <w:szCs w:val="24"/>
        </w:rPr>
        <w:t>What types of privacy do residents need in the home?</w:t>
      </w:r>
    </w:p>
    <w:p w14:paraId="5484C027" w14:textId="15EA668C" w:rsidR="00D82E1C" w:rsidRPr="00BD3F76" w:rsidRDefault="00D82E1C" w:rsidP="00D82E1C">
      <w:pPr>
        <w:spacing w:before="120" w:after="40"/>
        <w:ind w:firstLine="720"/>
        <w:rPr>
          <w:rFonts w:cs="Arial"/>
          <w:szCs w:val="24"/>
        </w:rPr>
      </w:pPr>
      <w:r w:rsidRPr="00BD3F76">
        <w:rPr>
          <w:rFonts w:cs="Arial"/>
          <w:szCs w:val="24"/>
        </w:rPr>
        <w:t xml:space="preserve">See </w:t>
      </w:r>
      <w:hyperlink r:id="rId10" w:anchor="388-76-10575" w:history="1">
        <w:r w:rsidRPr="00BD3F76">
          <w:rPr>
            <w:rStyle w:val="Hyperlink"/>
            <w:rFonts w:cs="Arial"/>
            <w:szCs w:val="24"/>
          </w:rPr>
          <w:t>WAC 388-76-10575</w:t>
        </w:r>
      </w:hyperlink>
    </w:p>
    <w:p w14:paraId="03CC77A1" w14:textId="77777777" w:rsidR="00D82E1C" w:rsidRPr="00BD3F76" w:rsidRDefault="00D82E1C" w:rsidP="00D82E1C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 w:rsidRPr="00BD3F76">
        <w:rPr>
          <w:rFonts w:cs="Arial"/>
          <w:szCs w:val="24"/>
        </w:rPr>
        <w:t>Residents have the right to personal privacy including, but not limited to:</w:t>
      </w:r>
    </w:p>
    <w:p w14:paraId="56161EB3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Medical treatment;</w:t>
      </w:r>
    </w:p>
    <w:p w14:paraId="29A4903F" w14:textId="1082752B" w:rsidR="00D82E1C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Clinical or resident records;</w:t>
      </w:r>
    </w:p>
    <w:p w14:paraId="77D5B335" w14:textId="5C48E81F" w:rsidR="00E36B81" w:rsidRDefault="00E36B81" w:rsidP="00E36B81">
      <w:pPr>
        <w:spacing w:before="120" w:after="0" w:line="240" w:lineRule="auto"/>
        <w:rPr>
          <w:rFonts w:cs="Arial"/>
          <w:szCs w:val="24"/>
        </w:rPr>
      </w:pPr>
    </w:p>
    <w:p w14:paraId="73FDCE71" w14:textId="6AE5B571" w:rsidR="00E36B81" w:rsidRDefault="00E36B81" w:rsidP="00E36B81">
      <w:pPr>
        <w:spacing w:before="120" w:after="0" w:line="240" w:lineRule="auto"/>
        <w:rPr>
          <w:rFonts w:cs="Arial"/>
          <w:szCs w:val="24"/>
        </w:rPr>
      </w:pPr>
    </w:p>
    <w:p w14:paraId="096E9B94" w14:textId="7353230D" w:rsidR="00E36B81" w:rsidRDefault="00E36B81" w:rsidP="00E36B81">
      <w:pPr>
        <w:spacing w:before="120" w:after="0" w:line="240" w:lineRule="auto"/>
        <w:rPr>
          <w:rFonts w:cs="Arial"/>
          <w:szCs w:val="24"/>
        </w:rPr>
      </w:pPr>
    </w:p>
    <w:p w14:paraId="5774A2F5" w14:textId="77777777" w:rsidR="00E36B81" w:rsidRPr="00BD3F76" w:rsidRDefault="00E36B81" w:rsidP="00E36B81">
      <w:pPr>
        <w:spacing w:before="120" w:after="0" w:line="240" w:lineRule="auto"/>
        <w:rPr>
          <w:rFonts w:cs="Arial"/>
          <w:szCs w:val="24"/>
        </w:rPr>
      </w:pPr>
    </w:p>
    <w:p w14:paraId="293E84D9" w14:textId="77777777" w:rsidR="00D82E1C" w:rsidRPr="00BD3F76" w:rsidRDefault="00D82E1C" w:rsidP="00D82E1C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BD3F76">
        <w:rPr>
          <w:rFonts w:cs="Arial"/>
          <w:szCs w:val="24"/>
        </w:rPr>
        <w:t>Personal care (such as, dressing, bathing, combing hair, and incontinence care); and</w:t>
      </w:r>
    </w:p>
    <w:p w14:paraId="555A97A6" w14:textId="1C420BCA" w:rsidR="00BD3F76" w:rsidRPr="00E36B81" w:rsidRDefault="00D82E1C" w:rsidP="00BD3F76">
      <w:pPr>
        <w:numPr>
          <w:ilvl w:val="1"/>
          <w:numId w:val="37"/>
        </w:numPr>
        <w:tabs>
          <w:tab w:val="clear" w:pos="1440"/>
          <w:tab w:val="num" w:pos="1080"/>
        </w:tabs>
        <w:spacing w:before="120" w:after="0" w:line="240" w:lineRule="auto"/>
        <w:ind w:left="1080"/>
        <w:rPr>
          <w:rFonts w:cs="Arial"/>
          <w:szCs w:val="24"/>
        </w:rPr>
      </w:pPr>
      <w:r w:rsidRPr="00E36B81">
        <w:rPr>
          <w:rFonts w:cs="Arial"/>
          <w:szCs w:val="24"/>
        </w:rPr>
        <w:t>Visits, meetings, and phone calls with family, friends, and resident groups.</w:t>
      </w:r>
    </w:p>
    <w:p w14:paraId="542E7918" w14:textId="0C730806" w:rsidR="00BD3F76" w:rsidRPr="00BD3F76" w:rsidRDefault="00BD3F76" w:rsidP="00BD3F76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The adult family home must also ensure resident’s have privacy in communications, including sending and receiving mail and access to a telephone that allows for confidential calls per </w:t>
      </w:r>
      <w:hyperlink r:id="rId11" w:anchor="388-76-10600" w:history="1">
        <w:r w:rsidRPr="00BD3F76">
          <w:rPr>
            <w:rStyle w:val="Hyperlink"/>
            <w:rFonts w:cs="Arial"/>
            <w:szCs w:val="24"/>
          </w:rPr>
          <w:t>WAC 388-76-10600</w:t>
        </w:r>
      </w:hyperlink>
      <w:r>
        <w:rPr>
          <w:rFonts w:cs="Arial"/>
          <w:szCs w:val="24"/>
        </w:rPr>
        <w:t>.</w:t>
      </w:r>
    </w:p>
    <w:p w14:paraId="3AAC92D7" w14:textId="77777777" w:rsidR="00D82E1C" w:rsidRPr="00BD3F76" w:rsidRDefault="00D82E1C" w:rsidP="00D82E1C">
      <w:pPr>
        <w:rPr>
          <w:rFonts w:cs="Arial"/>
          <w:szCs w:val="24"/>
        </w:rPr>
      </w:pPr>
    </w:p>
    <w:p w14:paraId="098A1607" w14:textId="31555688" w:rsidR="00D82E1C" w:rsidRPr="00BD3F76" w:rsidRDefault="00D82E1C" w:rsidP="00D82E1C">
      <w:pPr>
        <w:rPr>
          <w:rFonts w:ascii="Arial Bold" w:hAnsi="Arial Bold" w:cs="Arial"/>
          <w:b/>
          <w:szCs w:val="24"/>
        </w:rPr>
      </w:pPr>
      <w:r w:rsidRPr="00BD3F76">
        <w:rPr>
          <w:rFonts w:ascii="Arial Bold" w:hAnsi="Arial Bold" w:cs="Arial"/>
          <w:b/>
          <w:szCs w:val="24"/>
        </w:rPr>
        <w:t>What are some examples of other rights residents have in the home?</w:t>
      </w:r>
    </w:p>
    <w:p w14:paraId="117BCECE" w14:textId="567D7AA2" w:rsidR="00D82E1C" w:rsidRPr="00BD3F76" w:rsidRDefault="00D82E1C" w:rsidP="00D82E1C">
      <w:pPr>
        <w:spacing w:before="120" w:after="40"/>
        <w:ind w:firstLine="720"/>
        <w:rPr>
          <w:rFonts w:cs="Arial"/>
          <w:szCs w:val="24"/>
        </w:rPr>
      </w:pPr>
      <w:r w:rsidRPr="00BD3F76">
        <w:rPr>
          <w:rFonts w:cs="Arial"/>
          <w:szCs w:val="24"/>
        </w:rPr>
        <w:t xml:space="preserve">See </w:t>
      </w:r>
      <w:hyperlink r:id="rId12" w:anchor="388-76-10580" w:history="1">
        <w:r w:rsidRPr="00821F76">
          <w:rPr>
            <w:rStyle w:val="Hyperlink"/>
            <w:rFonts w:cs="Arial"/>
            <w:szCs w:val="24"/>
          </w:rPr>
          <w:t>WAC 388-76-10580</w:t>
        </w:r>
      </w:hyperlink>
      <w:r w:rsidRPr="00BD3F76">
        <w:rPr>
          <w:rFonts w:cs="Arial"/>
          <w:szCs w:val="24"/>
        </w:rPr>
        <w:t xml:space="preserve">, </w:t>
      </w:r>
      <w:hyperlink r:id="rId13" w:anchor="388-76-10590" w:history="1">
        <w:r w:rsidRPr="00821F76">
          <w:rPr>
            <w:rStyle w:val="Hyperlink"/>
            <w:rFonts w:cs="Arial"/>
            <w:szCs w:val="24"/>
          </w:rPr>
          <w:t>WAC 388-76-10590</w:t>
        </w:r>
      </w:hyperlink>
      <w:r w:rsidRPr="00BD3F76">
        <w:rPr>
          <w:rFonts w:cs="Arial"/>
          <w:szCs w:val="24"/>
        </w:rPr>
        <w:t xml:space="preserve">, and </w:t>
      </w:r>
      <w:hyperlink r:id="rId14" w:anchor="388-76-10645" w:history="1">
        <w:r w:rsidRPr="00821F76">
          <w:rPr>
            <w:rStyle w:val="Hyperlink"/>
            <w:rFonts w:cs="Arial"/>
            <w:szCs w:val="24"/>
          </w:rPr>
          <w:t>WAC 388-76-10645</w:t>
        </w:r>
      </w:hyperlink>
    </w:p>
    <w:p w14:paraId="55B97A85" w14:textId="77777777" w:rsidR="00D82E1C" w:rsidRPr="00BD3F76" w:rsidRDefault="00D82E1C" w:rsidP="00D82E1C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 w:rsidRPr="00BD3F76">
        <w:rPr>
          <w:rFonts w:cs="Arial"/>
          <w:szCs w:val="24"/>
        </w:rPr>
        <w:t xml:space="preserve">The right to voice grievances, including those about care and treatment given or not given; </w:t>
      </w:r>
    </w:p>
    <w:p w14:paraId="479E174F" w14:textId="77777777" w:rsidR="00D82E1C" w:rsidRPr="00BD3F76" w:rsidRDefault="00D82E1C" w:rsidP="00D82E1C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 w:rsidRPr="00BD3F76">
        <w:rPr>
          <w:rFonts w:cs="Arial"/>
          <w:szCs w:val="24"/>
        </w:rPr>
        <w:t>The right to have access to and from resident advocates (such as the long-term care ombudsman and other visitors); and</w:t>
      </w:r>
    </w:p>
    <w:p w14:paraId="16F1071F" w14:textId="77777777" w:rsidR="00D82E1C" w:rsidRPr="00BD3F76" w:rsidRDefault="00D82E1C" w:rsidP="00D82E1C">
      <w:pPr>
        <w:numPr>
          <w:ilvl w:val="0"/>
          <w:numId w:val="37"/>
        </w:numPr>
        <w:spacing w:before="120" w:after="0" w:line="240" w:lineRule="auto"/>
        <w:rPr>
          <w:rFonts w:cs="Arial"/>
          <w:szCs w:val="24"/>
        </w:rPr>
      </w:pPr>
      <w:r w:rsidRPr="00BD3F76">
        <w:rPr>
          <w:rFonts w:cs="Arial"/>
          <w:szCs w:val="24"/>
        </w:rPr>
        <w:t>The right to be reasonably accommodated to meet his or her needs and preferences, except when the reasonable accommodation endangers others.</w:t>
      </w:r>
    </w:p>
    <w:p w14:paraId="37AAE670" w14:textId="77777777" w:rsidR="00D82E1C" w:rsidRPr="00BD3F76" w:rsidRDefault="00D82E1C" w:rsidP="00D82E1C">
      <w:pPr>
        <w:spacing w:before="40"/>
        <w:rPr>
          <w:rFonts w:cs="Arial"/>
          <w:szCs w:val="24"/>
        </w:rPr>
      </w:pPr>
    </w:p>
    <w:p w14:paraId="325716AD" w14:textId="77777777" w:rsidR="00D82E1C" w:rsidRPr="00BD3F76" w:rsidRDefault="00D82E1C" w:rsidP="00D82E1C">
      <w:pPr>
        <w:rPr>
          <w:rFonts w:ascii="Arial Bold" w:hAnsi="Arial Bold" w:cs="Arial"/>
          <w:b/>
          <w:szCs w:val="24"/>
        </w:rPr>
      </w:pPr>
      <w:r w:rsidRPr="00BD3F76">
        <w:rPr>
          <w:rFonts w:ascii="Arial Bold" w:hAnsi="Arial Bold" w:cs="Arial"/>
          <w:b/>
          <w:szCs w:val="24"/>
        </w:rPr>
        <w:t xml:space="preserve">For further information about these requirements: </w:t>
      </w:r>
    </w:p>
    <w:p w14:paraId="520DC955" w14:textId="4C81F189" w:rsidR="00D82E1C" w:rsidRPr="00BD3F76" w:rsidRDefault="00D82E1C" w:rsidP="00D82E1C">
      <w:pPr>
        <w:spacing w:before="120" w:after="40"/>
        <w:ind w:firstLine="720"/>
        <w:rPr>
          <w:rFonts w:cs="Arial"/>
          <w:szCs w:val="24"/>
        </w:rPr>
      </w:pPr>
      <w:r w:rsidRPr="00BD3F76">
        <w:rPr>
          <w:rFonts w:cs="Arial"/>
          <w:szCs w:val="24"/>
        </w:rPr>
        <w:t xml:space="preserve">See </w:t>
      </w:r>
      <w:hyperlink r:id="rId15" w:anchor="388-76-10510" w:history="1">
        <w:r w:rsidRPr="00821F76">
          <w:rPr>
            <w:rStyle w:val="Hyperlink"/>
            <w:rFonts w:cs="Arial"/>
            <w:szCs w:val="24"/>
          </w:rPr>
          <w:t>WAC 388-76-10510</w:t>
        </w:r>
      </w:hyperlink>
      <w:r w:rsidRPr="00BD3F76">
        <w:rPr>
          <w:rFonts w:cs="Arial"/>
          <w:szCs w:val="24"/>
        </w:rPr>
        <w:t xml:space="preserve"> through WAC 388-76-10645</w:t>
      </w:r>
      <w:r w:rsidR="00821F76">
        <w:rPr>
          <w:rFonts w:cs="Arial"/>
          <w:szCs w:val="24"/>
        </w:rPr>
        <w:t xml:space="preserve"> and </w:t>
      </w:r>
      <w:hyperlink r:id="rId16" w:history="1">
        <w:r w:rsidR="00821F76" w:rsidRPr="00821F76">
          <w:rPr>
            <w:rStyle w:val="Hyperlink"/>
            <w:rFonts w:cs="Arial"/>
            <w:szCs w:val="24"/>
          </w:rPr>
          <w:t>Chapter 70.129 RCW</w:t>
        </w:r>
      </w:hyperlink>
    </w:p>
    <w:p w14:paraId="1914656A" w14:textId="77777777" w:rsidR="00B83680" w:rsidRPr="00B83680" w:rsidRDefault="00B83680" w:rsidP="00214A2B">
      <w:pPr>
        <w:rPr>
          <w:rFonts w:cs="Arial"/>
          <w:i/>
          <w:iCs/>
          <w:szCs w:val="24"/>
        </w:rPr>
      </w:pPr>
    </w:p>
    <w:p w14:paraId="61C36D3B" w14:textId="611FB94B" w:rsidR="007617BF" w:rsidRPr="007A62B5" w:rsidRDefault="00387621" w:rsidP="00214A2B">
      <w:pPr>
        <w:rPr>
          <w:rFonts w:cs="Arial"/>
          <w:b/>
          <w:smallCaps/>
          <w:color w:val="0070C0"/>
          <w:szCs w:val="24"/>
        </w:rPr>
      </w:pPr>
      <w:r w:rsidRPr="007A62B5">
        <w:rPr>
          <w:rFonts w:cs="Arial"/>
          <w:i/>
          <w:iCs/>
          <w:szCs w:val="24"/>
        </w:rPr>
        <w:t xml:space="preserve">(Updated </w:t>
      </w:r>
      <w:r w:rsidR="00AC6896" w:rsidRPr="007A62B5">
        <w:rPr>
          <w:rFonts w:cs="Arial"/>
          <w:i/>
          <w:iCs/>
          <w:szCs w:val="24"/>
        </w:rPr>
        <w:t>October</w:t>
      </w:r>
      <w:r w:rsidRPr="007A62B5">
        <w:rPr>
          <w:rFonts w:cs="Arial"/>
          <w:i/>
          <w:iCs/>
          <w:szCs w:val="24"/>
        </w:rPr>
        <w:t>, 2021)</w:t>
      </w:r>
      <w:r w:rsidRPr="007A62B5">
        <w:rPr>
          <w:rFonts w:cs="Arial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7"/>
      <w:footerReference w:type="default" r:id="rId18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BE9"/>
    <w:multiLevelType w:val="hybridMultilevel"/>
    <w:tmpl w:val="B14660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9A921F0"/>
    <w:multiLevelType w:val="hybridMultilevel"/>
    <w:tmpl w:val="333003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3F0"/>
    <w:multiLevelType w:val="hybridMultilevel"/>
    <w:tmpl w:val="D3AAE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B5AC2"/>
    <w:multiLevelType w:val="hybridMultilevel"/>
    <w:tmpl w:val="5D365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B63F20"/>
    <w:multiLevelType w:val="hybridMultilevel"/>
    <w:tmpl w:val="CF383B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E72F24"/>
    <w:multiLevelType w:val="hybridMultilevel"/>
    <w:tmpl w:val="52C835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A0654"/>
    <w:multiLevelType w:val="hybridMultilevel"/>
    <w:tmpl w:val="0B32B8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976DBE"/>
    <w:multiLevelType w:val="hybridMultilevel"/>
    <w:tmpl w:val="E398C8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53DAD"/>
    <w:multiLevelType w:val="hybridMultilevel"/>
    <w:tmpl w:val="25241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0"/>
  </w:num>
  <w:num w:numId="3">
    <w:abstractNumId w:val="33"/>
  </w:num>
  <w:num w:numId="4">
    <w:abstractNumId w:val="6"/>
  </w:num>
  <w:num w:numId="5">
    <w:abstractNumId w:val="12"/>
  </w:num>
  <w:num w:numId="6">
    <w:abstractNumId w:val="14"/>
  </w:num>
  <w:num w:numId="7">
    <w:abstractNumId w:val="28"/>
  </w:num>
  <w:num w:numId="8">
    <w:abstractNumId w:val="2"/>
  </w:num>
  <w:num w:numId="9">
    <w:abstractNumId w:val="5"/>
  </w:num>
  <w:num w:numId="10">
    <w:abstractNumId w:val="25"/>
  </w:num>
  <w:num w:numId="11">
    <w:abstractNumId w:val="34"/>
  </w:num>
  <w:num w:numId="12">
    <w:abstractNumId w:val="3"/>
  </w:num>
  <w:num w:numId="13">
    <w:abstractNumId w:val="23"/>
  </w:num>
  <w:num w:numId="14">
    <w:abstractNumId w:val="24"/>
  </w:num>
  <w:num w:numId="15">
    <w:abstractNumId w:val="27"/>
  </w:num>
  <w:num w:numId="16">
    <w:abstractNumId w:val="8"/>
  </w:num>
  <w:num w:numId="17">
    <w:abstractNumId w:val="19"/>
  </w:num>
  <w:num w:numId="18">
    <w:abstractNumId w:val="29"/>
  </w:num>
  <w:num w:numId="19">
    <w:abstractNumId w:val="1"/>
  </w:num>
  <w:num w:numId="20">
    <w:abstractNumId w:val="13"/>
  </w:num>
  <w:num w:numId="21">
    <w:abstractNumId w:val="32"/>
  </w:num>
  <w:num w:numId="22">
    <w:abstractNumId w:val="26"/>
  </w:num>
  <w:num w:numId="23">
    <w:abstractNumId w:val="20"/>
  </w:num>
  <w:num w:numId="24">
    <w:abstractNumId w:val="11"/>
  </w:num>
  <w:num w:numId="25">
    <w:abstractNumId w:val="0"/>
  </w:num>
  <w:num w:numId="26">
    <w:abstractNumId w:val="35"/>
  </w:num>
  <w:num w:numId="27">
    <w:abstractNumId w:val="16"/>
  </w:num>
  <w:num w:numId="28">
    <w:abstractNumId w:val="4"/>
  </w:num>
  <w:num w:numId="29">
    <w:abstractNumId w:val="36"/>
  </w:num>
  <w:num w:numId="30">
    <w:abstractNumId w:val="22"/>
  </w:num>
  <w:num w:numId="31">
    <w:abstractNumId w:val="31"/>
  </w:num>
  <w:num w:numId="32">
    <w:abstractNumId w:val="21"/>
  </w:num>
  <w:num w:numId="33">
    <w:abstractNumId w:val="7"/>
  </w:num>
  <w:num w:numId="34">
    <w:abstractNumId w:val="10"/>
  </w:num>
  <w:num w:numId="35">
    <w:abstractNumId w:val="18"/>
  </w:num>
  <w:num w:numId="36">
    <w:abstractNumId w:val="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attachedTemplate r:id="rId1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614B6"/>
    <w:rsid w:val="000A1E12"/>
    <w:rsid w:val="000F7285"/>
    <w:rsid w:val="00135CA3"/>
    <w:rsid w:val="00186D8A"/>
    <w:rsid w:val="00214A2B"/>
    <w:rsid w:val="00216FD8"/>
    <w:rsid w:val="002A1AE9"/>
    <w:rsid w:val="002E41A9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A19A7"/>
    <w:rsid w:val="004A56B0"/>
    <w:rsid w:val="00524A12"/>
    <w:rsid w:val="0056716A"/>
    <w:rsid w:val="005E48F1"/>
    <w:rsid w:val="005F11AA"/>
    <w:rsid w:val="00611A0D"/>
    <w:rsid w:val="00640533"/>
    <w:rsid w:val="0066741A"/>
    <w:rsid w:val="00696E13"/>
    <w:rsid w:val="006A1598"/>
    <w:rsid w:val="006C1CE7"/>
    <w:rsid w:val="006C3AB1"/>
    <w:rsid w:val="007402FB"/>
    <w:rsid w:val="007617BF"/>
    <w:rsid w:val="00796681"/>
    <w:rsid w:val="007A62B5"/>
    <w:rsid w:val="007F79DB"/>
    <w:rsid w:val="008035A6"/>
    <w:rsid w:val="00821F76"/>
    <w:rsid w:val="00822301"/>
    <w:rsid w:val="0084400E"/>
    <w:rsid w:val="00852CA4"/>
    <w:rsid w:val="008B7B00"/>
    <w:rsid w:val="008F0683"/>
    <w:rsid w:val="00921228"/>
    <w:rsid w:val="00921495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83680"/>
    <w:rsid w:val="00BD3F76"/>
    <w:rsid w:val="00BF6D87"/>
    <w:rsid w:val="00C161F9"/>
    <w:rsid w:val="00C46609"/>
    <w:rsid w:val="00CB6E15"/>
    <w:rsid w:val="00CD4413"/>
    <w:rsid w:val="00D421FC"/>
    <w:rsid w:val="00D73707"/>
    <w:rsid w:val="00D82E1C"/>
    <w:rsid w:val="00DF6C55"/>
    <w:rsid w:val="00E223D0"/>
    <w:rsid w:val="00E33B8F"/>
    <w:rsid w:val="00E36B81"/>
    <w:rsid w:val="00E42CDD"/>
    <w:rsid w:val="00E6044E"/>
    <w:rsid w:val="00E764D9"/>
    <w:rsid w:val="00E92F49"/>
    <w:rsid w:val="00EB5555"/>
    <w:rsid w:val="00EC5F28"/>
    <w:rsid w:val="00F132E8"/>
    <w:rsid w:val="00F43588"/>
    <w:rsid w:val="00F865CB"/>
    <w:rsid w:val="00FA36BC"/>
    <w:rsid w:val="00FC0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.leg.wa.gov/wac/default.aspx?cite=388-76&amp;full=tru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rcw/default.aspx?cite=70.129&amp;full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wac/default.aspx?cite=388-76&amp;full=true" TargetMode="External"/><Relationship Id="rId10" Type="http://schemas.openxmlformats.org/officeDocument/2006/relationships/hyperlink" Target="https://app.leg.wa.gov/wac/default.aspx?cite=388-76&amp;full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yperlink" Target="https://app.leg.wa.gov/wac/default.aspx?cite=388-76&amp;full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52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4</cp:revision>
  <dcterms:created xsi:type="dcterms:W3CDTF">2021-10-18T20:18:00Z</dcterms:created>
  <dcterms:modified xsi:type="dcterms:W3CDTF">2021-10-18T23:08:00Z</dcterms:modified>
</cp:coreProperties>
</file>