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89FB9" w14:textId="77777777" w:rsidR="00AB43AD" w:rsidRPr="003A6F39" w:rsidRDefault="00AB43AD" w:rsidP="00AB43AD">
      <w:pPr>
        <w:pStyle w:val="Heading1"/>
        <w:rPr>
          <w:rStyle w:val="Heading1Char"/>
          <w:rFonts w:asciiTheme="minorHAnsi" w:hAnsiTheme="minorHAnsi" w:cstheme="minorHAnsi"/>
          <w:b/>
          <w:bCs/>
          <w:sz w:val="24"/>
          <w:szCs w:val="24"/>
        </w:rPr>
      </w:pPr>
    </w:p>
    <w:p w14:paraId="0CBACC72" w14:textId="77777777" w:rsidR="006A1598" w:rsidRPr="003A6F39" w:rsidRDefault="006A1598" w:rsidP="003C1AB1">
      <w:pPr>
        <w:rPr>
          <w:rFonts w:asciiTheme="minorHAnsi" w:hAnsiTheme="minorHAnsi" w:cstheme="minorHAnsi"/>
          <w:szCs w:val="24"/>
        </w:rPr>
      </w:pPr>
    </w:p>
    <w:p w14:paraId="5EB777B9" w14:textId="77777777" w:rsidR="007617BF" w:rsidRPr="007A62B5" w:rsidRDefault="007617BF" w:rsidP="007617BF">
      <w:pPr>
        <w:spacing w:after="120" w:line="240" w:lineRule="auto"/>
        <w:rPr>
          <w:rFonts w:cs="Arial"/>
          <w:b/>
          <w:smallCaps/>
          <w:color w:val="0070C0"/>
          <w:sz w:val="28"/>
          <w:szCs w:val="28"/>
        </w:rPr>
      </w:pPr>
      <w:r w:rsidRPr="007A62B5">
        <w:rPr>
          <w:rFonts w:cs="Arial"/>
          <w:b/>
          <w:smallCaps/>
          <w:color w:val="0070C0"/>
          <w:sz w:val="28"/>
          <w:szCs w:val="28"/>
        </w:rPr>
        <w:t>Adult Family Home (AFH) Information Sheet</w:t>
      </w:r>
    </w:p>
    <w:p w14:paraId="3F78DEFB" w14:textId="08FDAE14" w:rsidR="007617BF" w:rsidRPr="007A62B5" w:rsidRDefault="00A71517" w:rsidP="007617BF">
      <w:pPr>
        <w:spacing w:after="0" w:line="240" w:lineRule="auto"/>
        <w:rPr>
          <w:rStyle w:val="Heading1Char"/>
          <w:rFonts w:cs="Arial"/>
          <w:b w:val="0"/>
          <w:bCs/>
          <w:color w:val="0070C0"/>
          <w:sz w:val="28"/>
          <w:szCs w:val="28"/>
        </w:rPr>
      </w:pPr>
      <w:r>
        <w:rPr>
          <w:rStyle w:val="Heading1Char"/>
          <w:rFonts w:cs="Arial"/>
          <w:b w:val="0"/>
          <w:bCs/>
          <w:color w:val="0070C0"/>
          <w:sz w:val="28"/>
          <w:szCs w:val="28"/>
        </w:rPr>
        <w:t>Tuberculosis Screening</w:t>
      </w:r>
    </w:p>
    <w:p w14:paraId="20138455" w14:textId="77777777" w:rsidR="007617BF" w:rsidRPr="007A62B5" w:rsidRDefault="007617BF" w:rsidP="007617BF">
      <w:pPr>
        <w:spacing w:after="0" w:line="240" w:lineRule="auto"/>
        <w:ind w:right="-360"/>
        <w:rPr>
          <w:rFonts w:cs="Arial"/>
          <w:b/>
          <w:szCs w:val="24"/>
        </w:rPr>
      </w:pPr>
    </w:p>
    <w:p w14:paraId="0B08BCD9" w14:textId="77777777" w:rsidR="002E6126" w:rsidRPr="00A010B9" w:rsidRDefault="002E6126" w:rsidP="002E6126">
      <w:pPr>
        <w:rPr>
          <w:rFonts w:cs="Arial"/>
          <w:b/>
          <w:bCs/>
          <w:szCs w:val="24"/>
        </w:rPr>
      </w:pPr>
      <w:r w:rsidRPr="00A010B9">
        <w:rPr>
          <w:rFonts w:cs="Arial"/>
          <w:b/>
          <w:bCs/>
          <w:szCs w:val="24"/>
        </w:rPr>
        <w:t xml:space="preserve">Review </w:t>
      </w:r>
      <w:hyperlink r:id="rId8" w:history="1">
        <w:r w:rsidRPr="00A010B9">
          <w:rPr>
            <w:rStyle w:val="Hyperlink"/>
            <w:rFonts w:cs="Arial"/>
            <w:b/>
            <w:bCs/>
            <w:szCs w:val="24"/>
          </w:rPr>
          <w:t>Chapter 388-76 WAC</w:t>
        </w:r>
      </w:hyperlink>
      <w:r w:rsidRPr="00A010B9">
        <w:rPr>
          <w:rFonts w:cs="Arial"/>
          <w:b/>
          <w:bCs/>
          <w:szCs w:val="24"/>
        </w:rPr>
        <w:t xml:space="preserve"> for current licensing requirements</w:t>
      </w:r>
    </w:p>
    <w:p w14:paraId="170C3102" w14:textId="77777777" w:rsidR="00A476A6" w:rsidRPr="00A71517" w:rsidRDefault="00A476A6" w:rsidP="00A476A6">
      <w:pPr>
        <w:rPr>
          <w:rFonts w:cs="Arial"/>
          <w:b/>
          <w:bCs/>
          <w:szCs w:val="24"/>
        </w:rPr>
      </w:pPr>
      <w:r w:rsidRPr="00A71517">
        <w:rPr>
          <w:rFonts w:cs="Arial"/>
          <w:b/>
          <w:bCs/>
          <w:szCs w:val="24"/>
        </w:rPr>
        <w:t xml:space="preserve">Who must have a TB test?  </w:t>
      </w:r>
    </w:p>
    <w:p w14:paraId="49C0D12C" w14:textId="163F8EFC" w:rsidR="00A476A6" w:rsidRPr="00A476A6" w:rsidRDefault="00A476A6" w:rsidP="00A476A6">
      <w:pPr>
        <w:spacing w:before="120"/>
        <w:ind w:left="720" w:hanging="360"/>
        <w:rPr>
          <w:rFonts w:cs="Arial"/>
          <w:szCs w:val="24"/>
        </w:rPr>
      </w:pPr>
      <w:r w:rsidRPr="00A476A6">
        <w:rPr>
          <w:rFonts w:cs="Arial"/>
          <w:szCs w:val="24"/>
        </w:rPr>
        <w:t>See</w:t>
      </w:r>
      <w:r w:rsidRPr="00A476A6">
        <w:rPr>
          <w:rFonts w:cs="Arial"/>
          <w:smallCaps/>
          <w:szCs w:val="24"/>
        </w:rPr>
        <w:t xml:space="preserve"> </w:t>
      </w:r>
      <w:hyperlink r:id="rId9" w:anchor="388-76-10265" w:history="1">
        <w:r w:rsidRPr="00A71517">
          <w:rPr>
            <w:rStyle w:val="Hyperlink"/>
            <w:rFonts w:cs="Arial"/>
            <w:smallCaps/>
            <w:szCs w:val="24"/>
          </w:rPr>
          <w:t>WAC 388-76-10265</w:t>
        </w:r>
      </w:hyperlink>
    </w:p>
    <w:p w14:paraId="05256EB6" w14:textId="77777777" w:rsidR="00A476A6" w:rsidRPr="00A476A6" w:rsidRDefault="00A476A6" w:rsidP="00A476A6">
      <w:pPr>
        <w:numPr>
          <w:ilvl w:val="0"/>
          <w:numId w:val="6"/>
        </w:numPr>
        <w:spacing w:before="120" w:after="0" w:line="240" w:lineRule="auto"/>
        <w:rPr>
          <w:rFonts w:cs="Arial"/>
          <w:szCs w:val="24"/>
        </w:rPr>
      </w:pPr>
      <w:r w:rsidRPr="00A476A6">
        <w:rPr>
          <w:rFonts w:cs="Arial"/>
          <w:szCs w:val="24"/>
        </w:rPr>
        <w:t>The adult family home must have a system to make sure the following persons have tuberculosis testing within three days of employment:</w:t>
      </w:r>
    </w:p>
    <w:p w14:paraId="0814FAE9"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Provider;</w:t>
      </w:r>
    </w:p>
    <w:p w14:paraId="27EA785D"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Resident manager;</w:t>
      </w:r>
    </w:p>
    <w:p w14:paraId="691858B5"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Entity representative;</w:t>
      </w:r>
    </w:p>
    <w:p w14:paraId="660FF82F"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Caregiver;</w:t>
      </w:r>
    </w:p>
    <w:p w14:paraId="0DB11A83"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Staff; and</w:t>
      </w:r>
    </w:p>
    <w:p w14:paraId="5E52DB98"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Any student or volunteer providing resident care or services.</w:t>
      </w:r>
    </w:p>
    <w:p w14:paraId="2BBF456A" w14:textId="77777777" w:rsidR="00A476A6" w:rsidRPr="00A476A6" w:rsidRDefault="00A476A6" w:rsidP="00A476A6">
      <w:pPr>
        <w:numPr>
          <w:ilvl w:val="0"/>
          <w:numId w:val="6"/>
        </w:numPr>
        <w:spacing w:before="120" w:after="0" w:line="240" w:lineRule="auto"/>
        <w:rPr>
          <w:rFonts w:cs="Arial"/>
          <w:szCs w:val="24"/>
        </w:rPr>
      </w:pPr>
      <w:r w:rsidRPr="00A476A6">
        <w:rPr>
          <w:rFonts w:cs="Arial"/>
          <w:szCs w:val="24"/>
        </w:rPr>
        <w:t xml:space="preserve">Staff working for the same provider who operates multiple homes do not need to complete a separate TB test for each home.   </w:t>
      </w:r>
    </w:p>
    <w:p w14:paraId="63D6BC43" w14:textId="77777777" w:rsidR="00A476A6" w:rsidRPr="00A476A6" w:rsidRDefault="00A476A6" w:rsidP="00A476A6">
      <w:pPr>
        <w:rPr>
          <w:rFonts w:cs="Arial"/>
          <w:szCs w:val="24"/>
        </w:rPr>
      </w:pPr>
    </w:p>
    <w:p w14:paraId="40013E7E" w14:textId="77777777" w:rsidR="00A476A6" w:rsidRPr="00A71517" w:rsidRDefault="00A476A6" w:rsidP="00A476A6">
      <w:pPr>
        <w:rPr>
          <w:rFonts w:cs="Arial"/>
          <w:b/>
          <w:bCs/>
          <w:szCs w:val="24"/>
        </w:rPr>
      </w:pPr>
      <w:r w:rsidRPr="00A71517">
        <w:rPr>
          <w:rFonts w:cs="Arial"/>
          <w:b/>
          <w:bCs/>
          <w:szCs w:val="24"/>
        </w:rPr>
        <w:t xml:space="preserve">What types of TB tests meet the requirements?  </w:t>
      </w:r>
    </w:p>
    <w:p w14:paraId="0AC72DAF" w14:textId="105162F5" w:rsidR="00A476A6" w:rsidRPr="00A476A6" w:rsidRDefault="00A476A6" w:rsidP="00A476A6">
      <w:pPr>
        <w:spacing w:before="120"/>
        <w:ind w:left="720" w:hanging="360"/>
        <w:rPr>
          <w:rFonts w:cs="Arial"/>
          <w:szCs w:val="24"/>
        </w:rPr>
      </w:pPr>
      <w:r w:rsidRPr="00A476A6">
        <w:rPr>
          <w:rFonts w:cs="Arial"/>
          <w:szCs w:val="24"/>
        </w:rPr>
        <w:t xml:space="preserve">See </w:t>
      </w:r>
      <w:hyperlink r:id="rId10" w:anchor="388-76-10270" w:history="1">
        <w:r w:rsidRPr="00A71517">
          <w:rPr>
            <w:rStyle w:val="Hyperlink"/>
            <w:rFonts w:cs="Arial"/>
            <w:szCs w:val="24"/>
          </w:rPr>
          <w:t>WAC 388-76-10270</w:t>
        </w:r>
      </w:hyperlink>
    </w:p>
    <w:p w14:paraId="1630581C" w14:textId="77777777" w:rsidR="00A476A6" w:rsidRPr="00A476A6" w:rsidRDefault="00A476A6" w:rsidP="00A476A6">
      <w:pPr>
        <w:numPr>
          <w:ilvl w:val="0"/>
          <w:numId w:val="6"/>
        </w:numPr>
        <w:spacing w:before="120" w:after="0" w:line="240" w:lineRule="auto"/>
        <w:rPr>
          <w:rFonts w:cs="Arial"/>
          <w:szCs w:val="24"/>
        </w:rPr>
      </w:pPr>
      <w:r w:rsidRPr="00A476A6">
        <w:rPr>
          <w:rFonts w:cs="Arial"/>
          <w:szCs w:val="24"/>
        </w:rPr>
        <w:t>All tuberculosis testing is done through either:</w:t>
      </w:r>
    </w:p>
    <w:p w14:paraId="57B0F33A" w14:textId="5EF84543" w:rsidR="00A476A6" w:rsidRPr="00A476A6" w:rsidRDefault="00A71517" w:rsidP="00A476A6">
      <w:pPr>
        <w:numPr>
          <w:ilvl w:val="1"/>
          <w:numId w:val="6"/>
        </w:numPr>
        <w:tabs>
          <w:tab w:val="clear" w:pos="1440"/>
          <w:tab w:val="num" w:pos="1080"/>
        </w:tabs>
        <w:spacing w:before="120" w:after="0" w:line="240" w:lineRule="auto"/>
        <w:ind w:left="1080"/>
        <w:rPr>
          <w:rFonts w:cs="Arial"/>
          <w:szCs w:val="24"/>
        </w:rPr>
      </w:pPr>
      <w:r>
        <w:rPr>
          <w:rFonts w:cs="Arial"/>
          <w:szCs w:val="24"/>
        </w:rPr>
        <w:t>Intradermal (</w:t>
      </w:r>
      <w:r w:rsidR="00A476A6" w:rsidRPr="00A476A6">
        <w:rPr>
          <w:rFonts w:cs="Arial"/>
          <w:szCs w:val="24"/>
        </w:rPr>
        <w:t>Mantoux</w:t>
      </w:r>
      <w:r>
        <w:rPr>
          <w:rFonts w:cs="Arial"/>
          <w:szCs w:val="24"/>
        </w:rPr>
        <w:t>)</w:t>
      </w:r>
      <w:r w:rsidR="00A476A6" w:rsidRPr="00A476A6">
        <w:rPr>
          <w:rFonts w:cs="Arial"/>
          <w:szCs w:val="24"/>
        </w:rPr>
        <w:t xml:space="preserve"> skin test; or </w:t>
      </w:r>
    </w:p>
    <w:p w14:paraId="3A6FD5BB"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Interferon-gamma release assay (IGRA) blood test.</w:t>
      </w:r>
    </w:p>
    <w:p w14:paraId="6F6742B8" w14:textId="77777777" w:rsidR="00A476A6" w:rsidRPr="00A476A6" w:rsidRDefault="00A476A6" w:rsidP="00A476A6">
      <w:pPr>
        <w:rPr>
          <w:rFonts w:cs="Arial"/>
          <w:szCs w:val="24"/>
        </w:rPr>
      </w:pPr>
    </w:p>
    <w:p w14:paraId="3320C916" w14:textId="77777777" w:rsidR="00A71517" w:rsidRDefault="00A71517" w:rsidP="00A476A6">
      <w:pPr>
        <w:rPr>
          <w:rFonts w:cs="Arial"/>
          <w:b/>
          <w:bCs/>
          <w:szCs w:val="24"/>
        </w:rPr>
      </w:pPr>
    </w:p>
    <w:p w14:paraId="22F91E17" w14:textId="77777777" w:rsidR="00A71517" w:rsidRDefault="00A71517" w:rsidP="00A476A6">
      <w:pPr>
        <w:rPr>
          <w:rFonts w:cs="Arial"/>
          <w:b/>
          <w:bCs/>
          <w:szCs w:val="24"/>
        </w:rPr>
      </w:pPr>
    </w:p>
    <w:p w14:paraId="1CB34919" w14:textId="77777777" w:rsidR="00A71517" w:rsidRDefault="00A71517" w:rsidP="00A476A6">
      <w:pPr>
        <w:rPr>
          <w:rFonts w:cs="Arial"/>
          <w:b/>
          <w:bCs/>
          <w:szCs w:val="24"/>
        </w:rPr>
      </w:pPr>
    </w:p>
    <w:p w14:paraId="67777A3D" w14:textId="4A04295A" w:rsidR="00A476A6" w:rsidRPr="00A71517" w:rsidRDefault="00A476A6" w:rsidP="00A476A6">
      <w:pPr>
        <w:rPr>
          <w:rFonts w:cs="Arial"/>
          <w:b/>
          <w:bCs/>
          <w:szCs w:val="24"/>
        </w:rPr>
      </w:pPr>
      <w:r w:rsidRPr="00A71517">
        <w:rPr>
          <w:rFonts w:cs="Arial"/>
          <w:b/>
          <w:bCs/>
          <w:szCs w:val="24"/>
        </w:rPr>
        <w:t xml:space="preserve">When is a TB skin test not required?  </w:t>
      </w:r>
    </w:p>
    <w:p w14:paraId="6D99577D" w14:textId="7407CDB3" w:rsidR="00A476A6" w:rsidRPr="00A476A6" w:rsidRDefault="00A476A6" w:rsidP="00A476A6">
      <w:pPr>
        <w:spacing w:before="120"/>
        <w:ind w:left="720" w:hanging="360"/>
        <w:rPr>
          <w:rFonts w:cs="Arial"/>
          <w:szCs w:val="24"/>
        </w:rPr>
      </w:pPr>
      <w:r w:rsidRPr="00A476A6">
        <w:rPr>
          <w:rFonts w:cs="Arial"/>
          <w:szCs w:val="24"/>
        </w:rPr>
        <w:t xml:space="preserve">See </w:t>
      </w:r>
      <w:hyperlink r:id="rId11" w:anchor="388-76-10275" w:history="1">
        <w:r w:rsidRPr="00A71517">
          <w:rPr>
            <w:rStyle w:val="Hyperlink"/>
            <w:rFonts w:cs="Arial"/>
            <w:szCs w:val="24"/>
          </w:rPr>
          <w:t>WAC 388-76-10275</w:t>
        </w:r>
      </w:hyperlink>
    </w:p>
    <w:p w14:paraId="2EBE54BE" w14:textId="77777777" w:rsidR="00A476A6" w:rsidRPr="00A476A6" w:rsidRDefault="00A476A6" w:rsidP="00A476A6">
      <w:pPr>
        <w:numPr>
          <w:ilvl w:val="0"/>
          <w:numId w:val="6"/>
        </w:numPr>
        <w:spacing w:before="120" w:after="0" w:line="240" w:lineRule="auto"/>
        <w:rPr>
          <w:rFonts w:cs="Arial"/>
          <w:szCs w:val="24"/>
        </w:rPr>
      </w:pPr>
      <w:r w:rsidRPr="00A476A6">
        <w:rPr>
          <w:rFonts w:cs="Arial"/>
          <w:szCs w:val="24"/>
        </w:rPr>
        <w:t>A person is not required to have a TB skin test if they have:</w:t>
      </w:r>
    </w:p>
    <w:p w14:paraId="56C5BA17" w14:textId="6A6B48EE"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Documented history of a previous positive skin test; or</w:t>
      </w:r>
    </w:p>
    <w:p w14:paraId="7A80DF9D"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Documented history of a previous positive blood test; or</w:t>
      </w:r>
    </w:p>
    <w:p w14:paraId="3D0F9361"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Documented evidence of adequate therapy for active disease; or</w:t>
      </w:r>
    </w:p>
    <w:p w14:paraId="1995C822"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pacing w:val="-4"/>
          <w:szCs w:val="24"/>
        </w:rPr>
      </w:pPr>
      <w:r w:rsidRPr="00A476A6">
        <w:rPr>
          <w:rFonts w:cs="Arial"/>
          <w:spacing w:val="-4"/>
          <w:szCs w:val="24"/>
        </w:rPr>
        <w:t xml:space="preserve">Documented evidence of completion of treatment for infection preventive therapy. </w:t>
      </w:r>
    </w:p>
    <w:p w14:paraId="222B764D" w14:textId="77777777" w:rsidR="00A476A6" w:rsidRPr="00A476A6" w:rsidRDefault="00A476A6" w:rsidP="00A476A6">
      <w:pPr>
        <w:rPr>
          <w:rFonts w:cs="Arial"/>
          <w:szCs w:val="24"/>
        </w:rPr>
      </w:pPr>
    </w:p>
    <w:p w14:paraId="7866396B" w14:textId="2E48A2E2" w:rsidR="00A476A6" w:rsidRPr="00A71517" w:rsidRDefault="00A476A6" w:rsidP="00A476A6">
      <w:pPr>
        <w:rPr>
          <w:rFonts w:cs="Arial"/>
          <w:b/>
          <w:bCs/>
          <w:szCs w:val="24"/>
        </w:rPr>
      </w:pPr>
      <w:r w:rsidRPr="00A71517">
        <w:rPr>
          <w:rFonts w:cs="Arial"/>
          <w:b/>
          <w:bCs/>
          <w:szCs w:val="24"/>
        </w:rPr>
        <w:t>Who must have a two</w:t>
      </w:r>
      <w:r w:rsidR="00A71517">
        <w:rPr>
          <w:rFonts w:cs="Arial"/>
          <w:b/>
          <w:bCs/>
          <w:szCs w:val="24"/>
        </w:rPr>
        <w:t>-</w:t>
      </w:r>
      <w:r w:rsidRPr="00A71517">
        <w:rPr>
          <w:rFonts w:cs="Arial"/>
          <w:b/>
          <w:bCs/>
          <w:szCs w:val="24"/>
        </w:rPr>
        <w:t xml:space="preserve">step skin test?  </w:t>
      </w:r>
    </w:p>
    <w:p w14:paraId="04B5A8B9" w14:textId="4C7367E9" w:rsidR="00A476A6" w:rsidRPr="00A476A6" w:rsidRDefault="00A476A6" w:rsidP="00A476A6">
      <w:pPr>
        <w:spacing w:before="120"/>
        <w:ind w:left="720" w:hanging="360"/>
        <w:rPr>
          <w:rFonts w:cs="Arial"/>
          <w:szCs w:val="24"/>
        </w:rPr>
      </w:pPr>
      <w:r w:rsidRPr="00A476A6">
        <w:rPr>
          <w:rFonts w:cs="Arial"/>
          <w:szCs w:val="24"/>
        </w:rPr>
        <w:t xml:space="preserve">See </w:t>
      </w:r>
      <w:hyperlink r:id="rId12" w:anchor="388-76-10285" w:history="1">
        <w:r w:rsidRPr="00A71517">
          <w:rPr>
            <w:rStyle w:val="Hyperlink"/>
            <w:rFonts w:cs="Arial"/>
            <w:szCs w:val="24"/>
          </w:rPr>
          <w:t>WAC 388-76-10285</w:t>
        </w:r>
      </w:hyperlink>
    </w:p>
    <w:p w14:paraId="48167595" w14:textId="65AB8B02" w:rsidR="00A476A6" w:rsidRPr="00A476A6" w:rsidRDefault="00A476A6" w:rsidP="00A476A6">
      <w:pPr>
        <w:numPr>
          <w:ilvl w:val="0"/>
          <w:numId w:val="6"/>
        </w:numPr>
        <w:spacing w:before="120" w:after="0" w:line="240" w:lineRule="auto"/>
        <w:rPr>
          <w:rFonts w:cs="Arial"/>
          <w:szCs w:val="24"/>
        </w:rPr>
      </w:pPr>
      <w:r w:rsidRPr="00A476A6">
        <w:rPr>
          <w:rFonts w:cs="Arial"/>
          <w:szCs w:val="24"/>
        </w:rPr>
        <w:t>Unless the person meets the requirement for having no skin testing or only one test, the adult family home choosing to do skin testing must ensure that each person has the following two</w:t>
      </w:r>
      <w:r w:rsidR="00A71517">
        <w:rPr>
          <w:rFonts w:cs="Arial"/>
          <w:szCs w:val="24"/>
        </w:rPr>
        <w:t>-</w:t>
      </w:r>
      <w:r w:rsidRPr="00A476A6">
        <w:rPr>
          <w:rFonts w:cs="Arial"/>
          <w:szCs w:val="24"/>
        </w:rPr>
        <w:t>step skin testing:</w:t>
      </w:r>
    </w:p>
    <w:p w14:paraId="20A9ADB2" w14:textId="0100C976"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A</w:t>
      </w:r>
      <w:r w:rsidR="00A71517">
        <w:rPr>
          <w:rFonts w:cs="Arial"/>
          <w:szCs w:val="24"/>
        </w:rPr>
        <w:t>n</w:t>
      </w:r>
      <w:r w:rsidRPr="00A476A6">
        <w:rPr>
          <w:rFonts w:cs="Arial"/>
          <w:szCs w:val="24"/>
        </w:rPr>
        <w:t xml:space="preserve"> initial skin test within three days of employment; and</w:t>
      </w:r>
    </w:p>
    <w:p w14:paraId="287953F7"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A second test done one to three weeks after the first test.</w:t>
      </w:r>
    </w:p>
    <w:p w14:paraId="5196FD73" w14:textId="77777777" w:rsidR="00A476A6" w:rsidRPr="00A476A6" w:rsidRDefault="00A476A6" w:rsidP="00A476A6">
      <w:pPr>
        <w:rPr>
          <w:rFonts w:cs="Arial"/>
          <w:szCs w:val="24"/>
        </w:rPr>
      </w:pPr>
    </w:p>
    <w:p w14:paraId="28861300" w14:textId="4B81BA5A" w:rsidR="00A476A6" w:rsidRPr="00A71517" w:rsidRDefault="00A476A6" w:rsidP="00A476A6">
      <w:pPr>
        <w:rPr>
          <w:rFonts w:cs="Arial"/>
          <w:b/>
          <w:bCs/>
          <w:szCs w:val="24"/>
        </w:rPr>
      </w:pPr>
      <w:r w:rsidRPr="00A71517">
        <w:rPr>
          <w:rFonts w:cs="Arial"/>
          <w:b/>
          <w:bCs/>
          <w:szCs w:val="24"/>
        </w:rPr>
        <w:t>When does a one</w:t>
      </w:r>
      <w:r w:rsidR="00A71517">
        <w:rPr>
          <w:rFonts w:cs="Arial"/>
          <w:b/>
          <w:bCs/>
          <w:szCs w:val="24"/>
        </w:rPr>
        <w:t>-</w:t>
      </w:r>
      <w:r w:rsidRPr="00A71517">
        <w:rPr>
          <w:rFonts w:cs="Arial"/>
          <w:b/>
          <w:bCs/>
          <w:szCs w:val="24"/>
        </w:rPr>
        <w:t xml:space="preserve">step skin test meet the requirements?  </w:t>
      </w:r>
    </w:p>
    <w:p w14:paraId="3A93A1E5" w14:textId="0804B355" w:rsidR="00A476A6" w:rsidRPr="00A476A6" w:rsidRDefault="00A476A6" w:rsidP="00A476A6">
      <w:pPr>
        <w:spacing w:before="120"/>
        <w:ind w:left="720" w:hanging="360"/>
        <w:rPr>
          <w:rFonts w:cs="Arial"/>
          <w:szCs w:val="24"/>
        </w:rPr>
      </w:pPr>
      <w:r w:rsidRPr="00A476A6">
        <w:rPr>
          <w:rFonts w:cs="Arial"/>
          <w:szCs w:val="24"/>
        </w:rPr>
        <w:t xml:space="preserve">See </w:t>
      </w:r>
      <w:hyperlink r:id="rId13" w:anchor="388-76-10280" w:history="1">
        <w:r w:rsidRPr="00A71517">
          <w:rPr>
            <w:rStyle w:val="Hyperlink"/>
            <w:rFonts w:cs="Arial"/>
            <w:szCs w:val="24"/>
          </w:rPr>
          <w:t>WAC 388-76-10280</w:t>
        </w:r>
      </w:hyperlink>
    </w:p>
    <w:p w14:paraId="4CB69F30" w14:textId="77777777" w:rsidR="00A476A6" w:rsidRPr="00A476A6" w:rsidRDefault="00A476A6" w:rsidP="00A476A6">
      <w:pPr>
        <w:numPr>
          <w:ilvl w:val="0"/>
          <w:numId w:val="6"/>
        </w:numPr>
        <w:spacing w:before="120" w:after="0" w:line="240" w:lineRule="auto"/>
        <w:rPr>
          <w:rFonts w:cs="Arial"/>
          <w:szCs w:val="24"/>
        </w:rPr>
      </w:pPr>
      <w:r w:rsidRPr="00A476A6">
        <w:rPr>
          <w:rFonts w:cs="Arial"/>
          <w:szCs w:val="24"/>
        </w:rPr>
        <w:t>A person is only required to have one test if the person has any of the following:</w:t>
      </w:r>
    </w:p>
    <w:p w14:paraId="1505DBD7" w14:textId="6DD26B87" w:rsidR="00A476A6" w:rsidRPr="00A476A6" w:rsidRDefault="00A476A6" w:rsidP="00A476A6">
      <w:pPr>
        <w:numPr>
          <w:ilvl w:val="1"/>
          <w:numId w:val="6"/>
        </w:numPr>
        <w:tabs>
          <w:tab w:val="clear" w:pos="1440"/>
          <w:tab w:val="num" w:pos="1080"/>
        </w:tabs>
        <w:spacing w:before="120" w:after="0" w:line="240" w:lineRule="auto"/>
        <w:ind w:left="1080"/>
        <w:rPr>
          <w:rFonts w:cs="Arial"/>
          <w:szCs w:val="24"/>
        </w:rPr>
      </w:pPr>
      <w:r w:rsidRPr="00A476A6">
        <w:rPr>
          <w:rFonts w:cs="Arial"/>
          <w:szCs w:val="24"/>
        </w:rPr>
        <w:t>A documented history of a negative result from a previous two</w:t>
      </w:r>
      <w:r w:rsidR="00A71517">
        <w:rPr>
          <w:rFonts w:cs="Arial"/>
          <w:szCs w:val="24"/>
        </w:rPr>
        <w:t>-</w:t>
      </w:r>
      <w:r w:rsidRPr="00A476A6">
        <w:rPr>
          <w:rFonts w:cs="Arial"/>
          <w:szCs w:val="24"/>
        </w:rPr>
        <w:t>step test done no more than one to three weeks apart; or</w:t>
      </w:r>
    </w:p>
    <w:p w14:paraId="1CCF940F" w14:textId="77777777" w:rsidR="00A476A6" w:rsidRPr="00A476A6" w:rsidRDefault="00A476A6" w:rsidP="00A476A6">
      <w:pPr>
        <w:numPr>
          <w:ilvl w:val="1"/>
          <w:numId w:val="6"/>
        </w:numPr>
        <w:tabs>
          <w:tab w:val="clear" w:pos="1440"/>
          <w:tab w:val="num" w:pos="1080"/>
        </w:tabs>
        <w:spacing w:before="120" w:after="0" w:line="240" w:lineRule="auto"/>
        <w:ind w:left="1080"/>
        <w:rPr>
          <w:rFonts w:cs="Arial"/>
          <w:spacing w:val="-4"/>
          <w:szCs w:val="24"/>
        </w:rPr>
      </w:pPr>
      <w:r w:rsidRPr="00A476A6">
        <w:rPr>
          <w:rFonts w:cs="Arial"/>
          <w:spacing w:val="-4"/>
          <w:szCs w:val="24"/>
        </w:rPr>
        <w:t>A documented negative result from one skin or blood test in the previous 12 months.</w:t>
      </w:r>
    </w:p>
    <w:p w14:paraId="626FCBD4" w14:textId="77777777" w:rsidR="00A476A6" w:rsidRPr="00A476A6" w:rsidRDefault="00A476A6" w:rsidP="00A476A6">
      <w:pPr>
        <w:rPr>
          <w:rFonts w:cs="Arial"/>
          <w:szCs w:val="24"/>
        </w:rPr>
      </w:pPr>
    </w:p>
    <w:p w14:paraId="0C9B9B0B" w14:textId="77777777" w:rsidR="00A71517" w:rsidRDefault="00A71517" w:rsidP="00A476A6">
      <w:pPr>
        <w:rPr>
          <w:rFonts w:cs="Arial"/>
          <w:b/>
          <w:bCs/>
          <w:szCs w:val="24"/>
        </w:rPr>
      </w:pPr>
    </w:p>
    <w:p w14:paraId="7C01C8D1" w14:textId="77777777" w:rsidR="00A71517" w:rsidRDefault="00A71517" w:rsidP="00A476A6">
      <w:pPr>
        <w:rPr>
          <w:rFonts w:cs="Arial"/>
          <w:b/>
          <w:bCs/>
          <w:szCs w:val="24"/>
        </w:rPr>
      </w:pPr>
    </w:p>
    <w:p w14:paraId="7415195A" w14:textId="77777777" w:rsidR="00A71517" w:rsidRDefault="00A71517" w:rsidP="00A476A6">
      <w:pPr>
        <w:rPr>
          <w:rFonts w:cs="Arial"/>
          <w:b/>
          <w:bCs/>
          <w:szCs w:val="24"/>
        </w:rPr>
      </w:pPr>
    </w:p>
    <w:p w14:paraId="75EB6FAF" w14:textId="6B81F807" w:rsidR="00A476A6" w:rsidRPr="00A71517" w:rsidRDefault="00A476A6" w:rsidP="00A476A6">
      <w:pPr>
        <w:rPr>
          <w:rFonts w:cs="Arial"/>
          <w:b/>
          <w:bCs/>
          <w:szCs w:val="24"/>
        </w:rPr>
      </w:pPr>
      <w:r w:rsidRPr="00A71517">
        <w:rPr>
          <w:rFonts w:cs="Arial"/>
          <w:b/>
          <w:bCs/>
          <w:szCs w:val="24"/>
        </w:rPr>
        <w:t xml:space="preserve">For further information about these requirements, </w:t>
      </w:r>
    </w:p>
    <w:p w14:paraId="64288D73" w14:textId="25A72DCA" w:rsidR="00A476A6" w:rsidRPr="00A476A6" w:rsidRDefault="00A476A6" w:rsidP="00A476A6">
      <w:pPr>
        <w:spacing w:before="120"/>
        <w:ind w:left="720" w:hanging="360"/>
        <w:rPr>
          <w:rFonts w:cs="Arial"/>
          <w:szCs w:val="24"/>
        </w:rPr>
      </w:pPr>
      <w:r w:rsidRPr="00A476A6">
        <w:rPr>
          <w:rFonts w:cs="Arial"/>
          <w:szCs w:val="24"/>
        </w:rPr>
        <w:t xml:space="preserve">See </w:t>
      </w:r>
      <w:hyperlink r:id="rId14" w:anchor="388-76-10265" w:history="1">
        <w:r w:rsidRPr="00A71517">
          <w:rPr>
            <w:rStyle w:val="Hyperlink"/>
            <w:rFonts w:cs="Arial"/>
            <w:szCs w:val="24"/>
          </w:rPr>
          <w:t>WAC 388-76-10265</w:t>
        </w:r>
      </w:hyperlink>
      <w:r w:rsidRPr="00A476A6">
        <w:rPr>
          <w:rFonts w:cs="Arial"/>
          <w:szCs w:val="24"/>
        </w:rPr>
        <w:t xml:space="preserve"> through WAC 388-76-10310</w:t>
      </w:r>
    </w:p>
    <w:p w14:paraId="61C36D3B" w14:textId="5033C027" w:rsidR="007617BF" w:rsidRPr="006D59A0" w:rsidRDefault="00387621" w:rsidP="00107CD0">
      <w:pPr>
        <w:spacing w:line="240" w:lineRule="auto"/>
        <w:rPr>
          <w:rFonts w:cs="Arial"/>
          <w:b/>
          <w:smallCaps/>
          <w:color w:val="0070C0"/>
          <w:szCs w:val="24"/>
        </w:rPr>
      </w:pPr>
      <w:r w:rsidRPr="006D59A0">
        <w:rPr>
          <w:rFonts w:cs="Arial"/>
          <w:i/>
          <w:iCs/>
          <w:szCs w:val="24"/>
        </w:rPr>
        <w:t xml:space="preserve">(Updated </w:t>
      </w:r>
      <w:r w:rsidR="00AC6896" w:rsidRPr="006D59A0">
        <w:rPr>
          <w:rFonts w:cs="Arial"/>
          <w:i/>
          <w:iCs/>
          <w:szCs w:val="24"/>
        </w:rPr>
        <w:t>October</w:t>
      </w:r>
      <w:r w:rsidRPr="006D59A0">
        <w:rPr>
          <w:rFonts w:cs="Arial"/>
          <w:i/>
          <w:iCs/>
          <w:szCs w:val="24"/>
        </w:rPr>
        <w:t>, 2021)</w:t>
      </w:r>
      <w:r w:rsidRPr="006D59A0">
        <w:rPr>
          <w:rFonts w:cs="Arial"/>
          <w:szCs w:val="24"/>
        </w:rPr>
        <w:t xml:space="preserve"> </w:t>
      </w:r>
    </w:p>
    <w:p w14:paraId="76EF8B14" w14:textId="77777777" w:rsidR="007617BF" w:rsidRPr="002E6126" w:rsidRDefault="007617BF" w:rsidP="003C1AB1">
      <w:pPr>
        <w:rPr>
          <w:szCs w:val="24"/>
        </w:rPr>
      </w:pPr>
    </w:p>
    <w:sectPr w:rsidR="007617BF" w:rsidRPr="002E6126" w:rsidSect="006A1598">
      <w:headerReference w:type="default" r:id="rId15"/>
      <w:footerReference w:type="default" r:id="rId16"/>
      <w:pgSz w:w="12240" w:h="15840"/>
      <w:pgMar w:top="720" w:right="720" w:bottom="720" w:left="720" w:header="2016" w:footer="18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42BB5" w14:textId="77777777" w:rsidR="00AB43AD" w:rsidRDefault="00AB43AD" w:rsidP="00921228">
      <w:pPr>
        <w:spacing w:after="0" w:line="240" w:lineRule="auto"/>
      </w:pPr>
      <w:r>
        <w:separator/>
      </w:r>
    </w:p>
  </w:endnote>
  <w:endnote w:type="continuationSeparator" w:id="0">
    <w:p w14:paraId="3030B0B5" w14:textId="77777777" w:rsidR="00AB43AD" w:rsidRDefault="00AB43AD" w:rsidP="0092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CA8F6" w14:textId="6D9C55AA" w:rsidR="006A1598" w:rsidRDefault="006A1598">
    <w:pPr>
      <w:pStyle w:val="Footer"/>
    </w:pPr>
    <w:r w:rsidRPr="006A1598">
      <w:rPr>
        <w:rFonts w:ascii="Calibri" w:hAnsi="Calibri"/>
        <w:noProof/>
      </w:rPr>
      <w:drawing>
        <wp:anchor distT="0" distB="0" distL="114300" distR="114300" simplePos="0" relativeHeight="251660288" behindDoc="1" locked="0" layoutInCell="1" allowOverlap="1" wp14:anchorId="556AF3AD" wp14:editId="0313078C">
          <wp:simplePos x="0" y="0"/>
          <wp:positionH relativeFrom="column">
            <wp:posOffset>-286512</wp:posOffset>
          </wp:positionH>
          <wp:positionV relativeFrom="paragraph">
            <wp:posOffset>140335</wp:posOffset>
          </wp:positionV>
          <wp:extent cx="1505585" cy="110934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5585" cy="1109345"/>
                  </a:xfrm>
                  <a:prstGeom prst="rect">
                    <a:avLst/>
                  </a:prstGeom>
                  <a:noFill/>
                </pic:spPr>
              </pic:pic>
            </a:graphicData>
          </a:graphic>
        </wp:anchor>
      </w:drawing>
    </w:r>
    <w:r w:rsidR="00387621">
      <w:tab/>
    </w:r>
    <w:r w:rsidR="00387621">
      <w:tab/>
    </w:r>
  </w:p>
  <w:p w14:paraId="218F4DED" w14:textId="1EEB4D1A" w:rsidR="00387621" w:rsidRDefault="00387621">
    <w:pPr>
      <w:pStyle w:val="Footer"/>
    </w:pP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6EF49" w14:textId="77777777" w:rsidR="00AB43AD" w:rsidRDefault="00AB43AD" w:rsidP="00921228">
      <w:pPr>
        <w:spacing w:after="0" w:line="240" w:lineRule="auto"/>
      </w:pPr>
      <w:r>
        <w:separator/>
      </w:r>
    </w:p>
  </w:footnote>
  <w:footnote w:type="continuationSeparator" w:id="0">
    <w:p w14:paraId="2E7D25A6" w14:textId="77777777" w:rsidR="00AB43AD" w:rsidRDefault="00AB43AD" w:rsidP="009212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AE4AF" w14:textId="77777777" w:rsidR="00921228" w:rsidRDefault="006A1598">
    <w:pPr>
      <w:pStyle w:val="Header"/>
    </w:pPr>
    <w:r>
      <w:rPr>
        <w:noProof/>
      </w:rPr>
      <w:drawing>
        <wp:anchor distT="0" distB="0" distL="114300" distR="114300" simplePos="0" relativeHeight="251658240" behindDoc="1" locked="0" layoutInCell="1" allowOverlap="1" wp14:anchorId="3510E99C" wp14:editId="64DEE102">
          <wp:simplePos x="0" y="0"/>
          <wp:positionH relativeFrom="column">
            <wp:posOffset>-506095</wp:posOffset>
          </wp:positionH>
          <wp:positionV relativeFrom="paragraph">
            <wp:posOffset>-1294765</wp:posOffset>
          </wp:positionV>
          <wp:extent cx="7864475" cy="39325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64475" cy="3932555"/>
                  </a:xfrm>
                  <a:prstGeom prst="rect">
                    <a:avLst/>
                  </a:prstGeom>
                  <a:noFill/>
                </pic:spPr>
              </pic:pic>
            </a:graphicData>
          </a:graphic>
        </wp:anchor>
      </w:drawing>
    </w:r>
  </w:p>
  <w:p w14:paraId="2BD41605" w14:textId="77777777" w:rsidR="00921228" w:rsidRDefault="00921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0432"/>
    <w:multiLevelType w:val="hybridMultilevel"/>
    <w:tmpl w:val="6996158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851ED2"/>
    <w:multiLevelType w:val="hybridMultilevel"/>
    <w:tmpl w:val="4F386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82A4D"/>
    <w:multiLevelType w:val="hybridMultilevel"/>
    <w:tmpl w:val="F46ED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C90F30"/>
    <w:multiLevelType w:val="hybridMultilevel"/>
    <w:tmpl w:val="44AE49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42381"/>
    <w:multiLevelType w:val="hybridMultilevel"/>
    <w:tmpl w:val="A838EC6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51C77CC1"/>
    <w:multiLevelType w:val="hybridMultilevel"/>
    <w:tmpl w:val="FB826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4"/>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AD"/>
    <w:rsid w:val="00040CAA"/>
    <w:rsid w:val="000614B6"/>
    <w:rsid w:val="000A1E12"/>
    <w:rsid w:val="000F7285"/>
    <w:rsid w:val="00107CD0"/>
    <w:rsid w:val="00135CA3"/>
    <w:rsid w:val="00186D8A"/>
    <w:rsid w:val="00214A2B"/>
    <w:rsid w:val="00216FD8"/>
    <w:rsid w:val="00227433"/>
    <w:rsid w:val="002A1AE9"/>
    <w:rsid w:val="002E41A9"/>
    <w:rsid w:val="002E6126"/>
    <w:rsid w:val="00336E2C"/>
    <w:rsid w:val="00386464"/>
    <w:rsid w:val="00387621"/>
    <w:rsid w:val="003A6F39"/>
    <w:rsid w:val="003B6960"/>
    <w:rsid w:val="003C1AB1"/>
    <w:rsid w:val="003D065A"/>
    <w:rsid w:val="003D263E"/>
    <w:rsid w:val="00436E38"/>
    <w:rsid w:val="00446E67"/>
    <w:rsid w:val="00451375"/>
    <w:rsid w:val="00471AFC"/>
    <w:rsid w:val="00475AB3"/>
    <w:rsid w:val="00493043"/>
    <w:rsid w:val="00494018"/>
    <w:rsid w:val="004A19A7"/>
    <w:rsid w:val="004A56B0"/>
    <w:rsid w:val="004B06FA"/>
    <w:rsid w:val="005108FD"/>
    <w:rsid w:val="00524A12"/>
    <w:rsid w:val="0056716A"/>
    <w:rsid w:val="005E48F1"/>
    <w:rsid w:val="005F11AA"/>
    <w:rsid w:val="00611A0D"/>
    <w:rsid w:val="00640533"/>
    <w:rsid w:val="0066741A"/>
    <w:rsid w:val="00696E13"/>
    <w:rsid w:val="006A1598"/>
    <w:rsid w:val="006C1CE7"/>
    <w:rsid w:val="006C3AB1"/>
    <w:rsid w:val="006C5CD1"/>
    <w:rsid w:val="006D59A0"/>
    <w:rsid w:val="007402FB"/>
    <w:rsid w:val="007617BF"/>
    <w:rsid w:val="00796681"/>
    <w:rsid w:val="007A62B5"/>
    <w:rsid w:val="007F79DB"/>
    <w:rsid w:val="008035A6"/>
    <w:rsid w:val="00821F76"/>
    <w:rsid w:val="00822301"/>
    <w:rsid w:val="0084400E"/>
    <w:rsid w:val="00852CA4"/>
    <w:rsid w:val="008B7B00"/>
    <w:rsid w:val="008F0683"/>
    <w:rsid w:val="00921228"/>
    <w:rsid w:val="00921495"/>
    <w:rsid w:val="00934236"/>
    <w:rsid w:val="00971AD1"/>
    <w:rsid w:val="00996548"/>
    <w:rsid w:val="009A29B8"/>
    <w:rsid w:val="00A010B9"/>
    <w:rsid w:val="00A04A8C"/>
    <w:rsid w:val="00A16A87"/>
    <w:rsid w:val="00A35570"/>
    <w:rsid w:val="00A476A6"/>
    <w:rsid w:val="00A5563A"/>
    <w:rsid w:val="00A71517"/>
    <w:rsid w:val="00AA04CF"/>
    <w:rsid w:val="00AB43AD"/>
    <w:rsid w:val="00AC6896"/>
    <w:rsid w:val="00B16916"/>
    <w:rsid w:val="00B83680"/>
    <w:rsid w:val="00BD3F76"/>
    <w:rsid w:val="00BF6D87"/>
    <w:rsid w:val="00C161F9"/>
    <w:rsid w:val="00C24535"/>
    <w:rsid w:val="00C46609"/>
    <w:rsid w:val="00CB6E15"/>
    <w:rsid w:val="00CD4413"/>
    <w:rsid w:val="00D421FC"/>
    <w:rsid w:val="00D73707"/>
    <w:rsid w:val="00D82E1C"/>
    <w:rsid w:val="00DF6C55"/>
    <w:rsid w:val="00E04254"/>
    <w:rsid w:val="00E223D0"/>
    <w:rsid w:val="00E33B8F"/>
    <w:rsid w:val="00E42CDD"/>
    <w:rsid w:val="00E6044E"/>
    <w:rsid w:val="00E764D9"/>
    <w:rsid w:val="00E92F49"/>
    <w:rsid w:val="00EB5555"/>
    <w:rsid w:val="00EC5F28"/>
    <w:rsid w:val="00F132E8"/>
    <w:rsid w:val="00F43588"/>
    <w:rsid w:val="00F865CB"/>
    <w:rsid w:val="00FA36BC"/>
    <w:rsid w:val="00FC0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4A75108"/>
  <w15:chartTrackingRefBased/>
  <w15:docId w15:val="{A1B70B63-82F0-4D52-82A6-16F50288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7BF"/>
    <w:pPr>
      <w:spacing w:after="200" w:line="276" w:lineRule="auto"/>
    </w:pPr>
    <w:rPr>
      <w:rFonts w:ascii="Arial" w:eastAsia="Calibri" w:hAnsi="Arial" w:cs="Times New Roman"/>
      <w:sz w:val="24"/>
    </w:rPr>
  </w:style>
  <w:style w:type="paragraph" w:styleId="Heading1">
    <w:name w:val="heading 1"/>
    <w:basedOn w:val="Normal"/>
    <w:next w:val="Normal"/>
    <w:link w:val="Heading1Char"/>
    <w:uiPriority w:val="9"/>
    <w:qFormat/>
    <w:rsid w:val="00AB43AD"/>
    <w:pPr>
      <w:keepNext/>
      <w:keepLines/>
      <w:spacing w:before="240" w:after="0" w:line="240" w:lineRule="auto"/>
      <w:outlineLvl w:val="0"/>
    </w:pPr>
    <w:rPr>
      <w:rFonts w:eastAsiaTheme="majorEastAsia" w:cstheme="majorBidi"/>
      <w:b/>
      <w:color w:val="4472C4" w:themeColor="accent1"/>
      <w:sz w:val="44"/>
      <w:szCs w:val="44"/>
    </w:rPr>
  </w:style>
  <w:style w:type="paragraph" w:styleId="Heading2">
    <w:name w:val="heading 2"/>
    <w:basedOn w:val="Normal"/>
    <w:next w:val="Normal"/>
    <w:link w:val="Heading2Char"/>
    <w:uiPriority w:val="9"/>
    <w:semiHidden/>
    <w:unhideWhenUsed/>
    <w:qFormat/>
    <w:rsid w:val="00AB43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2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228"/>
  </w:style>
  <w:style w:type="paragraph" w:styleId="Footer">
    <w:name w:val="footer"/>
    <w:basedOn w:val="Normal"/>
    <w:link w:val="FooterChar"/>
    <w:uiPriority w:val="99"/>
    <w:unhideWhenUsed/>
    <w:rsid w:val="009212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228"/>
  </w:style>
  <w:style w:type="character" w:customStyle="1" w:styleId="Heading1Char">
    <w:name w:val="Heading 1 Char"/>
    <w:basedOn w:val="DefaultParagraphFont"/>
    <w:link w:val="Heading1"/>
    <w:uiPriority w:val="9"/>
    <w:rsid w:val="00AB43AD"/>
    <w:rPr>
      <w:rFonts w:eastAsiaTheme="majorEastAsia" w:cstheme="majorBidi"/>
      <w:b/>
      <w:color w:val="4472C4" w:themeColor="accent1"/>
      <w:sz w:val="44"/>
      <w:szCs w:val="44"/>
    </w:rPr>
  </w:style>
  <w:style w:type="character" w:customStyle="1" w:styleId="Heading2Char">
    <w:name w:val="Heading 2 Char"/>
    <w:basedOn w:val="DefaultParagraphFont"/>
    <w:link w:val="Heading2"/>
    <w:uiPriority w:val="9"/>
    <w:semiHidden/>
    <w:rsid w:val="00AB43AD"/>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B4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3AD"/>
    <w:pPr>
      <w:ind w:left="720"/>
      <w:contextualSpacing/>
    </w:pPr>
  </w:style>
  <w:style w:type="paragraph" w:styleId="CommentText">
    <w:name w:val="annotation text"/>
    <w:basedOn w:val="Normal"/>
    <w:link w:val="CommentTextChar"/>
    <w:uiPriority w:val="99"/>
    <w:semiHidden/>
    <w:unhideWhenUsed/>
    <w:rsid w:val="003C1AB1"/>
    <w:pPr>
      <w:spacing w:line="240" w:lineRule="auto"/>
    </w:pPr>
    <w:rPr>
      <w:sz w:val="20"/>
      <w:szCs w:val="20"/>
    </w:rPr>
  </w:style>
  <w:style w:type="character" w:customStyle="1" w:styleId="CommentTextChar">
    <w:name w:val="Comment Text Char"/>
    <w:basedOn w:val="DefaultParagraphFont"/>
    <w:link w:val="CommentText"/>
    <w:uiPriority w:val="99"/>
    <w:semiHidden/>
    <w:rsid w:val="003C1AB1"/>
    <w:rPr>
      <w:sz w:val="20"/>
      <w:szCs w:val="20"/>
    </w:rPr>
  </w:style>
  <w:style w:type="character" w:styleId="CommentReference">
    <w:name w:val="annotation reference"/>
    <w:basedOn w:val="DefaultParagraphFont"/>
    <w:uiPriority w:val="99"/>
    <w:semiHidden/>
    <w:unhideWhenUsed/>
    <w:rsid w:val="003C1AB1"/>
    <w:rPr>
      <w:sz w:val="16"/>
      <w:szCs w:val="16"/>
    </w:rPr>
  </w:style>
  <w:style w:type="paragraph" w:styleId="CommentSubject">
    <w:name w:val="annotation subject"/>
    <w:basedOn w:val="CommentText"/>
    <w:next w:val="CommentText"/>
    <w:link w:val="CommentSubjectChar"/>
    <w:uiPriority w:val="99"/>
    <w:semiHidden/>
    <w:unhideWhenUsed/>
    <w:rsid w:val="003C1AB1"/>
    <w:rPr>
      <w:b/>
      <w:bCs/>
    </w:rPr>
  </w:style>
  <w:style w:type="character" w:customStyle="1" w:styleId="CommentSubjectChar">
    <w:name w:val="Comment Subject Char"/>
    <w:basedOn w:val="CommentTextChar"/>
    <w:link w:val="CommentSubject"/>
    <w:uiPriority w:val="99"/>
    <w:semiHidden/>
    <w:rsid w:val="003C1AB1"/>
    <w:rPr>
      <w:b/>
      <w:bCs/>
      <w:sz w:val="20"/>
      <w:szCs w:val="20"/>
    </w:rPr>
  </w:style>
  <w:style w:type="table" w:customStyle="1" w:styleId="TableGrid1">
    <w:name w:val="Table Grid1"/>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3C1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17BF"/>
    <w:rPr>
      <w:color w:val="0563C1" w:themeColor="hyperlink"/>
      <w:u w:val="single"/>
    </w:rPr>
  </w:style>
  <w:style w:type="character" w:styleId="UnresolvedMention">
    <w:name w:val="Unresolved Mention"/>
    <w:basedOn w:val="DefaultParagraphFont"/>
    <w:uiPriority w:val="99"/>
    <w:semiHidden/>
    <w:unhideWhenUsed/>
    <w:rsid w:val="007617BF"/>
    <w:rPr>
      <w:color w:val="605E5C"/>
      <w:shd w:val="clear" w:color="auto" w:fill="E1DFDD"/>
    </w:rPr>
  </w:style>
  <w:style w:type="character" w:styleId="FollowedHyperlink">
    <w:name w:val="FollowedHyperlink"/>
    <w:basedOn w:val="DefaultParagraphFont"/>
    <w:uiPriority w:val="99"/>
    <w:semiHidden/>
    <w:unhideWhenUsed/>
    <w:rsid w:val="009A2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wac/default.aspx?cite=388-76&amp;full=true" TargetMode="External"/><Relationship Id="rId13" Type="http://schemas.openxmlformats.org/officeDocument/2006/relationships/hyperlink" Target="https://app.leg.wa.gov/wac/default.aspx?cite=388-76&amp;full=tru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eg.wa.gov/wac/default.aspx?cite=388-76&amp;full=tru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eg.wa.gov/wac/default.aspx?cite=388-76&amp;full=tru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app.leg.wa.gov/wac/default.aspx?cite=388-76&amp;full=true" TargetMode="External"/><Relationship Id="rId4" Type="http://schemas.openxmlformats.org/officeDocument/2006/relationships/settings" Target="settings.xml"/><Relationship Id="rId9" Type="http://schemas.openxmlformats.org/officeDocument/2006/relationships/hyperlink" Target="https://app.leg.wa.gov/wac/default.aspx?cite=388-76&amp;full=true" TargetMode="External"/><Relationship Id="rId14" Type="http://schemas.openxmlformats.org/officeDocument/2006/relationships/hyperlink" Target="https://app.leg.wa.gov/wac/default.aspx?cite=388-76&amp;full=tru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CS%20Policy%20Unit\Administrative%20Items\DSHS%20-%20ALTSA%20Transforming%20Liv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08F39-48DA-4D47-A56D-56FE908EF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DSHS - ALTSA Transforming Lives Template</Template>
  <TotalTime>7</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Crosby, Amber  (DSHS/ALTSA/RCS)</dc:creator>
  <cp:keywords/>
  <dc:description/>
  <cp:lastModifiedBy>Wagner, Libby (DSHS/ALTSA/RCS)</cp:lastModifiedBy>
  <cp:revision>3</cp:revision>
  <dcterms:created xsi:type="dcterms:W3CDTF">2021-10-19T00:08:00Z</dcterms:created>
  <dcterms:modified xsi:type="dcterms:W3CDTF">2021-10-19T00:14:00Z</dcterms:modified>
</cp:coreProperties>
</file>