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769BB" w14:textId="77777777" w:rsidR="00C4758F" w:rsidRPr="00FE19A4" w:rsidRDefault="00C4758F">
      <w:pPr>
        <w:rPr>
          <w:szCs w:val="24"/>
        </w:rPr>
      </w:pPr>
    </w:p>
    <w:p w14:paraId="13C00A2C" w14:textId="77777777" w:rsidR="00C4758F" w:rsidRPr="00FE19A4" w:rsidRDefault="00C4758F">
      <w:pPr>
        <w:rPr>
          <w:szCs w:val="24"/>
        </w:rPr>
      </w:pPr>
    </w:p>
    <w:p w14:paraId="4952E84A" w14:textId="77777777" w:rsidR="00C4758F" w:rsidRPr="00FE19A4" w:rsidRDefault="00C4758F">
      <w:pPr>
        <w:rPr>
          <w:szCs w:val="24"/>
        </w:rPr>
      </w:pPr>
    </w:p>
    <w:p w14:paraId="0CA64277" w14:textId="77777777" w:rsidR="00C4758F" w:rsidRPr="00FE19A4" w:rsidRDefault="00C4758F">
      <w:pPr>
        <w:jc w:val="center"/>
        <w:rPr>
          <w:b/>
          <w:szCs w:val="24"/>
        </w:rPr>
      </w:pPr>
      <w:r w:rsidRPr="00FE19A4">
        <w:rPr>
          <w:b/>
          <w:szCs w:val="24"/>
        </w:rPr>
        <w:t>MEMORANDUM</w:t>
      </w:r>
    </w:p>
    <w:p w14:paraId="61509211" w14:textId="77777777" w:rsidR="00C4758F" w:rsidRPr="00FE19A4" w:rsidRDefault="00C4758F">
      <w:pPr>
        <w:rPr>
          <w:b/>
          <w:szCs w:val="24"/>
        </w:rPr>
      </w:pPr>
    </w:p>
    <w:p w14:paraId="6B0070E9" w14:textId="77777777" w:rsidR="00C4758F" w:rsidRPr="00FE19A4" w:rsidRDefault="00C4758F">
      <w:pPr>
        <w:rPr>
          <w:b/>
          <w:szCs w:val="24"/>
        </w:rPr>
      </w:pPr>
    </w:p>
    <w:tbl>
      <w:tblPr>
        <w:tblW w:w="0" w:type="auto"/>
        <w:tblLayout w:type="fixed"/>
        <w:tblLook w:val="0000" w:firstRow="0" w:lastRow="0" w:firstColumn="0" w:lastColumn="0" w:noHBand="0" w:noVBand="0"/>
      </w:tblPr>
      <w:tblGrid>
        <w:gridCol w:w="1548"/>
        <w:gridCol w:w="7200"/>
      </w:tblGrid>
      <w:tr w:rsidR="00C4758F" w:rsidRPr="00FE19A4" w14:paraId="37584A53" w14:textId="77777777">
        <w:tc>
          <w:tcPr>
            <w:tcW w:w="1548" w:type="dxa"/>
          </w:tcPr>
          <w:p w14:paraId="0AF89994" w14:textId="77777777" w:rsidR="00C4758F" w:rsidRPr="00FE19A4" w:rsidRDefault="00C4758F">
            <w:pPr>
              <w:rPr>
                <w:b/>
                <w:szCs w:val="24"/>
              </w:rPr>
            </w:pPr>
            <w:r w:rsidRPr="00FE19A4">
              <w:rPr>
                <w:b/>
                <w:szCs w:val="24"/>
              </w:rPr>
              <w:t>DATE:</w:t>
            </w:r>
            <w:r w:rsidRPr="00FE19A4">
              <w:rPr>
                <w:szCs w:val="24"/>
              </w:rPr>
              <w:tab/>
            </w:r>
          </w:p>
        </w:tc>
        <w:tc>
          <w:tcPr>
            <w:tcW w:w="7200" w:type="dxa"/>
          </w:tcPr>
          <w:p w14:paraId="7E286AD9" w14:textId="77777777" w:rsidR="00C4758F" w:rsidRPr="00FE19A4" w:rsidRDefault="002622E2">
            <w:pPr>
              <w:rPr>
                <w:b/>
                <w:szCs w:val="24"/>
              </w:rPr>
            </w:pPr>
            <w:r>
              <w:rPr>
                <w:b/>
                <w:szCs w:val="24"/>
              </w:rPr>
              <w:t xml:space="preserve">May </w:t>
            </w:r>
            <w:r w:rsidR="004C24EE">
              <w:rPr>
                <w:b/>
                <w:szCs w:val="24"/>
              </w:rPr>
              <w:t>8</w:t>
            </w:r>
            <w:r>
              <w:rPr>
                <w:b/>
                <w:szCs w:val="24"/>
              </w:rPr>
              <w:t>, 2019</w:t>
            </w:r>
          </w:p>
          <w:p w14:paraId="6F980DDA" w14:textId="77777777" w:rsidR="00C4758F" w:rsidRPr="00FE19A4" w:rsidRDefault="00C4758F">
            <w:pPr>
              <w:rPr>
                <w:b/>
                <w:szCs w:val="24"/>
              </w:rPr>
            </w:pPr>
          </w:p>
        </w:tc>
      </w:tr>
      <w:tr w:rsidR="00C4758F" w:rsidRPr="00FE19A4" w14:paraId="42DDB35D" w14:textId="77777777">
        <w:tc>
          <w:tcPr>
            <w:tcW w:w="1548" w:type="dxa"/>
          </w:tcPr>
          <w:p w14:paraId="51281BCE" w14:textId="77777777" w:rsidR="00C4758F" w:rsidRPr="00FE19A4" w:rsidRDefault="00C4758F">
            <w:pPr>
              <w:rPr>
                <w:b/>
                <w:szCs w:val="24"/>
              </w:rPr>
            </w:pPr>
            <w:r w:rsidRPr="00FE19A4">
              <w:rPr>
                <w:b/>
                <w:szCs w:val="24"/>
              </w:rPr>
              <w:t>TO:</w:t>
            </w:r>
          </w:p>
        </w:tc>
        <w:tc>
          <w:tcPr>
            <w:tcW w:w="7200" w:type="dxa"/>
          </w:tcPr>
          <w:p w14:paraId="0ABF9CE2" w14:textId="77777777" w:rsidR="007E3C99" w:rsidRPr="00FE19A4" w:rsidRDefault="007E3C99">
            <w:pPr>
              <w:rPr>
                <w:szCs w:val="24"/>
              </w:rPr>
            </w:pPr>
            <w:r w:rsidRPr="00FE19A4">
              <w:rPr>
                <w:szCs w:val="24"/>
              </w:rPr>
              <w:t>Interested Stakeholders</w:t>
            </w:r>
          </w:p>
          <w:p w14:paraId="73F244EB" w14:textId="77777777" w:rsidR="00C4758F" w:rsidRPr="00FE19A4" w:rsidRDefault="00DE2924">
            <w:pPr>
              <w:rPr>
                <w:szCs w:val="24"/>
              </w:rPr>
            </w:pPr>
            <w:r w:rsidRPr="00FE19A4">
              <w:rPr>
                <w:szCs w:val="24"/>
              </w:rPr>
              <w:t xml:space="preserve">Katherine Vasquez, </w:t>
            </w:r>
            <w:r w:rsidR="00227767" w:rsidRPr="00FE19A4">
              <w:rPr>
                <w:szCs w:val="24"/>
              </w:rPr>
              <w:t>DSHS Rules Coordinator</w:t>
            </w:r>
          </w:p>
          <w:p w14:paraId="304ADBC4" w14:textId="77777777" w:rsidR="00C4758F" w:rsidRPr="00FE19A4" w:rsidRDefault="00C4758F">
            <w:pPr>
              <w:rPr>
                <w:szCs w:val="24"/>
              </w:rPr>
            </w:pPr>
          </w:p>
        </w:tc>
      </w:tr>
      <w:tr w:rsidR="00C4758F" w:rsidRPr="00FE19A4" w14:paraId="5C58DAD6" w14:textId="77777777">
        <w:tc>
          <w:tcPr>
            <w:tcW w:w="1548" w:type="dxa"/>
          </w:tcPr>
          <w:p w14:paraId="4E36C35D" w14:textId="77777777" w:rsidR="00C4758F" w:rsidRPr="00FE19A4" w:rsidRDefault="00C4758F">
            <w:pPr>
              <w:rPr>
                <w:b/>
                <w:szCs w:val="24"/>
              </w:rPr>
            </w:pPr>
            <w:r w:rsidRPr="00FE19A4">
              <w:rPr>
                <w:b/>
                <w:szCs w:val="24"/>
              </w:rPr>
              <w:t>FROM:</w:t>
            </w:r>
          </w:p>
        </w:tc>
        <w:tc>
          <w:tcPr>
            <w:tcW w:w="7200" w:type="dxa"/>
          </w:tcPr>
          <w:p w14:paraId="25F192B0" w14:textId="77777777" w:rsidR="00EC6A87" w:rsidRPr="00FE19A4" w:rsidRDefault="00135A25" w:rsidP="00EC6A87">
            <w:pPr>
              <w:rPr>
                <w:szCs w:val="24"/>
              </w:rPr>
            </w:pPr>
            <w:r w:rsidRPr="00FE19A4">
              <w:rPr>
                <w:szCs w:val="24"/>
              </w:rPr>
              <w:t>Jeanette K. Childress</w:t>
            </w:r>
            <w:r w:rsidR="00DE2924" w:rsidRPr="00FE19A4">
              <w:rPr>
                <w:szCs w:val="24"/>
              </w:rPr>
              <w:t xml:space="preserve">, </w:t>
            </w:r>
            <w:r w:rsidR="007E3C99" w:rsidRPr="00FE19A4">
              <w:rPr>
                <w:szCs w:val="24"/>
              </w:rPr>
              <w:t>Division of Residential Care Services</w:t>
            </w:r>
          </w:p>
          <w:p w14:paraId="3F9543DA" w14:textId="77777777" w:rsidR="00C4758F" w:rsidRPr="00FE19A4" w:rsidRDefault="00C4758F">
            <w:pPr>
              <w:rPr>
                <w:szCs w:val="24"/>
              </w:rPr>
            </w:pPr>
          </w:p>
        </w:tc>
      </w:tr>
      <w:tr w:rsidR="00C4758F" w:rsidRPr="00FE19A4" w14:paraId="38FA1B24" w14:textId="77777777">
        <w:tc>
          <w:tcPr>
            <w:tcW w:w="1548" w:type="dxa"/>
            <w:tcBorders>
              <w:bottom w:val="double" w:sz="4" w:space="0" w:color="auto"/>
            </w:tcBorders>
          </w:tcPr>
          <w:p w14:paraId="57D01902" w14:textId="77777777" w:rsidR="00C4758F" w:rsidRPr="00FE19A4" w:rsidRDefault="00C4758F">
            <w:pPr>
              <w:rPr>
                <w:b/>
                <w:szCs w:val="24"/>
              </w:rPr>
            </w:pPr>
            <w:r w:rsidRPr="00FE19A4">
              <w:rPr>
                <w:b/>
                <w:szCs w:val="24"/>
              </w:rPr>
              <w:t>SUBJECT:</w:t>
            </w:r>
          </w:p>
        </w:tc>
        <w:tc>
          <w:tcPr>
            <w:tcW w:w="7200" w:type="dxa"/>
            <w:tcBorders>
              <w:bottom w:val="double" w:sz="4" w:space="0" w:color="auto"/>
            </w:tcBorders>
          </w:tcPr>
          <w:p w14:paraId="655C56B0" w14:textId="77777777" w:rsidR="00EC6A87" w:rsidRPr="00FE19A4" w:rsidRDefault="00C4758F" w:rsidP="00EC6A87">
            <w:pPr>
              <w:rPr>
                <w:szCs w:val="24"/>
              </w:rPr>
            </w:pPr>
            <w:r w:rsidRPr="00FE19A4">
              <w:rPr>
                <w:szCs w:val="24"/>
              </w:rPr>
              <w:t xml:space="preserve">Small Business Economic Impact </w:t>
            </w:r>
            <w:r w:rsidR="008A4CF5" w:rsidRPr="00FE19A4">
              <w:rPr>
                <w:szCs w:val="24"/>
              </w:rPr>
              <w:t>Statement</w:t>
            </w:r>
            <w:r w:rsidR="00AD77FF" w:rsidRPr="00FE19A4">
              <w:rPr>
                <w:szCs w:val="24"/>
              </w:rPr>
              <w:t xml:space="preserve"> and Cost Benefit Analysis</w:t>
            </w:r>
            <w:r w:rsidR="008A4CF5" w:rsidRPr="00FE19A4">
              <w:rPr>
                <w:szCs w:val="24"/>
              </w:rPr>
              <w:t xml:space="preserve"> for</w:t>
            </w:r>
            <w:r w:rsidRPr="00FE19A4">
              <w:rPr>
                <w:szCs w:val="24"/>
              </w:rPr>
              <w:t xml:space="preserve"> Proposed Amendments to </w:t>
            </w:r>
            <w:r w:rsidR="00EC6A87" w:rsidRPr="00FE19A4">
              <w:rPr>
                <w:szCs w:val="24"/>
              </w:rPr>
              <w:t xml:space="preserve">Chapter </w:t>
            </w:r>
            <w:r w:rsidR="00135A25" w:rsidRPr="00FE19A4">
              <w:rPr>
                <w:szCs w:val="24"/>
              </w:rPr>
              <w:t>388-78A</w:t>
            </w:r>
            <w:r w:rsidR="00EC6A87" w:rsidRPr="00FE19A4">
              <w:rPr>
                <w:szCs w:val="24"/>
              </w:rPr>
              <w:t xml:space="preserve"> WAC, </w:t>
            </w:r>
            <w:r w:rsidR="00135A25" w:rsidRPr="00FE19A4">
              <w:rPr>
                <w:szCs w:val="24"/>
              </w:rPr>
              <w:t>Assisted Living Facility Licensing Rules</w:t>
            </w:r>
          </w:p>
          <w:p w14:paraId="22768C89" w14:textId="77777777" w:rsidR="00C4758F" w:rsidRPr="00FE19A4" w:rsidRDefault="00C4758F">
            <w:pPr>
              <w:rPr>
                <w:szCs w:val="24"/>
              </w:rPr>
            </w:pPr>
          </w:p>
        </w:tc>
      </w:tr>
    </w:tbl>
    <w:p w14:paraId="6DF016D5" w14:textId="77777777" w:rsidR="00C4758F" w:rsidRPr="00FE19A4" w:rsidRDefault="00C4758F">
      <w:pPr>
        <w:rPr>
          <w:szCs w:val="24"/>
        </w:rPr>
      </w:pPr>
    </w:p>
    <w:p w14:paraId="2EA8D2A8" w14:textId="77777777" w:rsidR="00C4758F" w:rsidRPr="00FE19A4" w:rsidRDefault="00C4758F">
      <w:pPr>
        <w:rPr>
          <w:b/>
          <w:szCs w:val="24"/>
        </w:rPr>
      </w:pPr>
      <w:r w:rsidRPr="00FE19A4">
        <w:rPr>
          <w:b/>
          <w:szCs w:val="24"/>
        </w:rPr>
        <w:t>SUMMARY OF PROPOSED RULES</w:t>
      </w:r>
    </w:p>
    <w:p w14:paraId="1DA63274" w14:textId="77777777" w:rsidR="00C4758F" w:rsidRPr="00FE19A4" w:rsidRDefault="00C4758F">
      <w:pPr>
        <w:rPr>
          <w:szCs w:val="24"/>
          <w:u w:val="single"/>
        </w:rPr>
      </w:pPr>
    </w:p>
    <w:p w14:paraId="0BEA4132" w14:textId="77777777" w:rsidR="00C4758F" w:rsidRPr="00FE19A4" w:rsidRDefault="00C4758F">
      <w:pPr>
        <w:rPr>
          <w:szCs w:val="24"/>
        </w:rPr>
      </w:pPr>
      <w:r w:rsidRPr="00FE19A4">
        <w:rPr>
          <w:szCs w:val="24"/>
        </w:rPr>
        <w:t>The Department</w:t>
      </w:r>
      <w:r w:rsidR="00135A25" w:rsidRPr="00FE19A4">
        <w:rPr>
          <w:szCs w:val="24"/>
        </w:rPr>
        <w:t xml:space="preserve"> of Social and Health Services</w:t>
      </w:r>
      <w:r w:rsidR="004D67F7" w:rsidRPr="00FE19A4">
        <w:rPr>
          <w:szCs w:val="24"/>
        </w:rPr>
        <w:t xml:space="preserve"> (DSHS)</w:t>
      </w:r>
      <w:r w:rsidR="00135A25" w:rsidRPr="00FE19A4">
        <w:rPr>
          <w:szCs w:val="24"/>
        </w:rPr>
        <w:t xml:space="preserve">, Aging &amp; Long Term </w:t>
      </w:r>
      <w:r w:rsidR="00751150" w:rsidRPr="00FE19A4">
        <w:rPr>
          <w:szCs w:val="24"/>
        </w:rPr>
        <w:t xml:space="preserve">Support </w:t>
      </w:r>
      <w:r w:rsidR="00135A25" w:rsidRPr="00FE19A4">
        <w:rPr>
          <w:szCs w:val="24"/>
        </w:rPr>
        <w:t>Administration</w:t>
      </w:r>
      <w:r w:rsidRPr="00FE19A4">
        <w:rPr>
          <w:szCs w:val="24"/>
        </w:rPr>
        <w:t xml:space="preserve"> is proposing amendments to </w:t>
      </w:r>
      <w:r w:rsidR="00751150" w:rsidRPr="00FE19A4">
        <w:rPr>
          <w:szCs w:val="24"/>
        </w:rPr>
        <w:t>c</w:t>
      </w:r>
      <w:r w:rsidRPr="00FE19A4">
        <w:rPr>
          <w:szCs w:val="24"/>
        </w:rPr>
        <w:t xml:space="preserve">hapter </w:t>
      </w:r>
      <w:r w:rsidR="00135A25" w:rsidRPr="00FE19A4">
        <w:rPr>
          <w:szCs w:val="24"/>
        </w:rPr>
        <w:t>388-78A</w:t>
      </w:r>
      <w:r w:rsidRPr="00FE19A4">
        <w:rPr>
          <w:szCs w:val="24"/>
        </w:rPr>
        <w:t xml:space="preserve"> WAC, </w:t>
      </w:r>
      <w:r w:rsidR="00135A25" w:rsidRPr="00FE19A4">
        <w:rPr>
          <w:szCs w:val="24"/>
        </w:rPr>
        <w:t xml:space="preserve">Assisted Living Facility </w:t>
      </w:r>
      <w:r w:rsidR="004F0568" w:rsidRPr="00FE19A4">
        <w:rPr>
          <w:szCs w:val="24"/>
        </w:rPr>
        <w:t xml:space="preserve">(ALF) </w:t>
      </w:r>
      <w:r w:rsidR="00135A25" w:rsidRPr="00FE19A4">
        <w:rPr>
          <w:szCs w:val="24"/>
        </w:rPr>
        <w:t>Licensing Rules</w:t>
      </w:r>
      <w:r w:rsidR="00DE2924" w:rsidRPr="00FE19A4">
        <w:rPr>
          <w:szCs w:val="24"/>
        </w:rPr>
        <w:t>.</w:t>
      </w:r>
      <w:r w:rsidR="00135A25" w:rsidRPr="00FE19A4">
        <w:rPr>
          <w:szCs w:val="24"/>
        </w:rPr>
        <w:t xml:space="preserve"> </w:t>
      </w:r>
    </w:p>
    <w:p w14:paraId="34D3BF5B" w14:textId="77777777" w:rsidR="00C4758F" w:rsidRPr="00FE19A4" w:rsidRDefault="00C4758F">
      <w:pPr>
        <w:rPr>
          <w:szCs w:val="24"/>
        </w:rPr>
      </w:pPr>
    </w:p>
    <w:p w14:paraId="3A60D5A2" w14:textId="77777777" w:rsidR="00C4758F" w:rsidRPr="00FE19A4" w:rsidRDefault="00135A25">
      <w:pPr>
        <w:rPr>
          <w:szCs w:val="24"/>
        </w:rPr>
      </w:pPr>
      <w:r w:rsidRPr="00FE19A4">
        <w:rPr>
          <w:szCs w:val="24"/>
        </w:rPr>
        <w:t>This chapter is written to implement chapter 18.20 RCW, to promote the safety and well-being of assisted living facility residents, to specify standards for assisted living facility operators, and to further establish requirements for the operation of assisted living facilities.</w:t>
      </w:r>
    </w:p>
    <w:p w14:paraId="2FF07DF2" w14:textId="77777777" w:rsidR="007E3C99" w:rsidRPr="00FE19A4" w:rsidRDefault="007E3C99">
      <w:pPr>
        <w:rPr>
          <w:szCs w:val="24"/>
        </w:rPr>
      </w:pPr>
    </w:p>
    <w:p w14:paraId="381C7B71" w14:textId="77777777" w:rsidR="007E3C99" w:rsidRPr="00FE19A4" w:rsidRDefault="007E3C99" w:rsidP="004D67F7">
      <w:pPr>
        <w:rPr>
          <w:b/>
          <w:szCs w:val="24"/>
        </w:rPr>
      </w:pPr>
      <w:r w:rsidRPr="00FE19A4">
        <w:rPr>
          <w:b/>
          <w:szCs w:val="24"/>
        </w:rPr>
        <w:t>Physical plant rules</w:t>
      </w:r>
    </w:p>
    <w:p w14:paraId="37B85F50" w14:textId="77777777" w:rsidR="007E3C99" w:rsidRPr="00FE19A4" w:rsidRDefault="00220DF7" w:rsidP="007E3C99">
      <w:pPr>
        <w:rPr>
          <w:szCs w:val="24"/>
        </w:rPr>
      </w:pPr>
      <w:r>
        <w:rPr>
          <w:szCs w:val="24"/>
        </w:rPr>
        <w:t>T</w:t>
      </w:r>
      <w:r w:rsidR="000041BD" w:rsidRPr="00FE19A4">
        <w:rPr>
          <w:szCs w:val="24"/>
        </w:rPr>
        <w:t xml:space="preserve">hese rules </w:t>
      </w:r>
      <w:r w:rsidRPr="00FE19A4">
        <w:rPr>
          <w:szCs w:val="24"/>
        </w:rPr>
        <w:t>ha</w:t>
      </w:r>
      <w:r w:rsidR="002D34B0">
        <w:rPr>
          <w:szCs w:val="24"/>
        </w:rPr>
        <w:t>ve</w:t>
      </w:r>
      <w:r w:rsidRPr="00FE19A4">
        <w:rPr>
          <w:szCs w:val="24"/>
        </w:rPr>
        <w:t xml:space="preserve"> </w:t>
      </w:r>
      <w:r w:rsidR="000041BD" w:rsidRPr="00FE19A4">
        <w:rPr>
          <w:szCs w:val="24"/>
        </w:rPr>
        <w:t>not been updated in fourteen years</w:t>
      </w:r>
      <w:r>
        <w:rPr>
          <w:szCs w:val="24"/>
        </w:rPr>
        <w:t>. DSHS developed the rules</w:t>
      </w:r>
      <w:r w:rsidR="000041BD" w:rsidRPr="00FE19A4">
        <w:rPr>
          <w:szCs w:val="24"/>
        </w:rPr>
        <w:t xml:space="preserve"> to clarify language</w:t>
      </w:r>
      <w:r w:rsidR="00D20FAB" w:rsidRPr="00FE19A4">
        <w:rPr>
          <w:szCs w:val="24"/>
        </w:rPr>
        <w:t xml:space="preserve"> that was unclear, ambiguous, and inaccurate.  The rules needed to be coordinated with the national building code standards for assisted living facilities</w:t>
      </w:r>
      <w:r w:rsidR="005B0AAA">
        <w:rPr>
          <w:szCs w:val="24"/>
        </w:rPr>
        <w:t xml:space="preserve"> which are updated every three years</w:t>
      </w:r>
      <w:r w:rsidR="00D20FAB" w:rsidRPr="00FE19A4">
        <w:rPr>
          <w:szCs w:val="24"/>
        </w:rPr>
        <w:t>.  The Department of Health</w:t>
      </w:r>
      <w:r w:rsidR="00301EA4" w:rsidRPr="00FE19A4">
        <w:rPr>
          <w:szCs w:val="24"/>
        </w:rPr>
        <w:t xml:space="preserve"> (DOH)</w:t>
      </w:r>
      <w:r w:rsidR="00D20FAB" w:rsidRPr="00FE19A4">
        <w:rPr>
          <w:szCs w:val="24"/>
        </w:rPr>
        <w:t>, Construction Review Services</w:t>
      </w:r>
      <w:r w:rsidR="00301EA4" w:rsidRPr="00FE19A4">
        <w:rPr>
          <w:szCs w:val="24"/>
        </w:rPr>
        <w:t xml:space="preserve"> division</w:t>
      </w:r>
      <w:r w:rsidR="00D20FAB" w:rsidRPr="00FE19A4">
        <w:rPr>
          <w:szCs w:val="24"/>
        </w:rPr>
        <w:t xml:space="preserve"> collaborated with DSHS to review and develop requirements for the physical environment described in chapter 388-78A WAC Assisted Living Facility Licensing Rules. </w:t>
      </w:r>
      <w:r w:rsidR="007E3C99" w:rsidRPr="00FE19A4">
        <w:rPr>
          <w:szCs w:val="24"/>
        </w:rPr>
        <w:t xml:space="preserve"> </w:t>
      </w:r>
    </w:p>
    <w:p w14:paraId="372D61EB" w14:textId="77777777" w:rsidR="007E3C99" w:rsidRPr="00FE19A4" w:rsidRDefault="007E3C99" w:rsidP="004D67F7">
      <w:pPr>
        <w:rPr>
          <w:b/>
          <w:szCs w:val="24"/>
        </w:rPr>
      </w:pPr>
    </w:p>
    <w:p w14:paraId="631256C0" w14:textId="77777777" w:rsidR="004D67F7" w:rsidRPr="00FE19A4" w:rsidRDefault="004D67F7" w:rsidP="004D67F7">
      <w:pPr>
        <w:rPr>
          <w:b/>
          <w:szCs w:val="24"/>
        </w:rPr>
      </w:pPr>
      <w:r w:rsidRPr="00FE19A4">
        <w:rPr>
          <w:b/>
          <w:szCs w:val="24"/>
        </w:rPr>
        <w:t>INVOLVEMENT OF STAKEHOLDERS</w:t>
      </w:r>
    </w:p>
    <w:p w14:paraId="5196F08C" w14:textId="77777777" w:rsidR="00022404" w:rsidRPr="00FE19A4" w:rsidRDefault="00022404" w:rsidP="00AB0744">
      <w:pPr>
        <w:rPr>
          <w:b/>
          <w:szCs w:val="24"/>
        </w:rPr>
      </w:pPr>
    </w:p>
    <w:p w14:paraId="2696FACF" w14:textId="77777777" w:rsidR="00D068F2" w:rsidRPr="008322F8" w:rsidRDefault="007E3C99" w:rsidP="00AB0744">
      <w:pPr>
        <w:rPr>
          <w:b/>
          <w:szCs w:val="24"/>
        </w:rPr>
      </w:pPr>
      <w:r w:rsidRPr="00FE19A4">
        <w:rPr>
          <w:b/>
          <w:szCs w:val="24"/>
        </w:rPr>
        <w:t>Advisory Committee</w:t>
      </w:r>
    </w:p>
    <w:p w14:paraId="0920A9C6" w14:textId="77777777" w:rsidR="00DE2924" w:rsidRPr="00A97268" w:rsidRDefault="00DE2924" w:rsidP="00AB0744">
      <w:pPr>
        <w:rPr>
          <w:szCs w:val="24"/>
        </w:rPr>
      </w:pPr>
      <w:r w:rsidRPr="008322F8">
        <w:rPr>
          <w:szCs w:val="24"/>
        </w:rPr>
        <w:t xml:space="preserve">An advisory committee was established </w:t>
      </w:r>
      <w:r w:rsidRPr="00975379">
        <w:rPr>
          <w:szCs w:val="24"/>
        </w:rPr>
        <w:t>to</w:t>
      </w:r>
      <w:r w:rsidR="004F0568" w:rsidRPr="00975379">
        <w:rPr>
          <w:szCs w:val="24"/>
        </w:rPr>
        <w:t xml:space="preserve"> p</w:t>
      </w:r>
      <w:r w:rsidRPr="00220DF7">
        <w:rPr>
          <w:szCs w:val="24"/>
        </w:rPr>
        <w:t>rovide advisory opinion to transform policy decisions into action</w:t>
      </w:r>
      <w:r w:rsidR="004F0568" w:rsidRPr="00220DF7">
        <w:rPr>
          <w:szCs w:val="24"/>
        </w:rPr>
        <w:t>, b</w:t>
      </w:r>
      <w:r w:rsidRPr="00220DF7">
        <w:rPr>
          <w:szCs w:val="24"/>
        </w:rPr>
        <w:t>uild rules through collaboration and voting</w:t>
      </w:r>
      <w:r w:rsidR="004F0568" w:rsidRPr="00220DF7">
        <w:rPr>
          <w:szCs w:val="24"/>
        </w:rPr>
        <w:t xml:space="preserve">, </w:t>
      </w:r>
      <w:r w:rsidRPr="00220DF7">
        <w:rPr>
          <w:szCs w:val="24"/>
        </w:rPr>
        <w:t>give the community a forum for participating in rule development</w:t>
      </w:r>
      <w:r w:rsidR="004F0568" w:rsidRPr="00220DF7">
        <w:rPr>
          <w:szCs w:val="24"/>
        </w:rPr>
        <w:t>,</w:t>
      </w:r>
      <w:r w:rsidR="00220DF7">
        <w:rPr>
          <w:szCs w:val="24"/>
        </w:rPr>
        <w:t xml:space="preserve"> and</w:t>
      </w:r>
      <w:r w:rsidR="004F0568" w:rsidRPr="00220DF7">
        <w:rPr>
          <w:szCs w:val="24"/>
        </w:rPr>
        <w:t xml:space="preserve"> </w:t>
      </w:r>
      <w:r w:rsidRPr="00220DF7">
        <w:rPr>
          <w:szCs w:val="24"/>
        </w:rPr>
        <w:t>to provide a fair and transparent rule development process with a balance of expertise included in the decisions</w:t>
      </w:r>
      <w:r w:rsidR="004F0568" w:rsidRPr="00CA53A5">
        <w:rPr>
          <w:szCs w:val="24"/>
        </w:rPr>
        <w:t xml:space="preserve">. </w:t>
      </w:r>
      <w:r w:rsidRPr="00417DD6">
        <w:rPr>
          <w:szCs w:val="24"/>
        </w:rPr>
        <w:t xml:space="preserve">The advisory committee </w:t>
      </w:r>
      <w:r w:rsidR="004F0568" w:rsidRPr="00044D12">
        <w:rPr>
          <w:szCs w:val="24"/>
        </w:rPr>
        <w:t>consisted</w:t>
      </w:r>
      <w:r w:rsidRPr="00044D12">
        <w:rPr>
          <w:szCs w:val="24"/>
        </w:rPr>
        <w:t xml:space="preserve"> of representatives impacted by these ALF rules</w:t>
      </w:r>
      <w:r w:rsidR="004F0568" w:rsidRPr="00044D12">
        <w:rPr>
          <w:szCs w:val="24"/>
        </w:rPr>
        <w:t xml:space="preserve"> including </w:t>
      </w:r>
      <w:r w:rsidR="004F0568" w:rsidRPr="00044D12">
        <w:rPr>
          <w:szCs w:val="24"/>
        </w:rPr>
        <w:lastRenderedPageBreak/>
        <w:t>representation of both for-profit and non-profit partners for each of the following: developers, a</w:t>
      </w:r>
      <w:r w:rsidRPr="00044D12">
        <w:rPr>
          <w:szCs w:val="24"/>
        </w:rPr>
        <w:t>rchitects</w:t>
      </w:r>
      <w:r w:rsidR="00AB0744" w:rsidRPr="00044D12">
        <w:rPr>
          <w:szCs w:val="24"/>
        </w:rPr>
        <w:t>,</w:t>
      </w:r>
      <w:r w:rsidR="00AB0744" w:rsidRPr="00044D12">
        <w:rPr>
          <w:szCs w:val="24"/>
        </w:rPr>
        <w:tab/>
        <w:t xml:space="preserve"> a</w:t>
      </w:r>
      <w:r w:rsidRPr="00044D12">
        <w:rPr>
          <w:szCs w:val="24"/>
        </w:rPr>
        <w:t>ssociations</w:t>
      </w:r>
      <w:r w:rsidR="00AB0744" w:rsidRPr="00044D12">
        <w:rPr>
          <w:szCs w:val="24"/>
        </w:rPr>
        <w:t xml:space="preserve">, </w:t>
      </w:r>
      <w:r w:rsidR="00776B1A">
        <w:rPr>
          <w:szCs w:val="24"/>
        </w:rPr>
        <w:t xml:space="preserve">facility administrators, </w:t>
      </w:r>
      <w:r w:rsidR="00AB0744" w:rsidRPr="00044D12">
        <w:rPr>
          <w:szCs w:val="24"/>
        </w:rPr>
        <w:t>and p</w:t>
      </w:r>
      <w:r w:rsidRPr="00044D12">
        <w:rPr>
          <w:szCs w:val="24"/>
        </w:rPr>
        <w:t>rivately owned facilities</w:t>
      </w:r>
      <w:r w:rsidR="00AB0744" w:rsidRPr="00044D12">
        <w:rPr>
          <w:szCs w:val="24"/>
        </w:rPr>
        <w:t>.  As well as representation from the Ombuds Of</w:t>
      </w:r>
      <w:r w:rsidR="00AB0744" w:rsidRPr="00A97268">
        <w:rPr>
          <w:szCs w:val="24"/>
        </w:rPr>
        <w:t>fice and the Department of Health, Construction Review Services.</w:t>
      </w:r>
    </w:p>
    <w:p w14:paraId="451DCAD9" w14:textId="77777777" w:rsidR="00C4758F" w:rsidRPr="00A97268" w:rsidRDefault="00C4758F">
      <w:pPr>
        <w:rPr>
          <w:szCs w:val="24"/>
        </w:rPr>
      </w:pPr>
    </w:p>
    <w:p w14:paraId="22FBD055" w14:textId="77777777" w:rsidR="007E3C99" w:rsidRPr="00772ADC" w:rsidRDefault="001A1757" w:rsidP="004B2AD4">
      <w:pPr>
        <w:rPr>
          <w:szCs w:val="24"/>
          <w:u w:val="single"/>
        </w:rPr>
      </w:pPr>
      <w:r w:rsidRPr="00772ADC">
        <w:rPr>
          <w:szCs w:val="24"/>
          <w:u w:val="single"/>
        </w:rPr>
        <w:t>Overview of changes:</w:t>
      </w:r>
    </w:p>
    <w:p w14:paraId="31741D21" w14:textId="77777777" w:rsidR="001A1757" w:rsidRPr="00FE19A4" w:rsidRDefault="001A1757" w:rsidP="004B2AD4">
      <w:pPr>
        <w:rPr>
          <w:szCs w:val="24"/>
        </w:rPr>
      </w:pPr>
    </w:p>
    <w:p w14:paraId="4E8E4312" w14:textId="77777777" w:rsidR="007E3C99" w:rsidRPr="00220DF7" w:rsidRDefault="007E3C99" w:rsidP="007E3C99">
      <w:pPr>
        <w:rPr>
          <w:b/>
          <w:szCs w:val="24"/>
        </w:rPr>
      </w:pPr>
      <w:r w:rsidRPr="008322F8">
        <w:rPr>
          <w:b/>
          <w:szCs w:val="24"/>
        </w:rPr>
        <w:t xml:space="preserve">Reorganized </w:t>
      </w:r>
      <w:r w:rsidR="00BC0324" w:rsidRPr="00975379">
        <w:rPr>
          <w:b/>
          <w:szCs w:val="24"/>
        </w:rPr>
        <w:t>sections</w:t>
      </w:r>
    </w:p>
    <w:p w14:paraId="42AFD956" w14:textId="77777777" w:rsidR="006D41C3" w:rsidRPr="00044D12" w:rsidRDefault="00AD2854" w:rsidP="007E3C99">
      <w:pPr>
        <w:rPr>
          <w:szCs w:val="24"/>
        </w:rPr>
      </w:pPr>
      <w:r w:rsidRPr="00CA53A5">
        <w:rPr>
          <w:szCs w:val="24"/>
        </w:rPr>
        <w:t xml:space="preserve">DSHS reorganized the sections to reflect a flow of licensing requirements that occur from the construction phase with </w:t>
      </w:r>
      <w:r w:rsidR="00301EA4" w:rsidRPr="00417DD6">
        <w:rPr>
          <w:szCs w:val="24"/>
        </w:rPr>
        <w:t>DOH</w:t>
      </w:r>
      <w:r w:rsidRPr="00044D12">
        <w:rPr>
          <w:szCs w:val="24"/>
        </w:rPr>
        <w:t xml:space="preserve"> Construction Review Services</w:t>
      </w:r>
      <w:r w:rsidR="009208E4" w:rsidRPr="00044D12">
        <w:rPr>
          <w:szCs w:val="24"/>
        </w:rPr>
        <w:t xml:space="preserve"> division</w:t>
      </w:r>
      <w:r w:rsidRPr="00044D12">
        <w:rPr>
          <w:szCs w:val="24"/>
        </w:rPr>
        <w:t xml:space="preserve"> through the licensing </w:t>
      </w:r>
      <w:r w:rsidR="009208E4" w:rsidRPr="00044D12">
        <w:rPr>
          <w:szCs w:val="24"/>
        </w:rPr>
        <w:t>phase with DSHS Residential Care Servi</w:t>
      </w:r>
      <w:r w:rsidR="00BC0324" w:rsidRPr="00044D12">
        <w:rPr>
          <w:szCs w:val="24"/>
        </w:rPr>
        <w:t>ces division.</w:t>
      </w:r>
    </w:p>
    <w:p w14:paraId="6F31A33D" w14:textId="77777777" w:rsidR="00BC0324" w:rsidRPr="00A97268" w:rsidRDefault="00BC0324" w:rsidP="007E3C99">
      <w:pPr>
        <w:rPr>
          <w:szCs w:val="24"/>
        </w:rPr>
      </w:pPr>
    </w:p>
    <w:p w14:paraId="5E5043AF" w14:textId="77777777" w:rsidR="007E3C99" w:rsidRPr="00A97268" w:rsidRDefault="00DB688B" w:rsidP="007E3C99">
      <w:pPr>
        <w:rPr>
          <w:b/>
          <w:szCs w:val="24"/>
        </w:rPr>
      </w:pPr>
      <w:r w:rsidRPr="00A97268">
        <w:rPr>
          <w:b/>
          <w:szCs w:val="24"/>
        </w:rPr>
        <w:t>New section-Project and operations functional p</w:t>
      </w:r>
      <w:r w:rsidR="007E3C99" w:rsidRPr="00A97268">
        <w:rPr>
          <w:b/>
          <w:szCs w:val="24"/>
        </w:rPr>
        <w:t>rogram</w:t>
      </w:r>
      <w:r w:rsidR="00301EA4" w:rsidRPr="00A97268">
        <w:rPr>
          <w:b/>
          <w:szCs w:val="24"/>
        </w:rPr>
        <w:t xml:space="preserve"> </w:t>
      </w:r>
    </w:p>
    <w:p w14:paraId="48417966" w14:textId="77777777" w:rsidR="000041BD" w:rsidRPr="00817485" w:rsidRDefault="00A01CE1" w:rsidP="007E3C99">
      <w:pPr>
        <w:rPr>
          <w:szCs w:val="24"/>
        </w:rPr>
      </w:pPr>
      <w:r w:rsidRPr="00FE19A4">
        <w:rPr>
          <w:szCs w:val="24"/>
        </w:rPr>
        <w:t>DSHS added a</w:t>
      </w:r>
      <w:r w:rsidR="00301EA4" w:rsidRPr="00FE19A4">
        <w:rPr>
          <w:szCs w:val="24"/>
        </w:rPr>
        <w:t xml:space="preserve"> new section to describe the requirements of the </w:t>
      </w:r>
      <w:r w:rsidR="00933734" w:rsidRPr="00FE19A4">
        <w:rPr>
          <w:szCs w:val="24"/>
        </w:rPr>
        <w:t>operation</w:t>
      </w:r>
      <w:r w:rsidR="00772ADC">
        <w:rPr>
          <w:szCs w:val="24"/>
        </w:rPr>
        <w:t>s</w:t>
      </w:r>
      <w:r w:rsidR="00933734" w:rsidRPr="00FE19A4">
        <w:rPr>
          <w:szCs w:val="24"/>
        </w:rPr>
        <w:t xml:space="preserve"> </w:t>
      </w:r>
      <w:r w:rsidR="00301EA4" w:rsidRPr="00FE19A4">
        <w:rPr>
          <w:szCs w:val="24"/>
        </w:rPr>
        <w:t>functional program</w:t>
      </w:r>
      <w:r w:rsidR="00817485">
        <w:rPr>
          <w:szCs w:val="24"/>
        </w:rPr>
        <w:t xml:space="preserve"> for</w:t>
      </w:r>
      <w:r w:rsidR="00301EA4" w:rsidRPr="00817485">
        <w:rPr>
          <w:szCs w:val="24"/>
        </w:rPr>
        <w:t xml:space="preserve"> when developers, architects, and facilities make an application to DOH </w:t>
      </w:r>
      <w:r w:rsidRPr="00CA53A5">
        <w:rPr>
          <w:szCs w:val="24"/>
        </w:rPr>
        <w:t>C</w:t>
      </w:r>
      <w:r w:rsidR="00301EA4" w:rsidRPr="00417DD6">
        <w:rPr>
          <w:szCs w:val="24"/>
        </w:rPr>
        <w:t xml:space="preserve">onstruction </w:t>
      </w:r>
      <w:r w:rsidRPr="00044D12">
        <w:rPr>
          <w:szCs w:val="24"/>
        </w:rPr>
        <w:t>Review S</w:t>
      </w:r>
      <w:r w:rsidR="00301EA4" w:rsidRPr="00044D12">
        <w:rPr>
          <w:szCs w:val="24"/>
        </w:rPr>
        <w:t xml:space="preserve">ervices to describe the care services that </w:t>
      </w:r>
      <w:r w:rsidR="00933734" w:rsidRPr="00044D12">
        <w:rPr>
          <w:szCs w:val="24"/>
        </w:rPr>
        <w:t>are</w:t>
      </w:r>
      <w:r w:rsidR="00301EA4" w:rsidRPr="00044D12">
        <w:rPr>
          <w:szCs w:val="24"/>
        </w:rPr>
        <w:t xml:space="preserve"> impact</w:t>
      </w:r>
      <w:r w:rsidR="00933734" w:rsidRPr="00044D12">
        <w:rPr>
          <w:szCs w:val="24"/>
        </w:rPr>
        <w:t>ed with</w:t>
      </w:r>
      <w:r w:rsidR="00301EA4" w:rsidRPr="00044D12">
        <w:rPr>
          <w:szCs w:val="24"/>
        </w:rPr>
        <w:t xml:space="preserve"> physical plant requirements</w:t>
      </w:r>
      <w:r w:rsidRPr="00A97268">
        <w:rPr>
          <w:szCs w:val="24"/>
        </w:rPr>
        <w:t xml:space="preserve">. </w:t>
      </w:r>
      <w:r w:rsidR="00933734" w:rsidRPr="00A97268">
        <w:rPr>
          <w:szCs w:val="24"/>
        </w:rPr>
        <w:t>It is a means to document considerations and decisions related to the physical environment for new construction.</w:t>
      </w:r>
      <w:r w:rsidR="005C46A9" w:rsidRPr="00A97268">
        <w:rPr>
          <w:szCs w:val="24"/>
        </w:rPr>
        <w:t xml:space="preserve"> The functional program document identifies</w:t>
      </w:r>
      <w:r w:rsidR="0012396F" w:rsidRPr="00FE19A4">
        <w:rPr>
          <w:szCs w:val="24"/>
        </w:rPr>
        <w:t xml:space="preserve"> population specific standards on</w:t>
      </w:r>
      <w:r w:rsidR="005C46A9" w:rsidRPr="00FE19A4">
        <w:rPr>
          <w:szCs w:val="24"/>
        </w:rPr>
        <w:t xml:space="preserve"> how services will be rendered in an area that must meet physical plant standards</w:t>
      </w:r>
      <w:r w:rsidR="00817485">
        <w:rPr>
          <w:szCs w:val="24"/>
        </w:rPr>
        <w:t xml:space="preserve"> such as medication services and security.</w:t>
      </w:r>
    </w:p>
    <w:p w14:paraId="12DB1C51" w14:textId="77777777" w:rsidR="00767273" w:rsidRPr="00CA53A5" w:rsidRDefault="00767273" w:rsidP="007E3C99">
      <w:pPr>
        <w:rPr>
          <w:szCs w:val="24"/>
        </w:rPr>
      </w:pPr>
    </w:p>
    <w:p w14:paraId="7ADA163B" w14:textId="77777777" w:rsidR="00767273" w:rsidRPr="00044D12" w:rsidRDefault="00767273" w:rsidP="007E3C99">
      <w:pPr>
        <w:rPr>
          <w:b/>
          <w:szCs w:val="24"/>
        </w:rPr>
      </w:pPr>
      <w:r w:rsidRPr="00044D12">
        <w:rPr>
          <w:b/>
          <w:szCs w:val="24"/>
        </w:rPr>
        <w:t>New section-General design requirements</w:t>
      </w:r>
      <w:r w:rsidR="005C46A9" w:rsidRPr="00044D12">
        <w:rPr>
          <w:b/>
          <w:szCs w:val="24"/>
        </w:rPr>
        <w:t xml:space="preserve"> for memory care</w:t>
      </w:r>
    </w:p>
    <w:p w14:paraId="1B93C83A" w14:textId="77777777" w:rsidR="00767273" w:rsidRPr="00417DD6" w:rsidRDefault="005C46A9" w:rsidP="007E3C99">
      <w:pPr>
        <w:rPr>
          <w:szCs w:val="24"/>
        </w:rPr>
      </w:pPr>
      <w:r w:rsidRPr="00044D12">
        <w:rPr>
          <w:szCs w:val="24"/>
        </w:rPr>
        <w:t xml:space="preserve">A section </w:t>
      </w:r>
      <w:r w:rsidR="00772ADC">
        <w:rPr>
          <w:szCs w:val="24"/>
        </w:rPr>
        <w:t>is</w:t>
      </w:r>
      <w:r w:rsidRPr="00044D12">
        <w:rPr>
          <w:szCs w:val="24"/>
        </w:rPr>
        <w:t xml:space="preserve"> </w:t>
      </w:r>
      <w:r w:rsidR="003F1803" w:rsidRPr="00A97268">
        <w:rPr>
          <w:szCs w:val="24"/>
        </w:rPr>
        <w:t>included</w:t>
      </w:r>
      <w:r w:rsidRPr="00A97268">
        <w:rPr>
          <w:szCs w:val="24"/>
        </w:rPr>
        <w:t xml:space="preserve"> </w:t>
      </w:r>
      <w:r w:rsidR="0012396F" w:rsidRPr="00A97268">
        <w:rPr>
          <w:szCs w:val="24"/>
        </w:rPr>
        <w:t xml:space="preserve">for </w:t>
      </w:r>
      <w:r w:rsidR="00776EB8" w:rsidRPr="00A97268">
        <w:rPr>
          <w:szCs w:val="24"/>
        </w:rPr>
        <w:t>t</w:t>
      </w:r>
      <w:r w:rsidR="0012396F" w:rsidRPr="00A97268">
        <w:rPr>
          <w:szCs w:val="24"/>
        </w:rPr>
        <w:t>he c</w:t>
      </w:r>
      <w:r w:rsidR="0012396F" w:rsidRPr="00FE19A4">
        <w:rPr>
          <w:szCs w:val="24"/>
        </w:rPr>
        <w:t xml:space="preserve">odification of memory care requirements with architectural and programmatic solutions </w:t>
      </w:r>
      <w:r w:rsidRPr="00FE19A4">
        <w:rPr>
          <w:szCs w:val="24"/>
        </w:rPr>
        <w:t xml:space="preserve">for units </w:t>
      </w:r>
      <w:r w:rsidR="00044D12">
        <w:rPr>
          <w:szCs w:val="24"/>
        </w:rPr>
        <w:t>commonly</w:t>
      </w:r>
      <w:r w:rsidR="00044D12" w:rsidRPr="00044D12">
        <w:rPr>
          <w:szCs w:val="24"/>
        </w:rPr>
        <w:t xml:space="preserve"> </w:t>
      </w:r>
      <w:r w:rsidRPr="00044D12">
        <w:rPr>
          <w:szCs w:val="24"/>
        </w:rPr>
        <w:t>referred to as ‘dementia units’</w:t>
      </w:r>
      <w:r w:rsidR="00196278" w:rsidRPr="00044D12">
        <w:rPr>
          <w:szCs w:val="24"/>
        </w:rPr>
        <w:t>.</w:t>
      </w:r>
      <w:r w:rsidR="00D249AB" w:rsidRPr="00044D12">
        <w:rPr>
          <w:szCs w:val="24"/>
        </w:rPr>
        <w:t xml:space="preserve"> The requirement for outdoor spaces has been clarified to identify an alternative consideration to the requirement th</w:t>
      </w:r>
      <w:r w:rsidR="00D249AB" w:rsidRPr="00A97268">
        <w:rPr>
          <w:szCs w:val="24"/>
        </w:rPr>
        <w:t xml:space="preserve">at an outdoor space be available ‘on the floor on which the resident resides’ </w:t>
      </w:r>
      <w:r w:rsidR="002622E2">
        <w:rPr>
          <w:szCs w:val="24"/>
        </w:rPr>
        <w:t>such as</w:t>
      </w:r>
      <w:r w:rsidR="00D249AB" w:rsidRPr="00A97268">
        <w:rPr>
          <w:szCs w:val="24"/>
        </w:rPr>
        <w:t xml:space="preserve"> </w:t>
      </w:r>
      <w:r w:rsidR="002622E2">
        <w:rPr>
          <w:szCs w:val="24"/>
        </w:rPr>
        <w:t>an indoor viewing area for new construction may be permissible.</w:t>
      </w:r>
      <w:r w:rsidR="00D249AB" w:rsidRPr="00A97268">
        <w:rPr>
          <w:szCs w:val="24"/>
        </w:rPr>
        <w:t xml:space="preserve"> This section</w:t>
      </w:r>
      <w:r w:rsidR="00817485">
        <w:rPr>
          <w:szCs w:val="24"/>
        </w:rPr>
        <w:t xml:space="preserve"> </w:t>
      </w:r>
      <w:r w:rsidR="001224A0" w:rsidRPr="00817485">
        <w:rPr>
          <w:szCs w:val="24"/>
        </w:rPr>
        <w:t>authorizes</w:t>
      </w:r>
      <w:r w:rsidR="00D249AB" w:rsidRPr="00817485">
        <w:rPr>
          <w:szCs w:val="24"/>
        </w:rPr>
        <w:t xml:space="preserve"> a facility to temporarily secure access to their outdoor spaces during in</w:t>
      </w:r>
      <w:r w:rsidR="00D249AB" w:rsidRPr="00CA53A5">
        <w:rPr>
          <w:szCs w:val="24"/>
        </w:rPr>
        <w:t>clement weather, construction, maintenance, and other temporary environmental factors.</w:t>
      </w:r>
    </w:p>
    <w:p w14:paraId="0F75170A" w14:textId="77777777" w:rsidR="00DB688B" w:rsidRPr="00044D12" w:rsidRDefault="00DB688B" w:rsidP="007E3C99">
      <w:pPr>
        <w:rPr>
          <w:szCs w:val="24"/>
        </w:rPr>
      </w:pPr>
    </w:p>
    <w:p w14:paraId="1A01966E" w14:textId="77777777" w:rsidR="00DB688B" w:rsidRPr="00044D12" w:rsidRDefault="00DB688B" w:rsidP="00DB688B">
      <w:pPr>
        <w:rPr>
          <w:b/>
          <w:szCs w:val="24"/>
        </w:rPr>
      </w:pPr>
      <w:r w:rsidRPr="00044D12">
        <w:rPr>
          <w:b/>
          <w:szCs w:val="24"/>
        </w:rPr>
        <w:t>New section-Applicability requirements for physical plant</w:t>
      </w:r>
    </w:p>
    <w:p w14:paraId="49F4AB7D" w14:textId="77777777" w:rsidR="00DB688B" w:rsidRPr="00FE19A4" w:rsidRDefault="00DB688B" w:rsidP="00DB688B">
      <w:pPr>
        <w:rPr>
          <w:szCs w:val="24"/>
        </w:rPr>
      </w:pPr>
      <w:r w:rsidRPr="00044D12">
        <w:rPr>
          <w:szCs w:val="24"/>
        </w:rPr>
        <w:t xml:space="preserve">DSHS added a new section to </w:t>
      </w:r>
      <w:r w:rsidR="0012396F" w:rsidRPr="00044D12">
        <w:rPr>
          <w:szCs w:val="24"/>
        </w:rPr>
        <w:t>c</w:t>
      </w:r>
      <w:r w:rsidR="00AD212E" w:rsidRPr="00044D12">
        <w:rPr>
          <w:szCs w:val="24"/>
        </w:rPr>
        <w:t>larify</w:t>
      </w:r>
      <w:r w:rsidRPr="00044D12">
        <w:rPr>
          <w:szCs w:val="24"/>
        </w:rPr>
        <w:t xml:space="preserve"> the complicated references to grandfathering language for existing fac</w:t>
      </w:r>
      <w:r w:rsidRPr="00A97268">
        <w:rPr>
          <w:szCs w:val="24"/>
        </w:rPr>
        <w:t>ilities that was added to the rules in 2004</w:t>
      </w:r>
      <w:r w:rsidR="00AD212E" w:rsidRPr="00A97268">
        <w:rPr>
          <w:szCs w:val="24"/>
        </w:rPr>
        <w:t>. This section</w:t>
      </w:r>
      <w:r w:rsidRPr="00A97268">
        <w:rPr>
          <w:szCs w:val="24"/>
        </w:rPr>
        <w:t xml:space="preserve"> reflects the </w:t>
      </w:r>
      <w:r w:rsidR="00AD212E" w:rsidRPr="00FE19A4">
        <w:rPr>
          <w:szCs w:val="24"/>
        </w:rPr>
        <w:t>regulations</w:t>
      </w:r>
      <w:r w:rsidRPr="00FE19A4">
        <w:rPr>
          <w:szCs w:val="24"/>
        </w:rPr>
        <w:t xml:space="preserve"> that are required by local and state building codes to be maintained with current standards</w:t>
      </w:r>
      <w:r w:rsidR="006E3F21" w:rsidRPr="00FE19A4">
        <w:rPr>
          <w:szCs w:val="24"/>
        </w:rPr>
        <w:t xml:space="preserve"> for new and existing facilities.</w:t>
      </w:r>
    </w:p>
    <w:p w14:paraId="4A63B6B9" w14:textId="77777777" w:rsidR="00DB688B" w:rsidRPr="00FE19A4" w:rsidRDefault="00DB688B" w:rsidP="007E3C99">
      <w:pPr>
        <w:rPr>
          <w:szCs w:val="24"/>
        </w:rPr>
      </w:pPr>
    </w:p>
    <w:p w14:paraId="6E65A8A7" w14:textId="77777777" w:rsidR="00DB688B" w:rsidRPr="00FE19A4" w:rsidRDefault="00DB688B" w:rsidP="007E3C99">
      <w:pPr>
        <w:rPr>
          <w:b/>
          <w:szCs w:val="24"/>
        </w:rPr>
      </w:pPr>
      <w:r w:rsidRPr="00FE19A4">
        <w:rPr>
          <w:b/>
          <w:szCs w:val="24"/>
        </w:rPr>
        <w:t>New section-New licenses and use of construction</w:t>
      </w:r>
    </w:p>
    <w:p w14:paraId="4D03F984" w14:textId="77777777" w:rsidR="00DB688B" w:rsidRPr="00FE19A4" w:rsidRDefault="00DA24F2" w:rsidP="007E3C99">
      <w:pPr>
        <w:rPr>
          <w:szCs w:val="24"/>
        </w:rPr>
      </w:pPr>
      <w:r w:rsidRPr="00FE19A4">
        <w:rPr>
          <w:szCs w:val="24"/>
        </w:rPr>
        <w:t>DSHS clarified</w:t>
      </w:r>
      <w:r w:rsidR="00C551E2" w:rsidRPr="00FE19A4">
        <w:rPr>
          <w:szCs w:val="24"/>
        </w:rPr>
        <w:t xml:space="preserve"> which regulatory authority is required to inspect a facility when new construction has occurred</w:t>
      </w:r>
      <w:r w:rsidRPr="00FE19A4">
        <w:rPr>
          <w:szCs w:val="24"/>
        </w:rPr>
        <w:t xml:space="preserve"> for a new or currently licensed facility by</w:t>
      </w:r>
      <w:r w:rsidR="00C551E2" w:rsidRPr="00FE19A4">
        <w:rPr>
          <w:szCs w:val="24"/>
        </w:rPr>
        <w:t xml:space="preserve"> DOH Construction Review Services, the Washington State Patrol Office of the Fire Marshal, and DSHS Residential Care Services</w:t>
      </w:r>
      <w:r w:rsidRPr="00FE19A4">
        <w:rPr>
          <w:szCs w:val="24"/>
        </w:rPr>
        <w:t>. Certain construction projects</w:t>
      </w:r>
      <w:r w:rsidR="00C551E2" w:rsidRPr="00FE19A4">
        <w:rPr>
          <w:szCs w:val="24"/>
        </w:rPr>
        <w:t xml:space="preserve"> must </w:t>
      </w:r>
      <w:r w:rsidRPr="00FE19A4">
        <w:rPr>
          <w:szCs w:val="24"/>
        </w:rPr>
        <w:t>be inspected</w:t>
      </w:r>
      <w:r w:rsidR="00C551E2" w:rsidRPr="00FE19A4">
        <w:rPr>
          <w:szCs w:val="24"/>
        </w:rPr>
        <w:t xml:space="preserve"> before licensing a facility or </w:t>
      </w:r>
      <w:r w:rsidR="00772ADC">
        <w:rPr>
          <w:szCs w:val="24"/>
        </w:rPr>
        <w:t xml:space="preserve">inhabited </w:t>
      </w:r>
      <w:r w:rsidRPr="00FE19A4">
        <w:rPr>
          <w:szCs w:val="24"/>
        </w:rPr>
        <w:t>by a resident.</w:t>
      </w:r>
    </w:p>
    <w:p w14:paraId="2C8817B1" w14:textId="77777777" w:rsidR="00183F29" w:rsidRPr="00FE19A4" w:rsidRDefault="00183F29" w:rsidP="007E3C99">
      <w:pPr>
        <w:rPr>
          <w:szCs w:val="24"/>
        </w:rPr>
      </w:pPr>
    </w:p>
    <w:p w14:paraId="7C01B9DD" w14:textId="77777777" w:rsidR="00174856" w:rsidRDefault="00174856" w:rsidP="007E3C99">
      <w:pPr>
        <w:rPr>
          <w:b/>
          <w:szCs w:val="24"/>
        </w:rPr>
      </w:pPr>
    </w:p>
    <w:p w14:paraId="694447F2" w14:textId="77777777" w:rsidR="00174856" w:rsidRDefault="00174856" w:rsidP="007E3C99">
      <w:pPr>
        <w:rPr>
          <w:b/>
          <w:szCs w:val="24"/>
        </w:rPr>
      </w:pPr>
    </w:p>
    <w:p w14:paraId="7B890812" w14:textId="77777777" w:rsidR="007E3C99" w:rsidRPr="00FE19A4" w:rsidRDefault="007E3C99" w:rsidP="007E3C99">
      <w:pPr>
        <w:rPr>
          <w:b/>
          <w:szCs w:val="24"/>
        </w:rPr>
      </w:pPr>
      <w:r w:rsidRPr="00FE19A4">
        <w:rPr>
          <w:b/>
          <w:szCs w:val="24"/>
        </w:rPr>
        <w:lastRenderedPageBreak/>
        <w:t>Electronic Monitoring</w:t>
      </w:r>
    </w:p>
    <w:p w14:paraId="53078FBA" w14:textId="77777777" w:rsidR="000041BD" w:rsidRPr="00CA53A5" w:rsidRDefault="00A01CE1" w:rsidP="007E3C99">
      <w:pPr>
        <w:rPr>
          <w:szCs w:val="24"/>
        </w:rPr>
      </w:pPr>
      <w:r w:rsidRPr="00FE19A4">
        <w:rPr>
          <w:szCs w:val="24"/>
        </w:rPr>
        <w:t>DSHS</w:t>
      </w:r>
      <w:r w:rsidR="00A94136" w:rsidRPr="00FE19A4">
        <w:rPr>
          <w:szCs w:val="24"/>
        </w:rPr>
        <w:t xml:space="preserve"> update</w:t>
      </w:r>
      <w:r w:rsidR="00817485">
        <w:rPr>
          <w:szCs w:val="24"/>
        </w:rPr>
        <w:t>d</w:t>
      </w:r>
      <w:r w:rsidR="00A94136" w:rsidRPr="00817485">
        <w:rPr>
          <w:szCs w:val="24"/>
        </w:rPr>
        <w:t xml:space="preserve"> the rules to include the technological advances that have changed the facilities and resident </w:t>
      </w:r>
      <w:r w:rsidR="00817485" w:rsidRPr="00817485">
        <w:rPr>
          <w:szCs w:val="24"/>
        </w:rPr>
        <w:t>families’</w:t>
      </w:r>
      <w:r w:rsidR="00A94136" w:rsidRPr="00817485">
        <w:rPr>
          <w:szCs w:val="24"/>
        </w:rPr>
        <w:t xml:space="preserve"> means of monitoring a resident’s care in conjunction with the use of </w:t>
      </w:r>
      <w:r w:rsidR="00817485">
        <w:rPr>
          <w:szCs w:val="24"/>
        </w:rPr>
        <w:t>electronics</w:t>
      </w:r>
      <w:r w:rsidR="00817485" w:rsidRPr="00817485">
        <w:rPr>
          <w:szCs w:val="24"/>
        </w:rPr>
        <w:t xml:space="preserve"> </w:t>
      </w:r>
      <w:r w:rsidR="00153A99" w:rsidRPr="00817485">
        <w:rPr>
          <w:szCs w:val="24"/>
        </w:rPr>
        <w:t xml:space="preserve">such as </w:t>
      </w:r>
      <w:r w:rsidR="00183F29" w:rsidRPr="00817485">
        <w:rPr>
          <w:szCs w:val="24"/>
        </w:rPr>
        <w:t>‘</w:t>
      </w:r>
      <w:r w:rsidR="00A94136" w:rsidRPr="00817485">
        <w:rPr>
          <w:szCs w:val="24"/>
        </w:rPr>
        <w:t>nanny cams’ and other electronic devices.  DSHS also adopted rules for electronic use of audio devices</w:t>
      </w:r>
      <w:r w:rsidR="00F015A4" w:rsidRPr="00817485">
        <w:rPr>
          <w:szCs w:val="24"/>
        </w:rPr>
        <w:t xml:space="preserve"> in community events at a facility</w:t>
      </w:r>
      <w:r w:rsidR="00A94136" w:rsidRPr="00817485">
        <w:rPr>
          <w:szCs w:val="24"/>
        </w:rPr>
        <w:t xml:space="preserve"> and the use of such information for social media. </w:t>
      </w:r>
      <w:r w:rsidR="005B09FC" w:rsidRPr="00817485">
        <w:rPr>
          <w:szCs w:val="24"/>
        </w:rPr>
        <w:t>The rules also expand the use of video monitoring to additional areas of a facility</w:t>
      </w:r>
      <w:r w:rsidR="002622E2">
        <w:rPr>
          <w:szCs w:val="24"/>
        </w:rPr>
        <w:t xml:space="preserve"> for the protection of </w:t>
      </w:r>
      <w:r w:rsidR="00C3034C">
        <w:rPr>
          <w:szCs w:val="24"/>
        </w:rPr>
        <w:t xml:space="preserve">facility </w:t>
      </w:r>
      <w:r w:rsidR="002622E2">
        <w:rPr>
          <w:szCs w:val="24"/>
        </w:rPr>
        <w:t>property</w:t>
      </w:r>
      <w:r w:rsidR="005B09FC" w:rsidRPr="00817485">
        <w:rPr>
          <w:szCs w:val="24"/>
        </w:rPr>
        <w:t>.</w:t>
      </w:r>
    </w:p>
    <w:p w14:paraId="6421AFB4" w14:textId="77777777" w:rsidR="007E3C99" w:rsidRPr="00044D12" w:rsidRDefault="007E3C99" w:rsidP="007E3C99">
      <w:pPr>
        <w:rPr>
          <w:b/>
          <w:szCs w:val="24"/>
        </w:rPr>
      </w:pPr>
    </w:p>
    <w:p w14:paraId="7B5E841F" w14:textId="77777777" w:rsidR="004B2AD4" w:rsidRPr="00044D12" w:rsidRDefault="004B2AD4" w:rsidP="004B2AD4">
      <w:pPr>
        <w:rPr>
          <w:szCs w:val="24"/>
        </w:rPr>
      </w:pPr>
      <w:r w:rsidRPr="00044D12">
        <w:rPr>
          <w:b/>
          <w:szCs w:val="24"/>
        </w:rPr>
        <w:t>SMALL BUSINESS ECONOMIC IMPACT STATEMENT—DETERMINATION OF NEED</w:t>
      </w:r>
    </w:p>
    <w:p w14:paraId="73FFA380" w14:textId="77777777" w:rsidR="00C4758F" w:rsidRPr="00044D12" w:rsidRDefault="00C4758F">
      <w:pPr>
        <w:rPr>
          <w:szCs w:val="24"/>
        </w:rPr>
      </w:pPr>
    </w:p>
    <w:p w14:paraId="31306AA6" w14:textId="77777777" w:rsidR="00C4758F" w:rsidRPr="00FE19A4" w:rsidRDefault="00C4758F">
      <w:pPr>
        <w:pStyle w:val="Header"/>
        <w:tabs>
          <w:tab w:val="clear" w:pos="4320"/>
          <w:tab w:val="clear" w:pos="8640"/>
        </w:tabs>
        <w:rPr>
          <w:szCs w:val="24"/>
        </w:rPr>
      </w:pPr>
      <w:r w:rsidRPr="00A97268">
        <w:rPr>
          <w:szCs w:val="24"/>
        </w:rPr>
        <w:t xml:space="preserve">Chapter 19.85 RCW, </w:t>
      </w:r>
      <w:r w:rsidR="00342F89" w:rsidRPr="00A97268">
        <w:rPr>
          <w:szCs w:val="24"/>
        </w:rPr>
        <w:t>t</w:t>
      </w:r>
      <w:r w:rsidRPr="00A97268">
        <w:rPr>
          <w:szCs w:val="24"/>
        </w:rPr>
        <w:t>he Regulatory Fairness Act, requires that the economic impact of proposed regulations be analyzed in relation to small businesses. The statute defines small businesses as those business entities that employ fifty or fewer people and are independently owned an</w:t>
      </w:r>
      <w:r w:rsidRPr="00FE19A4">
        <w:rPr>
          <w:szCs w:val="24"/>
        </w:rPr>
        <w:t xml:space="preserve">d operated. </w:t>
      </w:r>
    </w:p>
    <w:p w14:paraId="2978339B" w14:textId="77777777" w:rsidR="00C4758F" w:rsidRPr="00FE19A4" w:rsidRDefault="00C4758F">
      <w:pPr>
        <w:pStyle w:val="Header"/>
        <w:tabs>
          <w:tab w:val="clear" w:pos="4320"/>
          <w:tab w:val="clear" w:pos="8640"/>
        </w:tabs>
        <w:rPr>
          <w:szCs w:val="24"/>
        </w:rPr>
      </w:pPr>
    </w:p>
    <w:p w14:paraId="036077DC" w14:textId="77777777" w:rsidR="00C4758F" w:rsidRPr="00FE19A4" w:rsidRDefault="00C4758F">
      <w:pPr>
        <w:pStyle w:val="Header"/>
        <w:tabs>
          <w:tab w:val="clear" w:pos="4320"/>
          <w:tab w:val="clear" w:pos="8640"/>
        </w:tabs>
        <w:rPr>
          <w:b/>
          <w:szCs w:val="24"/>
        </w:rPr>
      </w:pPr>
      <w:r w:rsidRPr="00FE19A4">
        <w:rPr>
          <w:szCs w:val="24"/>
        </w:rPr>
        <w:t xml:space="preserve">Preparation of a SBEIS is required when a proposed rule has the potential of placing a disproportionate economic impact on small businesses. The statute outlines information that must be included in a Small Business Economic Impact Statement (SBEIS). </w:t>
      </w:r>
    </w:p>
    <w:p w14:paraId="26E2EF64" w14:textId="77777777" w:rsidR="00C4758F" w:rsidRPr="00FE19A4" w:rsidRDefault="00C4758F">
      <w:pPr>
        <w:rPr>
          <w:szCs w:val="24"/>
        </w:rPr>
      </w:pPr>
    </w:p>
    <w:p w14:paraId="6B069935" w14:textId="77777777" w:rsidR="00473604" w:rsidRPr="00FE19A4" w:rsidRDefault="004D67F7">
      <w:pPr>
        <w:rPr>
          <w:szCs w:val="24"/>
        </w:rPr>
      </w:pPr>
      <w:r w:rsidRPr="00FE19A4">
        <w:rPr>
          <w:szCs w:val="24"/>
        </w:rPr>
        <w:t>DSHS</w:t>
      </w:r>
      <w:r w:rsidR="00F44E37" w:rsidRPr="00FE19A4">
        <w:rPr>
          <w:szCs w:val="24"/>
        </w:rPr>
        <w:t xml:space="preserve">, Aging &amp; Long Term </w:t>
      </w:r>
      <w:r w:rsidR="00342F89" w:rsidRPr="00FE19A4">
        <w:rPr>
          <w:szCs w:val="24"/>
        </w:rPr>
        <w:t xml:space="preserve">Support </w:t>
      </w:r>
      <w:r w:rsidR="00F44E37" w:rsidRPr="00FE19A4">
        <w:rPr>
          <w:szCs w:val="24"/>
        </w:rPr>
        <w:t xml:space="preserve">Administration </w:t>
      </w:r>
      <w:r w:rsidR="00C4758F" w:rsidRPr="00FE19A4">
        <w:rPr>
          <w:szCs w:val="24"/>
        </w:rPr>
        <w:t xml:space="preserve">has analyzed the proposed rule amendments and has determined that </w:t>
      </w:r>
      <w:r w:rsidRPr="00FE19A4">
        <w:rPr>
          <w:szCs w:val="24"/>
        </w:rPr>
        <w:t xml:space="preserve">some </w:t>
      </w:r>
      <w:r w:rsidR="00C4758F" w:rsidRPr="00FE19A4">
        <w:rPr>
          <w:szCs w:val="24"/>
        </w:rPr>
        <w:t>small businesses will be impacted by these changes</w:t>
      </w:r>
      <w:r w:rsidR="00AB0744" w:rsidRPr="00FE19A4">
        <w:rPr>
          <w:szCs w:val="24"/>
        </w:rPr>
        <w:t>.</w:t>
      </w:r>
      <w:r w:rsidRPr="00FE19A4">
        <w:rPr>
          <w:szCs w:val="24"/>
        </w:rPr>
        <w:t xml:space="preserve"> However, the impacts impose no new or disproportionate costs to the existing providers.  In instances, where existing providers may incur additional costs under these new rules, DSHS has allowed for the provider to comply with some of their previous licensing requirements if doing so does not jeopardize client health, safety, and welfare.</w:t>
      </w:r>
    </w:p>
    <w:p w14:paraId="773063D6" w14:textId="77777777" w:rsidR="00300134" w:rsidRPr="00FE19A4" w:rsidRDefault="004D67F7">
      <w:pPr>
        <w:rPr>
          <w:color w:val="FF0000"/>
          <w:szCs w:val="24"/>
        </w:rPr>
      </w:pPr>
      <w:r w:rsidRPr="00FE19A4">
        <w:rPr>
          <w:szCs w:val="24"/>
        </w:rPr>
        <w:t xml:space="preserve"> </w:t>
      </w:r>
    </w:p>
    <w:p w14:paraId="16730401" w14:textId="77777777" w:rsidR="00C573D0" w:rsidRPr="00FE19A4" w:rsidRDefault="00C573D0" w:rsidP="007E3C99">
      <w:pPr>
        <w:rPr>
          <w:b/>
          <w:szCs w:val="24"/>
        </w:rPr>
      </w:pPr>
    </w:p>
    <w:p w14:paraId="556D4632" w14:textId="77777777" w:rsidR="007E3C99" w:rsidRPr="00FE19A4" w:rsidRDefault="007E3C99" w:rsidP="007E3C99">
      <w:pPr>
        <w:rPr>
          <w:szCs w:val="24"/>
        </w:rPr>
      </w:pPr>
      <w:r w:rsidRPr="00FE19A4">
        <w:rPr>
          <w:b/>
          <w:szCs w:val="24"/>
        </w:rPr>
        <w:t>EVALUATION OF PROBABLE COSTS AND PROBABLE BENEFITS</w:t>
      </w:r>
    </w:p>
    <w:p w14:paraId="5C2ACFF8" w14:textId="77777777" w:rsidR="007E3C99" w:rsidRPr="00FE19A4" w:rsidRDefault="007E3C99" w:rsidP="007E3C99">
      <w:pPr>
        <w:rPr>
          <w:b/>
          <w:szCs w:val="24"/>
        </w:rPr>
      </w:pPr>
    </w:p>
    <w:p w14:paraId="717934D5" w14:textId="77777777" w:rsidR="007E3C99" w:rsidRPr="00FE19A4" w:rsidRDefault="007E3C99" w:rsidP="007E3C99">
      <w:pPr>
        <w:rPr>
          <w:szCs w:val="24"/>
        </w:rPr>
      </w:pPr>
      <w:r w:rsidRPr="00FE19A4">
        <w:rPr>
          <w:szCs w:val="24"/>
        </w:rPr>
        <w:t xml:space="preserve">Since the proposed change to the rule “establishes, alters, or revokes any qualification or standard for the issuance, suspension, or revocation of a license or permit,” </w:t>
      </w:r>
      <w:r w:rsidR="00473604" w:rsidRPr="00FE19A4">
        <w:rPr>
          <w:szCs w:val="24"/>
        </w:rPr>
        <w:t>DSHS</w:t>
      </w:r>
      <w:r w:rsidRPr="00FE19A4">
        <w:rPr>
          <w:szCs w:val="24"/>
        </w:rPr>
        <w:t xml:space="preserve"> has determined the proposed rules to be “significant” as defined by the legislature. As required by RCW 34.05.328(1)(d), </w:t>
      </w:r>
      <w:r w:rsidR="00473604" w:rsidRPr="00FE19A4">
        <w:rPr>
          <w:bCs/>
          <w:szCs w:val="24"/>
        </w:rPr>
        <w:t>DSHS</w:t>
      </w:r>
      <w:r w:rsidRPr="00FE19A4">
        <w:rPr>
          <w:szCs w:val="24"/>
        </w:rPr>
        <w:t xml:space="preserve"> has analyzed the probable costs and probable benefits of the proposed amendments, taking into account both the qualitative and quantitative benefits and costs. </w:t>
      </w:r>
    </w:p>
    <w:p w14:paraId="51ECC41E" w14:textId="77777777" w:rsidR="007E3C99" w:rsidRPr="00FE19A4" w:rsidRDefault="007E3C99" w:rsidP="007E3C99">
      <w:pPr>
        <w:rPr>
          <w:szCs w:val="24"/>
        </w:rPr>
      </w:pPr>
    </w:p>
    <w:p w14:paraId="032C8CBE" w14:textId="77777777" w:rsidR="00AB531F" w:rsidRPr="00220DF7" w:rsidRDefault="007E3C99" w:rsidP="007E3C99">
      <w:pPr>
        <w:rPr>
          <w:szCs w:val="24"/>
        </w:rPr>
      </w:pPr>
      <w:r w:rsidRPr="00044D12">
        <w:rPr>
          <w:b/>
          <w:smallCaps/>
          <w:szCs w:val="24"/>
        </w:rPr>
        <w:t>Costs</w:t>
      </w:r>
    </w:p>
    <w:p w14:paraId="5F200055" w14:textId="77777777" w:rsidR="008F498E" w:rsidRDefault="00526F39" w:rsidP="005E58B4">
      <w:pPr>
        <w:rPr>
          <w:szCs w:val="24"/>
        </w:rPr>
      </w:pPr>
      <w:r w:rsidRPr="00220DF7">
        <w:rPr>
          <w:szCs w:val="24"/>
        </w:rPr>
        <w:t>Th</w:t>
      </w:r>
      <w:r>
        <w:rPr>
          <w:szCs w:val="24"/>
        </w:rPr>
        <w:t>e</w:t>
      </w:r>
      <w:r w:rsidRPr="00220DF7">
        <w:rPr>
          <w:szCs w:val="24"/>
        </w:rPr>
        <w:t xml:space="preserve"> </w:t>
      </w:r>
      <w:r w:rsidR="007E3C99" w:rsidRPr="00220DF7">
        <w:rPr>
          <w:szCs w:val="24"/>
        </w:rPr>
        <w:t>proposed WAC change</w:t>
      </w:r>
      <w:r>
        <w:rPr>
          <w:szCs w:val="24"/>
        </w:rPr>
        <w:t>s</w:t>
      </w:r>
      <w:r w:rsidR="007E3C99" w:rsidRPr="00220DF7">
        <w:rPr>
          <w:szCs w:val="24"/>
        </w:rPr>
        <w:t xml:space="preserve"> describe the </w:t>
      </w:r>
      <w:r w:rsidR="00663AE2" w:rsidRPr="00220DF7">
        <w:rPr>
          <w:szCs w:val="24"/>
        </w:rPr>
        <w:t>licensing</w:t>
      </w:r>
      <w:r w:rsidR="007E3C99" w:rsidRPr="00220DF7">
        <w:rPr>
          <w:szCs w:val="24"/>
        </w:rPr>
        <w:t xml:space="preserve"> requirements for </w:t>
      </w:r>
      <w:r w:rsidR="00473604" w:rsidRPr="00220DF7">
        <w:rPr>
          <w:szCs w:val="24"/>
        </w:rPr>
        <w:t>a</w:t>
      </w:r>
      <w:r w:rsidR="00663AE2" w:rsidRPr="00220DF7">
        <w:rPr>
          <w:szCs w:val="24"/>
        </w:rPr>
        <w:t>ssisted living facilities undergoing construction for new and existing facilities.</w:t>
      </w:r>
      <w:r w:rsidR="00B217E3" w:rsidRPr="00CA53A5">
        <w:rPr>
          <w:szCs w:val="24"/>
        </w:rPr>
        <w:t xml:space="preserve">  </w:t>
      </w:r>
      <w:r w:rsidR="00BF3ABD" w:rsidRPr="00CA53A5">
        <w:rPr>
          <w:szCs w:val="24"/>
        </w:rPr>
        <w:t xml:space="preserve">An overall </w:t>
      </w:r>
      <w:r w:rsidR="00B217E3" w:rsidRPr="00044D12">
        <w:rPr>
          <w:szCs w:val="24"/>
        </w:rPr>
        <w:t xml:space="preserve">consideration </w:t>
      </w:r>
      <w:r w:rsidR="00BF3ABD" w:rsidRPr="00044D12">
        <w:rPr>
          <w:szCs w:val="24"/>
        </w:rPr>
        <w:t>from the onset of the rules development process was to provide</w:t>
      </w:r>
      <w:r w:rsidR="0061205C" w:rsidRPr="00044D12">
        <w:rPr>
          <w:szCs w:val="24"/>
        </w:rPr>
        <w:t xml:space="preserve"> minimal cost impacts.</w:t>
      </w:r>
      <w:r w:rsidR="00B217E3" w:rsidRPr="00044D12">
        <w:rPr>
          <w:szCs w:val="24"/>
        </w:rPr>
        <w:t xml:space="preserve"> </w:t>
      </w:r>
      <w:r w:rsidR="008F498E">
        <w:rPr>
          <w:szCs w:val="24"/>
        </w:rPr>
        <w:t>The advisory committee recognizes that:</w:t>
      </w:r>
    </w:p>
    <w:p w14:paraId="69B99645" w14:textId="77777777" w:rsidR="00B66AC3" w:rsidRPr="008F498E" w:rsidRDefault="00772ADC" w:rsidP="008F498E">
      <w:pPr>
        <w:pStyle w:val="ListParagraph"/>
        <w:numPr>
          <w:ilvl w:val="0"/>
          <w:numId w:val="27"/>
        </w:numPr>
        <w:rPr>
          <w:szCs w:val="24"/>
        </w:rPr>
      </w:pPr>
      <w:r>
        <w:rPr>
          <w:szCs w:val="24"/>
        </w:rPr>
        <w:t>R</w:t>
      </w:r>
      <w:r w:rsidR="008F498E" w:rsidRPr="008F498E">
        <w:rPr>
          <w:szCs w:val="24"/>
        </w:rPr>
        <w:t xml:space="preserve">eorganizing these sections to achieve clarification of language, and editorial changes did not </w:t>
      </w:r>
      <w:r w:rsidR="008F498E" w:rsidRPr="009813BC">
        <w:rPr>
          <w:szCs w:val="24"/>
        </w:rPr>
        <w:t>increase costs and at times reduced costs by narrowing or eliminating physical plant requirements.</w:t>
      </w:r>
    </w:p>
    <w:p w14:paraId="0FC6BA4C" w14:textId="77777777" w:rsidR="008F498E" w:rsidRDefault="00B66AC3" w:rsidP="00B66AC3">
      <w:pPr>
        <w:numPr>
          <w:ilvl w:val="0"/>
          <w:numId w:val="23"/>
        </w:numPr>
        <w:rPr>
          <w:szCs w:val="24"/>
        </w:rPr>
      </w:pPr>
      <w:r w:rsidRPr="00CA53A5">
        <w:rPr>
          <w:szCs w:val="24"/>
        </w:rPr>
        <w:lastRenderedPageBreak/>
        <w:t>Revisions to the communication system provide</w:t>
      </w:r>
      <w:r w:rsidR="008F498E">
        <w:rPr>
          <w:szCs w:val="24"/>
        </w:rPr>
        <w:t>s</w:t>
      </w:r>
      <w:r w:rsidRPr="00CA53A5">
        <w:rPr>
          <w:szCs w:val="24"/>
        </w:rPr>
        <w:t xml:space="preserve"> trade-offs and design options that would likely balance any additional costs. It recognizes current technologies and maintains a current home-like environment.</w:t>
      </w:r>
    </w:p>
    <w:p w14:paraId="55E5B84B" w14:textId="77777777" w:rsidR="00B66AC3" w:rsidRPr="008F498E" w:rsidRDefault="00697DFA" w:rsidP="008F498E">
      <w:pPr>
        <w:numPr>
          <w:ilvl w:val="0"/>
          <w:numId w:val="23"/>
        </w:numPr>
        <w:rPr>
          <w:szCs w:val="24"/>
        </w:rPr>
      </w:pPr>
      <w:r>
        <w:rPr>
          <w:szCs w:val="24"/>
        </w:rPr>
        <w:t>Th</w:t>
      </w:r>
      <w:r w:rsidR="00772ADC">
        <w:rPr>
          <w:szCs w:val="24"/>
        </w:rPr>
        <w:t>ese</w:t>
      </w:r>
      <w:r>
        <w:rPr>
          <w:szCs w:val="24"/>
        </w:rPr>
        <w:t xml:space="preserve"> c</w:t>
      </w:r>
      <w:r w:rsidR="008F498E" w:rsidRPr="008F498E">
        <w:rPr>
          <w:szCs w:val="24"/>
        </w:rPr>
        <w:t xml:space="preserve">hanges in the electronic monitoring sections </w:t>
      </w:r>
      <w:r>
        <w:rPr>
          <w:szCs w:val="24"/>
        </w:rPr>
        <w:t xml:space="preserve">has an indeterminate impact on costs but </w:t>
      </w:r>
      <w:r w:rsidR="008F498E" w:rsidRPr="008F498E">
        <w:rPr>
          <w:szCs w:val="24"/>
        </w:rPr>
        <w:t>may help lower insurance premiums, legal fees, and lower overall operating costs.</w:t>
      </w:r>
    </w:p>
    <w:p w14:paraId="68DC0869" w14:textId="77777777" w:rsidR="00B66AC3" w:rsidRPr="00817485" w:rsidRDefault="00B66AC3" w:rsidP="00B66AC3">
      <w:pPr>
        <w:numPr>
          <w:ilvl w:val="0"/>
          <w:numId w:val="23"/>
        </w:numPr>
        <w:rPr>
          <w:szCs w:val="24"/>
        </w:rPr>
      </w:pPr>
      <w:r w:rsidRPr="00044D12">
        <w:rPr>
          <w:szCs w:val="24"/>
        </w:rPr>
        <w:t>Eliminat</w:t>
      </w:r>
      <w:r w:rsidR="00817485">
        <w:rPr>
          <w:szCs w:val="24"/>
        </w:rPr>
        <w:t>ing</w:t>
      </w:r>
      <w:r w:rsidRPr="00817485">
        <w:rPr>
          <w:szCs w:val="24"/>
        </w:rPr>
        <w:t xml:space="preserve"> the requirement for an expensive clinic sink </w:t>
      </w:r>
      <w:r w:rsidR="008F498E">
        <w:rPr>
          <w:szCs w:val="24"/>
        </w:rPr>
        <w:t>reduces costs, and shifts</w:t>
      </w:r>
      <w:r w:rsidRPr="00817485">
        <w:rPr>
          <w:szCs w:val="24"/>
        </w:rPr>
        <w:t xml:space="preserve"> resources to resident care and other more useful capital improvements as well as valuable square footage for resident support spaces.</w:t>
      </w:r>
    </w:p>
    <w:p w14:paraId="5C3B84F3" w14:textId="77777777" w:rsidR="003212F5" w:rsidRPr="00CA53A5" w:rsidRDefault="00C14623" w:rsidP="003212F5">
      <w:pPr>
        <w:numPr>
          <w:ilvl w:val="0"/>
          <w:numId w:val="23"/>
        </w:numPr>
        <w:rPr>
          <w:szCs w:val="24"/>
        </w:rPr>
      </w:pPr>
      <w:r>
        <w:rPr>
          <w:szCs w:val="24"/>
        </w:rPr>
        <w:t>Staff assisted areas such as intermittent nursing supply storage in residents rooms</w:t>
      </w:r>
      <w:r w:rsidR="003212F5" w:rsidRPr="00044D12">
        <w:rPr>
          <w:szCs w:val="24"/>
        </w:rPr>
        <w:t xml:space="preserve"> </w:t>
      </w:r>
      <w:r w:rsidR="003212F5" w:rsidRPr="00CA53A5">
        <w:rPr>
          <w:szCs w:val="24"/>
        </w:rPr>
        <w:t>may increase design square footage costs. Additional construction cost</w:t>
      </w:r>
      <w:r>
        <w:rPr>
          <w:szCs w:val="24"/>
        </w:rPr>
        <w:t>, should a facility decide to create specialized storage space versus the use of storage ‘containers’</w:t>
      </w:r>
      <w:r w:rsidR="00E912B0">
        <w:rPr>
          <w:szCs w:val="24"/>
        </w:rPr>
        <w:t xml:space="preserve"> as permitted in regulation</w:t>
      </w:r>
      <w:r w:rsidR="001924BE">
        <w:rPr>
          <w:szCs w:val="24"/>
        </w:rPr>
        <w:t>,</w:t>
      </w:r>
      <w:r w:rsidR="003212F5" w:rsidRPr="00CA53A5">
        <w:rPr>
          <w:szCs w:val="24"/>
        </w:rPr>
        <w:t xml:space="preserve"> should be offset many times over by reduction in resident and staff injury as long term benefits outweigh increase in initial construction costs.</w:t>
      </w:r>
    </w:p>
    <w:p w14:paraId="72685230" w14:textId="77777777" w:rsidR="009A4AA7" w:rsidRPr="00044D12" w:rsidRDefault="003212F5" w:rsidP="00E173CF">
      <w:pPr>
        <w:numPr>
          <w:ilvl w:val="0"/>
          <w:numId w:val="23"/>
        </w:numPr>
        <w:rPr>
          <w:szCs w:val="24"/>
        </w:rPr>
      </w:pPr>
      <w:r w:rsidRPr="00CA53A5">
        <w:rPr>
          <w:szCs w:val="24"/>
        </w:rPr>
        <w:t xml:space="preserve">Changes to the toilet rooms and bathrooms section will increase costs. Increase in construction costs likely to be made up by reduced resident and staff injury and </w:t>
      </w:r>
      <w:r w:rsidR="001924BE">
        <w:rPr>
          <w:szCs w:val="24"/>
        </w:rPr>
        <w:t xml:space="preserve">increased </w:t>
      </w:r>
      <w:r w:rsidRPr="00CA53A5">
        <w:rPr>
          <w:szCs w:val="24"/>
        </w:rPr>
        <w:t>resident satisfaction.</w:t>
      </w:r>
    </w:p>
    <w:p w14:paraId="2725FB91" w14:textId="54E9B676" w:rsidR="00C56BE6" w:rsidRPr="003141BE" w:rsidRDefault="00D96F57" w:rsidP="00C56BE6">
      <w:pPr>
        <w:pStyle w:val="ListParagraph"/>
        <w:numPr>
          <w:ilvl w:val="0"/>
          <w:numId w:val="23"/>
        </w:numPr>
        <w:rPr>
          <w:szCs w:val="24"/>
        </w:rPr>
      </w:pPr>
      <w:r w:rsidRPr="003141BE">
        <w:rPr>
          <w:szCs w:val="24"/>
        </w:rPr>
        <w:t xml:space="preserve">The </w:t>
      </w:r>
      <w:r w:rsidR="00417DD6" w:rsidRPr="003141BE">
        <w:rPr>
          <w:szCs w:val="24"/>
        </w:rPr>
        <w:t xml:space="preserve">outdoor spaces section has </w:t>
      </w:r>
      <w:r w:rsidRPr="003141BE">
        <w:rPr>
          <w:szCs w:val="24"/>
        </w:rPr>
        <w:t xml:space="preserve">changes to the proposed text </w:t>
      </w:r>
      <w:r w:rsidR="00E912B0" w:rsidRPr="003141BE">
        <w:rPr>
          <w:szCs w:val="24"/>
        </w:rPr>
        <w:t xml:space="preserve">that </w:t>
      </w:r>
      <w:r w:rsidR="00417DD6" w:rsidRPr="003141BE">
        <w:rPr>
          <w:szCs w:val="24"/>
        </w:rPr>
        <w:t>may</w:t>
      </w:r>
      <w:r w:rsidRPr="003141BE">
        <w:rPr>
          <w:szCs w:val="24"/>
        </w:rPr>
        <w:t xml:space="preserve"> result in </w:t>
      </w:r>
      <w:r w:rsidR="003141BE">
        <w:rPr>
          <w:szCs w:val="24"/>
        </w:rPr>
        <w:t xml:space="preserve">an </w:t>
      </w:r>
      <w:r w:rsidRPr="003141BE">
        <w:rPr>
          <w:szCs w:val="24"/>
        </w:rPr>
        <w:t xml:space="preserve">increase in costs for providers </w:t>
      </w:r>
      <w:r w:rsidR="003141BE">
        <w:rPr>
          <w:szCs w:val="24"/>
        </w:rPr>
        <w:t>by defining</w:t>
      </w:r>
      <w:r w:rsidR="00417DD6" w:rsidRPr="003141BE">
        <w:rPr>
          <w:szCs w:val="24"/>
        </w:rPr>
        <w:t xml:space="preserve"> the required square footage per resident.</w:t>
      </w:r>
      <w:r w:rsidRPr="003141BE">
        <w:rPr>
          <w:szCs w:val="24"/>
        </w:rPr>
        <w:t xml:space="preserve"> </w:t>
      </w:r>
      <w:r w:rsidR="000A48C0" w:rsidRPr="003141BE">
        <w:rPr>
          <w:szCs w:val="24"/>
        </w:rPr>
        <w:t>Th</w:t>
      </w:r>
      <w:r w:rsidR="00004407" w:rsidRPr="003141BE">
        <w:rPr>
          <w:szCs w:val="24"/>
        </w:rPr>
        <w:t>ese</w:t>
      </w:r>
      <w:r w:rsidR="000A48C0" w:rsidRPr="003141BE">
        <w:rPr>
          <w:szCs w:val="24"/>
        </w:rPr>
        <w:t xml:space="preserve"> costs could be offset</w:t>
      </w:r>
      <w:r w:rsidR="003141BE">
        <w:rPr>
          <w:szCs w:val="24"/>
        </w:rPr>
        <w:t xml:space="preserve"> by alternative ‘viewable areas’ that can be located indoors for newly constructed memory care units; and</w:t>
      </w:r>
      <w:r w:rsidR="000A48C0" w:rsidRPr="003141BE">
        <w:rPr>
          <w:szCs w:val="24"/>
        </w:rPr>
        <w:t xml:space="preserve"> by the ability of the facility to secure outdoor areas during temporary environmental changes such as weather, construction or </w:t>
      </w:r>
      <w:r w:rsidR="00B33653" w:rsidRPr="003141BE">
        <w:rPr>
          <w:szCs w:val="24"/>
        </w:rPr>
        <w:t>maintenance, which</w:t>
      </w:r>
      <w:r w:rsidR="000A48C0" w:rsidRPr="003141BE">
        <w:rPr>
          <w:szCs w:val="24"/>
        </w:rPr>
        <w:t xml:space="preserve"> </w:t>
      </w:r>
      <w:r w:rsidR="00C56BE6" w:rsidRPr="003141BE">
        <w:rPr>
          <w:szCs w:val="24"/>
        </w:rPr>
        <w:t xml:space="preserve">may </w:t>
      </w:r>
      <w:r w:rsidR="000A48C0" w:rsidRPr="003141BE">
        <w:rPr>
          <w:szCs w:val="24"/>
        </w:rPr>
        <w:t>reduce costs associated with staff and resident injuries.</w:t>
      </w:r>
    </w:p>
    <w:p w14:paraId="7730B487" w14:textId="77777777" w:rsidR="00C56BE6" w:rsidRPr="00C56BE6" w:rsidRDefault="00C56BE6" w:rsidP="00C56BE6">
      <w:pPr>
        <w:numPr>
          <w:ilvl w:val="0"/>
          <w:numId w:val="23"/>
        </w:numPr>
        <w:rPr>
          <w:szCs w:val="24"/>
        </w:rPr>
      </w:pPr>
      <w:r w:rsidRPr="00C56BE6">
        <w:rPr>
          <w:szCs w:val="24"/>
        </w:rPr>
        <w:t>Remov</w:t>
      </w:r>
      <w:r>
        <w:rPr>
          <w:szCs w:val="24"/>
        </w:rPr>
        <w:t>ing the</w:t>
      </w:r>
      <w:r w:rsidRPr="00C56BE6">
        <w:rPr>
          <w:szCs w:val="24"/>
        </w:rPr>
        <w:t xml:space="preserve"> requirements established in previous building codes </w:t>
      </w:r>
      <w:r w:rsidR="00CF22F7">
        <w:rPr>
          <w:szCs w:val="24"/>
        </w:rPr>
        <w:t xml:space="preserve">that are </w:t>
      </w:r>
      <w:r w:rsidRPr="00C56BE6">
        <w:rPr>
          <w:szCs w:val="24"/>
        </w:rPr>
        <w:t>no longer applicable</w:t>
      </w:r>
      <w:r>
        <w:rPr>
          <w:szCs w:val="24"/>
        </w:rPr>
        <w:t xml:space="preserve"> reduces the cost of installation of outdated systems </w:t>
      </w:r>
      <w:r w:rsidR="00CF22F7">
        <w:rPr>
          <w:szCs w:val="24"/>
        </w:rPr>
        <w:t>that do not meet</w:t>
      </w:r>
      <w:r>
        <w:rPr>
          <w:szCs w:val="24"/>
        </w:rPr>
        <w:t xml:space="preserve"> the current high efficiency standards.</w:t>
      </w:r>
    </w:p>
    <w:p w14:paraId="228A8A7E" w14:textId="77777777" w:rsidR="00FE19A4" w:rsidRPr="00FE19A4" w:rsidRDefault="00FE19A4" w:rsidP="00C24F26">
      <w:pPr>
        <w:rPr>
          <w:szCs w:val="24"/>
        </w:rPr>
      </w:pPr>
    </w:p>
    <w:p w14:paraId="37EFC988" w14:textId="77777777" w:rsidR="00B413E6" w:rsidRPr="00FE19A4" w:rsidRDefault="003212F5" w:rsidP="003212F5">
      <w:pPr>
        <w:rPr>
          <w:b/>
          <w:smallCaps/>
          <w:szCs w:val="24"/>
        </w:rPr>
      </w:pPr>
      <w:r w:rsidRPr="00FE19A4">
        <w:rPr>
          <w:b/>
          <w:smallCaps/>
          <w:szCs w:val="24"/>
        </w:rPr>
        <w:t>Benefits</w:t>
      </w:r>
    </w:p>
    <w:p w14:paraId="0513445F" w14:textId="77777777" w:rsidR="00C24F26" w:rsidRPr="00975379" w:rsidRDefault="00C24F26" w:rsidP="003212F5">
      <w:pPr>
        <w:rPr>
          <w:smallCaps/>
          <w:szCs w:val="24"/>
        </w:rPr>
      </w:pPr>
      <w:r w:rsidRPr="008322F8">
        <w:rPr>
          <w:smallCaps/>
          <w:szCs w:val="24"/>
        </w:rPr>
        <w:t>DSHS proposed rules provide a number of ways that benefit the residents of assisted living facilities and clarify the regulatory requirements.</w:t>
      </w:r>
    </w:p>
    <w:p w14:paraId="4F329B72" w14:textId="77777777" w:rsidR="005E1F78" w:rsidRPr="00CA53A5" w:rsidRDefault="005E1F78" w:rsidP="00C24F26">
      <w:pPr>
        <w:numPr>
          <w:ilvl w:val="0"/>
          <w:numId w:val="25"/>
        </w:numPr>
        <w:rPr>
          <w:szCs w:val="24"/>
        </w:rPr>
      </w:pPr>
      <w:r w:rsidRPr="00220DF7">
        <w:rPr>
          <w:szCs w:val="24"/>
        </w:rPr>
        <w:t>Operational safety components added for consideration</w:t>
      </w:r>
      <w:r w:rsidR="00645B25" w:rsidRPr="00220DF7">
        <w:rPr>
          <w:szCs w:val="24"/>
        </w:rPr>
        <w:t xml:space="preserve"> with </w:t>
      </w:r>
      <w:r w:rsidR="001924BE">
        <w:rPr>
          <w:szCs w:val="24"/>
        </w:rPr>
        <w:t xml:space="preserve">the </w:t>
      </w:r>
      <w:r w:rsidR="00772ADC">
        <w:rPr>
          <w:szCs w:val="24"/>
        </w:rPr>
        <w:t>facility’s</w:t>
      </w:r>
      <w:r w:rsidR="00645B25" w:rsidRPr="00220DF7">
        <w:rPr>
          <w:szCs w:val="24"/>
        </w:rPr>
        <w:t xml:space="preserve"> functional program</w:t>
      </w:r>
      <w:r w:rsidRPr="00CA53A5">
        <w:rPr>
          <w:szCs w:val="24"/>
        </w:rPr>
        <w:t>.</w:t>
      </w:r>
    </w:p>
    <w:p w14:paraId="63824153" w14:textId="77777777" w:rsidR="009D0764" w:rsidRPr="00044D12" w:rsidRDefault="009D0764" w:rsidP="009D0764">
      <w:pPr>
        <w:numPr>
          <w:ilvl w:val="0"/>
          <w:numId w:val="23"/>
        </w:numPr>
        <w:rPr>
          <w:szCs w:val="24"/>
        </w:rPr>
      </w:pPr>
      <w:r w:rsidRPr="00417DD6">
        <w:rPr>
          <w:szCs w:val="24"/>
        </w:rPr>
        <w:t>Effective preventative maintenance programs</w:t>
      </w:r>
      <w:r w:rsidR="00F83939" w:rsidRPr="00417DD6">
        <w:rPr>
          <w:szCs w:val="24"/>
        </w:rPr>
        <w:t xml:space="preserve"> in the section on safety in the built environment</w:t>
      </w:r>
      <w:r w:rsidRPr="00044D12">
        <w:rPr>
          <w:szCs w:val="24"/>
        </w:rPr>
        <w:t xml:space="preserve"> are a recognized value added and minimum expectation.</w:t>
      </w:r>
    </w:p>
    <w:p w14:paraId="1710EFFC" w14:textId="77777777" w:rsidR="005E1F78" w:rsidRPr="00044D12" w:rsidRDefault="00D96F57" w:rsidP="005E1F78">
      <w:pPr>
        <w:numPr>
          <w:ilvl w:val="0"/>
          <w:numId w:val="23"/>
        </w:numPr>
        <w:rPr>
          <w:szCs w:val="24"/>
        </w:rPr>
      </w:pPr>
      <w:r w:rsidRPr="00044D12">
        <w:rPr>
          <w:szCs w:val="24"/>
        </w:rPr>
        <w:t>The restricted egress section, renamed Freedom of Access, e</w:t>
      </w:r>
      <w:r w:rsidR="005E1F78" w:rsidRPr="00044D12">
        <w:rPr>
          <w:szCs w:val="24"/>
        </w:rPr>
        <w:t xml:space="preserve">stablishes the building code as the basis for design for these systems. </w:t>
      </w:r>
    </w:p>
    <w:p w14:paraId="7FD3606C" w14:textId="77777777" w:rsidR="005E1F78" w:rsidRPr="00A97268" w:rsidRDefault="005E1F78" w:rsidP="005E1F78">
      <w:pPr>
        <w:numPr>
          <w:ilvl w:val="0"/>
          <w:numId w:val="23"/>
        </w:numPr>
        <w:rPr>
          <w:szCs w:val="24"/>
        </w:rPr>
      </w:pPr>
      <w:r w:rsidRPr="00044D12">
        <w:rPr>
          <w:szCs w:val="24"/>
        </w:rPr>
        <w:t>Proposed amendments increase resident freedom and choice to use cameras in their own rooms, while providing clarity around the installation of video/audio monitoring by parties other than the assisted living provider, in particular families who wish to use technology to keep in closer contact with the resident. These changes will reduce uncertainty for providers around emerging technologies; avoid disagreements between providers and families; clarify and protect residents' rights to make informed dec</w:t>
      </w:r>
      <w:r w:rsidRPr="00A97268">
        <w:rPr>
          <w:szCs w:val="24"/>
        </w:rPr>
        <w:t>isions as to communication, privacy, and security</w:t>
      </w:r>
      <w:r w:rsidR="001924BE">
        <w:rPr>
          <w:szCs w:val="24"/>
        </w:rPr>
        <w:t xml:space="preserve">; </w:t>
      </w:r>
      <w:r w:rsidR="001924BE">
        <w:rPr>
          <w:szCs w:val="24"/>
        </w:rPr>
        <w:lastRenderedPageBreak/>
        <w:t>and increase the protection of property for facil</w:t>
      </w:r>
      <w:r w:rsidR="0082279C">
        <w:rPr>
          <w:szCs w:val="24"/>
        </w:rPr>
        <w:t>i</w:t>
      </w:r>
      <w:r w:rsidR="001924BE">
        <w:rPr>
          <w:szCs w:val="24"/>
        </w:rPr>
        <w:t>ties therefore potentially reducing insurance and repair costs</w:t>
      </w:r>
      <w:r w:rsidRPr="00A97268">
        <w:rPr>
          <w:szCs w:val="24"/>
        </w:rPr>
        <w:t>.</w:t>
      </w:r>
    </w:p>
    <w:p w14:paraId="6B27132E" w14:textId="77777777" w:rsidR="0017273F" w:rsidRPr="00A97268" w:rsidRDefault="0017273F" w:rsidP="005E1F78">
      <w:pPr>
        <w:numPr>
          <w:ilvl w:val="0"/>
          <w:numId w:val="23"/>
        </w:numPr>
        <w:rPr>
          <w:szCs w:val="24"/>
        </w:rPr>
      </w:pPr>
      <w:r w:rsidRPr="00A97268">
        <w:rPr>
          <w:szCs w:val="24"/>
        </w:rPr>
        <w:t>Changes to the heating and cooling sections provides for flexibility in mechanical system design to meet higher efficiency standards</w:t>
      </w:r>
      <w:r w:rsidR="00C56BE6">
        <w:rPr>
          <w:szCs w:val="24"/>
        </w:rPr>
        <w:t xml:space="preserve"> reducing operational and construction</w:t>
      </w:r>
      <w:r w:rsidR="00772ADC">
        <w:rPr>
          <w:szCs w:val="24"/>
        </w:rPr>
        <w:t xml:space="preserve"> costs</w:t>
      </w:r>
      <w:r w:rsidR="00C56BE6">
        <w:rPr>
          <w:szCs w:val="24"/>
        </w:rPr>
        <w:t>.</w:t>
      </w:r>
    </w:p>
    <w:p w14:paraId="5517C6F8" w14:textId="77777777" w:rsidR="005E1F78" w:rsidRPr="00FE19A4" w:rsidRDefault="0089378D" w:rsidP="005E1F78">
      <w:pPr>
        <w:numPr>
          <w:ilvl w:val="0"/>
          <w:numId w:val="23"/>
        </w:numPr>
        <w:rPr>
          <w:szCs w:val="24"/>
        </w:rPr>
      </w:pPr>
      <w:r w:rsidRPr="00A97268">
        <w:rPr>
          <w:szCs w:val="24"/>
        </w:rPr>
        <w:t xml:space="preserve">The </w:t>
      </w:r>
      <w:r w:rsidR="005E1F78" w:rsidRPr="00A97268">
        <w:rPr>
          <w:szCs w:val="24"/>
        </w:rPr>
        <w:t>change</w:t>
      </w:r>
      <w:r w:rsidRPr="00A97268">
        <w:rPr>
          <w:szCs w:val="24"/>
        </w:rPr>
        <w:t xml:space="preserve"> to the capacity section</w:t>
      </w:r>
      <w:r w:rsidR="005E1F78" w:rsidRPr="00A97268">
        <w:rPr>
          <w:szCs w:val="24"/>
        </w:rPr>
        <w:t xml:space="preserve"> will help provide clarification rega</w:t>
      </w:r>
      <w:r w:rsidR="005E1F78" w:rsidRPr="00FE19A4">
        <w:rPr>
          <w:szCs w:val="24"/>
        </w:rPr>
        <w:t>rding changes in licensed bed capacity, and support residents who wish to age in place.</w:t>
      </w:r>
    </w:p>
    <w:p w14:paraId="0C38EA4B" w14:textId="77777777" w:rsidR="005E1F78" w:rsidRPr="00FE19A4" w:rsidRDefault="005E1F78" w:rsidP="005E1F78">
      <w:pPr>
        <w:numPr>
          <w:ilvl w:val="0"/>
          <w:numId w:val="23"/>
        </w:numPr>
        <w:rPr>
          <w:szCs w:val="24"/>
        </w:rPr>
      </w:pPr>
      <w:r w:rsidRPr="00FE19A4">
        <w:rPr>
          <w:szCs w:val="24"/>
        </w:rPr>
        <w:t xml:space="preserve">The new design section facilitates compliance through clear presentation of </w:t>
      </w:r>
      <w:r w:rsidR="001924BE">
        <w:rPr>
          <w:szCs w:val="24"/>
        </w:rPr>
        <w:t>construction and licensing requirements</w:t>
      </w:r>
      <w:r w:rsidRPr="00FE19A4">
        <w:rPr>
          <w:szCs w:val="24"/>
        </w:rPr>
        <w:t>.</w:t>
      </w:r>
    </w:p>
    <w:p w14:paraId="7E80FCAF" w14:textId="77777777" w:rsidR="005E1F78" w:rsidRPr="00FE19A4" w:rsidRDefault="005E1F78" w:rsidP="005E1F78">
      <w:pPr>
        <w:numPr>
          <w:ilvl w:val="0"/>
          <w:numId w:val="23"/>
        </w:numPr>
        <w:rPr>
          <w:szCs w:val="24"/>
        </w:rPr>
      </w:pPr>
      <w:r w:rsidRPr="00FE19A4">
        <w:rPr>
          <w:szCs w:val="24"/>
        </w:rPr>
        <w:t>Introduces the idea of alternative methods</w:t>
      </w:r>
      <w:r w:rsidR="009A4AA7" w:rsidRPr="00FE19A4">
        <w:rPr>
          <w:szCs w:val="24"/>
        </w:rPr>
        <w:t xml:space="preserve"> to the exemptions section by</w:t>
      </w:r>
      <w:r w:rsidRPr="00FE19A4">
        <w:rPr>
          <w:szCs w:val="24"/>
        </w:rPr>
        <w:t xml:space="preserve"> meeting the intent of the rule.</w:t>
      </w:r>
    </w:p>
    <w:p w14:paraId="356AC3AE" w14:textId="77777777" w:rsidR="005E1F78" w:rsidRPr="00FE19A4" w:rsidRDefault="005E1F78" w:rsidP="005E1F78">
      <w:pPr>
        <w:numPr>
          <w:ilvl w:val="0"/>
          <w:numId w:val="23"/>
        </w:numPr>
        <w:rPr>
          <w:szCs w:val="24"/>
        </w:rPr>
      </w:pPr>
      <w:r w:rsidRPr="00FE19A4">
        <w:rPr>
          <w:szCs w:val="24"/>
        </w:rPr>
        <w:t>The new license and construction section will improve the compliance environment by clarifying process and requirements.</w:t>
      </w:r>
    </w:p>
    <w:p w14:paraId="5BE1B8A9" w14:textId="77777777" w:rsidR="005E1F78" w:rsidRPr="00FE19A4" w:rsidRDefault="005E1F78" w:rsidP="005E1F78">
      <w:pPr>
        <w:numPr>
          <w:ilvl w:val="0"/>
          <w:numId w:val="23"/>
        </w:numPr>
        <w:rPr>
          <w:szCs w:val="24"/>
        </w:rPr>
      </w:pPr>
      <w:r w:rsidRPr="00FE19A4">
        <w:rPr>
          <w:szCs w:val="24"/>
        </w:rPr>
        <w:t>The communication system section recognizes current technologies and maintains current home</w:t>
      </w:r>
      <w:r w:rsidR="00595039" w:rsidRPr="00FE19A4">
        <w:rPr>
          <w:szCs w:val="24"/>
        </w:rPr>
        <w:t>-</w:t>
      </w:r>
      <w:r w:rsidRPr="00FE19A4">
        <w:rPr>
          <w:szCs w:val="24"/>
        </w:rPr>
        <w:t>like environment.</w:t>
      </w:r>
    </w:p>
    <w:p w14:paraId="7D760C0C" w14:textId="77777777" w:rsidR="00EF781D" w:rsidRPr="00772ADC" w:rsidRDefault="00B413E6" w:rsidP="00B217E3">
      <w:pPr>
        <w:numPr>
          <w:ilvl w:val="0"/>
          <w:numId w:val="23"/>
        </w:numPr>
        <w:rPr>
          <w:szCs w:val="24"/>
        </w:rPr>
      </w:pPr>
      <w:r w:rsidRPr="00FE19A4">
        <w:rPr>
          <w:bCs/>
          <w:szCs w:val="24"/>
        </w:rPr>
        <w:t>For toilet and bathroom sections, these changes a</w:t>
      </w:r>
      <w:r w:rsidR="00DB1312" w:rsidRPr="00FE19A4">
        <w:rPr>
          <w:bCs/>
          <w:szCs w:val="24"/>
        </w:rPr>
        <w:t>ddress the fact that there is no model code requirement that a toilet mus</w:t>
      </w:r>
      <w:r w:rsidR="00B217E3" w:rsidRPr="00FE19A4">
        <w:rPr>
          <w:bCs/>
          <w:szCs w:val="24"/>
        </w:rPr>
        <w:t>t be located in a separate room; c</w:t>
      </w:r>
      <w:r w:rsidR="00DB1312" w:rsidRPr="00FE19A4">
        <w:rPr>
          <w:bCs/>
          <w:szCs w:val="24"/>
        </w:rPr>
        <w:t>reate</w:t>
      </w:r>
      <w:r w:rsidR="00B217E3" w:rsidRPr="00FE19A4">
        <w:rPr>
          <w:bCs/>
          <w:szCs w:val="24"/>
        </w:rPr>
        <w:t>s</w:t>
      </w:r>
      <w:r w:rsidR="00DB1312" w:rsidRPr="00FE19A4">
        <w:rPr>
          <w:bCs/>
          <w:szCs w:val="24"/>
        </w:rPr>
        <w:t xml:space="preserve"> consistent standards moving forward from the date of adoption</w:t>
      </w:r>
      <w:r w:rsidR="00B217E3" w:rsidRPr="00FE19A4">
        <w:rPr>
          <w:bCs/>
          <w:szCs w:val="24"/>
        </w:rPr>
        <w:t>; a</w:t>
      </w:r>
      <w:r w:rsidR="00DB1312" w:rsidRPr="00FE19A4">
        <w:rPr>
          <w:bCs/>
          <w:szCs w:val="24"/>
        </w:rPr>
        <w:t>ddress</w:t>
      </w:r>
      <w:r w:rsidR="00B217E3" w:rsidRPr="00FE19A4">
        <w:rPr>
          <w:bCs/>
          <w:szCs w:val="24"/>
        </w:rPr>
        <w:t>es</w:t>
      </w:r>
      <w:r w:rsidR="00DB1312" w:rsidRPr="00FE19A4">
        <w:rPr>
          <w:bCs/>
          <w:szCs w:val="24"/>
        </w:rPr>
        <w:t xml:space="preserve"> conflict between construction and manufacturers industry standard p</w:t>
      </w:r>
      <w:r w:rsidR="00B217E3" w:rsidRPr="00FE19A4">
        <w:rPr>
          <w:bCs/>
          <w:szCs w:val="24"/>
        </w:rPr>
        <w:t>ractice for sizing nomenclature,</w:t>
      </w:r>
      <w:r w:rsidR="00DB1312" w:rsidRPr="00FE19A4">
        <w:rPr>
          <w:bCs/>
          <w:szCs w:val="24"/>
        </w:rPr>
        <w:t xml:space="preserve"> particularly with the selection of manufactured shower assemblies</w:t>
      </w:r>
      <w:r w:rsidR="00F7090A" w:rsidRPr="00FE19A4">
        <w:rPr>
          <w:bCs/>
          <w:szCs w:val="24"/>
        </w:rPr>
        <w:t>.</w:t>
      </w:r>
    </w:p>
    <w:p w14:paraId="34B934B3" w14:textId="77777777" w:rsidR="00950DBF" w:rsidRPr="00FE19A4" w:rsidRDefault="00950DBF" w:rsidP="00033D19">
      <w:pPr>
        <w:ind w:left="720"/>
        <w:rPr>
          <w:szCs w:val="24"/>
        </w:rPr>
      </w:pPr>
    </w:p>
    <w:p w14:paraId="4027991C" w14:textId="77777777" w:rsidR="00EF781D" w:rsidRPr="00FE19A4" w:rsidRDefault="00AB531F" w:rsidP="00EF781D">
      <w:pPr>
        <w:rPr>
          <w:szCs w:val="24"/>
        </w:rPr>
      </w:pPr>
      <w:r>
        <w:rPr>
          <w:szCs w:val="24"/>
        </w:rPr>
        <w:t>For more information t</w:t>
      </w:r>
      <w:r w:rsidR="00EF781D" w:rsidRPr="006137CE">
        <w:rPr>
          <w:szCs w:val="24"/>
        </w:rPr>
        <w:t xml:space="preserve">he proposed amendments to this chapter can be viewed on the </w:t>
      </w:r>
      <w:r w:rsidR="00EF781D" w:rsidRPr="006137CE">
        <w:rPr>
          <w:i/>
          <w:szCs w:val="24"/>
        </w:rPr>
        <w:t xml:space="preserve">Report on Comments Chapter 388-78A-WAC </w:t>
      </w:r>
      <w:r w:rsidR="00EF781D" w:rsidRPr="006137CE">
        <w:rPr>
          <w:szCs w:val="24"/>
        </w:rPr>
        <w:t xml:space="preserve">issued by the Department of Social &amp; Health Services, Residential Care Services Division October 2017 at </w:t>
      </w:r>
      <w:hyperlink r:id="rId12" w:history="1">
        <w:r w:rsidR="00EF781D" w:rsidRPr="00FE19A4">
          <w:rPr>
            <w:rStyle w:val="Hyperlink"/>
            <w:szCs w:val="24"/>
          </w:rPr>
          <w:t>https://www.dshs.wa.gov/altsa/residential-care-services/information-assisted-living-facility-professionals</w:t>
        </w:r>
      </w:hyperlink>
      <w:r w:rsidR="00EF781D" w:rsidRPr="00FE19A4">
        <w:rPr>
          <w:rStyle w:val="Hyperlink"/>
          <w:szCs w:val="24"/>
        </w:rPr>
        <w:t>.</w:t>
      </w:r>
      <w:r w:rsidR="00EF781D" w:rsidRPr="00FE19A4">
        <w:rPr>
          <w:szCs w:val="24"/>
        </w:rPr>
        <w:t xml:space="preserve"> The report includes cost impacts and benefits for each proposal.</w:t>
      </w:r>
    </w:p>
    <w:p w14:paraId="4A299818" w14:textId="77777777" w:rsidR="007D49EC" w:rsidRPr="00FE19A4" w:rsidRDefault="007D49EC" w:rsidP="007E3C99">
      <w:pPr>
        <w:rPr>
          <w:szCs w:val="24"/>
        </w:rPr>
      </w:pPr>
    </w:p>
    <w:p w14:paraId="38BCB127" w14:textId="77777777" w:rsidR="00C4758F" w:rsidRPr="00FE19A4" w:rsidRDefault="00C4758F">
      <w:pPr>
        <w:rPr>
          <w:b/>
          <w:szCs w:val="24"/>
        </w:rPr>
      </w:pPr>
      <w:r w:rsidRPr="00FE19A4">
        <w:rPr>
          <w:b/>
          <w:szCs w:val="24"/>
        </w:rPr>
        <w:t>CONCLUSION</w:t>
      </w:r>
    </w:p>
    <w:p w14:paraId="39E4F63E" w14:textId="77777777" w:rsidR="00C4758F" w:rsidRPr="00FE19A4" w:rsidRDefault="00C4758F">
      <w:pPr>
        <w:rPr>
          <w:szCs w:val="24"/>
        </w:rPr>
      </w:pPr>
    </w:p>
    <w:p w14:paraId="1FC77088" w14:textId="77777777" w:rsidR="00C4758F" w:rsidRPr="00FE19A4" w:rsidRDefault="001860F3">
      <w:pPr>
        <w:rPr>
          <w:szCs w:val="24"/>
        </w:rPr>
      </w:pPr>
      <w:r w:rsidRPr="00FE19A4">
        <w:rPr>
          <w:szCs w:val="24"/>
        </w:rPr>
        <w:t xml:space="preserve">DSHS, Aging &amp; Long Term </w:t>
      </w:r>
      <w:r w:rsidR="00342F89" w:rsidRPr="00FE19A4">
        <w:rPr>
          <w:szCs w:val="24"/>
        </w:rPr>
        <w:t>Support</w:t>
      </w:r>
      <w:r w:rsidRPr="00FE19A4">
        <w:rPr>
          <w:szCs w:val="24"/>
        </w:rPr>
        <w:t xml:space="preserve"> Administration </w:t>
      </w:r>
      <w:r w:rsidR="00C4758F" w:rsidRPr="00FE19A4">
        <w:rPr>
          <w:szCs w:val="24"/>
        </w:rPr>
        <w:t>has given careful consideration to the impact of proposed rules in</w:t>
      </w:r>
      <w:r w:rsidR="00CC6EB4">
        <w:rPr>
          <w:szCs w:val="24"/>
        </w:rPr>
        <w:t xml:space="preserve"> Chapter 388-78A WAC</w:t>
      </w:r>
      <w:r w:rsidR="00C4758F" w:rsidRPr="00FE19A4">
        <w:rPr>
          <w:szCs w:val="24"/>
        </w:rPr>
        <w:t xml:space="preserve"> on small businesses. To comply with the Regulatory Fairness Act, Chapter 19.85 RCW, </w:t>
      </w:r>
      <w:r w:rsidRPr="00FE19A4">
        <w:rPr>
          <w:szCs w:val="24"/>
        </w:rPr>
        <w:t xml:space="preserve">DSHS, Aging &amp; Long Term </w:t>
      </w:r>
      <w:r w:rsidR="00342F89" w:rsidRPr="00FE19A4">
        <w:rPr>
          <w:szCs w:val="24"/>
        </w:rPr>
        <w:t xml:space="preserve">Support </w:t>
      </w:r>
      <w:r w:rsidRPr="00FE19A4">
        <w:rPr>
          <w:szCs w:val="24"/>
        </w:rPr>
        <w:t xml:space="preserve">Administration </w:t>
      </w:r>
      <w:r w:rsidR="00C4758F" w:rsidRPr="00FE19A4">
        <w:rPr>
          <w:szCs w:val="24"/>
        </w:rPr>
        <w:t xml:space="preserve">has analyzed impacts on small businesses and proposed ways to mitigate </w:t>
      </w:r>
      <w:r w:rsidR="00300134" w:rsidRPr="00FE19A4">
        <w:rPr>
          <w:szCs w:val="24"/>
        </w:rPr>
        <w:t>costs considered more than minor and disproportionate</w:t>
      </w:r>
      <w:r w:rsidR="00C4758F" w:rsidRPr="00FE19A4">
        <w:rPr>
          <w:szCs w:val="24"/>
        </w:rPr>
        <w:t>.</w:t>
      </w:r>
      <w:r w:rsidR="00C4758F" w:rsidRPr="00FE19A4">
        <w:rPr>
          <w:b/>
          <w:szCs w:val="24"/>
        </w:rPr>
        <w:t xml:space="preserve"> </w:t>
      </w:r>
    </w:p>
    <w:p w14:paraId="4134DA3D" w14:textId="77777777" w:rsidR="00C4758F" w:rsidRPr="00FE19A4" w:rsidRDefault="00C4758F">
      <w:pPr>
        <w:jc w:val="center"/>
        <w:rPr>
          <w:szCs w:val="24"/>
        </w:rPr>
      </w:pPr>
    </w:p>
    <w:p w14:paraId="23A51EEB" w14:textId="77777777" w:rsidR="00C4758F" w:rsidRPr="00FE19A4" w:rsidRDefault="00C4758F">
      <w:pPr>
        <w:rPr>
          <w:szCs w:val="24"/>
        </w:rPr>
      </w:pPr>
      <w:r w:rsidRPr="00FE19A4">
        <w:rPr>
          <w:szCs w:val="24"/>
        </w:rPr>
        <w:t xml:space="preserve">Please contact me if you have any questions at </w:t>
      </w:r>
      <w:r w:rsidR="001860F3" w:rsidRPr="00FE19A4">
        <w:rPr>
          <w:szCs w:val="24"/>
        </w:rPr>
        <w:t>(</w:t>
      </w:r>
      <w:r w:rsidR="00257C3E" w:rsidRPr="00FE19A4">
        <w:rPr>
          <w:szCs w:val="24"/>
        </w:rPr>
        <w:t>360</w:t>
      </w:r>
      <w:r w:rsidR="001860F3" w:rsidRPr="00FE19A4">
        <w:rPr>
          <w:szCs w:val="24"/>
        </w:rPr>
        <w:t xml:space="preserve">) </w:t>
      </w:r>
      <w:r w:rsidR="00257C3E" w:rsidRPr="00FE19A4">
        <w:rPr>
          <w:szCs w:val="24"/>
        </w:rPr>
        <w:t>725-2591.</w:t>
      </w:r>
    </w:p>
    <w:sectPr w:rsidR="00C4758F" w:rsidRPr="00FE19A4">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7C48B" w14:textId="77777777" w:rsidR="00AB6132" w:rsidRDefault="00AB6132">
      <w:r>
        <w:separator/>
      </w:r>
    </w:p>
  </w:endnote>
  <w:endnote w:type="continuationSeparator" w:id="0">
    <w:p w14:paraId="4034E1BA" w14:textId="77777777" w:rsidR="00AB6132" w:rsidRDefault="00AB6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CAFDF" w14:textId="77777777" w:rsidR="00CF64CC" w:rsidRDefault="00CF64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70D69" w14:textId="77777777" w:rsidR="00CF64CC" w:rsidRDefault="008A4CF5">
    <w:pPr>
      <w:pStyle w:val="Footer"/>
      <w:rPr>
        <w:sz w:val="18"/>
      </w:rPr>
    </w:pPr>
    <w:r>
      <w:rPr>
        <w:sz w:val="18"/>
      </w:rPr>
      <w:t>Small Business Economic Impact Statement</w:t>
    </w:r>
    <w:r w:rsidR="005918E5">
      <w:rPr>
        <w:sz w:val="18"/>
      </w:rPr>
      <w:t xml:space="preserve"> </w:t>
    </w:r>
    <w:bookmarkStart w:id="0" w:name="_GoBack"/>
    <w:bookmarkEnd w:id="0"/>
  </w:p>
  <w:p w14:paraId="6040EDCD" w14:textId="02437AAA" w:rsidR="00B62044" w:rsidRDefault="00CF64CC">
    <w:pPr>
      <w:pStyle w:val="Footer"/>
      <w:rPr>
        <w:sz w:val="18"/>
      </w:rPr>
    </w:pPr>
    <w:r>
      <w:rPr>
        <w:sz w:val="18"/>
      </w:rPr>
      <w:t>&amp; Cost B</w:t>
    </w:r>
    <w:r w:rsidR="005918E5">
      <w:rPr>
        <w:sz w:val="18"/>
      </w:rPr>
      <w:t>enefit Analysis</w:t>
    </w:r>
    <w:r w:rsidR="00B62044">
      <w:rPr>
        <w:sz w:val="18"/>
      </w:rPr>
      <w:tab/>
    </w:r>
    <w:r w:rsidR="00B62044">
      <w:rPr>
        <w:rStyle w:val="PageNumber"/>
        <w:sz w:val="18"/>
      </w:rPr>
      <w:fldChar w:fldCharType="begin"/>
    </w:r>
    <w:r w:rsidR="00B62044">
      <w:rPr>
        <w:rStyle w:val="PageNumber"/>
        <w:sz w:val="18"/>
      </w:rPr>
      <w:instrText xml:space="preserve"> PAGE </w:instrText>
    </w:r>
    <w:r w:rsidR="00B62044">
      <w:rPr>
        <w:rStyle w:val="PageNumber"/>
        <w:sz w:val="18"/>
      </w:rPr>
      <w:fldChar w:fldCharType="separate"/>
    </w:r>
    <w:r w:rsidR="0054340F">
      <w:rPr>
        <w:rStyle w:val="PageNumber"/>
        <w:noProof/>
        <w:sz w:val="18"/>
      </w:rPr>
      <w:t>1</w:t>
    </w:r>
    <w:r w:rsidR="00B62044">
      <w:rPr>
        <w:rStyle w:val="PageNumber"/>
        <w:sz w:val="18"/>
      </w:rPr>
      <w:fldChar w:fldCharType="end"/>
    </w:r>
    <w:r w:rsidR="00B62044">
      <w:rPr>
        <w:rStyle w:val="PageNumber"/>
        <w:sz w:val="18"/>
      </w:rPr>
      <w:tab/>
    </w:r>
    <w:r>
      <w:rPr>
        <w:rStyle w:val="PageNumber"/>
        <w:sz w:val="18"/>
      </w:rPr>
      <w:t>5/7/2019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856ED" w14:textId="77777777" w:rsidR="00CF64CC" w:rsidRDefault="00CF64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95C05" w14:textId="77777777" w:rsidR="00AB6132" w:rsidRDefault="00AB6132">
      <w:r>
        <w:separator/>
      </w:r>
    </w:p>
  </w:footnote>
  <w:footnote w:type="continuationSeparator" w:id="0">
    <w:p w14:paraId="69337499" w14:textId="77777777" w:rsidR="00AB6132" w:rsidRDefault="00AB6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40F95" w14:textId="77777777" w:rsidR="00CF64CC" w:rsidRDefault="00CF64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A7B8" w14:textId="77777777" w:rsidR="00CF64CC" w:rsidRDefault="00CF64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27D0C" w14:textId="77777777" w:rsidR="00CF64CC" w:rsidRDefault="00CF6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1316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E47336"/>
    <w:multiLevelType w:val="multilevel"/>
    <w:tmpl w:val="3D762880"/>
    <w:lvl w:ilvl="0">
      <w:start w:val="1"/>
      <w:numFmt w:val="decimal"/>
      <w:lvlText w:val="%1)"/>
      <w:lvlJc w:val="left"/>
      <w:pPr>
        <w:ind w:left="467" w:hanging="360"/>
      </w:pPr>
    </w:lvl>
    <w:lvl w:ilvl="1">
      <w:start w:val="1"/>
      <w:numFmt w:val="lowerLetter"/>
      <w:lvlText w:val="%2)"/>
      <w:lvlJc w:val="left"/>
      <w:pPr>
        <w:ind w:left="827" w:hanging="360"/>
      </w:pPr>
    </w:lvl>
    <w:lvl w:ilvl="2">
      <w:start w:val="1"/>
      <w:numFmt w:val="lowerRoman"/>
      <w:lvlText w:val="%3)"/>
      <w:lvlJc w:val="left"/>
      <w:pPr>
        <w:ind w:left="1187" w:hanging="360"/>
      </w:pPr>
    </w:lvl>
    <w:lvl w:ilvl="3">
      <w:start w:val="1"/>
      <w:numFmt w:val="upperLetter"/>
      <w:lvlText w:val="%4."/>
      <w:lvlJc w:val="left"/>
      <w:pPr>
        <w:ind w:left="1547" w:hanging="360"/>
      </w:pPr>
    </w:lvl>
    <w:lvl w:ilvl="4">
      <w:start w:val="1"/>
      <w:numFmt w:val="lowerLetter"/>
      <w:lvlText w:val="(%5)"/>
      <w:lvlJc w:val="left"/>
      <w:pPr>
        <w:ind w:left="1907" w:hanging="360"/>
      </w:pPr>
    </w:lvl>
    <w:lvl w:ilvl="5">
      <w:start w:val="1"/>
      <w:numFmt w:val="lowerRoman"/>
      <w:lvlText w:val="(%6)"/>
      <w:lvlJc w:val="left"/>
      <w:pPr>
        <w:ind w:left="2267" w:hanging="360"/>
      </w:pPr>
    </w:lvl>
    <w:lvl w:ilvl="6">
      <w:start w:val="1"/>
      <w:numFmt w:val="decimal"/>
      <w:lvlText w:val="%7."/>
      <w:lvlJc w:val="left"/>
      <w:pPr>
        <w:ind w:left="2627" w:hanging="360"/>
      </w:pPr>
    </w:lvl>
    <w:lvl w:ilvl="7">
      <w:start w:val="1"/>
      <w:numFmt w:val="lowerLetter"/>
      <w:lvlText w:val="%8."/>
      <w:lvlJc w:val="left"/>
      <w:pPr>
        <w:ind w:left="2987" w:hanging="360"/>
      </w:pPr>
    </w:lvl>
    <w:lvl w:ilvl="8">
      <w:start w:val="1"/>
      <w:numFmt w:val="lowerRoman"/>
      <w:lvlText w:val="%9."/>
      <w:lvlJc w:val="left"/>
      <w:pPr>
        <w:ind w:left="3347" w:hanging="360"/>
      </w:pPr>
    </w:lvl>
  </w:abstractNum>
  <w:abstractNum w:abstractNumId="3" w15:restartNumberingAfterBreak="0">
    <w:nsid w:val="0C211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BC01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9D028B"/>
    <w:multiLevelType w:val="hybridMultilevel"/>
    <w:tmpl w:val="E0CEF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834B3"/>
    <w:multiLevelType w:val="hybridMultilevel"/>
    <w:tmpl w:val="03CE6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E343C"/>
    <w:multiLevelType w:val="hybridMultilevel"/>
    <w:tmpl w:val="41582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1159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1C751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A213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B832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FAB5574"/>
    <w:multiLevelType w:val="hybridMultilevel"/>
    <w:tmpl w:val="E81AD5DE"/>
    <w:lvl w:ilvl="0" w:tplc="36A01DE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6966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6BC4E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E850E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EE57B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6F545E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7A51A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D0258D2"/>
    <w:multiLevelType w:val="hybridMultilevel"/>
    <w:tmpl w:val="8856E1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5D58492A"/>
    <w:multiLevelType w:val="hybridMultilevel"/>
    <w:tmpl w:val="718EB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D25D7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639757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52214C6"/>
    <w:multiLevelType w:val="hybridMultilevel"/>
    <w:tmpl w:val="24EC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F613F4"/>
    <w:multiLevelType w:val="singleLevel"/>
    <w:tmpl w:val="0409000D"/>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37B00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C633EA0"/>
    <w:multiLevelType w:val="hybridMultilevel"/>
    <w:tmpl w:val="73FE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4"/>
  </w:num>
  <w:num w:numId="3">
    <w:abstractNumId w:val="13"/>
  </w:num>
  <w:num w:numId="4">
    <w:abstractNumId w:val="14"/>
  </w:num>
  <w:num w:numId="5">
    <w:abstractNumId w:val="11"/>
  </w:num>
  <w:num w:numId="6">
    <w:abstractNumId w:val="18"/>
  </w:num>
  <w:num w:numId="7">
    <w:abstractNumId w:val="25"/>
  </w:num>
  <w:num w:numId="8">
    <w:abstractNumId w:val="1"/>
  </w:num>
  <w:num w:numId="9">
    <w:abstractNumId w:val="9"/>
  </w:num>
  <w:num w:numId="10">
    <w:abstractNumId w:val="21"/>
  </w:num>
  <w:num w:numId="11">
    <w:abstractNumId w:val="16"/>
  </w:num>
  <w:num w:numId="12">
    <w:abstractNumId w:val="15"/>
  </w:num>
  <w:num w:numId="13">
    <w:abstractNumId w:val="3"/>
  </w:num>
  <w:num w:numId="14">
    <w:abstractNumId w:val="4"/>
  </w:num>
  <w:num w:numId="15">
    <w:abstractNumId w:val="8"/>
  </w:num>
  <w:num w:numId="16">
    <w:abstractNumId w:val="17"/>
  </w:num>
  <w:num w:numId="17">
    <w:abstractNumId w:val="10"/>
  </w:num>
  <w:num w:numId="18">
    <w:abstractNumId w:val="22"/>
  </w:num>
  <w:num w:numId="19">
    <w:abstractNumId w:val="12"/>
  </w:num>
  <w:num w:numId="20">
    <w:abstractNumId w:val="19"/>
  </w:num>
  <w:num w:numId="21">
    <w:abstractNumId w:val="26"/>
  </w:num>
  <w:num w:numId="22">
    <w:abstractNumId w:val="5"/>
  </w:num>
  <w:num w:numId="23">
    <w:abstractNumId w:val="20"/>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23"/>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F7"/>
    <w:rsid w:val="000041BD"/>
    <w:rsid w:val="00004407"/>
    <w:rsid w:val="00022404"/>
    <w:rsid w:val="00033D19"/>
    <w:rsid w:val="00042714"/>
    <w:rsid w:val="00044D12"/>
    <w:rsid w:val="000704D7"/>
    <w:rsid w:val="000A48C0"/>
    <w:rsid w:val="000B7B5D"/>
    <w:rsid w:val="000C4A4D"/>
    <w:rsid w:val="000F0689"/>
    <w:rsid w:val="001224A0"/>
    <w:rsid w:val="0012396F"/>
    <w:rsid w:val="0013094F"/>
    <w:rsid w:val="00135A25"/>
    <w:rsid w:val="00153A99"/>
    <w:rsid w:val="0017273F"/>
    <w:rsid w:val="00174856"/>
    <w:rsid w:val="00177AAD"/>
    <w:rsid w:val="00183F29"/>
    <w:rsid w:val="00185D5D"/>
    <w:rsid w:val="001860F3"/>
    <w:rsid w:val="001924BE"/>
    <w:rsid w:val="00196278"/>
    <w:rsid w:val="001A1757"/>
    <w:rsid w:val="001C722C"/>
    <w:rsid w:val="001D4B69"/>
    <w:rsid w:val="001E59C7"/>
    <w:rsid w:val="00211B13"/>
    <w:rsid w:val="00212DD8"/>
    <w:rsid w:val="00220DF7"/>
    <w:rsid w:val="00227767"/>
    <w:rsid w:val="00240F8C"/>
    <w:rsid w:val="00257C3E"/>
    <w:rsid w:val="002622E2"/>
    <w:rsid w:val="002719B9"/>
    <w:rsid w:val="00297228"/>
    <w:rsid w:val="002C3A9B"/>
    <w:rsid w:val="002C7B81"/>
    <w:rsid w:val="002D34B0"/>
    <w:rsid w:val="00300134"/>
    <w:rsid w:val="00301EA4"/>
    <w:rsid w:val="003136B2"/>
    <w:rsid w:val="003141BE"/>
    <w:rsid w:val="003212F5"/>
    <w:rsid w:val="00342F89"/>
    <w:rsid w:val="0037363F"/>
    <w:rsid w:val="003A42A5"/>
    <w:rsid w:val="003B6009"/>
    <w:rsid w:val="003C12C3"/>
    <w:rsid w:val="003D6C7B"/>
    <w:rsid w:val="003E5FC9"/>
    <w:rsid w:val="003F1803"/>
    <w:rsid w:val="00417DD6"/>
    <w:rsid w:val="00470034"/>
    <w:rsid w:val="00473604"/>
    <w:rsid w:val="00483A75"/>
    <w:rsid w:val="00495106"/>
    <w:rsid w:val="004B2AD4"/>
    <w:rsid w:val="004B4F2A"/>
    <w:rsid w:val="004C24EE"/>
    <w:rsid w:val="004D67F7"/>
    <w:rsid w:val="004F0568"/>
    <w:rsid w:val="005048DA"/>
    <w:rsid w:val="00516D63"/>
    <w:rsid w:val="00526F39"/>
    <w:rsid w:val="0054340F"/>
    <w:rsid w:val="005636B0"/>
    <w:rsid w:val="005918E5"/>
    <w:rsid w:val="00592C79"/>
    <w:rsid w:val="00595039"/>
    <w:rsid w:val="005A62B1"/>
    <w:rsid w:val="005B09FC"/>
    <w:rsid w:val="005B0AAA"/>
    <w:rsid w:val="005B6738"/>
    <w:rsid w:val="005C46A9"/>
    <w:rsid w:val="005E1F78"/>
    <w:rsid w:val="005E40DA"/>
    <w:rsid w:val="005E58B4"/>
    <w:rsid w:val="005E595C"/>
    <w:rsid w:val="005F7A36"/>
    <w:rsid w:val="006001B1"/>
    <w:rsid w:val="00607B38"/>
    <w:rsid w:val="0061205C"/>
    <w:rsid w:val="00645B25"/>
    <w:rsid w:val="00651AE3"/>
    <w:rsid w:val="00651E65"/>
    <w:rsid w:val="0065799F"/>
    <w:rsid w:val="00662673"/>
    <w:rsid w:val="00663AE2"/>
    <w:rsid w:val="00676DEA"/>
    <w:rsid w:val="0068787E"/>
    <w:rsid w:val="00697D6E"/>
    <w:rsid w:val="00697DFA"/>
    <w:rsid w:val="006B2889"/>
    <w:rsid w:val="006D41C3"/>
    <w:rsid w:val="006E3F21"/>
    <w:rsid w:val="006F2F48"/>
    <w:rsid w:val="00727099"/>
    <w:rsid w:val="00744C71"/>
    <w:rsid w:val="00751150"/>
    <w:rsid w:val="007547F9"/>
    <w:rsid w:val="00766950"/>
    <w:rsid w:val="00767273"/>
    <w:rsid w:val="00772ADC"/>
    <w:rsid w:val="007758DA"/>
    <w:rsid w:val="00776B1A"/>
    <w:rsid w:val="00776EB8"/>
    <w:rsid w:val="007B0250"/>
    <w:rsid w:val="007D49EC"/>
    <w:rsid w:val="007E13E0"/>
    <w:rsid w:val="007E3C99"/>
    <w:rsid w:val="007E53E9"/>
    <w:rsid w:val="00817485"/>
    <w:rsid w:val="0082279C"/>
    <w:rsid w:val="008257AA"/>
    <w:rsid w:val="008322F8"/>
    <w:rsid w:val="008618CD"/>
    <w:rsid w:val="0088311C"/>
    <w:rsid w:val="0089378D"/>
    <w:rsid w:val="008A4CF5"/>
    <w:rsid w:val="008B5E6F"/>
    <w:rsid w:val="008C2C60"/>
    <w:rsid w:val="008F498E"/>
    <w:rsid w:val="009010B3"/>
    <w:rsid w:val="00904637"/>
    <w:rsid w:val="009208E4"/>
    <w:rsid w:val="009262CC"/>
    <w:rsid w:val="00933734"/>
    <w:rsid w:val="00950DBF"/>
    <w:rsid w:val="00975379"/>
    <w:rsid w:val="0098667A"/>
    <w:rsid w:val="009956F8"/>
    <w:rsid w:val="00995D3D"/>
    <w:rsid w:val="009A146E"/>
    <w:rsid w:val="009A4AA7"/>
    <w:rsid w:val="009B4A09"/>
    <w:rsid w:val="009D0764"/>
    <w:rsid w:val="009D276A"/>
    <w:rsid w:val="009F7DF7"/>
    <w:rsid w:val="00A01CE1"/>
    <w:rsid w:val="00A7590E"/>
    <w:rsid w:val="00A94136"/>
    <w:rsid w:val="00A97268"/>
    <w:rsid w:val="00AB0744"/>
    <w:rsid w:val="00AB1582"/>
    <w:rsid w:val="00AB531F"/>
    <w:rsid w:val="00AB6132"/>
    <w:rsid w:val="00AC1AC6"/>
    <w:rsid w:val="00AC5682"/>
    <w:rsid w:val="00AD212E"/>
    <w:rsid w:val="00AD2854"/>
    <w:rsid w:val="00AD77FF"/>
    <w:rsid w:val="00AE3BC3"/>
    <w:rsid w:val="00B1386A"/>
    <w:rsid w:val="00B17272"/>
    <w:rsid w:val="00B217E3"/>
    <w:rsid w:val="00B33653"/>
    <w:rsid w:val="00B413E6"/>
    <w:rsid w:val="00B5027A"/>
    <w:rsid w:val="00B52D9C"/>
    <w:rsid w:val="00B55469"/>
    <w:rsid w:val="00B62044"/>
    <w:rsid w:val="00B66AC3"/>
    <w:rsid w:val="00B95CA9"/>
    <w:rsid w:val="00BB6363"/>
    <w:rsid w:val="00BC0324"/>
    <w:rsid w:val="00BE7772"/>
    <w:rsid w:val="00BF3ABD"/>
    <w:rsid w:val="00C14623"/>
    <w:rsid w:val="00C24F26"/>
    <w:rsid w:val="00C3034C"/>
    <w:rsid w:val="00C343CB"/>
    <w:rsid w:val="00C4758F"/>
    <w:rsid w:val="00C551E2"/>
    <w:rsid w:val="00C56BE6"/>
    <w:rsid w:val="00C573D0"/>
    <w:rsid w:val="00C8363A"/>
    <w:rsid w:val="00C92DFA"/>
    <w:rsid w:val="00CA0567"/>
    <w:rsid w:val="00CA53A5"/>
    <w:rsid w:val="00CC434B"/>
    <w:rsid w:val="00CC6EB4"/>
    <w:rsid w:val="00CF22F7"/>
    <w:rsid w:val="00CF64CC"/>
    <w:rsid w:val="00D068F2"/>
    <w:rsid w:val="00D15EAC"/>
    <w:rsid w:val="00D17EC6"/>
    <w:rsid w:val="00D20FAB"/>
    <w:rsid w:val="00D249AB"/>
    <w:rsid w:val="00D255A8"/>
    <w:rsid w:val="00D735A3"/>
    <w:rsid w:val="00D967AF"/>
    <w:rsid w:val="00D96F57"/>
    <w:rsid w:val="00DA24F2"/>
    <w:rsid w:val="00DB1312"/>
    <w:rsid w:val="00DB688B"/>
    <w:rsid w:val="00DE266E"/>
    <w:rsid w:val="00DE2924"/>
    <w:rsid w:val="00DF2BA4"/>
    <w:rsid w:val="00E1391B"/>
    <w:rsid w:val="00E15893"/>
    <w:rsid w:val="00E173CF"/>
    <w:rsid w:val="00E1786C"/>
    <w:rsid w:val="00E24C83"/>
    <w:rsid w:val="00E36640"/>
    <w:rsid w:val="00E400FE"/>
    <w:rsid w:val="00E72ABC"/>
    <w:rsid w:val="00E7732A"/>
    <w:rsid w:val="00E7751F"/>
    <w:rsid w:val="00E77B94"/>
    <w:rsid w:val="00E912B0"/>
    <w:rsid w:val="00E96450"/>
    <w:rsid w:val="00EB2C8C"/>
    <w:rsid w:val="00EC6A87"/>
    <w:rsid w:val="00EF781D"/>
    <w:rsid w:val="00F015A4"/>
    <w:rsid w:val="00F07A3B"/>
    <w:rsid w:val="00F420D3"/>
    <w:rsid w:val="00F43724"/>
    <w:rsid w:val="00F44E37"/>
    <w:rsid w:val="00F60958"/>
    <w:rsid w:val="00F7090A"/>
    <w:rsid w:val="00F82705"/>
    <w:rsid w:val="00F83939"/>
    <w:rsid w:val="00F86470"/>
    <w:rsid w:val="00F91816"/>
    <w:rsid w:val="00FA19BD"/>
    <w:rsid w:val="00FA6383"/>
    <w:rsid w:val="00FC2953"/>
    <w:rsid w:val="00FC4BA9"/>
    <w:rsid w:val="00FE19A4"/>
    <w:rsid w:val="00FF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28BD2D"/>
  <w15:chartTrackingRefBased/>
  <w15:docId w15:val="{6AECB731-0C85-4A76-8BCE-506516A29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outlineLvl w:val="0"/>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rFonts w:ascii="Arial" w:hAnsi="Arial"/>
      <w:b/>
      <w:sz w:val="22"/>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style>
  <w:style w:type="character" w:styleId="Hyperlink">
    <w:name w:val="Hyperlink"/>
    <w:rsid w:val="00135A25"/>
    <w:rPr>
      <w:color w:val="0563C1"/>
      <w:u w:val="single"/>
    </w:rPr>
  </w:style>
  <w:style w:type="paragraph" w:styleId="BalloonText">
    <w:name w:val="Balloon Text"/>
    <w:basedOn w:val="Normal"/>
    <w:link w:val="BalloonTextChar"/>
    <w:rsid w:val="007E3C99"/>
    <w:rPr>
      <w:rFonts w:ascii="Segoe UI" w:hAnsi="Segoe UI" w:cs="Segoe UI"/>
      <w:sz w:val="18"/>
      <w:szCs w:val="18"/>
    </w:rPr>
  </w:style>
  <w:style w:type="character" w:customStyle="1" w:styleId="BalloonTextChar">
    <w:name w:val="Balloon Text Char"/>
    <w:link w:val="BalloonText"/>
    <w:rsid w:val="007E3C99"/>
    <w:rPr>
      <w:rFonts w:ascii="Segoe UI" w:hAnsi="Segoe UI" w:cs="Segoe UI"/>
      <w:sz w:val="18"/>
      <w:szCs w:val="18"/>
    </w:rPr>
  </w:style>
  <w:style w:type="table" w:styleId="TableGrid">
    <w:name w:val="Table Grid"/>
    <w:basedOn w:val="TableNormal"/>
    <w:rsid w:val="007E3C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3C99"/>
    <w:pPr>
      <w:ind w:left="720"/>
      <w:contextualSpacing/>
    </w:pPr>
  </w:style>
  <w:style w:type="character" w:styleId="CommentReference">
    <w:name w:val="annotation reference"/>
    <w:rsid w:val="007E3C99"/>
    <w:rPr>
      <w:sz w:val="16"/>
      <w:szCs w:val="16"/>
    </w:rPr>
  </w:style>
  <w:style w:type="paragraph" w:styleId="CommentText">
    <w:name w:val="annotation text"/>
    <w:basedOn w:val="Normal"/>
    <w:link w:val="CommentTextChar"/>
    <w:rsid w:val="007E3C99"/>
    <w:rPr>
      <w:sz w:val="20"/>
    </w:rPr>
  </w:style>
  <w:style w:type="character" w:customStyle="1" w:styleId="CommentTextChar">
    <w:name w:val="Comment Text Char"/>
    <w:basedOn w:val="DefaultParagraphFont"/>
    <w:link w:val="CommentText"/>
    <w:rsid w:val="007E3C99"/>
  </w:style>
  <w:style w:type="paragraph" w:styleId="BodyText">
    <w:name w:val="Body Text"/>
    <w:basedOn w:val="Normal"/>
    <w:link w:val="BodyTextChar"/>
    <w:rsid w:val="00DB1312"/>
    <w:pPr>
      <w:spacing w:after="120"/>
    </w:pPr>
  </w:style>
  <w:style w:type="character" w:customStyle="1" w:styleId="BodyTextChar">
    <w:name w:val="Body Text Char"/>
    <w:link w:val="BodyText"/>
    <w:rsid w:val="00DB1312"/>
    <w:rPr>
      <w:sz w:val="24"/>
    </w:rPr>
  </w:style>
  <w:style w:type="paragraph" w:styleId="CommentSubject">
    <w:name w:val="annotation subject"/>
    <w:basedOn w:val="CommentText"/>
    <w:next w:val="CommentText"/>
    <w:link w:val="CommentSubjectChar"/>
    <w:rsid w:val="00044D12"/>
    <w:rPr>
      <w:b/>
      <w:bCs/>
    </w:rPr>
  </w:style>
  <w:style w:type="character" w:customStyle="1" w:styleId="CommentSubjectChar">
    <w:name w:val="Comment Subject Char"/>
    <w:basedOn w:val="CommentTextChar"/>
    <w:link w:val="CommentSubject"/>
    <w:rsid w:val="00044D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706650">
      <w:bodyDiv w:val="1"/>
      <w:marLeft w:val="0"/>
      <w:marRight w:val="0"/>
      <w:marTop w:val="0"/>
      <w:marBottom w:val="0"/>
      <w:divBdr>
        <w:top w:val="none" w:sz="0" w:space="0" w:color="auto"/>
        <w:left w:val="none" w:sz="0" w:space="0" w:color="auto"/>
        <w:bottom w:val="none" w:sz="0" w:space="0" w:color="auto"/>
        <w:right w:val="none" w:sz="0" w:space="0" w:color="auto"/>
      </w:divBdr>
    </w:div>
    <w:div w:id="141513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dshs.wa.gov/altsa/residential-care-services/information-assisted-living-facility-professional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1E9057C944724C9EEB1C93A466867E" ma:contentTypeVersion="1" ma:contentTypeDescription="Create a new document." ma:contentTypeScope="" ma:versionID="aaf77d33388c0f5a10ff26376dad669f">
  <xsd:schema xmlns:xsd="http://www.w3.org/2001/XMLSchema" xmlns:xs="http://www.w3.org/2001/XMLSchema" xmlns:p="http://schemas.microsoft.com/office/2006/metadata/properties" xmlns:ns1="6562947f-d65a-4930-8ec8-cbb85af6c3c2" targetNamespace="http://schemas.microsoft.com/office/2006/metadata/properties" ma:root="true" ma:fieldsID="ea03a6606121961bc23c10d00801fed8" ns1:_="">
    <xsd:import namespace="6562947f-d65a-4930-8ec8-cbb85af6c3c2"/>
    <xsd:element name="properties">
      <xsd:complexType>
        <xsd:sequence>
          <xsd:element name="documentManagement">
            <xsd:complexType>
              <xsd:all>
                <xsd:element ref="ns1: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62947f-d65a-4930-8ec8-cbb85af6c3c2" elementFormDefault="qualified">
    <xsd:import namespace="http://schemas.microsoft.com/office/2006/documentManagement/types"/>
    <xsd:import namespace="http://schemas.microsoft.com/office/infopath/2007/PartnerControls"/>
    <xsd:element name="Order0" ma:index="0" nillable="true" ma:displayName="Order" ma:internalName="Orde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Order0 xmlns="6562947f-d65a-4930-8ec8-cbb85af6c3c2">1</Order0>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98FA9-BAF4-4DC9-8CCB-5D3F50A772A4}">
  <ds:schemaRefs>
    <ds:schemaRef ds:uri="http://schemas.microsoft.com/sharepoint/v3/contenttype/forms"/>
  </ds:schemaRefs>
</ds:datastoreItem>
</file>

<file path=customXml/itemProps2.xml><?xml version="1.0" encoding="utf-8"?>
<ds:datastoreItem xmlns:ds="http://schemas.openxmlformats.org/officeDocument/2006/customXml" ds:itemID="{DC5F1E73-3681-46BD-93A8-4F29F76E9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62947f-d65a-4930-8ec8-cbb85af6c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2A81A-AD82-4FCE-9141-506CAE7A1B03}">
  <ds:schemaRefs>
    <ds:schemaRef ds:uri="http://schemas.microsoft.com/office/2006/metadata/longProperties"/>
  </ds:schemaRefs>
</ds:datastoreItem>
</file>

<file path=customXml/itemProps4.xml><?xml version="1.0" encoding="utf-8"?>
<ds:datastoreItem xmlns:ds="http://schemas.openxmlformats.org/officeDocument/2006/customXml" ds:itemID="{7C220217-F0F4-426E-8772-C32E87A0B7C4}">
  <ds:schemaRefs>
    <ds:schemaRef ds:uri="http://schemas.microsoft.com/office/2006/metadata/properties"/>
    <ds:schemaRef ds:uri="http://schemas.microsoft.com/office/infopath/2007/PartnerControls"/>
    <ds:schemaRef ds:uri="6562947f-d65a-4930-8ec8-cbb85af6c3c2"/>
  </ds:schemaRefs>
</ds:datastoreItem>
</file>

<file path=customXml/itemProps5.xml><?xml version="1.0" encoding="utf-8"?>
<ds:datastoreItem xmlns:ds="http://schemas.openxmlformats.org/officeDocument/2006/customXml" ds:itemID="{7DFCF6B0-C78D-48B0-B2E3-F07EAB895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Small Business Economic Impact Statement-SBEIS</vt:lpstr>
    </vt:vector>
  </TitlesOfParts>
  <Company>state of washington</Company>
  <LinksUpToDate>false</LinksUpToDate>
  <CharactersWithSpaces>12547</CharactersWithSpaces>
  <SharedDoc>false</SharedDoc>
  <HLinks>
    <vt:vector size="12" baseType="variant">
      <vt:variant>
        <vt:i4>7536702</vt:i4>
      </vt:variant>
      <vt:variant>
        <vt:i4>3</vt:i4>
      </vt:variant>
      <vt:variant>
        <vt:i4>0</vt:i4>
      </vt:variant>
      <vt:variant>
        <vt:i4>5</vt:i4>
      </vt:variant>
      <vt:variant>
        <vt:lpwstr>https://www.dshs.wa.gov/altsa/residential-care-services/information-assisted-living-facility-professionals</vt:lpwstr>
      </vt:variant>
      <vt:variant>
        <vt:lpwstr/>
      </vt:variant>
      <vt:variant>
        <vt:i4>7536702</vt:i4>
      </vt:variant>
      <vt:variant>
        <vt:i4>0</vt:i4>
      </vt:variant>
      <vt:variant>
        <vt:i4>0</vt:i4>
      </vt:variant>
      <vt:variant>
        <vt:i4>5</vt:i4>
      </vt:variant>
      <vt:variant>
        <vt:lpwstr>https://www.dshs.wa.gov/altsa/residential-care-services/information-assisted-living-facility-professionals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Business Economic Impact Statement-SBEIS</dc:title>
  <dc:subject/>
  <dc:creator>Childress, Jeanette K (DSHS/ALTSA/RCS)</dc:creator>
  <cp:keywords/>
  <dc:description/>
  <cp:lastModifiedBy>Bantog, Clare (DSHS/ALTSA/RCS)</cp:lastModifiedBy>
  <cp:revision>3</cp:revision>
  <cp:lastPrinted>2019-05-07T17:43:00Z</cp:lastPrinted>
  <dcterms:created xsi:type="dcterms:W3CDTF">2019-12-18T21:53:00Z</dcterms:created>
  <dcterms:modified xsi:type="dcterms:W3CDTF">2019-12-18T21:57:00Z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0">
    <vt:lpwstr>1</vt:lpwstr>
  </property>
</Properties>
</file>