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2E" w:rsidRPr="00EC3731" w:rsidRDefault="0004162E" w:rsidP="0004162E">
      <w:pPr>
        <w:pStyle w:val="ReportTitle"/>
      </w:pPr>
      <w:r w:rsidRPr="00EC3731">
        <w:t>ADRC EXPANSION PLAN</w:t>
      </w:r>
    </w:p>
    <w:p w:rsidR="003051C5" w:rsidRDefault="003051C5" w:rsidP="003051C5">
      <w:pPr>
        <w:pStyle w:val="ReportSubtitle"/>
        <w:spacing w:after="0"/>
      </w:pPr>
      <w:r>
        <w:t>Sustainability/</w:t>
      </w:r>
      <w:r w:rsidR="00BE39B4">
        <w:t>Funding</w:t>
      </w:r>
      <w:r w:rsidR="00132FAF" w:rsidRPr="00EC3731">
        <w:t xml:space="preserve"> </w:t>
      </w:r>
      <w:r w:rsidR="0004162E" w:rsidRPr="00EC3731">
        <w:t xml:space="preserve">Topical Work Team </w:t>
      </w:r>
    </w:p>
    <w:p w:rsidR="0004162E" w:rsidRPr="00EC3731" w:rsidRDefault="0004162E" w:rsidP="0004162E">
      <w:pPr>
        <w:pStyle w:val="ReportSubtitle"/>
      </w:pPr>
      <w:r w:rsidRPr="00EC3731">
        <w:t>Scope of Work</w:t>
      </w:r>
    </w:p>
    <w:p w:rsidR="001E1605" w:rsidRPr="00EC3731" w:rsidRDefault="001E1605" w:rsidP="00BD3CC5">
      <w:pPr>
        <w:pStyle w:val="Heading2"/>
      </w:pPr>
      <w:r w:rsidRPr="00EC3731">
        <w:t>Task Understanding</w:t>
      </w:r>
    </w:p>
    <w:p w:rsidR="00E665E2" w:rsidRDefault="00482B20" w:rsidP="00E665E2">
      <w:r>
        <w:t>Current ADRC funding primarily comes from time-limited grants from the Administration on Community Living (ACL), formerly known as the Administration on Aging (AoA).  These include: (1)the 2009-12 ADRC Expansion</w:t>
      </w:r>
      <w:r w:rsidR="00E665E2">
        <w:t xml:space="preserve"> grant</w:t>
      </w:r>
      <w:r>
        <w:t xml:space="preserve"> which</w:t>
      </w:r>
      <w:r w:rsidR="00E665E2">
        <w:t xml:space="preserve"> </w:t>
      </w:r>
      <w:r>
        <w:t>funds approximately one staff person at each of the</w:t>
      </w:r>
      <w:r w:rsidR="00E665E2">
        <w:t xml:space="preserve"> three new pilot ADRC sites in Washington, with a small </w:t>
      </w:r>
      <w:r>
        <w:t xml:space="preserve">amount </w:t>
      </w:r>
      <w:r w:rsidR="00E665E2">
        <w:t xml:space="preserve">of technical assistance funding for the state’s original pilot site and </w:t>
      </w:r>
      <w:r>
        <w:t>then some to</w:t>
      </w:r>
      <w:r w:rsidR="00E665E2">
        <w:t xml:space="preserve"> </w:t>
      </w:r>
      <w:r w:rsidR="009C66CC">
        <w:t xml:space="preserve">the </w:t>
      </w:r>
      <w:r w:rsidR="00E665E2">
        <w:t>statewide association of</w:t>
      </w:r>
      <w:r>
        <w:t xml:space="preserve"> Centers for Independent Living; and (2)the 2010-12 Evidence-based Care Transitions Grant which provides funding to two ADRC pilot sites and Qualis Health to implement and expand an evidence-based hospital-to-home care transitions model.</w:t>
      </w:r>
      <w:r w:rsidR="00E665E2">
        <w:t xml:space="preserve"> While Administration on Aging </w:t>
      </w:r>
      <w:r>
        <w:t xml:space="preserve">ADRC Expansion </w:t>
      </w:r>
      <w:r w:rsidR="00E665E2">
        <w:t xml:space="preserve">grant funds </w:t>
      </w:r>
      <w:proofErr w:type="gramStart"/>
      <w:r w:rsidR="00E665E2">
        <w:t>assist</w:t>
      </w:r>
      <w:proofErr w:type="gramEnd"/>
      <w:r w:rsidR="00E665E2">
        <w:t xml:space="preserve"> Washington in designing and implementing ADRC sites, the initiative also </w:t>
      </w:r>
      <w:r w:rsidR="009C66CC">
        <w:t xml:space="preserve">required </w:t>
      </w:r>
      <w:r w:rsidR="00E665E2">
        <w:t>the State to develop a plan to sustain the key activities through system redesign, creating efficiencies, expanding partnerships, and determining funding mechanisms.</w:t>
      </w:r>
    </w:p>
    <w:p w:rsidR="00E665E2" w:rsidRDefault="00E665E2" w:rsidP="00E665E2">
      <w:r>
        <w:t xml:space="preserve">In </w:t>
      </w:r>
      <w:r w:rsidR="00482B20">
        <w:t xml:space="preserve">the </w:t>
      </w:r>
      <w:r>
        <w:t xml:space="preserve">current </w:t>
      </w:r>
      <w:r w:rsidR="00482B20">
        <w:t>economic environment</w:t>
      </w:r>
      <w:r>
        <w:t xml:space="preserve">, state funding </w:t>
      </w:r>
      <w:r w:rsidR="00F8449E">
        <w:t>continues to face</w:t>
      </w:r>
      <w:r>
        <w:t xml:space="preserve"> reductions</w:t>
      </w:r>
      <w:r w:rsidR="00F8449E">
        <w:t xml:space="preserve">, </w:t>
      </w:r>
      <w:r w:rsidR="009C66CC">
        <w:t>sometimes causing</w:t>
      </w:r>
      <w:r>
        <w:t xml:space="preserve"> whole programs </w:t>
      </w:r>
      <w:r w:rsidR="009C66CC">
        <w:t xml:space="preserve">to be </w:t>
      </w:r>
      <w:r w:rsidR="00F8449E">
        <w:t>at risk</w:t>
      </w:r>
      <w:r>
        <w:t xml:space="preserve">. </w:t>
      </w:r>
      <w:r w:rsidR="009C66CC">
        <w:t xml:space="preserve">In addition, federal funding may </w:t>
      </w:r>
      <w:r w:rsidR="00876B2C">
        <w:t xml:space="preserve">now </w:t>
      </w:r>
      <w:r w:rsidR="009C66CC">
        <w:t xml:space="preserve">be diminished due to the </w:t>
      </w:r>
      <w:r w:rsidR="00876B2C">
        <w:t>b</w:t>
      </w:r>
      <w:r w:rsidR="009C66CC">
        <w:t xml:space="preserve">udget </w:t>
      </w:r>
      <w:r w:rsidR="00876B2C">
        <w:t>d</w:t>
      </w:r>
      <w:r w:rsidR="009C66CC">
        <w:t>eficit</w:t>
      </w:r>
      <w:r w:rsidR="00876B2C">
        <w:t xml:space="preserve"> and proposed legislation</w:t>
      </w:r>
      <w:r w:rsidR="009C66CC">
        <w:t xml:space="preserve">. </w:t>
      </w:r>
      <w:r>
        <w:t>Because prospects</w:t>
      </w:r>
      <w:r w:rsidR="005A77E8">
        <w:t xml:space="preserve"> for public funding</w:t>
      </w:r>
      <w:r>
        <w:t xml:space="preserve"> appear bleak for the </w:t>
      </w:r>
      <w:r w:rsidR="00F8449E">
        <w:t xml:space="preserve">near </w:t>
      </w:r>
      <w:r>
        <w:t>future, ADRCs will also face the challenge of assisting customers in making linkages to a diminished menu of services, and uncertainty about the continued viability of services where they are identified.</w:t>
      </w:r>
      <w:r w:rsidR="009C66CC">
        <w:t xml:space="preserve">  Individuals will need expert assistance in making conscientious decisions about how to economically meet their long-</w:t>
      </w:r>
      <w:r w:rsidR="00876B2C">
        <w:t>term support and service (LTSS)</w:t>
      </w:r>
      <w:r w:rsidR="009C66CC">
        <w:t xml:space="preserve"> needs.</w:t>
      </w:r>
    </w:p>
    <w:p w:rsidR="00BC3A81" w:rsidRDefault="00BC3A81" w:rsidP="00E665E2">
      <w:r>
        <w:t xml:space="preserve">AAAs currently provides case management for individuals receiving in-home Medicaid-funded LTSS.  However; ongoing care planning is expected to shift over time to organizations that hold risk for the planned services.  Independent and objective information and advocacy is a key need as delivery of long-term services and supports are increasingly integrated as part of an overall health benefit managed by health plans.  Aging and Disability Resource Centers respond to that need.  As medical healthcare dollars migrate from the Aging Network, AAA’s </w:t>
      </w:r>
      <w:proofErr w:type="gramStart"/>
      <w:r>
        <w:t>can</w:t>
      </w:r>
      <w:proofErr w:type="gramEnd"/>
      <w:r>
        <w:t xml:space="preserve"> and should play other key roles.</w:t>
      </w:r>
    </w:p>
    <w:p w:rsidR="00E665E2" w:rsidRDefault="00E665E2" w:rsidP="00E665E2">
      <w:r>
        <w:t xml:space="preserve">Beyond the ADRC grant funding, ADSA is pursuing other opportunities to fund the intended expansion and evolution of ADRC services. The Work Team may help in this process, recommending overall pace of implementation relative to funding and assisting with applications. Healthcare reform and state revenue shortfalls mean future resource commitment from the federal and state government is uncertain. Additionally, State budget shortfalls </w:t>
      </w:r>
      <w:r>
        <w:lastRenderedPageBreak/>
        <w:t xml:space="preserve">and poor economic conditions also put current funding for services offered through AAAs at risk while the need and demand for public home and community-based services and supports </w:t>
      </w:r>
      <w:r w:rsidR="00F8449E">
        <w:t>continues to increase</w:t>
      </w:r>
      <w:r>
        <w:t>.</w:t>
      </w:r>
    </w:p>
    <w:p w:rsidR="001F3EFE" w:rsidRPr="00EC3731" w:rsidRDefault="00685535" w:rsidP="005476B6">
      <w:pPr>
        <w:pStyle w:val="Heading2"/>
      </w:pPr>
      <w:r w:rsidRPr="00EC3731">
        <w:t>Scope of Work</w:t>
      </w:r>
    </w:p>
    <w:p w:rsidR="00E665E2" w:rsidRDefault="00E665E2" w:rsidP="00E665E2">
      <w:r>
        <w:t>This group will create a detailed strategy that helps position Washington State for:</w:t>
      </w:r>
    </w:p>
    <w:p w:rsidR="00E665E2" w:rsidRDefault="00E665E2" w:rsidP="00E665E2">
      <w:pPr>
        <w:pStyle w:val="Bullets"/>
        <w:numPr>
          <w:ilvl w:val="0"/>
          <w:numId w:val="11"/>
        </w:numPr>
        <w:ind w:left="360"/>
      </w:pPr>
      <w:r>
        <w:t>Additional federal funding</w:t>
      </w:r>
      <w:r w:rsidR="00F8449E">
        <w:t xml:space="preserve"> (grant or other)</w:t>
      </w:r>
    </w:p>
    <w:p w:rsidR="00E665E2" w:rsidRDefault="005A77E8" w:rsidP="00E665E2">
      <w:pPr>
        <w:pStyle w:val="Bullets"/>
      </w:pPr>
      <w:r>
        <w:t>Disability and aging p</w:t>
      </w:r>
      <w:r w:rsidR="00E665E2">
        <w:t>artnership</w:t>
      </w:r>
      <w:r>
        <w:t>s: combining forces to increase visibility about shared funding needs.</w:t>
      </w:r>
      <w:r w:rsidR="00E665E2">
        <w:t xml:space="preserve"> </w:t>
      </w:r>
    </w:p>
    <w:p w:rsidR="00F8449E" w:rsidRDefault="00F8449E" w:rsidP="00E665E2">
      <w:pPr>
        <w:pStyle w:val="Bullets"/>
      </w:pPr>
      <w:r>
        <w:t>Other strategic partnerships</w:t>
      </w:r>
    </w:p>
    <w:p w:rsidR="00E665E2" w:rsidRDefault="00E665E2" w:rsidP="00E665E2">
      <w:pPr>
        <w:pStyle w:val="Bullets"/>
        <w:numPr>
          <w:ilvl w:val="0"/>
          <w:numId w:val="11"/>
        </w:numPr>
        <w:ind w:left="360"/>
      </w:pPr>
      <w:r>
        <w:t>Prioritization of state dedicated (Medicaid) and General Fund funding for ADRCs</w:t>
      </w:r>
    </w:p>
    <w:p w:rsidR="00E665E2" w:rsidRDefault="00E665E2" w:rsidP="00E665E2">
      <w:pPr>
        <w:pStyle w:val="Bullets"/>
        <w:numPr>
          <w:ilvl w:val="0"/>
          <w:numId w:val="11"/>
        </w:numPr>
        <w:ind w:left="360"/>
      </w:pPr>
      <w:r>
        <w:t>Private, fee for service payments</w:t>
      </w:r>
      <w:r w:rsidR="00F8449E">
        <w:t xml:space="preserve"> or sponsorships</w:t>
      </w:r>
      <w:r>
        <w:t xml:space="preserve"> that would support state and local ADRC efforts</w:t>
      </w:r>
    </w:p>
    <w:p w:rsidR="005476B6" w:rsidRPr="00EC3731" w:rsidRDefault="005476B6" w:rsidP="005476B6">
      <w:pPr>
        <w:pStyle w:val="Heading2"/>
      </w:pPr>
      <w:r w:rsidRPr="00EC3731">
        <w:t>Deliverables</w:t>
      </w:r>
    </w:p>
    <w:p w:rsidR="00E665E2" w:rsidRDefault="00E665E2" w:rsidP="00E665E2">
      <w:pPr>
        <w:pStyle w:val="Bullets"/>
        <w:numPr>
          <w:ilvl w:val="0"/>
          <w:numId w:val="11"/>
        </w:numPr>
        <w:ind w:left="360"/>
      </w:pPr>
      <w:r>
        <w:t>Detailed funding strategy and action items</w:t>
      </w:r>
    </w:p>
    <w:p w:rsidR="00F8449E" w:rsidRDefault="00F8449E" w:rsidP="002D4F86">
      <w:pPr>
        <w:pStyle w:val="Bullets"/>
      </w:pPr>
      <w:r>
        <w:t>Threats and opportunities</w:t>
      </w:r>
    </w:p>
    <w:p w:rsidR="002D4F86" w:rsidRDefault="002D4F86" w:rsidP="002D4F86">
      <w:pPr>
        <w:pStyle w:val="Bullets"/>
      </w:pPr>
      <w:r>
        <w:t>Gap analysis</w:t>
      </w:r>
    </w:p>
    <w:p w:rsidR="002D4F86" w:rsidRDefault="002D4F86" w:rsidP="002D4F86">
      <w:pPr>
        <w:pStyle w:val="Bullets"/>
      </w:pPr>
      <w:r>
        <w:t>Funding policies</w:t>
      </w:r>
    </w:p>
    <w:p w:rsidR="002D4F86" w:rsidRDefault="002D4F86" w:rsidP="002D4F86">
      <w:pPr>
        <w:pStyle w:val="Bullets"/>
      </w:pPr>
      <w:r>
        <w:t>Funding evaluation criteria</w:t>
      </w:r>
    </w:p>
    <w:p w:rsidR="002D4F86" w:rsidRDefault="002D4F86" w:rsidP="002D4F86">
      <w:pPr>
        <w:pStyle w:val="Bullets"/>
      </w:pPr>
      <w:r>
        <w:t>Strategies for federal, state, local, and private funding</w:t>
      </w:r>
    </w:p>
    <w:p w:rsidR="00723D34" w:rsidRDefault="00723D34" w:rsidP="00DB206D">
      <w:pPr>
        <w:pStyle w:val="Heading2"/>
      </w:pPr>
    </w:p>
    <w:p w:rsidR="00DB206D" w:rsidRPr="00EC3731" w:rsidRDefault="00DB206D" w:rsidP="00DB206D">
      <w:pPr>
        <w:pStyle w:val="Heading2"/>
      </w:pPr>
      <w:r w:rsidRPr="00EC3731">
        <w:t>Membership</w:t>
      </w:r>
      <w:r w:rsidR="00F76E7A" w:rsidRPr="00EC3731">
        <w:t xml:space="preserve"> </w:t>
      </w:r>
    </w:p>
    <w:p w:rsidR="005226EE" w:rsidRPr="00EC3731" w:rsidRDefault="00E665E2" w:rsidP="00040DF8">
      <w:pPr>
        <w:pStyle w:val="Bullets"/>
        <w:numPr>
          <w:ilvl w:val="0"/>
          <w:numId w:val="13"/>
        </w:numPr>
        <w:ind w:left="360"/>
      </w:pPr>
      <w:r>
        <w:t xml:space="preserve">Greg Daniels, </w:t>
      </w:r>
      <w:r w:rsidR="003051C5">
        <w:t>Constituent/</w:t>
      </w:r>
      <w:r>
        <w:t>Family C</w:t>
      </w:r>
      <w:r w:rsidR="003051C5">
        <w:t>aregiver</w:t>
      </w:r>
    </w:p>
    <w:p w:rsidR="00E665E2" w:rsidRDefault="00E665E2" w:rsidP="00F8449E">
      <w:pPr>
        <w:pStyle w:val="Bullets"/>
        <w:numPr>
          <w:ilvl w:val="0"/>
          <w:numId w:val="13"/>
        </w:numPr>
        <w:ind w:left="360"/>
      </w:pPr>
      <w:r>
        <w:t xml:space="preserve">Jeannette Burket, </w:t>
      </w:r>
      <w:r w:rsidR="00F8449E">
        <w:t xml:space="preserve">Administration on </w:t>
      </w:r>
      <w:r w:rsidR="000331E3">
        <w:t>Community Living</w:t>
      </w:r>
    </w:p>
    <w:p w:rsidR="00E665E2" w:rsidRDefault="00E665E2" w:rsidP="00E665E2">
      <w:pPr>
        <w:pStyle w:val="Bullets"/>
        <w:numPr>
          <w:ilvl w:val="0"/>
          <w:numId w:val="13"/>
        </w:numPr>
        <w:ind w:left="360"/>
      </w:pPr>
      <w:r>
        <w:t>Aaron Van Valkenburg, Pierce County AAA</w:t>
      </w:r>
    </w:p>
    <w:p w:rsidR="00E665E2" w:rsidRDefault="00E665E2" w:rsidP="00E665E2">
      <w:pPr>
        <w:pStyle w:val="Bullets"/>
        <w:numPr>
          <w:ilvl w:val="0"/>
          <w:numId w:val="13"/>
        </w:numPr>
        <w:ind w:left="360"/>
      </w:pPr>
      <w:r>
        <w:t>Mike Reardon, Southwest AAA</w:t>
      </w:r>
      <w:r w:rsidR="000331E3">
        <w:t xml:space="preserve"> (or David Kelley)</w:t>
      </w:r>
    </w:p>
    <w:p w:rsidR="00E665E2" w:rsidRDefault="00E665E2" w:rsidP="00E665E2">
      <w:pPr>
        <w:pStyle w:val="Bullets"/>
        <w:numPr>
          <w:ilvl w:val="0"/>
          <w:numId w:val="13"/>
        </w:numPr>
        <w:ind w:left="360"/>
      </w:pPr>
      <w:r>
        <w:t>Lori Brown, Southeast AAA</w:t>
      </w:r>
    </w:p>
    <w:p w:rsidR="00E665E2" w:rsidRDefault="00E665E2" w:rsidP="00E665E2">
      <w:pPr>
        <w:pStyle w:val="Bullets"/>
        <w:numPr>
          <w:ilvl w:val="0"/>
          <w:numId w:val="13"/>
        </w:numPr>
        <w:ind w:left="360"/>
      </w:pPr>
      <w:r>
        <w:t>Eric Ma</w:t>
      </w:r>
      <w:r w:rsidR="0073363D">
        <w:t>ndt, ADSA, MDS Support Services</w:t>
      </w:r>
    </w:p>
    <w:p w:rsidR="0073363D" w:rsidRDefault="0073363D" w:rsidP="00E665E2">
      <w:pPr>
        <w:pStyle w:val="Bullets"/>
        <w:numPr>
          <w:ilvl w:val="0"/>
          <w:numId w:val="13"/>
        </w:numPr>
        <w:ind w:left="360"/>
      </w:pPr>
      <w:r>
        <w:t>James Kettel, ADSA, MDS Forecasting</w:t>
      </w:r>
    </w:p>
    <w:p w:rsidR="0073363D" w:rsidRDefault="0073363D" w:rsidP="00E665E2">
      <w:pPr>
        <w:pStyle w:val="Bullets"/>
        <w:numPr>
          <w:ilvl w:val="0"/>
          <w:numId w:val="13"/>
        </w:numPr>
        <w:ind w:left="360"/>
      </w:pPr>
      <w:r>
        <w:t>Susan Shepherd, ADSA</w:t>
      </w:r>
    </w:p>
    <w:p w:rsidR="0073363D" w:rsidRPr="00EC3731" w:rsidRDefault="00F8449E" w:rsidP="00E665E2">
      <w:pPr>
        <w:pStyle w:val="Bullets"/>
        <w:numPr>
          <w:ilvl w:val="0"/>
          <w:numId w:val="13"/>
        </w:numPr>
        <w:ind w:left="360"/>
      </w:pPr>
      <w:r>
        <w:t>Susan Engels</w:t>
      </w:r>
      <w:r w:rsidR="0073363D">
        <w:t>, ADSA</w:t>
      </w:r>
      <w:bookmarkStart w:id="0" w:name="_GoBack"/>
      <w:bookmarkEnd w:id="0"/>
    </w:p>
    <w:p w:rsidR="00723D34" w:rsidRDefault="00723D34" w:rsidP="00565C37">
      <w:pPr>
        <w:pStyle w:val="Heading2"/>
      </w:pPr>
    </w:p>
    <w:p w:rsidR="00E77F4E" w:rsidRDefault="00E77F4E">
      <w:pPr>
        <w:spacing w:before="0" w:after="200" w:line="276" w:lineRule="auto"/>
        <w:jc w:val="left"/>
        <w:rPr>
          <w:rFonts w:eastAsiaTheme="majorEastAsia" w:cstheme="majorBidi"/>
          <w:b/>
          <w:sz w:val="26"/>
          <w:szCs w:val="26"/>
        </w:rPr>
      </w:pPr>
      <w:r>
        <w:br w:type="page"/>
      </w:r>
    </w:p>
    <w:p w:rsidR="001E1605" w:rsidRPr="00EC3731" w:rsidRDefault="00565C37" w:rsidP="00565C37">
      <w:pPr>
        <w:pStyle w:val="Heading2"/>
      </w:pPr>
      <w:r w:rsidRPr="00EC3731">
        <w:lastRenderedPageBreak/>
        <w:t>Meeting Plan</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98"/>
        <w:gridCol w:w="7578"/>
      </w:tblGrid>
      <w:tr w:rsidR="00DA20D6" w:rsidRPr="00EC3731" w:rsidTr="00040DF8">
        <w:tc>
          <w:tcPr>
            <w:tcW w:w="1998" w:type="dxa"/>
          </w:tcPr>
          <w:p w:rsidR="00DA20D6" w:rsidRPr="00EC3731" w:rsidRDefault="00DA20D6" w:rsidP="00DB02B8">
            <w:pPr>
              <w:jc w:val="left"/>
              <w:rPr>
                <w:b/>
              </w:rPr>
            </w:pPr>
            <w:r w:rsidRPr="00EC3731">
              <w:rPr>
                <w:b/>
              </w:rPr>
              <w:t>Meeting 1</w:t>
            </w:r>
          </w:p>
          <w:p w:rsidR="00DA20D6" w:rsidRDefault="00045A59" w:rsidP="00723D34">
            <w:pPr>
              <w:jc w:val="left"/>
            </w:pPr>
            <w:r>
              <w:t xml:space="preserve">June </w:t>
            </w:r>
          </w:p>
          <w:p w:rsidR="00723D34" w:rsidRPr="00EC3731" w:rsidRDefault="00723D34" w:rsidP="00723D34">
            <w:pPr>
              <w:jc w:val="left"/>
            </w:pPr>
            <w:r>
              <w:t>TBD</w:t>
            </w:r>
          </w:p>
        </w:tc>
        <w:tc>
          <w:tcPr>
            <w:tcW w:w="7578" w:type="dxa"/>
          </w:tcPr>
          <w:p w:rsidR="00DA20D6" w:rsidRPr="00EC3731" w:rsidRDefault="00DA20D6" w:rsidP="0063435B">
            <w:pPr>
              <w:pStyle w:val="Bullets"/>
              <w:ind w:left="342"/>
            </w:pPr>
            <w:r w:rsidRPr="00EC3731">
              <w:t>Overview, introductions</w:t>
            </w:r>
          </w:p>
          <w:p w:rsidR="0063435B" w:rsidRDefault="00723D34" w:rsidP="0063435B">
            <w:pPr>
              <w:pStyle w:val="Bullets"/>
              <w:ind w:left="342"/>
            </w:pPr>
            <w:r>
              <w:t>Discuss c</w:t>
            </w:r>
            <w:r w:rsidR="0063435B">
              <w:t>urrent funding situation</w:t>
            </w:r>
          </w:p>
          <w:p w:rsidR="0063435B" w:rsidRDefault="0063435B" w:rsidP="0063435B">
            <w:pPr>
              <w:pStyle w:val="Bullets"/>
              <w:ind w:left="702"/>
            </w:pPr>
            <w:r>
              <w:t>Current levels of funding: to where, how, how much?</w:t>
            </w:r>
          </w:p>
          <w:p w:rsidR="0063435B" w:rsidRDefault="0063435B" w:rsidP="0063435B">
            <w:pPr>
              <w:pStyle w:val="Bullets"/>
              <w:ind w:left="702"/>
            </w:pPr>
            <w:r>
              <w:t>Estimate level of need</w:t>
            </w:r>
          </w:p>
          <w:p w:rsidR="00C91F3F" w:rsidRDefault="00C91F3F" w:rsidP="0063435B">
            <w:pPr>
              <w:pStyle w:val="Bullets"/>
              <w:ind w:left="702"/>
            </w:pPr>
            <w:r>
              <w:t>Threats and Opportunities</w:t>
            </w:r>
          </w:p>
          <w:p w:rsidR="00340128" w:rsidRPr="00EC3731" w:rsidRDefault="0063435B" w:rsidP="0063435B">
            <w:pPr>
              <w:pStyle w:val="Bullets"/>
              <w:ind w:left="702"/>
            </w:pPr>
            <w:r>
              <w:t>Gap Analysis</w:t>
            </w:r>
          </w:p>
        </w:tc>
      </w:tr>
      <w:tr w:rsidR="00340128" w:rsidRPr="00EC3731" w:rsidTr="00040DF8">
        <w:tc>
          <w:tcPr>
            <w:tcW w:w="1998" w:type="dxa"/>
          </w:tcPr>
          <w:p w:rsidR="00340128" w:rsidRPr="00EC3731" w:rsidRDefault="00340128" w:rsidP="00DB02B8">
            <w:pPr>
              <w:jc w:val="left"/>
              <w:rPr>
                <w:b/>
              </w:rPr>
            </w:pPr>
            <w:r w:rsidRPr="00EC3731">
              <w:rPr>
                <w:b/>
              </w:rPr>
              <w:t>Meeting 2</w:t>
            </w:r>
          </w:p>
          <w:p w:rsidR="00340128" w:rsidRDefault="00723D34" w:rsidP="00DB02B8">
            <w:pPr>
              <w:jc w:val="left"/>
            </w:pPr>
            <w:r>
              <w:t xml:space="preserve">July </w:t>
            </w:r>
          </w:p>
          <w:p w:rsidR="00723D34" w:rsidRPr="00EC3731" w:rsidRDefault="00723D34" w:rsidP="00DB02B8">
            <w:pPr>
              <w:jc w:val="left"/>
            </w:pPr>
            <w:r>
              <w:t>TBD</w:t>
            </w:r>
          </w:p>
        </w:tc>
        <w:tc>
          <w:tcPr>
            <w:tcW w:w="7578" w:type="dxa"/>
          </w:tcPr>
          <w:p w:rsidR="00340128" w:rsidRPr="00EC3731" w:rsidRDefault="0063435B" w:rsidP="0063435B">
            <w:pPr>
              <w:pStyle w:val="Bullets"/>
              <w:ind w:left="342"/>
            </w:pPr>
            <w:r>
              <w:t>Response to questions – gap analysis</w:t>
            </w:r>
          </w:p>
          <w:p w:rsidR="00340128" w:rsidRDefault="0063435B" w:rsidP="0063435B">
            <w:pPr>
              <w:pStyle w:val="Bullets"/>
              <w:ind w:left="342"/>
            </w:pPr>
            <w:r>
              <w:t>National review of ADRC funding</w:t>
            </w:r>
          </w:p>
          <w:p w:rsidR="0063435B" w:rsidRDefault="0063435B" w:rsidP="0063435B">
            <w:pPr>
              <w:pStyle w:val="Bullets"/>
              <w:ind w:left="702"/>
            </w:pPr>
            <w:r>
              <w:t>AOA presentation on trends in ADRC funds</w:t>
            </w:r>
          </w:p>
          <w:p w:rsidR="0063435B" w:rsidRPr="00EC3731" w:rsidRDefault="0063435B" w:rsidP="0063435B">
            <w:pPr>
              <w:pStyle w:val="Bullets"/>
              <w:ind w:left="342"/>
            </w:pPr>
            <w:r>
              <w:t>Discuss high level strategy (key issues)</w:t>
            </w:r>
          </w:p>
        </w:tc>
      </w:tr>
      <w:tr w:rsidR="00340128" w:rsidRPr="00EC3731" w:rsidTr="00040DF8">
        <w:tc>
          <w:tcPr>
            <w:tcW w:w="1998" w:type="dxa"/>
          </w:tcPr>
          <w:p w:rsidR="00340128" w:rsidRPr="00EC3731" w:rsidRDefault="00484E14" w:rsidP="00DB02B8">
            <w:pPr>
              <w:jc w:val="left"/>
              <w:rPr>
                <w:b/>
              </w:rPr>
            </w:pPr>
            <w:r w:rsidRPr="00EC3731">
              <w:rPr>
                <w:b/>
              </w:rPr>
              <w:t>Meeting 3</w:t>
            </w:r>
          </w:p>
          <w:p w:rsidR="00040DF8" w:rsidRDefault="00C71137" w:rsidP="00396296">
            <w:pPr>
              <w:jc w:val="left"/>
            </w:pPr>
            <w:r>
              <w:t>July</w:t>
            </w:r>
            <w:r w:rsidR="00723D34">
              <w:t xml:space="preserve"> </w:t>
            </w:r>
          </w:p>
          <w:p w:rsidR="00723D34" w:rsidRPr="00EC3731" w:rsidRDefault="00723D34" w:rsidP="00396296">
            <w:pPr>
              <w:jc w:val="left"/>
            </w:pPr>
            <w:r>
              <w:t>TBD</w:t>
            </w:r>
          </w:p>
        </w:tc>
        <w:tc>
          <w:tcPr>
            <w:tcW w:w="7578" w:type="dxa"/>
          </w:tcPr>
          <w:p w:rsidR="00340128" w:rsidRDefault="00723D34" w:rsidP="00723D34">
            <w:pPr>
              <w:pStyle w:val="Bullets"/>
              <w:ind w:left="342"/>
            </w:pPr>
            <w:r>
              <w:t>Develop funding policies</w:t>
            </w:r>
          </w:p>
          <w:p w:rsidR="00A858AA" w:rsidRPr="00EC3731" w:rsidRDefault="00723D34" w:rsidP="00723D34">
            <w:pPr>
              <w:pStyle w:val="Bullets"/>
              <w:ind w:left="342"/>
            </w:pPr>
            <w:r>
              <w:t>Develop funding evaluation criteria</w:t>
            </w:r>
          </w:p>
        </w:tc>
      </w:tr>
      <w:tr w:rsidR="00CC5AD3" w:rsidTr="00040DF8">
        <w:tc>
          <w:tcPr>
            <w:tcW w:w="1998" w:type="dxa"/>
          </w:tcPr>
          <w:p w:rsidR="00CC5AD3" w:rsidRPr="00EC3731" w:rsidRDefault="00CC5AD3" w:rsidP="00DB02B8">
            <w:pPr>
              <w:jc w:val="left"/>
              <w:rPr>
                <w:b/>
              </w:rPr>
            </w:pPr>
            <w:r w:rsidRPr="00EC3731">
              <w:rPr>
                <w:b/>
              </w:rPr>
              <w:t>Meeting 4</w:t>
            </w:r>
          </w:p>
          <w:p w:rsidR="00040DF8" w:rsidRDefault="00723D34" w:rsidP="00396296">
            <w:pPr>
              <w:jc w:val="left"/>
            </w:pPr>
            <w:r>
              <w:t xml:space="preserve">August </w:t>
            </w:r>
          </w:p>
          <w:p w:rsidR="00723D34" w:rsidRPr="00EC3731" w:rsidRDefault="00723D34" w:rsidP="00396296">
            <w:pPr>
              <w:jc w:val="left"/>
            </w:pPr>
            <w:r>
              <w:t>TBD</w:t>
            </w:r>
          </w:p>
        </w:tc>
        <w:tc>
          <w:tcPr>
            <w:tcW w:w="7578" w:type="dxa"/>
          </w:tcPr>
          <w:p w:rsidR="00CC5AD3" w:rsidRDefault="00723D34" w:rsidP="00723D34">
            <w:pPr>
              <w:pStyle w:val="Bullets"/>
              <w:ind w:left="342"/>
            </w:pPr>
            <w:r>
              <w:t>Develop ADRC Funding Strategy</w:t>
            </w:r>
          </w:p>
          <w:p w:rsidR="00723D34" w:rsidRDefault="00AE7D97" w:rsidP="00723D34">
            <w:pPr>
              <w:pStyle w:val="Bullets"/>
              <w:ind w:left="702"/>
            </w:pPr>
            <w:r>
              <w:t>Federal</w:t>
            </w:r>
          </w:p>
          <w:p w:rsidR="00723D34" w:rsidRDefault="00723D34" w:rsidP="00723D34">
            <w:pPr>
              <w:pStyle w:val="Bullets"/>
              <w:ind w:left="702"/>
            </w:pPr>
            <w:r>
              <w:t>State</w:t>
            </w:r>
          </w:p>
          <w:p w:rsidR="00723D34" w:rsidRDefault="00723D34" w:rsidP="00723D34">
            <w:pPr>
              <w:pStyle w:val="Bullets"/>
              <w:ind w:left="702"/>
            </w:pPr>
            <w:r>
              <w:t>Local</w:t>
            </w:r>
          </w:p>
          <w:p w:rsidR="00AE7D97" w:rsidRPr="00EC3731" w:rsidRDefault="00AE7D97" w:rsidP="00723D34">
            <w:pPr>
              <w:pStyle w:val="Bullets"/>
              <w:ind w:left="702"/>
            </w:pPr>
            <w:r>
              <w:t>Private</w:t>
            </w:r>
          </w:p>
        </w:tc>
      </w:tr>
      <w:tr w:rsidR="00723D34" w:rsidTr="00040DF8">
        <w:tc>
          <w:tcPr>
            <w:tcW w:w="1998" w:type="dxa"/>
          </w:tcPr>
          <w:p w:rsidR="00723D34" w:rsidRDefault="00723D34" w:rsidP="00DB02B8">
            <w:pPr>
              <w:jc w:val="left"/>
              <w:rPr>
                <w:b/>
              </w:rPr>
            </w:pPr>
            <w:r>
              <w:rPr>
                <w:b/>
              </w:rPr>
              <w:t>Meeting 5</w:t>
            </w:r>
          </w:p>
          <w:p w:rsidR="00723D34" w:rsidRDefault="00C71137" w:rsidP="00DB02B8">
            <w:pPr>
              <w:jc w:val="left"/>
            </w:pPr>
            <w:r>
              <w:t>August</w:t>
            </w:r>
          </w:p>
          <w:p w:rsidR="00723D34" w:rsidRPr="00723D34" w:rsidRDefault="00723D34" w:rsidP="00DB02B8">
            <w:pPr>
              <w:jc w:val="left"/>
            </w:pPr>
            <w:r>
              <w:t>TBD</w:t>
            </w:r>
          </w:p>
          <w:p w:rsidR="00723D34" w:rsidRPr="00EC3731" w:rsidRDefault="00723D34" w:rsidP="00DB02B8">
            <w:pPr>
              <w:jc w:val="left"/>
              <w:rPr>
                <w:b/>
              </w:rPr>
            </w:pPr>
            <w:r>
              <w:rPr>
                <w:b/>
              </w:rPr>
              <w:t xml:space="preserve"> </w:t>
            </w:r>
          </w:p>
        </w:tc>
        <w:tc>
          <w:tcPr>
            <w:tcW w:w="7578" w:type="dxa"/>
          </w:tcPr>
          <w:p w:rsidR="00723D34" w:rsidRDefault="00723D34" w:rsidP="00723D34">
            <w:pPr>
              <w:pStyle w:val="Bullets"/>
              <w:ind w:left="342"/>
            </w:pPr>
            <w:r>
              <w:t>Review and revise strategic plan</w:t>
            </w:r>
          </w:p>
          <w:p w:rsidR="00723D34" w:rsidRDefault="00723D34" w:rsidP="00723D34">
            <w:pPr>
              <w:pStyle w:val="Bullets"/>
              <w:ind w:left="342"/>
            </w:pPr>
            <w:r>
              <w:t>Discuss next steps</w:t>
            </w:r>
          </w:p>
          <w:p w:rsidR="00723D34" w:rsidRDefault="00723D34" w:rsidP="00723D34">
            <w:pPr>
              <w:pStyle w:val="Bullets"/>
              <w:numPr>
                <w:ilvl w:val="0"/>
                <w:numId w:val="0"/>
              </w:numPr>
              <w:ind w:left="-18"/>
            </w:pPr>
          </w:p>
        </w:tc>
      </w:tr>
    </w:tbl>
    <w:p w:rsidR="00565C37" w:rsidRPr="00565C37" w:rsidRDefault="00565C37" w:rsidP="00565C37"/>
    <w:sectPr w:rsidR="00565C37" w:rsidRPr="00565C37" w:rsidSect="00AF0D11">
      <w:headerReference w:type="default" r:id="rId9"/>
      <w:footerReference w:type="default" r:id="rId10"/>
      <w:pgSz w:w="12240" w:h="15840" w:code="1"/>
      <w:pgMar w:top="1008" w:right="1440" w:bottom="1008"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B2C" w:rsidRDefault="00876B2C" w:rsidP="001E4DF0">
      <w:pPr>
        <w:spacing w:before="0" w:after="0" w:line="240" w:lineRule="auto"/>
      </w:pPr>
      <w:r>
        <w:separator/>
      </w:r>
    </w:p>
  </w:endnote>
  <w:endnote w:type="continuationSeparator" w:id="0">
    <w:p w:rsidR="00876B2C" w:rsidRDefault="00876B2C" w:rsidP="001E4D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e Gothic LT Std">
    <w:altName w:val="Courier New"/>
    <w:panose1 w:val="00000000000000000000"/>
    <w:charset w:val="00"/>
    <w:family w:val="modern"/>
    <w:notTrueType/>
    <w:pitch w:val="variable"/>
    <w:sig w:usb0="00000003"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2C" w:rsidRDefault="00876B2C">
    <w:pPr>
      <w:pStyle w:val="Footer"/>
    </w:pPr>
    <w:r>
      <w:tab/>
    </w:r>
    <w:r>
      <w:tab/>
    </w:r>
    <w:r>
      <w:fldChar w:fldCharType="begin"/>
    </w:r>
    <w:r>
      <w:instrText xml:space="preserve"> PAGE   \* MERGEFORMAT </w:instrText>
    </w:r>
    <w:r>
      <w:fldChar w:fldCharType="separate"/>
    </w:r>
    <w:r w:rsidR="003051C5">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B2C" w:rsidRDefault="00876B2C" w:rsidP="001E4DF0">
      <w:pPr>
        <w:spacing w:before="0" w:after="0" w:line="240" w:lineRule="auto"/>
      </w:pPr>
      <w:r>
        <w:separator/>
      </w:r>
    </w:p>
  </w:footnote>
  <w:footnote w:type="continuationSeparator" w:id="0">
    <w:p w:rsidR="00876B2C" w:rsidRDefault="00876B2C" w:rsidP="001E4DF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2C" w:rsidRDefault="00876B2C" w:rsidP="00AF0D11">
    <w:pPr>
      <w:pStyle w:val="Header"/>
      <w:rPr>
        <w:b/>
        <w:color w:val="FF0000"/>
      </w:rPr>
    </w:pPr>
    <w:r w:rsidRPr="00AF0D11">
      <w:rPr>
        <w:b/>
      </w:rPr>
      <w:t xml:space="preserve">ADRC Expansion: </w:t>
    </w:r>
    <w:r>
      <w:rPr>
        <w:b/>
      </w:rPr>
      <w:t>Draft Funding Work Team Scope of Work</w:t>
    </w:r>
    <w:r>
      <w:rPr>
        <w:b/>
        <w:color w:val="FF0000"/>
      </w:rPr>
      <w:tab/>
    </w:r>
    <w:r>
      <w:rPr>
        <w:b/>
        <w:color w:val="FF0000"/>
      </w:rPr>
      <w:tab/>
    </w:r>
  </w:p>
  <w:p w:rsidR="00876B2C" w:rsidRDefault="00876B2C" w:rsidP="00AF0D11">
    <w:pPr>
      <w:pStyle w:val="Header"/>
      <w:rPr>
        <w:b/>
      </w:rPr>
    </w:pPr>
  </w:p>
  <w:p w:rsidR="00876B2C" w:rsidRPr="00AF0D11" w:rsidRDefault="00876B2C" w:rsidP="00AF0D11">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BED1B6"/>
    <w:lvl w:ilvl="0">
      <w:start w:val="1"/>
      <w:numFmt w:val="decimal"/>
      <w:lvlText w:val="%1."/>
      <w:lvlJc w:val="left"/>
      <w:pPr>
        <w:tabs>
          <w:tab w:val="num" w:pos="1800"/>
        </w:tabs>
        <w:ind w:left="1800" w:hanging="360"/>
      </w:pPr>
    </w:lvl>
  </w:abstractNum>
  <w:abstractNum w:abstractNumId="1">
    <w:nsid w:val="FFFFFF7D"/>
    <w:multiLevelType w:val="singleLevel"/>
    <w:tmpl w:val="153A920A"/>
    <w:lvl w:ilvl="0">
      <w:start w:val="1"/>
      <w:numFmt w:val="decimal"/>
      <w:lvlText w:val="%1."/>
      <w:lvlJc w:val="left"/>
      <w:pPr>
        <w:tabs>
          <w:tab w:val="num" w:pos="1440"/>
        </w:tabs>
        <w:ind w:left="1440" w:hanging="360"/>
      </w:pPr>
    </w:lvl>
  </w:abstractNum>
  <w:abstractNum w:abstractNumId="2">
    <w:nsid w:val="FFFFFF7E"/>
    <w:multiLevelType w:val="singleLevel"/>
    <w:tmpl w:val="9F5062A2"/>
    <w:lvl w:ilvl="0">
      <w:start w:val="1"/>
      <w:numFmt w:val="decimal"/>
      <w:lvlText w:val="%1."/>
      <w:lvlJc w:val="left"/>
      <w:pPr>
        <w:tabs>
          <w:tab w:val="num" w:pos="1080"/>
        </w:tabs>
        <w:ind w:left="1080" w:hanging="360"/>
      </w:pPr>
    </w:lvl>
  </w:abstractNum>
  <w:abstractNum w:abstractNumId="3">
    <w:nsid w:val="FFFFFF7F"/>
    <w:multiLevelType w:val="singleLevel"/>
    <w:tmpl w:val="EA1829DE"/>
    <w:lvl w:ilvl="0">
      <w:start w:val="1"/>
      <w:numFmt w:val="decimal"/>
      <w:lvlText w:val="%1."/>
      <w:lvlJc w:val="left"/>
      <w:pPr>
        <w:tabs>
          <w:tab w:val="num" w:pos="720"/>
        </w:tabs>
        <w:ind w:left="720" w:hanging="360"/>
      </w:pPr>
    </w:lvl>
  </w:abstractNum>
  <w:abstractNum w:abstractNumId="4">
    <w:nsid w:val="FFFFFF80"/>
    <w:multiLevelType w:val="singleLevel"/>
    <w:tmpl w:val="ADF63B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A2886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C6A2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E2CA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62854E2"/>
    <w:lvl w:ilvl="0">
      <w:start w:val="1"/>
      <w:numFmt w:val="decimal"/>
      <w:lvlText w:val="%1."/>
      <w:lvlJc w:val="left"/>
      <w:pPr>
        <w:tabs>
          <w:tab w:val="num" w:pos="360"/>
        </w:tabs>
        <w:ind w:left="360" w:hanging="360"/>
      </w:pPr>
    </w:lvl>
  </w:abstractNum>
  <w:abstractNum w:abstractNumId="9">
    <w:nsid w:val="FFFFFF89"/>
    <w:multiLevelType w:val="singleLevel"/>
    <w:tmpl w:val="150CE310"/>
    <w:lvl w:ilvl="0">
      <w:start w:val="1"/>
      <w:numFmt w:val="bullet"/>
      <w:lvlText w:val=""/>
      <w:lvlJc w:val="left"/>
      <w:pPr>
        <w:tabs>
          <w:tab w:val="num" w:pos="360"/>
        </w:tabs>
        <w:ind w:left="360" w:hanging="360"/>
      </w:pPr>
      <w:rPr>
        <w:rFonts w:ascii="Symbol" w:hAnsi="Symbol" w:hint="default"/>
      </w:rPr>
    </w:lvl>
  </w:abstractNum>
  <w:abstractNum w:abstractNumId="10">
    <w:nsid w:val="40245D73"/>
    <w:multiLevelType w:val="hybridMultilevel"/>
    <w:tmpl w:val="A02AFDF4"/>
    <w:lvl w:ilvl="0" w:tplc="C43481EA">
      <w:start w:val="1"/>
      <w:numFmt w:val="bullet"/>
      <w:lvlText w:val=""/>
      <w:lvlJc w:val="left"/>
      <w:pPr>
        <w:ind w:left="720" w:hanging="360"/>
      </w:pPr>
      <w:rPr>
        <w:rFonts w:ascii="Symbol" w:hAnsi="Symbol" w:hint="default"/>
      </w:rPr>
    </w:lvl>
    <w:lvl w:ilvl="1" w:tplc="08B20D26">
      <w:start w:val="1"/>
      <w:numFmt w:val="decimal"/>
      <w:lvlText w:val="%2."/>
      <w:lvlJc w:val="left"/>
      <w:pPr>
        <w:ind w:left="720" w:hanging="360"/>
      </w:pPr>
      <w:rPr>
        <w:rFonts w:ascii="Trade Gothic LT Std" w:eastAsiaTheme="minorHAnsi" w:hAnsi="Trade Gothic LT Std" w:cstheme="minorBidi"/>
      </w:rPr>
    </w:lvl>
    <w:lvl w:ilvl="2" w:tplc="5928D20E">
      <w:start w:val="1"/>
      <w:numFmt w:val="bullet"/>
      <w:lvlText w:val=""/>
      <w:lvlJc w:val="left"/>
      <w:pPr>
        <w:ind w:left="1080" w:hanging="360"/>
      </w:pPr>
      <w:rPr>
        <w:rFonts w:ascii="Wingdings" w:hAnsi="Wingdings" w:hint="default"/>
      </w:rPr>
    </w:lvl>
    <w:lvl w:ilvl="3" w:tplc="D3EA6F98">
      <w:start w:val="1"/>
      <w:numFmt w:val="bullet"/>
      <w:lvlText w:val=""/>
      <w:lvlJc w:val="left"/>
      <w:pPr>
        <w:ind w:left="1440" w:hanging="360"/>
      </w:pPr>
      <w:rPr>
        <w:rFonts w:ascii="Symbol" w:hAnsi="Symbol" w:hint="default"/>
      </w:rPr>
    </w:lvl>
    <w:lvl w:ilvl="4" w:tplc="7EE6DB40">
      <w:start w:val="1"/>
      <w:numFmt w:val="bullet"/>
      <w:lvlText w:val="o"/>
      <w:lvlJc w:val="left"/>
      <w:pPr>
        <w:ind w:left="1800" w:hanging="360"/>
      </w:pPr>
      <w:rPr>
        <w:rFonts w:ascii="Courier New" w:hAnsi="Courier New" w:hint="default"/>
      </w:rPr>
    </w:lvl>
    <w:lvl w:ilvl="5" w:tplc="FBFC7EDA">
      <w:start w:val="1"/>
      <w:numFmt w:val="bullet"/>
      <w:lvlText w:val=""/>
      <w:lvlJc w:val="left"/>
      <w:pPr>
        <w:ind w:left="2160" w:hanging="360"/>
      </w:pPr>
      <w:rPr>
        <w:rFonts w:ascii="Wingdings" w:hAnsi="Wingdings" w:hint="default"/>
      </w:rPr>
    </w:lvl>
    <w:lvl w:ilvl="6" w:tplc="FBB4C4CE">
      <w:start w:val="1"/>
      <w:numFmt w:val="bullet"/>
      <w:lvlText w:val=""/>
      <w:lvlJc w:val="left"/>
      <w:pPr>
        <w:ind w:left="2520" w:hanging="360"/>
      </w:pPr>
      <w:rPr>
        <w:rFonts w:ascii="Symbol" w:hAnsi="Symbol" w:hint="default"/>
      </w:rPr>
    </w:lvl>
    <w:lvl w:ilvl="7" w:tplc="667C070E">
      <w:start w:val="1"/>
      <w:numFmt w:val="bullet"/>
      <w:lvlText w:val="o"/>
      <w:lvlJc w:val="left"/>
      <w:pPr>
        <w:ind w:left="2880" w:hanging="360"/>
      </w:pPr>
      <w:rPr>
        <w:rFonts w:ascii="Courier New" w:hAnsi="Courier New" w:hint="default"/>
      </w:rPr>
    </w:lvl>
    <w:lvl w:ilvl="8" w:tplc="ADBEF5D4">
      <w:start w:val="1"/>
      <w:numFmt w:val="bullet"/>
      <w:lvlText w:val=""/>
      <w:lvlJc w:val="left"/>
      <w:pPr>
        <w:ind w:left="3240" w:hanging="360"/>
      </w:pPr>
      <w:rPr>
        <w:rFonts w:ascii="Wingdings" w:hAnsi="Wingdings" w:hint="default"/>
      </w:rPr>
    </w:lvl>
  </w:abstractNum>
  <w:abstractNum w:abstractNumId="11">
    <w:nsid w:val="68A71227"/>
    <w:multiLevelType w:val="multilevel"/>
    <w:tmpl w:val="3A10E9AC"/>
    <w:lvl w:ilvl="0">
      <w:start w:val="1"/>
      <w:numFmt w:val="bullet"/>
      <w:lvlText w:val=""/>
      <w:lvlJc w:val="left"/>
      <w:pPr>
        <w:ind w:left="72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nsid w:val="6B7B29CB"/>
    <w:multiLevelType w:val="multilevel"/>
    <w:tmpl w:val="9A88E15A"/>
    <w:lvl w:ilvl="0">
      <w:start w:val="1"/>
      <w:numFmt w:val="bullet"/>
      <w:pStyle w:val="Bullets"/>
      <w:lvlText w:val=""/>
      <w:lvlJc w:val="left"/>
      <w:pPr>
        <w:ind w:left="72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nsid w:val="6E0F1112"/>
    <w:multiLevelType w:val="multilevel"/>
    <w:tmpl w:val="3A10E9AC"/>
    <w:lvl w:ilvl="0">
      <w:start w:val="1"/>
      <w:numFmt w:val="bullet"/>
      <w:lvlText w:val=""/>
      <w:lvlJc w:val="left"/>
      <w:pPr>
        <w:ind w:left="72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605"/>
    <w:rsid w:val="00000208"/>
    <w:rsid w:val="000331E3"/>
    <w:rsid w:val="00040DF8"/>
    <w:rsid w:val="0004162E"/>
    <w:rsid w:val="00045A59"/>
    <w:rsid w:val="000778C4"/>
    <w:rsid w:val="000A36BE"/>
    <w:rsid w:val="000B4D82"/>
    <w:rsid w:val="00132FAF"/>
    <w:rsid w:val="00144D37"/>
    <w:rsid w:val="001A2C4C"/>
    <w:rsid w:val="001B449A"/>
    <w:rsid w:val="001E1605"/>
    <w:rsid w:val="001E4DF0"/>
    <w:rsid w:val="001F3EFE"/>
    <w:rsid w:val="001F5315"/>
    <w:rsid w:val="0020374C"/>
    <w:rsid w:val="00273B8A"/>
    <w:rsid w:val="002761FC"/>
    <w:rsid w:val="002B6218"/>
    <w:rsid w:val="002B79B6"/>
    <w:rsid w:val="002D2E13"/>
    <w:rsid w:val="002D4D55"/>
    <w:rsid w:val="002D4F86"/>
    <w:rsid w:val="003051C5"/>
    <w:rsid w:val="00325E8E"/>
    <w:rsid w:val="00331745"/>
    <w:rsid w:val="00340128"/>
    <w:rsid w:val="00341B53"/>
    <w:rsid w:val="00396296"/>
    <w:rsid w:val="003A6F0B"/>
    <w:rsid w:val="003B2EB6"/>
    <w:rsid w:val="00425B1D"/>
    <w:rsid w:val="004428C7"/>
    <w:rsid w:val="0044580B"/>
    <w:rsid w:val="00482B20"/>
    <w:rsid w:val="00484E14"/>
    <w:rsid w:val="004C1E4E"/>
    <w:rsid w:val="004E22A2"/>
    <w:rsid w:val="005226EE"/>
    <w:rsid w:val="00523707"/>
    <w:rsid w:val="005476B6"/>
    <w:rsid w:val="00557415"/>
    <w:rsid w:val="00565C37"/>
    <w:rsid w:val="005A77E8"/>
    <w:rsid w:val="005C64F6"/>
    <w:rsid w:val="0063435B"/>
    <w:rsid w:val="006725F8"/>
    <w:rsid w:val="006810B4"/>
    <w:rsid w:val="00685535"/>
    <w:rsid w:val="006D668D"/>
    <w:rsid w:val="006F3D1D"/>
    <w:rsid w:val="00723D34"/>
    <w:rsid w:val="0072647E"/>
    <w:rsid w:val="0073363D"/>
    <w:rsid w:val="00773183"/>
    <w:rsid w:val="00785293"/>
    <w:rsid w:val="007A732F"/>
    <w:rsid w:val="007F5A09"/>
    <w:rsid w:val="00876B2C"/>
    <w:rsid w:val="008A0DA9"/>
    <w:rsid w:val="008B5149"/>
    <w:rsid w:val="008C0B01"/>
    <w:rsid w:val="008C7C2E"/>
    <w:rsid w:val="008E4C49"/>
    <w:rsid w:val="008F77E5"/>
    <w:rsid w:val="00967B53"/>
    <w:rsid w:val="00972F07"/>
    <w:rsid w:val="009C66CC"/>
    <w:rsid w:val="009E7A6F"/>
    <w:rsid w:val="009F49DF"/>
    <w:rsid w:val="00A81690"/>
    <w:rsid w:val="00A83FC9"/>
    <w:rsid w:val="00A858AA"/>
    <w:rsid w:val="00A91FE0"/>
    <w:rsid w:val="00AB1976"/>
    <w:rsid w:val="00AE7D97"/>
    <w:rsid w:val="00AF0D11"/>
    <w:rsid w:val="00B16F3F"/>
    <w:rsid w:val="00BA3960"/>
    <w:rsid w:val="00BB0EC6"/>
    <w:rsid w:val="00BC3A81"/>
    <w:rsid w:val="00BD1936"/>
    <w:rsid w:val="00BD3BE2"/>
    <w:rsid w:val="00BD3CC5"/>
    <w:rsid w:val="00BD78A4"/>
    <w:rsid w:val="00BE0CA5"/>
    <w:rsid w:val="00BE39B4"/>
    <w:rsid w:val="00BE6975"/>
    <w:rsid w:val="00C034D2"/>
    <w:rsid w:val="00C459FB"/>
    <w:rsid w:val="00C71137"/>
    <w:rsid w:val="00C91F3F"/>
    <w:rsid w:val="00CC5AD3"/>
    <w:rsid w:val="00CE37CC"/>
    <w:rsid w:val="00D05F79"/>
    <w:rsid w:val="00D10342"/>
    <w:rsid w:val="00D7461F"/>
    <w:rsid w:val="00DA20D6"/>
    <w:rsid w:val="00DB02B8"/>
    <w:rsid w:val="00DB206D"/>
    <w:rsid w:val="00E35F7B"/>
    <w:rsid w:val="00E47FB6"/>
    <w:rsid w:val="00E665E2"/>
    <w:rsid w:val="00E77F4E"/>
    <w:rsid w:val="00EC3731"/>
    <w:rsid w:val="00ED0F37"/>
    <w:rsid w:val="00F44607"/>
    <w:rsid w:val="00F76E7A"/>
    <w:rsid w:val="00F8449E"/>
    <w:rsid w:val="00FA4135"/>
    <w:rsid w:val="00FD7AA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BE2"/>
    <w:pPr>
      <w:spacing w:before="60" w:after="120" w:line="280" w:lineRule="atLeast"/>
      <w:jc w:val="both"/>
    </w:pPr>
    <w:rPr>
      <w:rFonts w:ascii="Trade Gothic LT Std" w:hAnsi="Trade Gothic LT Std"/>
      <w:sz w:val="21"/>
    </w:rPr>
  </w:style>
  <w:style w:type="paragraph" w:styleId="Heading1">
    <w:name w:val="heading 1"/>
    <w:basedOn w:val="Normal"/>
    <w:next w:val="Normal"/>
    <w:link w:val="Heading1Char"/>
    <w:uiPriority w:val="9"/>
    <w:qFormat/>
    <w:rsid w:val="006725F8"/>
    <w:pPr>
      <w:keepNext/>
      <w:spacing w:before="240"/>
      <w:outlineLvl w:val="0"/>
    </w:pPr>
    <w:rPr>
      <w:rFonts w:eastAsiaTheme="majorEastAsia" w:cstheme="majorBidi"/>
      <w:b/>
      <w:bCs/>
      <w:caps/>
      <w:sz w:val="28"/>
      <w:szCs w:val="28"/>
    </w:rPr>
  </w:style>
  <w:style w:type="paragraph" w:styleId="Heading2">
    <w:name w:val="heading 2"/>
    <w:basedOn w:val="Heading1"/>
    <w:next w:val="Normal"/>
    <w:link w:val="Heading2Char"/>
    <w:uiPriority w:val="9"/>
    <w:unhideWhenUsed/>
    <w:qFormat/>
    <w:rsid w:val="006725F8"/>
    <w:pPr>
      <w:spacing w:before="120"/>
      <w:outlineLvl w:val="1"/>
    </w:pPr>
    <w:rPr>
      <w:bCs w:val="0"/>
      <w:caps w:val="0"/>
      <w:sz w:val="26"/>
      <w:szCs w:val="26"/>
    </w:rPr>
  </w:style>
  <w:style w:type="paragraph" w:styleId="Heading3">
    <w:name w:val="heading 3"/>
    <w:basedOn w:val="Heading2"/>
    <w:next w:val="Normal"/>
    <w:link w:val="Heading3Char"/>
    <w:uiPriority w:val="9"/>
    <w:unhideWhenUsed/>
    <w:qFormat/>
    <w:rsid w:val="006725F8"/>
    <w:pPr>
      <w:spacing w:before="60"/>
      <w:outlineLvl w:val="2"/>
    </w:pPr>
    <w:rPr>
      <w:bCs/>
      <w:sz w:val="22"/>
    </w:rPr>
  </w:style>
  <w:style w:type="paragraph" w:styleId="Heading4">
    <w:name w:val="heading 4"/>
    <w:basedOn w:val="Heading3"/>
    <w:next w:val="Normal"/>
    <w:link w:val="Heading4Char"/>
    <w:uiPriority w:val="9"/>
    <w:unhideWhenUsed/>
    <w:qFormat/>
    <w:rsid w:val="006725F8"/>
    <w:pPr>
      <w:keepNext w:val="0"/>
      <w:outlineLvl w:val="3"/>
    </w:pPr>
    <w:rPr>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5F8"/>
    <w:rPr>
      <w:rFonts w:ascii="Trade Gothic LT Std" w:eastAsiaTheme="majorEastAsia" w:hAnsi="Trade Gothic LT Std" w:cstheme="majorBidi"/>
      <w:b/>
      <w:bCs/>
      <w:caps/>
      <w:sz w:val="28"/>
      <w:szCs w:val="28"/>
    </w:rPr>
  </w:style>
  <w:style w:type="character" w:customStyle="1" w:styleId="Heading2Char">
    <w:name w:val="Heading 2 Char"/>
    <w:basedOn w:val="DefaultParagraphFont"/>
    <w:link w:val="Heading2"/>
    <w:uiPriority w:val="9"/>
    <w:rsid w:val="006725F8"/>
    <w:rPr>
      <w:rFonts w:ascii="Trade Gothic LT Std" w:eastAsiaTheme="majorEastAsia" w:hAnsi="Trade Gothic LT Std" w:cstheme="majorBidi"/>
      <w:b/>
      <w:sz w:val="26"/>
      <w:szCs w:val="26"/>
    </w:rPr>
  </w:style>
  <w:style w:type="character" w:customStyle="1" w:styleId="Heading3Char">
    <w:name w:val="Heading 3 Char"/>
    <w:basedOn w:val="DefaultParagraphFont"/>
    <w:link w:val="Heading3"/>
    <w:uiPriority w:val="9"/>
    <w:rsid w:val="006725F8"/>
    <w:rPr>
      <w:rFonts w:ascii="Trade Gothic LT Std" w:eastAsiaTheme="majorEastAsia" w:hAnsi="Trade Gothic LT Std" w:cstheme="majorBidi"/>
      <w:b/>
      <w:bCs/>
      <w:szCs w:val="26"/>
    </w:rPr>
  </w:style>
  <w:style w:type="character" w:customStyle="1" w:styleId="Heading4Char">
    <w:name w:val="Heading 4 Char"/>
    <w:basedOn w:val="DefaultParagraphFont"/>
    <w:link w:val="Heading4"/>
    <w:uiPriority w:val="9"/>
    <w:rsid w:val="006725F8"/>
    <w:rPr>
      <w:rFonts w:ascii="Trade Gothic LT Std" w:eastAsiaTheme="majorEastAsia" w:hAnsi="Trade Gothic LT Std" w:cstheme="majorBidi"/>
      <w:b/>
      <w:iCs/>
      <w:szCs w:val="26"/>
    </w:rPr>
  </w:style>
  <w:style w:type="paragraph" w:customStyle="1" w:styleId="ReportTitle">
    <w:name w:val="Report Title"/>
    <w:basedOn w:val="Normal"/>
    <w:next w:val="ReportSubtitle"/>
    <w:qFormat/>
    <w:rsid w:val="006725F8"/>
    <w:pPr>
      <w:keepNext/>
      <w:spacing w:after="240"/>
      <w:jc w:val="center"/>
    </w:pPr>
    <w:rPr>
      <w:b/>
      <w:caps/>
      <w:sz w:val="32"/>
    </w:rPr>
  </w:style>
  <w:style w:type="paragraph" w:customStyle="1" w:styleId="ReportSubtitle">
    <w:name w:val="Report Subtitle"/>
    <w:basedOn w:val="Normal"/>
    <w:next w:val="Heading1"/>
    <w:qFormat/>
    <w:rsid w:val="006725F8"/>
    <w:pPr>
      <w:spacing w:after="360"/>
      <w:jc w:val="center"/>
    </w:pPr>
    <w:rPr>
      <w:b/>
      <w:sz w:val="32"/>
    </w:rPr>
  </w:style>
  <w:style w:type="paragraph" w:customStyle="1" w:styleId="Bullets">
    <w:name w:val="Bullets"/>
    <w:basedOn w:val="Normal"/>
    <w:qFormat/>
    <w:rsid w:val="006725F8"/>
    <w:pPr>
      <w:numPr>
        <w:numId w:val="12"/>
      </w:numPr>
    </w:pPr>
  </w:style>
  <w:style w:type="character" w:customStyle="1" w:styleId="NormalCharacter">
    <w:name w:val="Normal Character"/>
    <w:uiPriority w:val="1"/>
    <w:qFormat/>
    <w:rsid w:val="006725F8"/>
    <w:rPr>
      <w:rFonts w:ascii="Trade Gothic LT Std" w:hAnsi="Trade Gothic LT Std"/>
      <w:b/>
      <w:sz w:val="21"/>
    </w:rPr>
  </w:style>
  <w:style w:type="paragraph" w:styleId="Caption">
    <w:name w:val="caption"/>
    <w:basedOn w:val="Normal"/>
    <w:next w:val="Exhibit"/>
    <w:uiPriority w:val="35"/>
    <w:unhideWhenUsed/>
    <w:qFormat/>
    <w:rsid w:val="006725F8"/>
    <w:pPr>
      <w:keepNext/>
      <w:spacing w:before="120" w:after="0"/>
      <w:jc w:val="center"/>
    </w:pPr>
    <w:rPr>
      <w:b/>
      <w:bCs/>
      <w:sz w:val="22"/>
      <w:szCs w:val="18"/>
    </w:rPr>
  </w:style>
  <w:style w:type="paragraph" w:customStyle="1" w:styleId="Exhibit">
    <w:name w:val="Exhibit"/>
    <w:basedOn w:val="Normal"/>
    <w:next w:val="Source"/>
    <w:qFormat/>
    <w:rsid w:val="006725F8"/>
    <w:pPr>
      <w:keepNext/>
      <w:spacing w:before="120"/>
      <w:jc w:val="center"/>
    </w:pPr>
  </w:style>
  <w:style w:type="paragraph" w:customStyle="1" w:styleId="Source">
    <w:name w:val="Source"/>
    <w:basedOn w:val="Normal"/>
    <w:next w:val="Normal"/>
    <w:qFormat/>
    <w:rsid w:val="006725F8"/>
    <w:rPr>
      <w:sz w:val="17"/>
    </w:rPr>
  </w:style>
  <w:style w:type="paragraph" w:styleId="BalloonText">
    <w:name w:val="Balloon Text"/>
    <w:basedOn w:val="Normal"/>
    <w:link w:val="BalloonTextChar"/>
    <w:uiPriority w:val="99"/>
    <w:semiHidden/>
    <w:unhideWhenUsed/>
    <w:rsid w:val="007F5A0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A09"/>
    <w:rPr>
      <w:rFonts w:ascii="Tahoma" w:hAnsi="Tahoma" w:cs="Tahoma"/>
      <w:sz w:val="16"/>
      <w:szCs w:val="16"/>
    </w:rPr>
  </w:style>
  <w:style w:type="paragraph" w:styleId="Header">
    <w:name w:val="header"/>
    <w:basedOn w:val="Normal"/>
    <w:link w:val="HeaderChar"/>
    <w:uiPriority w:val="99"/>
    <w:unhideWhenUsed/>
    <w:rsid w:val="001E4D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E4DF0"/>
    <w:rPr>
      <w:rFonts w:ascii="Trade Gothic LT Std" w:hAnsi="Trade Gothic LT Std"/>
      <w:sz w:val="21"/>
    </w:rPr>
  </w:style>
  <w:style w:type="paragraph" w:styleId="Footer">
    <w:name w:val="footer"/>
    <w:basedOn w:val="Normal"/>
    <w:link w:val="FooterChar"/>
    <w:uiPriority w:val="99"/>
    <w:unhideWhenUsed/>
    <w:rsid w:val="001E4D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E4DF0"/>
    <w:rPr>
      <w:rFonts w:ascii="Trade Gothic LT Std" w:hAnsi="Trade Gothic LT Std"/>
      <w:sz w:val="21"/>
    </w:rPr>
  </w:style>
  <w:style w:type="character" w:styleId="CommentReference">
    <w:name w:val="annotation reference"/>
    <w:basedOn w:val="DefaultParagraphFont"/>
    <w:uiPriority w:val="99"/>
    <w:semiHidden/>
    <w:unhideWhenUsed/>
    <w:rsid w:val="00DB206D"/>
    <w:rPr>
      <w:sz w:val="16"/>
      <w:szCs w:val="16"/>
    </w:rPr>
  </w:style>
  <w:style w:type="paragraph" w:styleId="CommentText">
    <w:name w:val="annotation text"/>
    <w:basedOn w:val="Normal"/>
    <w:link w:val="CommentTextChar"/>
    <w:uiPriority w:val="99"/>
    <w:semiHidden/>
    <w:unhideWhenUsed/>
    <w:rsid w:val="00DB206D"/>
    <w:pPr>
      <w:spacing w:line="240" w:lineRule="auto"/>
    </w:pPr>
    <w:rPr>
      <w:sz w:val="20"/>
      <w:szCs w:val="20"/>
    </w:rPr>
  </w:style>
  <w:style w:type="character" w:customStyle="1" w:styleId="CommentTextChar">
    <w:name w:val="Comment Text Char"/>
    <w:basedOn w:val="DefaultParagraphFont"/>
    <w:link w:val="CommentText"/>
    <w:uiPriority w:val="99"/>
    <w:semiHidden/>
    <w:rsid w:val="00DB206D"/>
    <w:rPr>
      <w:rFonts w:ascii="Trade Gothic LT Std" w:hAnsi="Trade Gothic LT Std"/>
      <w:sz w:val="20"/>
      <w:szCs w:val="20"/>
    </w:rPr>
  </w:style>
  <w:style w:type="paragraph" w:styleId="CommentSubject">
    <w:name w:val="annotation subject"/>
    <w:basedOn w:val="CommentText"/>
    <w:next w:val="CommentText"/>
    <w:link w:val="CommentSubjectChar"/>
    <w:uiPriority w:val="99"/>
    <w:semiHidden/>
    <w:unhideWhenUsed/>
    <w:rsid w:val="00DB206D"/>
    <w:rPr>
      <w:b/>
      <w:bCs/>
    </w:rPr>
  </w:style>
  <w:style w:type="character" w:customStyle="1" w:styleId="CommentSubjectChar">
    <w:name w:val="Comment Subject Char"/>
    <w:basedOn w:val="CommentTextChar"/>
    <w:link w:val="CommentSubject"/>
    <w:uiPriority w:val="99"/>
    <w:semiHidden/>
    <w:rsid w:val="00DB206D"/>
    <w:rPr>
      <w:rFonts w:ascii="Trade Gothic LT Std" w:hAnsi="Trade Gothic LT Std"/>
      <w:b/>
      <w:bCs/>
      <w:sz w:val="20"/>
      <w:szCs w:val="20"/>
    </w:rPr>
  </w:style>
  <w:style w:type="table" w:styleId="TableGrid">
    <w:name w:val="Table Grid"/>
    <w:basedOn w:val="TableNormal"/>
    <w:uiPriority w:val="59"/>
    <w:rsid w:val="00DA2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20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BE2"/>
    <w:pPr>
      <w:spacing w:before="60" w:after="120" w:line="280" w:lineRule="atLeast"/>
      <w:jc w:val="both"/>
    </w:pPr>
    <w:rPr>
      <w:rFonts w:ascii="Trade Gothic LT Std" w:hAnsi="Trade Gothic LT Std"/>
      <w:sz w:val="21"/>
    </w:rPr>
  </w:style>
  <w:style w:type="paragraph" w:styleId="Heading1">
    <w:name w:val="heading 1"/>
    <w:basedOn w:val="Normal"/>
    <w:next w:val="Normal"/>
    <w:link w:val="Heading1Char"/>
    <w:uiPriority w:val="9"/>
    <w:qFormat/>
    <w:rsid w:val="006725F8"/>
    <w:pPr>
      <w:keepNext/>
      <w:spacing w:before="240"/>
      <w:outlineLvl w:val="0"/>
    </w:pPr>
    <w:rPr>
      <w:rFonts w:eastAsiaTheme="majorEastAsia" w:cstheme="majorBidi"/>
      <w:b/>
      <w:bCs/>
      <w:caps/>
      <w:sz w:val="28"/>
      <w:szCs w:val="28"/>
    </w:rPr>
  </w:style>
  <w:style w:type="paragraph" w:styleId="Heading2">
    <w:name w:val="heading 2"/>
    <w:basedOn w:val="Heading1"/>
    <w:next w:val="Normal"/>
    <w:link w:val="Heading2Char"/>
    <w:uiPriority w:val="9"/>
    <w:unhideWhenUsed/>
    <w:qFormat/>
    <w:rsid w:val="006725F8"/>
    <w:pPr>
      <w:spacing w:before="120"/>
      <w:outlineLvl w:val="1"/>
    </w:pPr>
    <w:rPr>
      <w:bCs w:val="0"/>
      <w:caps w:val="0"/>
      <w:sz w:val="26"/>
      <w:szCs w:val="26"/>
    </w:rPr>
  </w:style>
  <w:style w:type="paragraph" w:styleId="Heading3">
    <w:name w:val="heading 3"/>
    <w:basedOn w:val="Heading2"/>
    <w:next w:val="Normal"/>
    <w:link w:val="Heading3Char"/>
    <w:uiPriority w:val="9"/>
    <w:unhideWhenUsed/>
    <w:qFormat/>
    <w:rsid w:val="006725F8"/>
    <w:pPr>
      <w:spacing w:before="60"/>
      <w:outlineLvl w:val="2"/>
    </w:pPr>
    <w:rPr>
      <w:bCs/>
      <w:sz w:val="22"/>
    </w:rPr>
  </w:style>
  <w:style w:type="paragraph" w:styleId="Heading4">
    <w:name w:val="heading 4"/>
    <w:basedOn w:val="Heading3"/>
    <w:next w:val="Normal"/>
    <w:link w:val="Heading4Char"/>
    <w:uiPriority w:val="9"/>
    <w:unhideWhenUsed/>
    <w:qFormat/>
    <w:rsid w:val="006725F8"/>
    <w:pPr>
      <w:keepNext w:val="0"/>
      <w:outlineLvl w:val="3"/>
    </w:pPr>
    <w:rPr>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5F8"/>
    <w:rPr>
      <w:rFonts w:ascii="Trade Gothic LT Std" w:eastAsiaTheme="majorEastAsia" w:hAnsi="Trade Gothic LT Std" w:cstheme="majorBidi"/>
      <w:b/>
      <w:bCs/>
      <w:caps/>
      <w:sz w:val="28"/>
      <w:szCs w:val="28"/>
    </w:rPr>
  </w:style>
  <w:style w:type="character" w:customStyle="1" w:styleId="Heading2Char">
    <w:name w:val="Heading 2 Char"/>
    <w:basedOn w:val="DefaultParagraphFont"/>
    <w:link w:val="Heading2"/>
    <w:uiPriority w:val="9"/>
    <w:rsid w:val="006725F8"/>
    <w:rPr>
      <w:rFonts w:ascii="Trade Gothic LT Std" w:eastAsiaTheme="majorEastAsia" w:hAnsi="Trade Gothic LT Std" w:cstheme="majorBidi"/>
      <w:b/>
      <w:sz w:val="26"/>
      <w:szCs w:val="26"/>
    </w:rPr>
  </w:style>
  <w:style w:type="character" w:customStyle="1" w:styleId="Heading3Char">
    <w:name w:val="Heading 3 Char"/>
    <w:basedOn w:val="DefaultParagraphFont"/>
    <w:link w:val="Heading3"/>
    <w:uiPriority w:val="9"/>
    <w:rsid w:val="006725F8"/>
    <w:rPr>
      <w:rFonts w:ascii="Trade Gothic LT Std" w:eastAsiaTheme="majorEastAsia" w:hAnsi="Trade Gothic LT Std" w:cstheme="majorBidi"/>
      <w:b/>
      <w:bCs/>
      <w:szCs w:val="26"/>
    </w:rPr>
  </w:style>
  <w:style w:type="character" w:customStyle="1" w:styleId="Heading4Char">
    <w:name w:val="Heading 4 Char"/>
    <w:basedOn w:val="DefaultParagraphFont"/>
    <w:link w:val="Heading4"/>
    <w:uiPriority w:val="9"/>
    <w:rsid w:val="006725F8"/>
    <w:rPr>
      <w:rFonts w:ascii="Trade Gothic LT Std" w:eastAsiaTheme="majorEastAsia" w:hAnsi="Trade Gothic LT Std" w:cstheme="majorBidi"/>
      <w:b/>
      <w:iCs/>
      <w:szCs w:val="26"/>
    </w:rPr>
  </w:style>
  <w:style w:type="paragraph" w:customStyle="1" w:styleId="ReportTitle">
    <w:name w:val="Report Title"/>
    <w:basedOn w:val="Normal"/>
    <w:next w:val="ReportSubtitle"/>
    <w:qFormat/>
    <w:rsid w:val="006725F8"/>
    <w:pPr>
      <w:keepNext/>
      <w:spacing w:after="240"/>
      <w:jc w:val="center"/>
    </w:pPr>
    <w:rPr>
      <w:b/>
      <w:caps/>
      <w:sz w:val="32"/>
    </w:rPr>
  </w:style>
  <w:style w:type="paragraph" w:customStyle="1" w:styleId="ReportSubtitle">
    <w:name w:val="Report Subtitle"/>
    <w:basedOn w:val="Normal"/>
    <w:next w:val="Heading1"/>
    <w:qFormat/>
    <w:rsid w:val="006725F8"/>
    <w:pPr>
      <w:spacing w:after="360"/>
      <w:jc w:val="center"/>
    </w:pPr>
    <w:rPr>
      <w:b/>
      <w:sz w:val="32"/>
    </w:rPr>
  </w:style>
  <w:style w:type="paragraph" w:customStyle="1" w:styleId="Bullets">
    <w:name w:val="Bullets"/>
    <w:basedOn w:val="Normal"/>
    <w:qFormat/>
    <w:rsid w:val="006725F8"/>
    <w:pPr>
      <w:numPr>
        <w:numId w:val="12"/>
      </w:numPr>
    </w:pPr>
  </w:style>
  <w:style w:type="character" w:customStyle="1" w:styleId="NormalCharacter">
    <w:name w:val="Normal Character"/>
    <w:uiPriority w:val="1"/>
    <w:qFormat/>
    <w:rsid w:val="006725F8"/>
    <w:rPr>
      <w:rFonts w:ascii="Trade Gothic LT Std" w:hAnsi="Trade Gothic LT Std"/>
      <w:b/>
      <w:sz w:val="21"/>
    </w:rPr>
  </w:style>
  <w:style w:type="paragraph" w:styleId="Caption">
    <w:name w:val="caption"/>
    <w:basedOn w:val="Normal"/>
    <w:next w:val="Exhibit"/>
    <w:uiPriority w:val="35"/>
    <w:unhideWhenUsed/>
    <w:qFormat/>
    <w:rsid w:val="006725F8"/>
    <w:pPr>
      <w:keepNext/>
      <w:spacing w:before="120" w:after="0"/>
      <w:jc w:val="center"/>
    </w:pPr>
    <w:rPr>
      <w:b/>
      <w:bCs/>
      <w:sz w:val="22"/>
      <w:szCs w:val="18"/>
    </w:rPr>
  </w:style>
  <w:style w:type="paragraph" w:customStyle="1" w:styleId="Exhibit">
    <w:name w:val="Exhibit"/>
    <w:basedOn w:val="Normal"/>
    <w:next w:val="Source"/>
    <w:qFormat/>
    <w:rsid w:val="006725F8"/>
    <w:pPr>
      <w:keepNext/>
      <w:spacing w:before="120"/>
      <w:jc w:val="center"/>
    </w:pPr>
  </w:style>
  <w:style w:type="paragraph" w:customStyle="1" w:styleId="Source">
    <w:name w:val="Source"/>
    <w:basedOn w:val="Normal"/>
    <w:next w:val="Normal"/>
    <w:qFormat/>
    <w:rsid w:val="006725F8"/>
    <w:rPr>
      <w:sz w:val="17"/>
    </w:rPr>
  </w:style>
  <w:style w:type="paragraph" w:styleId="BalloonText">
    <w:name w:val="Balloon Text"/>
    <w:basedOn w:val="Normal"/>
    <w:link w:val="BalloonTextChar"/>
    <w:uiPriority w:val="99"/>
    <w:semiHidden/>
    <w:unhideWhenUsed/>
    <w:rsid w:val="007F5A0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A09"/>
    <w:rPr>
      <w:rFonts w:ascii="Tahoma" w:hAnsi="Tahoma" w:cs="Tahoma"/>
      <w:sz w:val="16"/>
      <w:szCs w:val="16"/>
    </w:rPr>
  </w:style>
  <w:style w:type="paragraph" w:styleId="Header">
    <w:name w:val="header"/>
    <w:basedOn w:val="Normal"/>
    <w:link w:val="HeaderChar"/>
    <w:uiPriority w:val="99"/>
    <w:unhideWhenUsed/>
    <w:rsid w:val="001E4D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E4DF0"/>
    <w:rPr>
      <w:rFonts w:ascii="Trade Gothic LT Std" w:hAnsi="Trade Gothic LT Std"/>
      <w:sz w:val="21"/>
    </w:rPr>
  </w:style>
  <w:style w:type="paragraph" w:styleId="Footer">
    <w:name w:val="footer"/>
    <w:basedOn w:val="Normal"/>
    <w:link w:val="FooterChar"/>
    <w:uiPriority w:val="99"/>
    <w:unhideWhenUsed/>
    <w:rsid w:val="001E4D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E4DF0"/>
    <w:rPr>
      <w:rFonts w:ascii="Trade Gothic LT Std" w:hAnsi="Trade Gothic LT Std"/>
      <w:sz w:val="21"/>
    </w:rPr>
  </w:style>
  <w:style w:type="character" w:styleId="CommentReference">
    <w:name w:val="annotation reference"/>
    <w:basedOn w:val="DefaultParagraphFont"/>
    <w:uiPriority w:val="99"/>
    <w:semiHidden/>
    <w:unhideWhenUsed/>
    <w:rsid w:val="00DB206D"/>
    <w:rPr>
      <w:sz w:val="16"/>
      <w:szCs w:val="16"/>
    </w:rPr>
  </w:style>
  <w:style w:type="paragraph" w:styleId="CommentText">
    <w:name w:val="annotation text"/>
    <w:basedOn w:val="Normal"/>
    <w:link w:val="CommentTextChar"/>
    <w:uiPriority w:val="99"/>
    <w:semiHidden/>
    <w:unhideWhenUsed/>
    <w:rsid w:val="00DB206D"/>
    <w:pPr>
      <w:spacing w:line="240" w:lineRule="auto"/>
    </w:pPr>
    <w:rPr>
      <w:sz w:val="20"/>
      <w:szCs w:val="20"/>
    </w:rPr>
  </w:style>
  <w:style w:type="character" w:customStyle="1" w:styleId="CommentTextChar">
    <w:name w:val="Comment Text Char"/>
    <w:basedOn w:val="DefaultParagraphFont"/>
    <w:link w:val="CommentText"/>
    <w:uiPriority w:val="99"/>
    <w:semiHidden/>
    <w:rsid w:val="00DB206D"/>
    <w:rPr>
      <w:rFonts w:ascii="Trade Gothic LT Std" w:hAnsi="Trade Gothic LT Std"/>
      <w:sz w:val="20"/>
      <w:szCs w:val="20"/>
    </w:rPr>
  </w:style>
  <w:style w:type="paragraph" w:styleId="CommentSubject">
    <w:name w:val="annotation subject"/>
    <w:basedOn w:val="CommentText"/>
    <w:next w:val="CommentText"/>
    <w:link w:val="CommentSubjectChar"/>
    <w:uiPriority w:val="99"/>
    <w:semiHidden/>
    <w:unhideWhenUsed/>
    <w:rsid w:val="00DB206D"/>
    <w:rPr>
      <w:b/>
      <w:bCs/>
    </w:rPr>
  </w:style>
  <w:style w:type="character" w:customStyle="1" w:styleId="CommentSubjectChar">
    <w:name w:val="Comment Subject Char"/>
    <w:basedOn w:val="CommentTextChar"/>
    <w:link w:val="CommentSubject"/>
    <w:uiPriority w:val="99"/>
    <w:semiHidden/>
    <w:rsid w:val="00DB206D"/>
    <w:rPr>
      <w:rFonts w:ascii="Trade Gothic LT Std" w:hAnsi="Trade Gothic LT Std"/>
      <w:b/>
      <w:bCs/>
      <w:sz w:val="20"/>
      <w:szCs w:val="20"/>
    </w:rPr>
  </w:style>
  <w:style w:type="table" w:styleId="TableGrid">
    <w:name w:val="Table Grid"/>
    <w:basedOn w:val="TableNormal"/>
    <w:uiPriority w:val="59"/>
    <w:rsid w:val="00DA2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2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A3B61-4488-49CE-9A87-4105B6AD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Berk &amp; Associates</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Shook</dc:creator>
  <cp:lastModifiedBy>Shepherd, Susan</cp:lastModifiedBy>
  <cp:revision>3</cp:revision>
  <cp:lastPrinted>2012-05-25T20:46:00Z</cp:lastPrinted>
  <dcterms:created xsi:type="dcterms:W3CDTF">2012-06-01T16:44:00Z</dcterms:created>
  <dcterms:modified xsi:type="dcterms:W3CDTF">2012-06-07T17:58:00Z</dcterms:modified>
</cp:coreProperties>
</file>