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2E" w:rsidRPr="00EC3731" w:rsidRDefault="0004162E" w:rsidP="0004162E">
      <w:pPr>
        <w:pStyle w:val="ReportTitle"/>
      </w:pPr>
      <w:r w:rsidRPr="00EC3731">
        <w:t>ADRC EXPANSION PLAN</w:t>
      </w:r>
    </w:p>
    <w:p w:rsidR="0004162E" w:rsidRPr="00EC3731" w:rsidRDefault="004E55C5" w:rsidP="0004162E">
      <w:pPr>
        <w:pStyle w:val="ReportSubtitle"/>
      </w:pPr>
      <w:r>
        <w:t>Marketing</w:t>
      </w:r>
      <w:r w:rsidR="00132FAF" w:rsidRPr="00EC3731">
        <w:t xml:space="preserve"> </w:t>
      </w:r>
      <w:r w:rsidR="0004162E" w:rsidRPr="00EC3731">
        <w:t>Topical Work Team Scope of Work</w:t>
      </w:r>
    </w:p>
    <w:p w:rsidR="001E1605" w:rsidRPr="00EC3731" w:rsidRDefault="001E1605" w:rsidP="00BD3CC5">
      <w:pPr>
        <w:pStyle w:val="Heading2"/>
      </w:pPr>
      <w:r w:rsidRPr="00EC3731">
        <w:t>Task Understanding</w:t>
      </w:r>
    </w:p>
    <w:p w:rsidR="004E55C5" w:rsidRDefault="00F87C81" w:rsidP="004E55C5">
      <w:r>
        <w:t xml:space="preserve">In Washington State, there </w:t>
      </w:r>
      <w:r w:rsidR="004E55C5">
        <w:t xml:space="preserve">is no built-in brand awareness around ADRCs. Many </w:t>
      </w:r>
      <w:r w:rsidR="00FD63A3">
        <w:t>individuals and</w:t>
      </w:r>
      <w:r w:rsidR="004E55C5">
        <w:t xml:space="preserve"> service </w:t>
      </w:r>
      <w:bookmarkStart w:id="0" w:name="_GoBack"/>
      <w:bookmarkEnd w:id="0"/>
      <w:r w:rsidR="005D5E94">
        <w:t>providers</w:t>
      </w:r>
      <w:r w:rsidR="004E55C5">
        <w:t xml:space="preserve"> are unaware of </w:t>
      </w:r>
      <w:r w:rsidR="008C0874">
        <w:t>available</w:t>
      </w:r>
      <w:r w:rsidR="004E55C5">
        <w:t xml:space="preserve"> </w:t>
      </w:r>
      <w:r w:rsidR="00191936">
        <w:t>services and supports, or where to obtain relevant information</w:t>
      </w:r>
      <w:r>
        <w:t>, understanding</w:t>
      </w:r>
      <w:r w:rsidR="00191936">
        <w:t xml:space="preserve"> and help</w:t>
      </w:r>
      <w:r>
        <w:t xml:space="preserve"> to access them</w:t>
      </w:r>
      <w:r w:rsidR="004E55C5">
        <w:t xml:space="preserve">. Building public awareness and </w:t>
      </w:r>
      <w:r>
        <w:t xml:space="preserve">visibility through </w:t>
      </w:r>
      <w:r w:rsidR="004E55C5">
        <w:t>brand identification</w:t>
      </w:r>
      <w:r w:rsidR="00B43334">
        <w:t xml:space="preserve"> and coordinated access processes</w:t>
      </w:r>
      <w:r w:rsidR="004E55C5">
        <w:t xml:space="preserve"> </w:t>
      </w:r>
      <w:r>
        <w:t xml:space="preserve">is </w:t>
      </w:r>
      <w:r w:rsidR="0088039C">
        <w:t xml:space="preserve">critical </w:t>
      </w:r>
      <w:r>
        <w:t>to successful ADRC statewide expansion</w:t>
      </w:r>
      <w:r w:rsidR="004E55C5">
        <w:t xml:space="preserve">. The state and </w:t>
      </w:r>
      <w:r w:rsidR="00FD63A3">
        <w:t>current/</w:t>
      </w:r>
      <w:r w:rsidR="004E55C5">
        <w:t xml:space="preserve">proposed ADRC organizations are likely to have limited funds to </w:t>
      </w:r>
      <w:r>
        <w:t xml:space="preserve">market </w:t>
      </w:r>
      <w:r w:rsidR="00B43334">
        <w:t>the</w:t>
      </w:r>
      <w:r>
        <w:t xml:space="preserve"> program</w:t>
      </w:r>
      <w:r w:rsidR="00B43334">
        <w:t>.</w:t>
      </w:r>
      <w:r>
        <w:t xml:space="preserve"> </w:t>
      </w:r>
      <w:r w:rsidR="004E55C5">
        <w:t xml:space="preserve"> </w:t>
      </w:r>
      <w:r w:rsidR="00B43334">
        <w:t xml:space="preserve">Developing </w:t>
      </w:r>
      <w:r w:rsidR="004E55C5">
        <w:t xml:space="preserve"> marketing </w:t>
      </w:r>
      <w:r w:rsidR="0099102E">
        <w:t>materials</w:t>
      </w:r>
      <w:r w:rsidR="00B43334">
        <w:t xml:space="preserve"> that can be locally customized</w:t>
      </w:r>
      <w:r w:rsidR="00FD63A3">
        <w:t>,</w:t>
      </w:r>
      <w:r w:rsidR="0099102E">
        <w:t xml:space="preserve"> </w:t>
      </w:r>
      <w:r w:rsidR="00B43334">
        <w:t>coordinating state and local</w:t>
      </w:r>
      <w:r w:rsidR="004E55C5">
        <w:t xml:space="preserve"> outreach efforts</w:t>
      </w:r>
      <w:r w:rsidR="00FD63A3">
        <w:t>,</w:t>
      </w:r>
      <w:r w:rsidR="00B43334">
        <w:t xml:space="preserve"> and establishing one toll-free ADRC access number;</w:t>
      </w:r>
      <w:r>
        <w:t xml:space="preserve"> </w:t>
      </w:r>
      <w:r w:rsidR="00B43334">
        <w:t>will reduce costs for all while increasing visibility for all.</w:t>
      </w:r>
    </w:p>
    <w:p w:rsidR="004E55C5" w:rsidRDefault="004E55C5" w:rsidP="004E55C5">
      <w:r>
        <w:t>Additionally, since ADRCs seek to increase access not only to public services, but also to private service providers, those providers may desire to participate in the ADRC marketing, outreach, and public information efforts as part of local coalitions.</w:t>
      </w:r>
    </w:p>
    <w:p w:rsidR="001F3EFE" w:rsidRPr="00EC3731" w:rsidRDefault="00685535" w:rsidP="005476B6">
      <w:pPr>
        <w:pStyle w:val="Heading2"/>
      </w:pPr>
      <w:r w:rsidRPr="00EC3731">
        <w:t>Scope of Work</w:t>
      </w:r>
    </w:p>
    <w:p w:rsidR="004E55C5" w:rsidRDefault="00771958" w:rsidP="004E55C5">
      <w:r>
        <w:t xml:space="preserve">This group will map </w:t>
      </w:r>
      <w:r w:rsidR="004E55C5">
        <w:t>out the key elements of the branding and public information campaign.</w:t>
      </w:r>
    </w:p>
    <w:p w:rsidR="00771958" w:rsidRDefault="00771958" w:rsidP="00771958">
      <w:pPr>
        <w:pStyle w:val="Bullets"/>
        <w:ind w:left="720"/>
      </w:pPr>
      <w:r>
        <w:t>Branding/Messaging</w:t>
      </w:r>
    </w:p>
    <w:p w:rsidR="00771958" w:rsidRDefault="00771958" w:rsidP="00771958">
      <w:pPr>
        <w:pStyle w:val="Bullets"/>
        <w:ind w:left="720"/>
      </w:pPr>
      <w:r>
        <w:t>Marketing Materials</w:t>
      </w:r>
    </w:p>
    <w:p w:rsidR="00771958" w:rsidRDefault="00771958" w:rsidP="00771958">
      <w:pPr>
        <w:pStyle w:val="Bullets"/>
        <w:ind w:left="720"/>
      </w:pPr>
      <w:r>
        <w:t>Vehicles for Messaging and Accessibility</w:t>
      </w:r>
    </w:p>
    <w:p w:rsidR="005476B6" w:rsidRPr="00EC3731" w:rsidRDefault="005476B6" w:rsidP="005476B6">
      <w:pPr>
        <w:pStyle w:val="Heading2"/>
      </w:pPr>
      <w:r w:rsidRPr="00EC3731">
        <w:t>Deliverables</w:t>
      </w:r>
    </w:p>
    <w:p w:rsidR="004E55C5" w:rsidRDefault="004E55C5" w:rsidP="00D80018">
      <w:pPr>
        <w:pStyle w:val="Bullets"/>
        <w:numPr>
          <w:ilvl w:val="0"/>
          <w:numId w:val="11"/>
        </w:numPr>
      </w:pPr>
      <w:r>
        <w:t>Review and best practices of marketing/PR</w:t>
      </w:r>
      <w:r w:rsidR="00644E53">
        <w:t xml:space="preserve"> for social/information services</w:t>
      </w:r>
    </w:p>
    <w:p w:rsidR="004E55C5" w:rsidRDefault="004E55C5" w:rsidP="00D80018">
      <w:pPr>
        <w:pStyle w:val="Bullets"/>
        <w:numPr>
          <w:ilvl w:val="0"/>
          <w:numId w:val="11"/>
        </w:numPr>
      </w:pPr>
      <w:r>
        <w:t>Conceptual recommendations</w:t>
      </w:r>
    </w:p>
    <w:p w:rsidR="004E55C5" w:rsidRDefault="00191936" w:rsidP="00D80018">
      <w:pPr>
        <w:pStyle w:val="Bullets"/>
        <w:numPr>
          <w:ilvl w:val="0"/>
          <w:numId w:val="11"/>
        </w:numPr>
      </w:pPr>
      <w:r>
        <w:t>Key messages that help create an ADRC program identity for use statewide</w:t>
      </w:r>
      <w:r w:rsidR="004E55C5">
        <w:t>: the elevator description, key benefits to different groups, etc.</w:t>
      </w:r>
    </w:p>
    <w:p w:rsidR="00191936" w:rsidRDefault="00191936" w:rsidP="00191936">
      <w:pPr>
        <w:pStyle w:val="Bullets"/>
        <w:numPr>
          <w:ilvl w:val="0"/>
          <w:numId w:val="11"/>
        </w:numPr>
      </w:pPr>
      <w:r>
        <w:t>Logo and banner development</w:t>
      </w:r>
    </w:p>
    <w:p w:rsidR="00FA4D50" w:rsidRDefault="00FA4D50" w:rsidP="00FA4D50">
      <w:pPr>
        <w:pStyle w:val="Bullets"/>
        <w:numPr>
          <w:ilvl w:val="0"/>
          <w:numId w:val="11"/>
        </w:numPr>
      </w:pPr>
      <w:r>
        <w:t xml:space="preserve">Outlines/directions for marketing collateral </w:t>
      </w:r>
    </w:p>
    <w:p w:rsidR="00FA4D50" w:rsidRDefault="00FA4D50" w:rsidP="00FA4D50">
      <w:pPr>
        <w:pStyle w:val="Bullets"/>
        <w:numPr>
          <w:ilvl w:val="0"/>
          <w:numId w:val="11"/>
        </w:numPr>
      </w:pPr>
      <w:r>
        <w:t>Development of messages, PSAs, and other marketing collateral for ADRC website, local ADRCs, and partners</w:t>
      </w:r>
    </w:p>
    <w:p w:rsidR="00DB206D" w:rsidRPr="00EC3731" w:rsidRDefault="00644E53" w:rsidP="00DB206D">
      <w:pPr>
        <w:pStyle w:val="Heading2"/>
      </w:pPr>
      <w:r>
        <w:t xml:space="preserve">Potential </w:t>
      </w:r>
      <w:r w:rsidR="00DB206D" w:rsidRPr="00EC3731">
        <w:t>Membership</w:t>
      </w:r>
      <w:r w:rsidR="00F76E7A" w:rsidRPr="00EC3731">
        <w:t xml:space="preserve"> </w:t>
      </w:r>
    </w:p>
    <w:p w:rsidR="00B43334" w:rsidRDefault="00B43334" w:rsidP="00D80018">
      <w:pPr>
        <w:pStyle w:val="Bullets"/>
        <w:numPr>
          <w:ilvl w:val="0"/>
          <w:numId w:val="13"/>
        </w:numPr>
      </w:pPr>
      <w:r>
        <w:t>Janet Adams, ADSA DDD</w:t>
      </w:r>
    </w:p>
    <w:p w:rsidR="00AA5120" w:rsidRDefault="00AA5120" w:rsidP="00D80018">
      <w:pPr>
        <w:pStyle w:val="Bullets"/>
        <w:numPr>
          <w:ilvl w:val="0"/>
          <w:numId w:val="13"/>
        </w:numPr>
      </w:pPr>
      <w:r>
        <w:t>Mark Havens, Alzheimer’s Association of the Inland Northwest</w:t>
      </w:r>
    </w:p>
    <w:p w:rsidR="004E55C5" w:rsidRDefault="004E55C5" w:rsidP="00D80018">
      <w:pPr>
        <w:pStyle w:val="Bullets"/>
        <w:numPr>
          <w:ilvl w:val="0"/>
          <w:numId w:val="13"/>
        </w:numPr>
      </w:pPr>
      <w:r>
        <w:lastRenderedPageBreak/>
        <w:t xml:space="preserve">Dick Lundgren, </w:t>
      </w:r>
      <w:r w:rsidR="00A370C7">
        <w:t xml:space="preserve">Constituent, </w:t>
      </w:r>
      <w:r>
        <w:t>Family C</w:t>
      </w:r>
      <w:r w:rsidR="00A370C7">
        <w:t>aregiving</w:t>
      </w:r>
    </w:p>
    <w:p w:rsidR="004E55C5" w:rsidRDefault="00AA5120" w:rsidP="00D80018">
      <w:pPr>
        <w:pStyle w:val="Bullets"/>
        <w:numPr>
          <w:ilvl w:val="0"/>
          <w:numId w:val="13"/>
        </w:numPr>
      </w:pPr>
      <w:r>
        <w:t>Gretchen Thatcher, Constituent, Independent Living</w:t>
      </w:r>
    </w:p>
    <w:p w:rsidR="004E55C5" w:rsidRDefault="004E55C5" w:rsidP="00D80018">
      <w:pPr>
        <w:pStyle w:val="Bullets"/>
        <w:numPr>
          <w:ilvl w:val="0"/>
          <w:numId w:val="13"/>
        </w:numPr>
      </w:pPr>
      <w:r>
        <w:t>David Maltman, DD Council</w:t>
      </w:r>
    </w:p>
    <w:p w:rsidR="00AA5120" w:rsidRDefault="00AA5120" w:rsidP="00D80018">
      <w:pPr>
        <w:pStyle w:val="Bullets"/>
        <w:numPr>
          <w:ilvl w:val="0"/>
          <w:numId w:val="13"/>
        </w:numPr>
      </w:pPr>
      <w:r>
        <w:t xml:space="preserve">Eden Alexander, </w:t>
      </w:r>
      <w:r w:rsidR="00481E84">
        <w:t>National Association of Professional Geriatric Care Managers</w:t>
      </w:r>
    </w:p>
    <w:p w:rsidR="00FF1748" w:rsidRDefault="00FF1748" w:rsidP="00D80018">
      <w:pPr>
        <w:pStyle w:val="Bullets"/>
        <w:numPr>
          <w:ilvl w:val="0"/>
          <w:numId w:val="13"/>
        </w:numPr>
      </w:pPr>
      <w:r>
        <w:t xml:space="preserve">Heather Hebdon, </w:t>
      </w:r>
      <w:r w:rsidR="00AA5120">
        <w:t xml:space="preserve">Family to Family, </w:t>
      </w:r>
      <w:r>
        <w:t xml:space="preserve">PAVE </w:t>
      </w:r>
    </w:p>
    <w:p w:rsidR="00FF1748" w:rsidRDefault="00FF1748" w:rsidP="00D80018">
      <w:pPr>
        <w:pStyle w:val="Bullets"/>
        <w:numPr>
          <w:ilvl w:val="0"/>
          <w:numId w:val="13"/>
        </w:numPr>
      </w:pPr>
      <w:r>
        <w:t xml:space="preserve">Shelly Zylstra, </w:t>
      </w:r>
      <w:r w:rsidR="00527D12">
        <w:t>NW Regional Council ADRC</w:t>
      </w:r>
    </w:p>
    <w:p w:rsidR="004E55C5" w:rsidRDefault="00CC7CCE" w:rsidP="00D80018">
      <w:pPr>
        <w:pStyle w:val="Bullets"/>
        <w:numPr>
          <w:ilvl w:val="0"/>
          <w:numId w:val="13"/>
        </w:numPr>
      </w:pPr>
      <w:r>
        <w:t>Scott Kinney</w:t>
      </w:r>
      <w:r w:rsidR="004E55C5">
        <w:t xml:space="preserve">, </w:t>
      </w:r>
      <w:r>
        <w:t>Pierce County Community Connections</w:t>
      </w:r>
    </w:p>
    <w:p w:rsidR="00FF1748" w:rsidRDefault="00FA4D50" w:rsidP="00D80018">
      <w:pPr>
        <w:pStyle w:val="Bullets"/>
        <w:numPr>
          <w:ilvl w:val="0"/>
          <w:numId w:val="13"/>
        </w:numPr>
      </w:pPr>
      <w:r>
        <w:t>Jeannette</w:t>
      </w:r>
      <w:r w:rsidR="00FF1748">
        <w:t xml:space="preserve"> Barnes, ADSA DBHR</w:t>
      </w:r>
    </w:p>
    <w:p w:rsidR="00FF1748" w:rsidRDefault="00FF1748" w:rsidP="00D80018">
      <w:pPr>
        <w:pStyle w:val="Bullets"/>
        <w:numPr>
          <w:ilvl w:val="0"/>
          <w:numId w:val="13"/>
        </w:numPr>
      </w:pPr>
      <w:r>
        <w:t>Michael Wong, ADSA MDS Web Services</w:t>
      </w:r>
    </w:p>
    <w:p w:rsidR="00FA4D50" w:rsidRDefault="005E42D2" w:rsidP="00D80018">
      <w:pPr>
        <w:pStyle w:val="Bullets"/>
        <w:numPr>
          <w:ilvl w:val="0"/>
          <w:numId w:val="13"/>
        </w:numPr>
      </w:pPr>
      <w:r>
        <w:t>Patty Morin</w:t>
      </w:r>
      <w:r w:rsidR="00FA4D50">
        <w:t>, ADSA MDS Web Services</w:t>
      </w:r>
    </w:p>
    <w:p w:rsidR="00341783" w:rsidRDefault="00FF1748" w:rsidP="00565C37">
      <w:pPr>
        <w:pStyle w:val="Bullets"/>
        <w:numPr>
          <w:ilvl w:val="0"/>
          <w:numId w:val="13"/>
        </w:numPr>
      </w:pPr>
      <w:r>
        <w:t>Susan Shepherd, ADSA</w:t>
      </w:r>
    </w:p>
    <w:p w:rsidR="001E1605" w:rsidRPr="00EC3731" w:rsidRDefault="00565C37" w:rsidP="00341783">
      <w:pPr>
        <w:pStyle w:val="Heading2"/>
        <w:spacing w:before="240"/>
      </w:pPr>
      <w:r w:rsidRPr="00EC3731">
        <w:t>Meeting Plan</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98"/>
        <w:gridCol w:w="7578"/>
      </w:tblGrid>
      <w:tr w:rsidR="00DA20D6" w:rsidRPr="00EC3731" w:rsidTr="00040DF8">
        <w:tc>
          <w:tcPr>
            <w:tcW w:w="1998" w:type="dxa"/>
          </w:tcPr>
          <w:p w:rsidR="00DA20D6" w:rsidRPr="00EC3731" w:rsidRDefault="00DA20D6" w:rsidP="00DB02B8">
            <w:pPr>
              <w:jc w:val="left"/>
              <w:rPr>
                <w:b/>
              </w:rPr>
            </w:pPr>
            <w:r w:rsidRPr="00EC3731">
              <w:rPr>
                <w:b/>
              </w:rPr>
              <w:t>Meeting 1</w:t>
            </w:r>
          </w:p>
          <w:p w:rsidR="00DA20D6" w:rsidRDefault="00644E53" w:rsidP="00644E53">
            <w:pPr>
              <w:jc w:val="left"/>
            </w:pPr>
            <w:r>
              <w:t>June (end)</w:t>
            </w:r>
          </w:p>
          <w:p w:rsidR="00D109C0" w:rsidRPr="00EC3731" w:rsidRDefault="00D109C0" w:rsidP="00644E53">
            <w:pPr>
              <w:jc w:val="left"/>
            </w:pPr>
            <w:r>
              <w:t>TBD</w:t>
            </w:r>
          </w:p>
        </w:tc>
        <w:tc>
          <w:tcPr>
            <w:tcW w:w="7578" w:type="dxa"/>
          </w:tcPr>
          <w:p w:rsidR="00DA20D6" w:rsidRPr="00D80018" w:rsidRDefault="00DA20D6" w:rsidP="00D80018">
            <w:pPr>
              <w:pStyle w:val="Bullets"/>
            </w:pPr>
            <w:r w:rsidRPr="00D80018">
              <w:t>Overview, introductions</w:t>
            </w:r>
          </w:p>
          <w:p w:rsidR="00422E8B" w:rsidRPr="00D80018" w:rsidRDefault="00422E8B" w:rsidP="00D80018">
            <w:pPr>
              <w:pStyle w:val="Bullets"/>
            </w:pPr>
            <w:r w:rsidRPr="00D80018">
              <w:t>Discuss goals of marketing plan: Outreach</w:t>
            </w:r>
            <w:r w:rsidR="00753972">
              <w:t xml:space="preserve"> &amp; Awareness</w:t>
            </w:r>
            <w:r w:rsidRPr="00D80018">
              <w:t>, Promotion,</w:t>
            </w:r>
            <w:r w:rsidR="00753972">
              <w:t xml:space="preserve"> </w:t>
            </w:r>
            <w:r w:rsidRPr="00D80018">
              <w:t>Education</w:t>
            </w:r>
          </w:p>
          <w:p w:rsidR="00DA20D6" w:rsidRPr="00D80018" w:rsidRDefault="00422E8B" w:rsidP="00D80018">
            <w:pPr>
              <w:pStyle w:val="Bullets"/>
            </w:pPr>
            <w:r w:rsidRPr="00D80018">
              <w:t>Review marketing best practices for ADRCs nationwide</w:t>
            </w:r>
            <w:r w:rsidR="00404823" w:rsidRPr="00D80018">
              <w:t xml:space="preserve"> </w:t>
            </w:r>
          </w:p>
          <w:p w:rsidR="00340128" w:rsidRPr="00D80018" w:rsidRDefault="00422E8B" w:rsidP="00D80018">
            <w:pPr>
              <w:pStyle w:val="Bullets"/>
            </w:pPr>
            <w:r w:rsidRPr="00D80018">
              <w:t>Discu</w:t>
            </w:r>
            <w:r w:rsidR="00F36291">
              <w:t>ss elements of marketing plan: b</w:t>
            </w:r>
            <w:r w:rsidRPr="00D80018">
              <w:t>ran</w:t>
            </w:r>
            <w:r w:rsidR="00F36291">
              <w:t>d/m</w:t>
            </w:r>
            <w:r w:rsidR="00D80018">
              <w:t xml:space="preserve">essage, </w:t>
            </w:r>
            <w:r w:rsidR="00F36291">
              <w:t>c</w:t>
            </w:r>
            <w:r w:rsidR="00771958">
              <w:t>ollateral/</w:t>
            </w:r>
            <w:r w:rsidR="00F36291">
              <w:t>materials and v</w:t>
            </w:r>
            <w:r w:rsidR="00771958">
              <w:t>ehicles f</w:t>
            </w:r>
            <w:r w:rsidR="00F36291">
              <w:t>or a</w:t>
            </w:r>
            <w:r w:rsidR="00771958">
              <w:t>ccessibility</w:t>
            </w:r>
          </w:p>
          <w:p w:rsidR="00A64599" w:rsidRPr="00EC3731" w:rsidRDefault="00A64599" w:rsidP="00D80018">
            <w:pPr>
              <w:pStyle w:val="Bullets"/>
            </w:pPr>
            <w:r w:rsidRPr="00D80018">
              <w:t>Key Issue: State-level marketing information vs. local area</w:t>
            </w:r>
          </w:p>
        </w:tc>
      </w:tr>
      <w:tr w:rsidR="00340128" w:rsidRPr="00EC3731" w:rsidTr="00040DF8">
        <w:tc>
          <w:tcPr>
            <w:tcW w:w="1998" w:type="dxa"/>
          </w:tcPr>
          <w:p w:rsidR="00340128" w:rsidRPr="00EC3731" w:rsidRDefault="00340128" w:rsidP="00DB02B8">
            <w:pPr>
              <w:jc w:val="left"/>
              <w:rPr>
                <w:b/>
              </w:rPr>
            </w:pPr>
            <w:r w:rsidRPr="00EC3731">
              <w:rPr>
                <w:b/>
              </w:rPr>
              <w:t>Meeting 2</w:t>
            </w:r>
          </w:p>
          <w:p w:rsidR="00340128" w:rsidRDefault="00753972" w:rsidP="00DB02B8">
            <w:pPr>
              <w:jc w:val="left"/>
            </w:pPr>
            <w:r>
              <w:t xml:space="preserve">July </w:t>
            </w:r>
          </w:p>
          <w:p w:rsidR="00753972" w:rsidRPr="00EC3731" w:rsidRDefault="00753972" w:rsidP="00DB02B8">
            <w:pPr>
              <w:jc w:val="left"/>
            </w:pPr>
            <w:r>
              <w:t>TBD</w:t>
            </w:r>
          </w:p>
        </w:tc>
        <w:tc>
          <w:tcPr>
            <w:tcW w:w="7578" w:type="dxa"/>
          </w:tcPr>
          <w:p w:rsidR="00D80018" w:rsidRDefault="008E4C49" w:rsidP="00D80018">
            <w:pPr>
              <w:pStyle w:val="Bullets"/>
            </w:pPr>
            <w:r w:rsidRPr="00D80018">
              <w:t>Review</w:t>
            </w:r>
            <w:r w:rsidR="00340128" w:rsidRPr="00D80018">
              <w:t xml:space="preserve"> </w:t>
            </w:r>
            <w:r w:rsidR="00771958">
              <w:t>of branding/m</w:t>
            </w:r>
            <w:r w:rsidR="00D80018">
              <w:t xml:space="preserve">essaging for </w:t>
            </w:r>
            <w:r w:rsidR="00771958">
              <w:t>social service s</w:t>
            </w:r>
            <w:r w:rsidR="00753972">
              <w:t>ector (use Lewin Group Issue Brief)</w:t>
            </w:r>
          </w:p>
          <w:p w:rsidR="00D80018" w:rsidRDefault="00753972" w:rsidP="00D80018">
            <w:pPr>
              <w:pStyle w:val="Bullets"/>
              <w:ind w:left="702"/>
            </w:pPr>
            <w:r>
              <w:t>Benefits and i</w:t>
            </w:r>
            <w:r w:rsidR="00D80018">
              <w:t>mportance</w:t>
            </w:r>
            <w:r>
              <w:t xml:space="preserve"> of branding</w:t>
            </w:r>
          </w:p>
          <w:p w:rsidR="00340128" w:rsidRDefault="00753972" w:rsidP="00D80018">
            <w:pPr>
              <w:pStyle w:val="Bullets"/>
              <w:ind w:left="702"/>
            </w:pPr>
            <w:r>
              <w:t>Core e</w:t>
            </w:r>
            <w:r w:rsidR="00D80018">
              <w:t>lements</w:t>
            </w:r>
            <w:r>
              <w:t xml:space="preserve"> of branding</w:t>
            </w:r>
          </w:p>
          <w:p w:rsidR="00753972" w:rsidRPr="00D80018" w:rsidRDefault="00753972" w:rsidP="00D80018">
            <w:pPr>
              <w:pStyle w:val="Bullets"/>
              <w:ind w:left="702"/>
            </w:pPr>
            <w:r>
              <w:t>Examples from other states</w:t>
            </w:r>
          </w:p>
          <w:p w:rsidR="00404823" w:rsidRDefault="00771958" w:rsidP="00D80018">
            <w:pPr>
              <w:pStyle w:val="Bullets"/>
            </w:pPr>
            <w:r>
              <w:t>Develop branding/messaging s</w:t>
            </w:r>
            <w:r w:rsidR="00753972">
              <w:t>trategy</w:t>
            </w:r>
            <w:r w:rsidR="00B10AF2">
              <w:t xml:space="preserve"> and conceptual recommendations</w:t>
            </w:r>
            <w:r w:rsidR="00422E8B" w:rsidRPr="00D80018">
              <w:t xml:space="preserve"> </w:t>
            </w:r>
          </w:p>
          <w:p w:rsidR="00753972" w:rsidRDefault="00753972" w:rsidP="00753972">
            <w:pPr>
              <w:pStyle w:val="Bullets"/>
              <w:ind w:left="702"/>
            </w:pPr>
            <w:r>
              <w:t>Approach</w:t>
            </w:r>
          </w:p>
          <w:p w:rsidR="00753972" w:rsidRDefault="00771958" w:rsidP="00753972">
            <w:pPr>
              <w:pStyle w:val="Bullets"/>
              <w:ind w:left="702"/>
            </w:pPr>
            <w:r>
              <w:t>Market a</w:t>
            </w:r>
            <w:r w:rsidR="00753972">
              <w:t>ssessment</w:t>
            </w:r>
          </w:p>
          <w:p w:rsidR="0027275E" w:rsidRDefault="00771958" w:rsidP="00753972">
            <w:pPr>
              <w:pStyle w:val="Bullets"/>
              <w:ind w:left="702"/>
            </w:pPr>
            <w:r>
              <w:t>ADRC program i</w:t>
            </w:r>
            <w:r w:rsidR="00B10AF2">
              <w:t>dentity (or identities)</w:t>
            </w:r>
          </w:p>
          <w:p w:rsidR="00771958" w:rsidRPr="00EC3731" w:rsidRDefault="00771958" w:rsidP="00B10AF2">
            <w:pPr>
              <w:pStyle w:val="Bullets"/>
              <w:numPr>
                <w:ilvl w:val="0"/>
                <w:numId w:val="0"/>
              </w:numPr>
              <w:ind w:left="360" w:hanging="360"/>
            </w:pPr>
          </w:p>
        </w:tc>
      </w:tr>
      <w:tr w:rsidR="00340128" w:rsidRPr="00EC3731" w:rsidTr="00040DF8">
        <w:tc>
          <w:tcPr>
            <w:tcW w:w="1998" w:type="dxa"/>
          </w:tcPr>
          <w:p w:rsidR="00340128" w:rsidRPr="00EC3731" w:rsidRDefault="00484E14" w:rsidP="00DB02B8">
            <w:pPr>
              <w:jc w:val="left"/>
              <w:rPr>
                <w:b/>
              </w:rPr>
            </w:pPr>
            <w:r w:rsidRPr="00EC3731">
              <w:rPr>
                <w:b/>
              </w:rPr>
              <w:t>Meeting 3</w:t>
            </w:r>
          </w:p>
          <w:p w:rsidR="00040DF8" w:rsidRDefault="00985A2F" w:rsidP="00396296">
            <w:pPr>
              <w:jc w:val="left"/>
            </w:pPr>
            <w:r>
              <w:t>July</w:t>
            </w:r>
          </w:p>
          <w:p w:rsidR="00753972" w:rsidRPr="00EC3731" w:rsidRDefault="00753972" w:rsidP="00396296">
            <w:pPr>
              <w:jc w:val="left"/>
            </w:pPr>
            <w:r>
              <w:t>TBD</w:t>
            </w:r>
          </w:p>
        </w:tc>
        <w:tc>
          <w:tcPr>
            <w:tcW w:w="7578" w:type="dxa"/>
          </w:tcPr>
          <w:p w:rsidR="00753972" w:rsidRDefault="0027275E" w:rsidP="00753972">
            <w:pPr>
              <w:pStyle w:val="Bullets"/>
            </w:pPr>
            <w:r>
              <w:t xml:space="preserve">Marketing </w:t>
            </w:r>
            <w:r w:rsidR="00771958">
              <w:t>collateral/</w:t>
            </w:r>
            <w:r>
              <w:t>materials</w:t>
            </w:r>
            <w:r w:rsidR="00753972">
              <w:t xml:space="preserve"> discussion:</w:t>
            </w:r>
          </w:p>
          <w:p w:rsidR="00753972" w:rsidRDefault="00753972" w:rsidP="00753972">
            <w:pPr>
              <w:pStyle w:val="Bullets"/>
              <w:ind w:left="702"/>
            </w:pPr>
            <w:r>
              <w:t>Key p</w:t>
            </w:r>
            <w:r w:rsidR="00404823">
              <w:t>latforms</w:t>
            </w:r>
            <w:r w:rsidR="00A64599">
              <w:t xml:space="preserve"> (website</w:t>
            </w:r>
            <w:r>
              <w:t>,</w:t>
            </w:r>
            <w:r w:rsidR="00771958">
              <w:t xml:space="preserve"> brochures,</w:t>
            </w:r>
            <w:r>
              <w:t xml:space="preserve"> etc.</w:t>
            </w:r>
            <w:r w:rsidR="00A64599">
              <w:t>)</w:t>
            </w:r>
            <w:r>
              <w:t xml:space="preserve"> </w:t>
            </w:r>
          </w:p>
          <w:p w:rsidR="00771958" w:rsidRDefault="00771958" w:rsidP="00771958">
            <w:pPr>
              <w:pStyle w:val="Bullets"/>
              <w:ind w:left="702"/>
            </w:pPr>
            <w:r>
              <w:t>Website user interface</w:t>
            </w:r>
          </w:p>
          <w:p w:rsidR="00771958" w:rsidRDefault="00771958" w:rsidP="00771958">
            <w:pPr>
              <w:pStyle w:val="Bullets"/>
            </w:pPr>
            <w:r>
              <w:lastRenderedPageBreak/>
              <w:t>Vehicles for messaging and accessibility</w:t>
            </w:r>
          </w:p>
          <w:p w:rsidR="00771958" w:rsidRDefault="00771958" w:rsidP="00771958">
            <w:pPr>
              <w:pStyle w:val="Bullets"/>
              <w:ind w:left="702"/>
            </w:pPr>
            <w:r>
              <w:t>How do we convey our message effectively?</w:t>
            </w:r>
          </w:p>
          <w:p w:rsidR="00771958" w:rsidRPr="00EC3731" w:rsidRDefault="00771958" w:rsidP="00771958">
            <w:pPr>
              <w:pStyle w:val="Bullets"/>
              <w:ind w:left="702"/>
            </w:pPr>
            <w:r>
              <w:t>How do we ensure it’s accessible to the right audience?</w:t>
            </w:r>
          </w:p>
        </w:tc>
      </w:tr>
      <w:tr w:rsidR="00644E53" w:rsidTr="00040DF8">
        <w:tc>
          <w:tcPr>
            <w:tcW w:w="1998" w:type="dxa"/>
          </w:tcPr>
          <w:p w:rsidR="00644E53" w:rsidRDefault="00422E8B" w:rsidP="00396296">
            <w:pPr>
              <w:jc w:val="left"/>
              <w:rPr>
                <w:b/>
              </w:rPr>
            </w:pPr>
            <w:r w:rsidRPr="00422E8B">
              <w:rPr>
                <w:b/>
              </w:rPr>
              <w:lastRenderedPageBreak/>
              <w:t>Meeting 4</w:t>
            </w:r>
          </w:p>
          <w:p w:rsidR="00753972" w:rsidRDefault="00985A2F" w:rsidP="00396296">
            <w:pPr>
              <w:jc w:val="left"/>
            </w:pPr>
            <w:r>
              <w:t>August</w:t>
            </w:r>
          </w:p>
          <w:p w:rsidR="00985A2F" w:rsidRPr="00753972" w:rsidRDefault="00985A2F" w:rsidP="00396296">
            <w:pPr>
              <w:jc w:val="left"/>
            </w:pPr>
            <w:r>
              <w:t>TBD</w:t>
            </w:r>
          </w:p>
        </w:tc>
        <w:tc>
          <w:tcPr>
            <w:tcW w:w="7578" w:type="dxa"/>
          </w:tcPr>
          <w:p w:rsidR="0027275E" w:rsidRDefault="0027275E" w:rsidP="00753972">
            <w:pPr>
              <w:pStyle w:val="Bullets"/>
            </w:pPr>
            <w:r>
              <w:t>Review and revise Marketing Strategy</w:t>
            </w:r>
          </w:p>
          <w:p w:rsidR="00404823" w:rsidRPr="00EC3731" w:rsidRDefault="00404823" w:rsidP="00753972">
            <w:pPr>
              <w:pStyle w:val="Bullets"/>
            </w:pPr>
            <w:r>
              <w:t>Crosswalk with initial goals</w:t>
            </w:r>
          </w:p>
        </w:tc>
      </w:tr>
    </w:tbl>
    <w:p w:rsidR="00565C37" w:rsidRPr="00565C37" w:rsidRDefault="00565C37" w:rsidP="00FA7DCC"/>
    <w:sectPr w:rsidR="00565C37" w:rsidRPr="00565C37" w:rsidSect="00AF0D11">
      <w:headerReference w:type="default" r:id="rId9"/>
      <w:footerReference w:type="default" r:id="rId10"/>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34" w:rsidRDefault="00B43334" w:rsidP="001E4DF0">
      <w:pPr>
        <w:spacing w:before="0" w:after="0" w:line="240" w:lineRule="auto"/>
      </w:pPr>
      <w:r>
        <w:separator/>
      </w:r>
    </w:p>
  </w:endnote>
  <w:endnote w:type="continuationSeparator" w:id="0">
    <w:p w:rsidR="00B43334" w:rsidRDefault="00B43334" w:rsidP="001E4D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34" w:rsidRDefault="00B43334">
    <w:pPr>
      <w:pStyle w:val="Footer"/>
    </w:pPr>
    <w:r>
      <w:tab/>
    </w:r>
    <w:r>
      <w:tab/>
    </w:r>
    <w:r>
      <w:fldChar w:fldCharType="begin"/>
    </w:r>
    <w:r>
      <w:instrText xml:space="preserve"> PAGE   \* MERGEFORMAT </w:instrText>
    </w:r>
    <w:r>
      <w:fldChar w:fldCharType="separate"/>
    </w:r>
    <w:r w:rsidR="0078254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34" w:rsidRDefault="00B43334" w:rsidP="001E4DF0">
      <w:pPr>
        <w:spacing w:before="0" w:after="0" w:line="240" w:lineRule="auto"/>
      </w:pPr>
      <w:r>
        <w:separator/>
      </w:r>
    </w:p>
  </w:footnote>
  <w:footnote w:type="continuationSeparator" w:id="0">
    <w:p w:rsidR="00B43334" w:rsidRDefault="00B43334" w:rsidP="001E4D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34" w:rsidRDefault="00B43334" w:rsidP="00AF0D11">
    <w:pPr>
      <w:pStyle w:val="Header"/>
      <w:rPr>
        <w:b/>
        <w:color w:val="FF0000"/>
      </w:rPr>
    </w:pPr>
    <w:r w:rsidRPr="00AF0D11">
      <w:rPr>
        <w:b/>
      </w:rPr>
      <w:t>ADRC Expansion</w:t>
    </w:r>
    <w:r>
      <w:rPr>
        <w:b/>
      </w:rPr>
      <w:t>: Draft Marketing Work Team Scope of Work</w:t>
    </w:r>
    <w:r>
      <w:rPr>
        <w:b/>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BED1B6"/>
    <w:lvl w:ilvl="0">
      <w:start w:val="1"/>
      <w:numFmt w:val="decimal"/>
      <w:lvlText w:val="%1."/>
      <w:lvlJc w:val="left"/>
      <w:pPr>
        <w:tabs>
          <w:tab w:val="num" w:pos="1800"/>
        </w:tabs>
        <w:ind w:left="1800" w:hanging="360"/>
      </w:pPr>
    </w:lvl>
  </w:abstractNum>
  <w:abstractNum w:abstractNumId="1">
    <w:nsid w:val="FFFFFF7D"/>
    <w:multiLevelType w:val="singleLevel"/>
    <w:tmpl w:val="153A920A"/>
    <w:lvl w:ilvl="0">
      <w:start w:val="1"/>
      <w:numFmt w:val="decimal"/>
      <w:lvlText w:val="%1."/>
      <w:lvlJc w:val="left"/>
      <w:pPr>
        <w:tabs>
          <w:tab w:val="num" w:pos="1440"/>
        </w:tabs>
        <w:ind w:left="1440" w:hanging="360"/>
      </w:pPr>
    </w:lvl>
  </w:abstractNum>
  <w:abstractNum w:abstractNumId="2">
    <w:nsid w:val="FFFFFF7E"/>
    <w:multiLevelType w:val="singleLevel"/>
    <w:tmpl w:val="9F5062A2"/>
    <w:lvl w:ilvl="0">
      <w:start w:val="1"/>
      <w:numFmt w:val="decimal"/>
      <w:lvlText w:val="%1."/>
      <w:lvlJc w:val="left"/>
      <w:pPr>
        <w:tabs>
          <w:tab w:val="num" w:pos="1080"/>
        </w:tabs>
        <w:ind w:left="1080" w:hanging="360"/>
      </w:pPr>
    </w:lvl>
  </w:abstractNum>
  <w:abstractNum w:abstractNumId="3">
    <w:nsid w:val="FFFFFF7F"/>
    <w:multiLevelType w:val="singleLevel"/>
    <w:tmpl w:val="EA1829DE"/>
    <w:lvl w:ilvl="0">
      <w:start w:val="1"/>
      <w:numFmt w:val="decimal"/>
      <w:lvlText w:val="%1."/>
      <w:lvlJc w:val="left"/>
      <w:pPr>
        <w:tabs>
          <w:tab w:val="num" w:pos="720"/>
        </w:tabs>
        <w:ind w:left="720" w:hanging="360"/>
      </w:pPr>
    </w:lvl>
  </w:abstractNum>
  <w:abstractNum w:abstractNumId="4">
    <w:nsid w:val="FFFFFF80"/>
    <w:multiLevelType w:val="singleLevel"/>
    <w:tmpl w:val="ADF63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288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C6A2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E2CA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2854E2"/>
    <w:lvl w:ilvl="0">
      <w:start w:val="1"/>
      <w:numFmt w:val="decimal"/>
      <w:lvlText w:val="%1."/>
      <w:lvlJc w:val="left"/>
      <w:pPr>
        <w:tabs>
          <w:tab w:val="num" w:pos="360"/>
        </w:tabs>
        <w:ind w:left="360" w:hanging="360"/>
      </w:pPr>
    </w:lvl>
  </w:abstractNum>
  <w:abstractNum w:abstractNumId="9">
    <w:nsid w:val="FFFFFF89"/>
    <w:multiLevelType w:val="singleLevel"/>
    <w:tmpl w:val="150CE310"/>
    <w:lvl w:ilvl="0">
      <w:start w:val="1"/>
      <w:numFmt w:val="bullet"/>
      <w:lvlText w:val=""/>
      <w:lvlJc w:val="left"/>
      <w:pPr>
        <w:tabs>
          <w:tab w:val="num" w:pos="360"/>
        </w:tabs>
        <w:ind w:left="360" w:hanging="360"/>
      </w:pPr>
      <w:rPr>
        <w:rFonts w:ascii="Symbol" w:hAnsi="Symbol" w:hint="default"/>
      </w:rPr>
    </w:lvl>
  </w:abstractNum>
  <w:abstractNum w:abstractNumId="10">
    <w:nsid w:val="2C545018"/>
    <w:multiLevelType w:val="hybridMultilevel"/>
    <w:tmpl w:val="FB3AAAD2"/>
    <w:lvl w:ilvl="0" w:tplc="C4348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45D73"/>
    <w:multiLevelType w:val="hybridMultilevel"/>
    <w:tmpl w:val="2DC08E92"/>
    <w:lvl w:ilvl="0" w:tplc="C43481EA">
      <w:start w:val="1"/>
      <w:numFmt w:val="bullet"/>
      <w:lvlText w:val=""/>
      <w:lvlJc w:val="left"/>
      <w:pPr>
        <w:ind w:left="720" w:hanging="360"/>
      </w:pPr>
      <w:rPr>
        <w:rFonts w:ascii="Symbol" w:hAnsi="Symbol" w:hint="default"/>
      </w:rPr>
    </w:lvl>
    <w:lvl w:ilvl="1" w:tplc="08B20D26">
      <w:start w:val="1"/>
      <w:numFmt w:val="decimal"/>
      <w:lvlText w:val="%2."/>
      <w:lvlJc w:val="left"/>
      <w:pPr>
        <w:ind w:left="720" w:hanging="360"/>
      </w:pPr>
      <w:rPr>
        <w:rFonts w:ascii="Trade Gothic LT Std" w:eastAsiaTheme="minorHAnsi" w:hAnsi="Trade Gothic LT Std" w:cstheme="minorBidi"/>
      </w:rPr>
    </w:lvl>
    <w:lvl w:ilvl="2" w:tplc="5928D20E">
      <w:start w:val="1"/>
      <w:numFmt w:val="bullet"/>
      <w:lvlText w:val=""/>
      <w:lvlJc w:val="left"/>
      <w:pPr>
        <w:ind w:left="1080" w:hanging="360"/>
      </w:pPr>
      <w:rPr>
        <w:rFonts w:ascii="Wingdings" w:hAnsi="Wingdings" w:hint="default"/>
      </w:rPr>
    </w:lvl>
    <w:lvl w:ilvl="3" w:tplc="D3EA6F98">
      <w:start w:val="1"/>
      <w:numFmt w:val="bullet"/>
      <w:lvlText w:val=""/>
      <w:lvlJc w:val="left"/>
      <w:pPr>
        <w:ind w:left="1440" w:hanging="360"/>
      </w:pPr>
      <w:rPr>
        <w:rFonts w:ascii="Symbol" w:hAnsi="Symbol" w:hint="default"/>
      </w:rPr>
    </w:lvl>
    <w:lvl w:ilvl="4" w:tplc="7EE6DB40">
      <w:start w:val="1"/>
      <w:numFmt w:val="bullet"/>
      <w:lvlText w:val="o"/>
      <w:lvlJc w:val="left"/>
      <w:pPr>
        <w:ind w:left="1800" w:hanging="360"/>
      </w:pPr>
      <w:rPr>
        <w:rFonts w:ascii="Courier New" w:hAnsi="Courier New" w:hint="default"/>
      </w:rPr>
    </w:lvl>
    <w:lvl w:ilvl="5" w:tplc="FBFC7EDA">
      <w:start w:val="1"/>
      <w:numFmt w:val="bullet"/>
      <w:lvlText w:val=""/>
      <w:lvlJc w:val="left"/>
      <w:pPr>
        <w:ind w:left="2160" w:hanging="360"/>
      </w:pPr>
      <w:rPr>
        <w:rFonts w:ascii="Wingdings" w:hAnsi="Wingdings" w:hint="default"/>
      </w:rPr>
    </w:lvl>
    <w:lvl w:ilvl="6" w:tplc="FBB4C4CE">
      <w:start w:val="1"/>
      <w:numFmt w:val="bullet"/>
      <w:lvlText w:val=""/>
      <w:lvlJc w:val="left"/>
      <w:pPr>
        <w:ind w:left="2520" w:hanging="360"/>
      </w:pPr>
      <w:rPr>
        <w:rFonts w:ascii="Symbol" w:hAnsi="Symbol" w:hint="default"/>
      </w:rPr>
    </w:lvl>
    <w:lvl w:ilvl="7" w:tplc="667C070E">
      <w:start w:val="1"/>
      <w:numFmt w:val="bullet"/>
      <w:lvlText w:val="o"/>
      <w:lvlJc w:val="left"/>
      <w:pPr>
        <w:ind w:left="2880" w:hanging="360"/>
      </w:pPr>
      <w:rPr>
        <w:rFonts w:ascii="Courier New" w:hAnsi="Courier New" w:hint="default"/>
      </w:rPr>
    </w:lvl>
    <w:lvl w:ilvl="8" w:tplc="ADBEF5D4">
      <w:start w:val="1"/>
      <w:numFmt w:val="bullet"/>
      <w:lvlText w:val=""/>
      <w:lvlJc w:val="left"/>
      <w:pPr>
        <w:ind w:left="3240" w:hanging="360"/>
      </w:pPr>
      <w:rPr>
        <w:rFonts w:ascii="Wingdings" w:hAnsi="Wingdings" w:hint="default"/>
      </w:rPr>
    </w:lvl>
  </w:abstractNum>
  <w:abstractNum w:abstractNumId="12">
    <w:nsid w:val="68A71227"/>
    <w:multiLevelType w:val="multilevel"/>
    <w:tmpl w:val="3A10E9A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6B7B29CB"/>
    <w:multiLevelType w:val="multilevel"/>
    <w:tmpl w:val="C21AF0C4"/>
    <w:lvl w:ilvl="0">
      <w:start w:val="1"/>
      <w:numFmt w:val="upperLetter"/>
      <w:lvlText w:val="%1."/>
      <w:lvlJc w:val="left"/>
      <w:pPr>
        <w:ind w:left="720" w:hanging="360"/>
      </w:pPr>
      <w:rPr>
        <w:rFonts w:ascii="Trade Gothic LT Std" w:eastAsiaTheme="minorHAnsi" w:hAnsi="Trade Gothic LT Std" w:cstheme="minorBidi"/>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pStyle w:val="Bullets"/>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nsid w:val="6E0F1112"/>
    <w:multiLevelType w:val="multilevel"/>
    <w:tmpl w:val="3A10E9AC"/>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5"/>
    <w:rsid w:val="00000208"/>
    <w:rsid w:val="00040DF8"/>
    <w:rsid w:val="0004162E"/>
    <w:rsid w:val="000778C4"/>
    <w:rsid w:val="000A36BE"/>
    <w:rsid w:val="000B4D82"/>
    <w:rsid w:val="00132FAF"/>
    <w:rsid w:val="00191936"/>
    <w:rsid w:val="001A2C4C"/>
    <w:rsid w:val="001E1605"/>
    <w:rsid w:val="001E4DF0"/>
    <w:rsid w:val="001F3EFE"/>
    <w:rsid w:val="001F5315"/>
    <w:rsid w:val="0020374C"/>
    <w:rsid w:val="0027275E"/>
    <w:rsid w:val="00273B8A"/>
    <w:rsid w:val="002761FC"/>
    <w:rsid w:val="002B6218"/>
    <w:rsid w:val="002B79B6"/>
    <w:rsid w:val="002D2E13"/>
    <w:rsid w:val="002D4D55"/>
    <w:rsid w:val="00325E8E"/>
    <w:rsid w:val="00331745"/>
    <w:rsid w:val="00340128"/>
    <w:rsid w:val="00341783"/>
    <w:rsid w:val="00341B53"/>
    <w:rsid w:val="00396296"/>
    <w:rsid w:val="003A6F0B"/>
    <w:rsid w:val="00404823"/>
    <w:rsid w:val="00422E8B"/>
    <w:rsid w:val="00425B1D"/>
    <w:rsid w:val="004428C7"/>
    <w:rsid w:val="0044580B"/>
    <w:rsid w:val="00481E84"/>
    <w:rsid w:val="00484E14"/>
    <w:rsid w:val="004C1E4E"/>
    <w:rsid w:val="004E22A2"/>
    <w:rsid w:val="004E55C5"/>
    <w:rsid w:val="005226EE"/>
    <w:rsid w:val="00523707"/>
    <w:rsid w:val="00527D12"/>
    <w:rsid w:val="005476B6"/>
    <w:rsid w:val="00565C37"/>
    <w:rsid w:val="00570594"/>
    <w:rsid w:val="005C64F6"/>
    <w:rsid w:val="005D5E94"/>
    <w:rsid w:val="005E42D2"/>
    <w:rsid w:val="0060346B"/>
    <w:rsid w:val="00644E53"/>
    <w:rsid w:val="006725F8"/>
    <w:rsid w:val="00685535"/>
    <w:rsid w:val="006F3D1D"/>
    <w:rsid w:val="0072647E"/>
    <w:rsid w:val="00753972"/>
    <w:rsid w:val="00770A0C"/>
    <w:rsid w:val="00771958"/>
    <w:rsid w:val="00773183"/>
    <w:rsid w:val="00782547"/>
    <w:rsid w:val="00785293"/>
    <w:rsid w:val="007A732F"/>
    <w:rsid w:val="007F5A09"/>
    <w:rsid w:val="0088039C"/>
    <w:rsid w:val="0089368E"/>
    <w:rsid w:val="008A0DA9"/>
    <w:rsid w:val="008B5149"/>
    <w:rsid w:val="008C0874"/>
    <w:rsid w:val="008C0B01"/>
    <w:rsid w:val="008E4C49"/>
    <w:rsid w:val="008F77E5"/>
    <w:rsid w:val="0090539C"/>
    <w:rsid w:val="009064E8"/>
    <w:rsid w:val="00967B53"/>
    <w:rsid w:val="00972F07"/>
    <w:rsid w:val="00985A2F"/>
    <w:rsid w:val="0099102E"/>
    <w:rsid w:val="009E7A6F"/>
    <w:rsid w:val="009F49DF"/>
    <w:rsid w:val="00A370C7"/>
    <w:rsid w:val="00A64599"/>
    <w:rsid w:val="00A81690"/>
    <w:rsid w:val="00A83FC9"/>
    <w:rsid w:val="00A858AA"/>
    <w:rsid w:val="00A91FE0"/>
    <w:rsid w:val="00AA5120"/>
    <w:rsid w:val="00AB1976"/>
    <w:rsid w:val="00AF0D11"/>
    <w:rsid w:val="00B00819"/>
    <w:rsid w:val="00B10AF2"/>
    <w:rsid w:val="00B16F3F"/>
    <w:rsid w:val="00B43334"/>
    <w:rsid w:val="00B4660A"/>
    <w:rsid w:val="00BA3960"/>
    <w:rsid w:val="00BB0EC6"/>
    <w:rsid w:val="00BD1936"/>
    <w:rsid w:val="00BD3BE2"/>
    <w:rsid w:val="00BD3CC5"/>
    <w:rsid w:val="00BE0CA5"/>
    <w:rsid w:val="00BE621E"/>
    <w:rsid w:val="00BE6975"/>
    <w:rsid w:val="00C034D2"/>
    <w:rsid w:val="00C459FB"/>
    <w:rsid w:val="00CB5386"/>
    <w:rsid w:val="00CC5AD3"/>
    <w:rsid w:val="00CC7CCE"/>
    <w:rsid w:val="00D05F79"/>
    <w:rsid w:val="00D109C0"/>
    <w:rsid w:val="00D7461F"/>
    <w:rsid w:val="00D80018"/>
    <w:rsid w:val="00DA20D6"/>
    <w:rsid w:val="00DB02B8"/>
    <w:rsid w:val="00DB206D"/>
    <w:rsid w:val="00DD5A1E"/>
    <w:rsid w:val="00E35F7B"/>
    <w:rsid w:val="00EC3731"/>
    <w:rsid w:val="00EC4C91"/>
    <w:rsid w:val="00ED0F37"/>
    <w:rsid w:val="00F27D6F"/>
    <w:rsid w:val="00F30A87"/>
    <w:rsid w:val="00F36291"/>
    <w:rsid w:val="00F44607"/>
    <w:rsid w:val="00F76E7A"/>
    <w:rsid w:val="00F87C81"/>
    <w:rsid w:val="00FA39A7"/>
    <w:rsid w:val="00FA4135"/>
    <w:rsid w:val="00FA4D50"/>
    <w:rsid w:val="00FA7DCC"/>
    <w:rsid w:val="00FD63A3"/>
    <w:rsid w:val="00FD7AAF"/>
    <w:rsid w:val="00FF1748"/>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ListParagraph"/>
    <w:qFormat/>
    <w:rsid w:val="00D80018"/>
    <w:pPr>
      <w:numPr>
        <w:ilvl w:val="3"/>
        <w:numId w:val="12"/>
      </w:numPr>
      <w:ind w:left="360"/>
      <w:contextualSpacing w:val="0"/>
      <w:jc w:val="left"/>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table" w:styleId="TableGrid">
    <w:name w:val="Table Grid"/>
    <w:basedOn w:val="TableNormal"/>
    <w:uiPriority w:val="59"/>
    <w:rsid w:val="00DA2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E2"/>
    <w:pPr>
      <w:spacing w:before="60" w:after="120" w:line="280" w:lineRule="atLeast"/>
      <w:jc w:val="both"/>
    </w:pPr>
    <w:rPr>
      <w:rFonts w:ascii="Trade Gothic LT Std" w:hAnsi="Trade Gothic LT Std"/>
      <w:sz w:val="21"/>
    </w:rPr>
  </w:style>
  <w:style w:type="paragraph" w:styleId="Heading1">
    <w:name w:val="heading 1"/>
    <w:basedOn w:val="Normal"/>
    <w:next w:val="Normal"/>
    <w:link w:val="Heading1Char"/>
    <w:uiPriority w:val="9"/>
    <w:qFormat/>
    <w:rsid w:val="006725F8"/>
    <w:pPr>
      <w:keepNext/>
      <w:spacing w:before="240"/>
      <w:outlineLvl w:val="0"/>
    </w:pPr>
    <w:rPr>
      <w:rFonts w:eastAsiaTheme="majorEastAsia" w:cstheme="majorBidi"/>
      <w:b/>
      <w:bCs/>
      <w:caps/>
      <w:sz w:val="28"/>
      <w:szCs w:val="28"/>
    </w:rPr>
  </w:style>
  <w:style w:type="paragraph" w:styleId="Heading2">
    <w:name w:val="heading 2"/>
    <w:basedOn w:val="Heading1"/>
    <w:next w:val="Normal"/>
    <w:link w:val="Heading2Char"/>
    <w:uiPriority w:val="9"/>
    <w:unhideWhenUsed/>
    <w:qFormat/>
    <w:rsid w:val="006725F8"/>
    <w:pPr>
      <w:spacing w:before="120"/>
      <w:outlineLvl w:val="1"/>
    </w:pPr>
    <w:rPr>
      <w:bCs w:val="0"/>
      <w:caps w:val="0"/>
      <w:sz w:val="26"/>
      <w:szCs w:val="26"/>
    </w:rPr>
  </w:style>
  <w:style w:type="paragraph" w:styleId="Heading3">
    <w:name w:val="heading 3"/>
    <w:basedOn w:val="Heading2"/>
    <w:next w:val="Normal"/>
    <w:link w:val="Heading3Char"/>
    <w:uiPriority w:val="9"/>
    <w:unhideWhenUsed/>
    <w:qFormat/>
    <w:rsid w:val="006725F8"/>
    <w:pPr>
      <w:spacing w:before="60"/>
      <w:outlineLvl w:val="2"/>
    </w:pPr>
    <w:rPr>
      <w:bCs/>
      <w:sz w:val="22"/>
    </w:rPr>
  </w:style>
  <w:style w:type="paragraph" w:styleId="Heading4">
    <w:name w:val="heading 4"/>
    <w:basedOn w:val="Heading3"/>
    <w:next w:val="Normal"/>
    <w:link w:val="Heading4Char"/>
    <w:uiPriority w:val="9"/>
    <w:unhideWhenUsed/>
    <w:qFormat/>
    <w:rsid w:val="006725F8"/>
    <w:pPr>
      <w:keepNext w:val="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5F8"/>
    <w:rPr>
      <w:rFonts w:ascii="Trade Gothic LT Std" w:eastAsiaTheme="majorEastAsia" w:hAnsi="Trade Gothic LT Std" w:cstheme="majorBidi"/>
      <w:b/>
      <w:bCs/>
      <w:caps/>
      <w:sz w:val="28"/>
      <w:szCs w:val="28"/>
    </w:rPr>
  </w:style>
  <w:style w:type="character" w:customStyle="1" w:styleId="Heading2Char">
    <w:name w:val="Heading 2 Char"/>
    <w:basedOn w:val="DefaultParagraphFont"/>
    <w:link w:val="Heading2"/>
    <w:uiPriority w:val="9"/>
    <w:rsid w:val="006725F8"/>
    <w:rPr>
      <w:rFonts w:ascii="Trade Gothic LT Std" w:eastAsiaTheme="majorEastAsia" w:hAnsi="Trade Gothic LT Std" w:cstheme="majorBidi"/>
      <w:b/>
      <w:sz w:val="26"/>
      <w:szCs w:val="26"/>
    </w:rPr>
  </w:style>
  <w:style w:type="character" w:customStyle="1" w:styleId="Heading3Char">
    <w:name w:val="Heading 3 Char"/>
    <w:basedOn w:val="DefaultParagraphFont"/>
    <w:link w:val="Heading3"/>
    <w:uiPriority w:val="9"/>
    <w:rsid w:val="006725F8"/>
    <w:rPr>
      <w:rFonts w:ascii="Trade Gothic LT Std" w:eastAsiaTheme="majorEastAsia" w:hAnsi="Trade Gothic LT Std" w:cstheme="majorBidi"/>
      <w:b/>
      <w:bCs/>
      <w:szCs w:val="26"/>
    </w:rPr>
  </w:style>
  <w:style w:type="character" w:customStyle="1" w:styleId="Heading4Char">
    <w:name w:val="Heading 4 Char"/>
    <w:basedOn w:val="DefaultParagraphFont"/>
    <w:link w:val="Heading4"/>
    <w:uiPriority w:val="9"/>
    <w:rsid w:val="006725F8"/>
    <w:rPr>
      <w:rFonts w:ascii="Trade Gothic LT Std" w:eastAsiaTheme="majorEastAsia" w:hAnsi="Trade Gothic LT Std" w:cstheme="majorBidi"/>
      <w:b/>
      <w:iCs/>
      <w:szCs w:val="26"/>
    </w:rPr>
  </w:style>
  <w:style w:type="paragraph" w:customStyle="1" w:styleId="ReportTitle">
    <w:name w:val="Report Title"/>
    <w:basedOn w:val="Normal"/>
    <w:next w:val="ReportSubtitle"/>
    <w:qFormat/>
    <w:rsid w:val="006725F8"/>
    <w:pPr>
      <w:keepNext/>
      <w:spacing w:after="240"/>
      <w:jc w:val="center"/>
    </w:pPr>
    <w:rPr>
      <w:b/>
      <w:caps/>
      <w:sz w:val="32"/>
    </w:rPr>
  </w:style>
  <w:style w:type="paragraph" w:customStyle="1" w:styleId="ReportSubtitle">
    <w:name w:val="Report Subtitle"/>
    <w:basedOn w:val="Normal"/>
    <w:next w:val="Heading1"/>
    <w:qFormat/>
    <w:rsid w:val="006725F8"/>
    <w:pPr>
      <w:spacing w:after="360"/>
      <w:jc w:val="center"/>
    </w:pPr>
    <w:rPr>
      <w:b/>
      <w:sz w:val="32"/>
    </w:rPr>
  </w:style>
  <w:style w:type="paragraph" w:customStyle="1" w:styleId="Bullets">
    <w:name w:val="Bullets"/>
    <w:basedOn w:val="ListParagraph"/>
    <w:qFormat/>
    <w:rsid w:val="00D80018"/>
    <w:pPr>
      <w:numPr>
        <w:ilvl w:val="3"/>
        <w:numId w:val="12"/>
      </w:numPr>
      <w:ind w:left="360"/>
      <w:contextualSpacing w:val="0"/>
      <w:jc w:val="left"/>
    </w:pPr>
  </w:style>
  <w:style w:type="character" w:customStyle="1" w:styleId="NormalCharacter">
    <w:name w:val="Normal Character"/>
    <w:uiPriority w:val="1"/>
    <w:qFormat/>
    <w:rsid w:val="006725F8"/>
    <w:rPr>
      <w:rFonts w:ascii="Trade Gothic LT Std" w:hAnsi="Trade Gothic LT Std"/>
      <w:b/>
      <w:sz w:val="21"/>
    </w:rPr>
  </w:style>
  <w:style w:type="paragraph" w:styleId="Caption">
    <w:name w:val="caption"/>
    <w:basedOn w:val="Normal"/>
    <w:next w:val="Exhibit"/>
    <w:uiPriority w:val="35"/>
    <w:unhideWhenUsed/>
    <w:qFormat/>
    <w:rsid w:val="006725F8"/>
    <w:pPr>
      <w:keepNext/>
      <w:spacing w:before="120" w:after="0"/>
      <w:jc w:val="center"/>
    </w:pPr>
    <w:rPr>
      <w:b/>
      <w:bCs/>
      <w:sz w:val="22"/>
      <w:szCs w:val="18"/>
    </w:rPr>
  </w:style>
  <w:style w:type="paragraph" w:customStyle="1" w:styleId="Exhibit">
    <w:name w:val="Exhibit"/>
    <w:basedOn w:val="Normal"/>
    <w:next w:val="Source"/>
    <w:qFormat/>
    <w:rsid w:val="006725F8"/>
    <w:pPr>
      <w:keepNext/>
      <w:spacing w:before="120"/>
      <w:jc w:val="center"/>
    </w:pPr>
  </w:style>
  <w:style w:type="paragraph" w:customStyle="1" w:styleId="Source">
    <w:name w:val="Source"/>
    <w:basedOn w:val="Normal"/>
    <w:next w:val="Normal"/>
    <w:qFormat/>
    <w:rsid w:val="006725F8"/>
    <w:rPr>
      <w:sz w:val="17"/>
    </w:rPr>
  </w:style>
  <w:style w:type="paragraph" w:styleId="BalloonText">
    <w:name w:val="Balloon Text"/>
    <w:basedOn w:val="Normal"/>
    <w:link w:val="BalloonTextChar"/>
    <w:uiPriority w:val="99"/>
    <w:semiHidden/>
    <w:unhideWhenUsed/>
    <w:rsid w:val="007F5A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09"/>
    <w:rPr>
      <w:rFonts w:ascii="Tahoma" w:hAnsi="Tahoma" w:cs="Tahoma"/>
      <w:sz w:val="16"/>
      <w:szCs w:val="16"/>
    </w:rPr>
  </w:style>
  <w:style w:type="paragraph" w:styleId="Header">
    <w:name w:val="header"/>
    <w:basedOn w:val="Normal"/>
    <w:link w:val="HeaderChar"/>
    <w:uiPriority w:val="99"/>
    <w:unhideWhenUsed/>
    <w:rsid w:val="001E4D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DF0"/>
    <w:rPr>
      <w:rFonts w:ascii="Trade Gothic LT Std" w:hAnsi="Trade Gothic LT Std"/>
      <w:sz w:val="21"/>
    </w:rPr>
  </w:style>
  <w:style w:type="paragraph" w:styleId="Footer">
    <w:name w:val="footer"/>
    <w:basedOn w:val="Normal"/>
    <w:link w:val="FooterChar"/>
    <w:uiPriority w:val="99"/>
    <w:unhideWhenUsed/>
    <w:rsid w:val="001E4D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DF0"/>
    <w:rPr>
      <w:rFonts w:ascii="Trade Gothic LT Std" w:hAnsi="Trade Gothic LT Std"/>
      <w:sz w:val="21"/>
    </w:rPr>
  </w:style>
  <w:style w:type="character" w:styleId="CommentReference">
    <w:name w:val="annotation reference"/>
    <w:basedOn w:val="DefaultParagraphFont"/>
    <w:uiPriority w:val="99"/>
    <w:semiHidden/>
    <w:unhideWhenUsed/>
    <w:rsid w:val="00DB206D"/>
    <w:rPr>
      <w:sz w:val="16"/>
      <w:szCs w:val="16"/>
    </w:rPr>
  </w:style>
  <w:style w:type="paragraph" w:styleId="CommentText">
    <w:name w:val="annotation text"/>
    <w:basedOn w:val="Normal"/>
    <w:link w:val="CommentTextChar"/>
    <w:uiPriority w:val="99"/>
    <w:semiHidden/>
    <w:unhideWhenUsed/>
    <w:rsid w:val="00DB206D"/>
    <w:pPr>
      <w:spacing w:line="240" w:lineRule="auto"/>
    </w:pPr>
    <w:rPr>
      <w:sz w:val="20"/>
      <w:szCs w:val="20"/>
    </w:rPr>
  </w:style>
  <w:style w:type="character" w:customStyle="1" w:styleId="CommentTextChar">
    <w:name w:val="Comment Text Char"/>
    <w:basedOn w:val="DefaultParagraphFont"/>
    <w:link w:val="CommentText"/>
    <w:uiPriority w:val="99"/>
    <w:semiHidden/>
    <w:rsid w:val="00DB206D"/>
    <w:rPr>
      <w:rFonts w:ascii="Trade Gothic LT Std" w:hAnsi="Trade Gothic LT Std"/>
      <w:sz w:val="20"/>
      <w:szCs w:val="20"/>
    </w:rPr>
  </w:style>
  <w:style w:type="paragraph" w:styleId="CommentSubject">
    <w:name w:val="annotation subject"/>
    <w:basedOn w:val="CommentText"/>
    <w:next w:val="CommentText"/>
    <w:link w:val="CommentSubjectChar"/>
    <w:uiPriority w:val="99"/>
    <w:semiHidden/>
    <w:unhideWhenUsed/>
    <w:rsid w:val="00DB206D"/>
    <w:rPr>
      <w:b/>
      <w:bCs/>
    </w:rPr>
  </w:style>
  <w:style w:type="character" w:customStyle="1" w:styleId="CommentSubjectChar">
    <w:name w:val="Comment Subject Char"/>
    <w:basedOn w:val="CommentTextChar"/>
    <w:link w:val="CommentSubject"/>
    <w:uiPriority w:val="99"/>
    <w:semiHidden/>
    <w:rsid w:val="00DB206D"/>
    <w:rPr>
      <w:rFonts w:ascii="Trade Gothic LT Std" w:hAnsi="Trade Gothic LT Std"/>
      <w:b/>
      <w:bCs/>
      <w:sz w:val="20"/>
      <w:szCs w:val="20"/>
    </w:rPr>
  </w:style>
  <w:style w:type="table" w:styleId="TableGrid">
    <w:name w:val="Table Grid"/>
    <w:basedOn w:val="TableNormal"/>
    <w:uiPriority w:val="59"/>
    <w:rsid w:val="00DA2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5A4E-ADFD-4F94-91E2-D8997617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Berk &amp; Associates</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Shook</dc:creator>
  <cp:lastModifiedBy>Shepherd, Susan</cp:lastModifiedBy>
  <cp:revision>5</cp:revision>
  <cp:lastPrinted>2012-05-25T20:45:00Z</cp:lastPrinted>
  <dcterms:created xsi:type="dcterms:W3CDTF">2012-06-06T20:41:00Z</dcterms:created>
  <dcterms:modified xsi:type="dcterms:W3CDTF">2012-06-06T20:58:00Z</dcterms:modified>
</cp:coreProperties>
</file>