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701C" w14:textId="77777777" w:rsidR="00B3797D" w:rsidRPr="00165A88" w:rsidRDefault="00B3797D" w:rsidP="00B3797D">
      <w:pPr>
        <w:spacing w:before="80" w:line="268" w:lineRule="auto"/>
        <w:ind w:left="613" w:right="962"/>
        <w:jc w:val="center"/>
        <w:rPr>
          <w:rFonts w:ascii="Times New Roman"/>
          <w:b/>
          <w:color w:val="2F5496" w:themeColor="accent1" w:themeShade="BF"/>
          <w:w w:val="105"/>
          <w:sz w:val="50"/>
        </w:rPr>
      </w:pPr>
      <w:r w:rsidRPr="00165A88">
        <w:rPr>
          <w:rFonts w:ascii="Times New Roman"/>
          <w:b/>
          <w:color w:val="2F5496" w:themeColor="accent1" w:themeShade="BF"/>
          <w:w w:val="105"/>
          <w:sz w:val="50"/>
        </w:rPr>
        <w:t>Consumer Directed Employer</w:t>
      </w:r>
    </w:p>
    <w:p w14:paraId="52D9B0FF" w14:textId="77777777" w:rsidR="00B3797D" w:rsidRPr="00165A88" w:rsidRDefault="00B3797D" w:rsidP="00B3797D">
      <w:pPr>
        <w:spacing w:before="80" w:line="268" w:lineRule="auto"/>
        <w:ind w:left="613" w:right="962"/>
        <w:jc w:val="center"/>
        <w:rPr>
          <w:rFonts w:ascii="Times New Roman"/>
          <w:b/>
          <w:color w:val="2F5496" w:themeColor="accent1" w:themeShade="BF"/>
          <w:sz w:val="50"/>
        </w:rPr>
      </w:pPr>
      <w:r w:rsidRPr="00165A88">
        <w:rPr>
          <w:rFonts w:ascii="Times New Roman"/>
          <w:b/>
          <w:color w:val="2F5496" w:themeColor="accent1" w:themeShade="BF"/>
          <w:w w:val="105"/>
          <w:sz w:val="50"/>
        </w:rPr>
        <w:t>Rate Setting Board</w:t>
      </w:r>
    </w:p>
    <w:p w14:paraId="046803C7" w14:textId="77777777" w:rsidR="00B3797D" w:rsidRPr="00165A88" w:rsidRDefault="00B3797D" w:rsidP="00B3797D">
      <w:pPr>
        <w:pStyle w:val="BodyText"/>
        <w:rPr>
          <w:rFonts w:ascii="Times New Roman"/>
          <w:b/>
          <w:color w:val="2F5496" w:themeColor="accent1" w:themeShade="BF"/>
          <w:sz w:val="20"/>
        </w:rPr>
      </w:pPr>
    </w:p>
    <w:p w14:paraId="2565944E" w14:textId="77777777" w:rsidR="00B3797D" w:rsidRPr="00165A88" w:rsidRDefault="00B3797D" w:rsidP="00B3797D">
      <w:pPr>
        <w:pStyle w:val="BodyText"/>
        <w:spacing w:before="8"/>
        <w:rPr>
          <w:rFonts w:ascii="Times New Roman"/>
          <w:b/>
          <w:color w:val="2F5496" w:themeColor="accent1" w:themeShade="BF"/>
          <w:sz w:val="11"/>
        </w:rPr>
      </w:pPr>
      <w:r w:rsidRPr="00165A88">
        <w:rPr>
          <w:noProof/>
          <w:color w:val="2F5496" w:themeColor="accent1" w:themeShade="BF"/>
        </w:rPr>
        <mc:AlternateContent>
          <mc:Choice Requires="wps">
            <w:drawing>
              <wp:anchor distT="0" distB="0" distL="0" distR="0" simplePos="0" relativeHeight="251659264" behindDoc="1" locked="0" layoutInCell="1" allowOverlap="1" wp14:anchorId="7152CC88" wp14:editId="107D7DD6">
                <wp:simplePos x="0" y="0"/>
                <wp:positionH relativeFrom="page">
                  <wp:posOffset>1123315</wp:posOffset>
                </wp:positionH>
                <wp:positionV relativeFrom="paragraph">
                  <wp:posOffset>122555</wp:posOffset>
                </wp:positionV>
                <wp:extent cx="5422265" cy="1270"/>
                <wp:effectExtent l="0" t="0" r="0" b="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
                        </a:xfrm>
                        <a:custGeom>
                          <a:avLst/>
                          <a:gdLst>
                            <a:gd name="T0" fmla="+- 0 1769 1769"/>
                            <a:gd name="T1" fmla="*/ T0 w 8539"/>
                            <a:gd name="T2" fmla="+- 0 10307 1769"/>
                            <a:gd name="T3" fmla="*/ T2 w 8539"/>
                          </a:gdLst>
                          <a:ahLst/>
                          <a:cxnLst>
                            <a:cxn ang="0">
                              <a:pos x="T1" y="0"/>
                            </a:cxn>
                            <a:cxn ang="0">
                              <a:pos x="T3" y="0"/>
                            </a:cxn>
                          </a:cxnLst>
                          <a:rect l="0" t="0" r="r" b="b"/>
                          <a:pathLst>
                            <a:path w="8539">
                              <a:moveTo>
                                <a:pt x="0" y="0"/>
                              </a:moveTo>
                              <a:lnTo>
                                <a:pt x="8538" y="0"/>
                              </a:lnTo>
                            </a:path>
                          </a:pathLst>
                        </a:custGeom>
                        <a:noFill/>
                        <a:ln w="24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AD50" id="Freeform 6" o:spid="_x0000_s1026" style="position:absolute;margin-left:88.45pt;margin-top:9.65pt;width:42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IkgIAAIAFAAAOAAAAZHJzL2Uyb0RvYy54bWysVNtu2zAMfR+wfxD0uKH1JU7SGnGKoV2H&#10;Ad0FaPYBiizHxmRRk5Q47dePku3Uy7aXYX4QSJM6PLyIq5tjK8lBGNuAKmhyGVMiFIeyUbuCftvc&#10;X1xRYh1TJZOgREGfhKU369evVp3ORQo1yFIYgiDK5p0uaO2czqPI8lq0zF6CFgqNFZiWOVTNLioN&#10;6xC9lVEax4uoA1NqA1xYi3/veiNdB/yqEtx9qSorHJEFRW4unCacW39G6xXLd4bpuuEDDfYPLFrW&#10;KAx6grpjjpG9aX6DahtuwELlLjm0EVRVw0XIAbNJ4rNsHmumRcgFi2P1qUz2/8Hyz4dH/dV46lY/&#10;AP9usSJRp21+snjFog/Zdp+gxB6yvYOQ7LEyrb+JaZBjqOnTqabi6AjHn/MsTdPFnBKOtiRdhpJH&#10;LB/v8r11HwQEHHZ4sK7vSIlSqGdJFGsx6Aa7V7USm/P2gsQkWS6uwzF08OSWjG5vIrKJSUeu5rPr&#10;c6d0dOqx4lm8/CPYbPTzYOkEDBPYjRRZPbLmRzXQRokw/wTiUCgN1hdog+TGCiECOvkU/+KLsc99&#10;+ztDCIOzfT7VhhKc6m2frmbOM/MhvEi6goZa+B8tHMQGgsmdtQ6DvFilmnrhdXzOE1a9GW/4ADg3&#10;vRCCeq6T1iq4b6QMvZXKU0mzLMlCcSzIpvRWT8ea3fZWGnJg/sGGz2eDaL+4GdirMqDVgpXvB9mx&#10;RvYy+kssbhhkP7t+H9h8C+UTzrGBfg3g2kKhBvNMSYcroKD2x54ZQYn8qPCNXSdZ5ndGULL5MkXF&#10;TC3bqYUpjlAFdRQ778Vb1++ZvTbNrsZISUhXwTt8P1XjBz3w61kNCj7zkO2wkvwemerB62Vxrn8C&#10;AAD//wMAUEsDBBQABgAIAAAAIQCBInDq3wAAAAoBAAAPAAAAZHJzL2Rvd25yZXYueG1sTI9BT8Mw&#10;DIXvSPyHyEhcEEvoYGyl6VSB4DYhBpp2zBrTVjRO1WRr9+9xT3Dzs5+ev5etR9eKE/ah8aThbqZA&#10;IJXeNlRp+Pp8vV2CCNGQNa0n1HDGAOv88iIzqfUDfeBpGyvBIRRSo6GOsUulDGWNzoSZ75D49u17&#10;ZyLLvpK2NwOHu1YmSi2kMw3xh9p0+Fxj+bM9Og3hpkj6zf1bMezfnd+9nJPlvttpfX01Fk8gIo7x&#10;zwwTPqNDzkwHfyQbRMv6cbFiKw+rOYjJoOaKyxymzQPIPJP/K+S/AAAA//8DAFBLAQItABQABgAI&#10;AAAAIQC2gziS/gAAAOEBAAATAAAAAAAAAAAAAAAAAAAAAABbQ29udGVudF9UeXBlc10ueG1sUEsB&#10;Ai0AFAAGAAgAAAAhADj9If/WAAAAlAEAAAsAAAAAAAAAAAAAAAAALwEAAF9yZWxzLy5yZWxzUEsB&#10;Ai0AFAAGAAgAAAAhAP+0EUiSAgAAgAUAAA4AAAAAAAAAAAAAAAAALgIAAGRycy9lMm9Eb2MueG1s&#10;UEsBAi0AFAAGAAgAAAAhAIEicOrfAAAACgEAAA8AAAAAAAAAAAAAAAAA7AQAAGRycy9kb3ducmV2&#10;LnhtbFBLBQYAAAAABAAEAPMAAAD4BQAAAAA=&#10;" path="m,l8538,e" filled="f" strokeweight=".67817mm">
                <v:path arrowok="t" o:connecttype="custom" o:connectlocs="0,0;5421630,0" o:connectangles="0,0"/>
                <w10:wrap type="topAndBottom" anchorx="page"/>
              </v:shape>
            </w:pict>
          </mc:Fallback>
        </mc:AlternateContent>
      </w:r>
    </w:p>
    <w:p w14:paraId="44F731DA" w14:textId="77777777" w:rsidR="00B3797D" w:rsidRPr="00165A88" w:rsidRDefault="00B3797D" w:rsidP="00B3797D">
      <w:pPr>
        <w:spacing w:before="224"/>
        <w:ind w:left="571" w:right="962"/>
        <w:jc w:val="center"/>
        <w:rPr>
          <w:rFonts w:ascii="Times New Roman"/>
          <w:b/>
          <w:color w:val="2F5496" w:themeColor="accent1" w:themeShade="BF"/>
          <w:sz w:val="51"/>
        </w:rPr>
      </w:pPr>
      <w:r w:rsidRPr="00165A88">
        <w:rPr>
          <w:rFonts w:ascii="Times New Roman"/>
          <w:b/>
          <w:color w:val="2F5496" w:themeColor="accent1" w:themeShade="BF"/>
          <w:sz w:val="51"/>
        </w:rPr>
        <w:t>CHARTER</w:t>
      </w:r>
    </w:p>
    <w:p w14:paraId="5A4056E7" w14:textId="77777777" w:rsidR="00B3797D" w:rsidRDefault="00B3797D" w:rsidP="00B3797D">
      <w:pPr>
        <w:pStyle w:val="BodyText"/>
        <w:rPr>
          <w:rFonts w:ascii="Times New Roman"/>
          <w:b/>
          <w:sz w:val="56"/>
        </w:rPr>
      </w:pPr>
    </w:p>
    <w:p w14:paraId="6444D70F" w14:textId="2EEF3407" w:rsidR="006277AC" w:rsidRDefault="006277AC"/>
    <w:p w14:paraId="29ABABBD" w14:textId="39E8382B" w:rsidR="00B3797D" w:rsidRDefault="00B3797D"/>
    <w:p w14:paraId="1CBFA08A" w14:textId="7E7E9C94" w:rsidR="00B3797D" w:rsidRDefault="00B3797D"/>
    <w:p w14:paraId="5A49E0C9" w14:textId="5F416525" w:rsidR="00B3797D" w:rsidRDefault="00B3797D"/>
    <w:p w14:paraId="6AD22C62" w14:textId="1BFD93AE" w:rsidR="00B3797D" w:rsidRDefault="00B3797D"/>
    <w:p w14:paraId="6A173939" w14:textId="17FB36B2" w:rsidR="00B3797D" w:rsidRDefault="00B3797D"/>
    <w:p w14:paraId="1B6E0F3A" w14:textId="684ADF43" w:rsidR="00B3797D" w:rsidRDefault="00B3797D"/>
    <w:p w14:paraId="1B63FA37" w14:textId="6582C088" w:rsidR="00B3797D" w:rsidRDefault="00B3797D"/>
    <w:p w14:paraId="64211638" w14:textId="645E4300" w:rsidR="00B3797D" w:rsidRDefault="00B3797D"/>
    <w:p w14:paraId="0F3D3CFB" w14:textId="3B5924D4" w:rsidR="00B3797D" w:rsidRDefault="00B3797D"/>
    <w:p w14:paraId="65E6A2F8" w14:textId="5C06E8A5" w:rsidR="00B3797D" w:rsidRDefault="00B3797D"/>
    <w:p w14:paraId="1017F901" w14:textId="02B866E5" w:rsidR="00B3797D" w:rsidRDefault="00B3797D"/>
    <w:p w14:paraId="77501643" w14:textId="5672F596" w:rsidR="00B3797D" w:rsidRDefault="00B3797D"/>
    <w:p w14:paraId="134465F8" w14:textId="420892D7" w:rsidR="00B3797D" w:rsidRDefault="00B3797D"/>
    <w:p w14:paraId="5DF62156" w14:textId="4669DB46" w:rsidR="00B3797D" w:rsidRDefault="00B3797D"/>
    <w:p w14:paraId="660DF002" w14:textId="3FBD65ED" w:rsidR="00B3797D" w:rsidRDefault="00B3797D"/>
    <w:p w14:paraId="5FFC0FD6" w14:textId="63F85D4E" w:rsidR="00B3797D" w:rsidRDefault="00B3797D"/>
    <w:p w14:paraId="4A206E00" w14:textId="5928C8B8" w:rsidR="00B3797D" w:rsidRDefault="00B3797D"/>
    <w:p w14:paraId="0CA92911" w14:textId="50992C12" w:rsidR="00B3797D" w:rsidRDefault="00B3797D"/>
    <w:p w14:paraId="1F3C7F8A" w14:textId="6EF5922B" w:rsidR="00B3797D" w:rsidRDefault="00B3797D"/>
    <w:p w14:paraId="5DF56EEF" w14:textId="2BADB5A5" w:rsidR="00B3797D" w:rsidRDefault="00B3797D"/>
    <w:p w14:paraId="421E4738" w14:textId="1E9F05BD" w:rsidR="00B3797D" w:rsidRDefault="00B3797D"/>
    <w:p w14:paraId="55ABE7B2" w14:textId="3EE46ECE" w:rsidR="00B3797D" w:rsidRDefault="00B3797D"/>
    <w:p w14:paraId="5C7BB830" w14:textId="11560419" w:rsidR="00B3797D" w:rsidRDefault="00B3797D"/>
    <w:p w14:paraId="2BE7F3D2" w14:textId="7C8196BA" w:rsidR="00B3797D" w:rsidRDefault="00B3797D"/>
    <w:p w14:paraId="12805CCD" w14:textId="6174E86E" w:rsidR="00B3797D" w:rsidRDefault="00B3797D"/>
    <w:p w14:paraId="5D05BA7F" w14:textId="3FD0819D" w:rsidR="00B3797D" w:rsidRDefault="00B3797D"/>
    <w:p w14:paraId="3D0937F5" w14:textId="25B47644" w:rsidR="00B3797D" w:rsidRDefault="00B3797D"/>
    <w:p w14:paraId="1729D464" w14:textId="3AC5B0F5" w:rsidR="00B3797D" w:rsidRDefault="00B3797D"/>
    <w:p w14:paraId="4D227C6C" w14:textId="3F0C17C5" w:rsidR="00B3797D" w:rsidRDefault="00B3797D"/>
    <w:p w14:paraId="4DF8C6EB" w14:textId="5BF403DB" w:rsidR="00B3797D" w:rsidRDefault="00B3797D"/>
    <w:p w14:paraId="3B44C445" w14:textId="582A717E" w:rsidR="00B3797D" w:rsidRDefault="00B3797D"/>
    <w:p w14:paraId="6F50D439" w14:textId="0AEA8CAA" w:rsidR="00B3797D" w:rsidRDefault="00B3797D"/>
    <w:p w14:paraId="63231645" w14:textId="541A3DF7" w:rsidR="00B3797D" w:rsidRDefault="00B3797D"/>
    <w:p w14:paraId="0DC811F6" w14:textId="4F65CD0E" w:rsidR="00B3797D" w:rsidRDefault="00B3797D"/>
    <w:p w14:paraId="0F785EE4" w14:textId="17DD0B46" w:rsidR="00B3797D" w:rsidRDefault="00B3797D"/>
    <w:p w14:paraId="160649FC" w14:textId="0A50FBF4" w:rsidR="00B3797D" w:rsidRDefault="00B3797D"/>
    <w:p w14:paraId="5FDE63FB" w14:textId="71AE71B1" w:rsidR="00B3797D" w:rsidRDefault="00B3797D"/>
    <w:p w14:paraId="14379D5F" w14:textId="77777777" w:rsidR="00B3797D" w:rsidRPr="00165A88" w:rsidRDefault="00B3797D" w:rsidP="00B3797D">
      <w:pPr>
        <w:spacing w:before="91"/>
        <w:ind w:left="613" w:right="768"/>
        <w:jc w:val="center"/>
        <w:rPr>
          <w:rFonts w:asciiTheme="minorHAnsi" w:hAnsiTheme="minorHAnsi" w:cstheme="minorHAnsi"/>
          <w:color w:val="21506E"/>
          <w:sz w:val="24"/>
          <w:szCs w:val="24"/>
        </w:rPr>
      </w:pPr>
      <w:r w:rsidRPr="00165A88">
        <w:rPr>
          <w:rFonts w:asciiTheme="minorHAnsi" w:hAnsiTheme="minorHAnsi" w:cstheme="minorHAnsi"/>
          <w:color w:val="21506E"/>
          <w:sz w:val="24"/>
          <w:szCs w:val="24"/>
        </w:rPr>
        <w:lastRenderedPageBreak/>
        <w:t>Background and Purpose</w:t>
      </w:r>
      <w:r w:rsidRPr="00165A88">
        <w:rPr>
          <w:rFonts w:asciiTheme="minorHAnsi" w:hAnsiTheme="minorHAnsi" w:cstheme="minorHAnsi"/>
          <w:color w:val="21506E"/>
          <w:sz w:val="24"/>
          <w:szCs w:val="24"/>
        </w:rPr>
        <w:tab/>
      </w:r>
    </w:p>
    <w:p w14:paraId="349CF504" w14:textId="77777777" w:rsidR="00B3797D" w:rsidRDefault="00B3797D" w:rsidP="00B3797D">
      <w:pPr>
        <w:pStyle w:val="BodyText"/>
        <w:spacing w:before="5"/>
        <w:rPr>
          <w:b/>
          <w:sz w:val="28"/>
        </w:rPr>
      </w:pPr>
    </w:p>
    <w:p w14:paraId="04707A71" w14:textId="77777777" w:rsidR="00B3797D" w:rsidRPr="00B81FD6" w:rsidRDefault="00B3797D" w:rsidP="00B3797D">
      <w:pPr>
        <w:pStyle w:val="NoSpacing"/>
        <w:ind w:left="540"/>
        <w:rPr>
          <w:w w:val="105"/>
          <w:sz w:val="20"/>
          <w:szCs w:val="20"/>
        </w:rPr>
      </w:pPr>
      <w:r>
        <w:rPr>
          <w:w w:val="105"/>
          <w:sz w:val="20"/>
          <w:szCs w:val="20"/>
        </w:rPr>
        <w:t xml:space="preserve">In the 2018 legislative session, </w:t>
      </w:r>
      <w:r w:rsidRPr="00067A83">
        <w:rPr>
          <w:w w:val="105"/>
          <w:sz w:val="20"/>
          <w:szCs w:val="20"/>
        </w:rPr>
        <w:t>SB 6199</w:t>
      </w:r>
      <w:r>
        <w:rPr>
          <w:color w:val="21506E"/>
          <w:w w:val="105"/>
          <w:sz w:val="20"/>
          <w:szCs w:val="20"/>
        </w:rPr>
        <w:t xml:space="preserve"> </w:t>
      </w:r>
      <w:r>
        <w:rPr>
          <w:w w:val="105"/>
          <w:sz w:val="20"/>
          <w:szCs w:val="20"/>
        </w:rPr>
        <w:t xml:space="preserve">gave </w:t>
      </w:r>
      <w:r w:rsidRPr="00B81FD6">
        <w:rPr>
          <w:w w:val="105"/>
          <w:sz w:val="20"/>
          <w:szCs w:val="20"/>
        </w:rPr>
        <w:t xml:space="preserve">DSHS </w:t>
      </w:r>
      <w:r>
        <w:rPr>
          <w:w w:val="105"/>
          <w:sz w:val="20"/>
          <w:szCs w:val="20"/>
        </w:rPr>
        <w:t xml:space="preserve">the authority </w:t>
      </w:r>
      <w:r w:rsidRPr="00B81FD6">
        <w:rPr>
          <w:w w:val="105"/>
          <w:sz w:val="20"/>
          <w:szCs w:val="20"/>
        </w:rPr>
        <w:t>to establish a Consumer Directed Employer (CDE) program</w:t>
      </w:r>
      <w:r w:rsidRPr="00B81FD6">
        <w:rPr>
          <w:color w:val="484949"/>
          <w:w w:val="105"/>
          <w:sz w:val="20"/>
          <w:szCs w:val="20"/>
        </w:rPr>
        <w:t xml:space="preserve">. </w:t>
      </w:r>
      <w:r w:rsidRPr="00B81FD6">
        <w:rPr>
          <w:w w:val="105"/>
          <w:sz w:val="20"/>
          <w:szCs w:val="20"/>
        </w:rPr>
        <w:t>The CDE becomes the legal employer for administrative purposes for all individual providers</w:t>
      </w:r>
      <w:r>
        <w:rPr>
          <w:w w:val="105"/>
          <w:sz w:val="20"/>
          <w:szCs w:val="20"/>
        </w:rPr>
        <w:t xml:space="preserve"> (IPs)</w:t>
      </w:r>
      <w:r w:rsidRPr="00B81FD6">
        <w:rPr>
          <w:w w:val="105"/>
          <w:sz w:val="20"/>
          <w:szCs w:val="20"/>
        </w:rPr>
        <w:t xml:space="preserve"> in Washington State. The statute established a fourteen-person </w:t>
      </w:r>
      <w:r>
        <w:rPr>
          <w:w w:val="105"/>
          <w:sz w:val="20"/>
          <w:szCs w:val="20"/>
        </w:rPr>
        <w:t>R</w:t>
      </w:r>
      <w:r w:rsidRPr="00B81FD6">
        <w:rPr>
          <w:w w:val="105"/>
          <w:sz w:val="20"/>
          <w:szCs w:val="20"/>
        </w:rPr>
        <w:t>ate-</w:t>
      </w:r>
      <w:r>
        <w:rPr>
          <w:w w:val="105"/>
          <w:sz w:val="20"/>
          <w:szCs w:val="20"/>
        </w:rPr>
        <w:t>S</w:t>
      </w:r>
      <w:r w:rsidRPr="00B81FD6">
        <w:rPr>
          <w:w w:val="105"/>
          <w:sz w:val="20"/>
          <w:szCs w:val="20"/>
        </w:rPr>
        <w:t xml:space="preserve">etting </w:t>
      </w:r>
      <w:r>
        <w:rPr>
          <w:w w:val="105"/>
          <w:sz w:val="20"/>
          <w:szCs w:val="20"/>
        </w:rPr>
        <w:t>B</w:t>
      </w:r>
      <w:r w:rsidRPr="00B81FD6">
        <w:rPr>
          <w:w w:val="105"/>
          <w:sz w:val="20"/>
          <w:szCs w:val="20"/>
        </w:rPr>
        <w:t>oard</w:t>
      </w:r>
      <w:r>
        <w:rPr>
          <w:w w:val="105"/>
          <w:sz w:val="20"/>
          <w:szCs w:val="20"/>
        </w:rPr>
        <w:t xml:space="preserve"> (the Board)</w:t>
      </w:r>
      <w:r w:rsidRPr="00B81FD6">
        <w:rPr>
          <w:w w:val="105"/>
          <w:sz w:val="20"/>
          <w:szCs w:val="20"/>
        </w:rPr>
        <w:t>.</w:t>
      </w:r>
    </w:p>
    <w:p w14:paraId="6A15E850" w14:textId="77777777" w:rsidR="00B3797D" w:rsidRPr="00B81FD6" w:rsidRDefault="00B3797D" w:rsidP="00B3797D">
      <w:pPr>
        <w:pStyle w:val="NoSpacing"/>
        <w:ind w:left="540"/>
        <w:rPr>
          <w:color w:val="2A2A2A"/>
          <w:w w:val="105"/>
          <w:sz w:val="20"/>
          <w:szCs w:val="20"/>
        </w:rPr>
      </w:pPr>
    </w:p>
    <w:p w14:paraId="657E25CB" w14:textId="77777777" w:rsidR="00B3797D" w:rsidRPr="00B81FD6" w:rsidRDefault="00B3797D" w:rsidP="00B3797D">
      <w:pPr>
        <w:pStyle w:val="NoSpacing"/>
        <w:ind w:left="540"/>
        <w:rPr>
          <w:color w:val="2D2F2F"/>
          <w:w w:val="105"/>
          <w:sz w:val="20"/>
          <w:szCs w:val="20"/>
        </w:rPr>
      </w:pPr>
      <w:r w:rsidRPr="00B81FD6">
        <w:rPr>
          <w:color w:val="2A2A2A"/>
          <w:w w:val="105"/>
          <w:sz w:val="20"/>
          <w:szCs w:val="20"/>
        </w:rPr>
        <w:t xml:space="preserve">The purpose of the Board is to </w:t>
      </w:r>
      <w:r>
        <w:rPr>
          <w:w w:val="105"/>
          <w:sz w:val="20"/>
          <w:szCs w:val="20"/>
        </w:rPr>
        <w:t>evaluate</w:t>
      </w:r>
      <w:r w:rsidRPr="00B81FD6">
        <w:rPr>
          <w:w w:val="105"/>
          <w:sz w:val="20"/>
          <w:szCs w:val="20"/>
        </w:rPr>
        <w:t xml:space="preserve"> and recommend to the legislature the CDE rate which includes a labor and an administrative </w:t>
      </w:r>
      <w:r w:rsidRPr="00B81FD6">
        <w:rPr>
          <w:color w:val="2D2F2F"/>
          <w:w w:val="105"/>
          <w:sz w:val="20"/>
          <w:szCs w:val="20"/>
        </w:rPr>
        <w:t xml:space="preserve">component. The labor rate is the portion of the payment that is used to compensate the IPs, which includes wages, benefits, and any associated taxes. The administrative rate is the portion of the payment that is used to compensate the CDE for administrative duties. </w:t>
      </w:r>
    </w:p>
    <w:p w14:paraId="337CC9B1" w14:textId="77777777" w:rsidR="00B3797D" w:rsidRDefault="00B3797D" w:rsidP="00B3797D">
      <w:pPr>
        <w:pStyle w:val="BodyText"/>
        <w:spacing w:line="319" w:lineRule="auto"/>
        <w:ind w:left="562" w:right="423"/>
        <w:rPr>
          <w:color w:val="2D2F2F"/>
          <w:w w:val="105"/>
        </w:rPr>
      </w:pPr>
    </w:p>
    <w:p w14:paraId="5552692F" w14:textId="77777777" w:rsidR="00B3797D" w:rsidRDefault="00B3797D" w:rsidP="00B3797D">
      <w:pPr>
        <w:pStyle w:val="Heading1"/>
        <w:tabs>
          <w:tab w:val="left" w:pos="518"/>
        </w:tabs>
        <w:rPr>
          <w:color w:val="21506E"/>
        </w:rPr>
      </w:pPr>
      <w:r>
        <w:rPr>
          <w:color w:val="21506E"/>
        </w:rPr>
        <w:t xml:space="preserve">Responsibilities </w:t>
      </w:r>
    </w:p>
    <w:p w14:paraId="559A20C4" w14:textId="77777777" w:rsidR="00B3797D" w:rsidRPr="00CB74EB" w:rsidRDefault="00B3797D" w:rsidP="00B3797D">
      <w:pPr>
        <w:pStyle w:val="BodyText"/>
        <w:spacing w:before="27" w:line="237" w:lineRule="auto"/>
        <w:ind w:left="540" w:right="475"/>
        <w:rPr>
          <w:sz w:val="28"/>
          <w:szCs w:val="28"/>
        </w:rPr>
      </w:pPr>
    </w:p>
    <w:p w14:paraId="14E7E03D" w14:textId="77777777" w:rsidR="00B3797D" w:rsidRPr="00B81FD6" w:rsidRDefault="00B3797D" w:rsidP="00B3797D">
      <w:pPr>
        <w:pStyle w:val="BodyText"/>
        <w:spacing w:before="27" w:line="237" w:lineRule="auto"/>
        <w:ind w:left="540" w:right="475"/>
        <w:rPr>
          <w:sz w:val="20"/>
          <w:szCs w:val="20"/>
        </w:rPr>
      </w:pPr>
      <w:r w:rsidRPr="00B81FD6">
        <w:rPr>
          <w:sz w:val="20"/>
          <w:szCs w:val="20"/>
        </w:rPr>
        <w:t xml:space="preserve">The Board functions as the public body responsible to collaboratively review, </w:t>
      </w:r>
      <w:proofErr w:type="gramStart"/>
      <w:r w:rsidRPr="00B81FD6">
        <w:rPr>
          <w:sz w:val="20"/>
          <w:szCs w:val="20"/>
        </w:rPr>
        <w:t>discuss</w:t>
      </w:r>
      <w:proofErr w:type="gramEnd"/>
      <w:r w:rsidRPr="00B81FD6">
        <w:rPr>
          <w:sz w:val="20"/>
          <w:szCs w:val="20"/>
        </w:rPr>
        <w:t xml:space="preserve"> and </w:t>
      </w:r>
      <w:r>
        <w:rPr>
          <w:sz w:val="20"/>
          <w:szCs w:val="20"/>
        </w:rPr>
        <w:t>propose</w:t>
      </w:r>
      <w:r w:rsidRPr="00B81FD6">
        <w:rPr>
          <w:sz w:val="20"/>
          <w:szCs w:val="20"/>
        </w:rPr>
        <w:t xml:space="preserve"> the rate to be paid to the CDE. </w:t>
      </w:r>
      <w:r>
        <w:rPr>
          <w:sz w:val="20"/>
          <w:szCs w:val="20"/>
        </w:rPr>
        <w:t xml:space="preserve">Subject to the Rate Setting Board By-laws, the Board </w:t>
      </w:r>
      <w:proofErr w:type="gramStart"/>
      <w:r>
        <w:rPr>
          <w:sz w:val="20"/>
          <w:szCs w:val="20"/>
        </w:rPr>
        <w:t>as a whole has</w:t>
      </w:r>
      <w:proofErr w:type="gramEnd"/>
      <w:r>
        <w:rPr>
          <w:sz w:val="20"/>
          <w:szCs w:val="20"/>
        </w:rPr>
        <w:t xml:space="preserve"> authority and is responsible to:</w:t>
      </w:r>
    </w:p>
    <w:p w14:paraId="1E924041" w14:textId="77777777" w:rsidR="00B3797D" w:rsidRPr="00B81FD6" w:rsidRDefault="00B3797D" w:rsidP="00B3797D">
      <w:pPr>
        <w:pStyle w:val="BodyText"/>
        <w:spacing w:before="27" w:line="237" w:lineRule="auto"/>
        <w:ind w:right="475"/>
        <w:rPr>
          <w:sz w:val="20"/>
          <w:szCs w:val="20"/>
        </w:rPr>
      </w:pPr>
    </w:p>
    <w:p w14:paraId="6BB7CB03" w14:textId="77777777" w:rsidR="00B3797D" w:rsidRDefault="00B3797D" w:rsidP="00B3797D">
      <w:pPr>
        <w:pStyle w:val="BodyText"/>
        <w:numPr>
          <w:ilvl w:val="0"/>
          <w:numId w:val="1"/>
        </w:numPr>
        <w:spacing w:before="27"/>
        <w:ind w:right="475"/>
        <w:rPr>
          <w:sz w:val="20"/>
          <w:szCs w:val="20"/>
        </w:rPr>
      </w:pPr>
      <w:r>
        <w:rPr>
          <w:sz w:val="20"/>
          <w:szCs w:val="20"/>
        </w:rPr>
        <w:t>Convene b</w:t>
      </w:r>
      <w:r w:rsidRPr="00B81FD6">
        <w:rPr>
          <w:sz w:val="20"/>
          <w:szCs w:val="20"/>
        </w:rPr>
        <w:t xml:space="preserve">eginning in 2022 and every even year afterward </w:t>
      </w:r>
      <w:r>
        <w:rPr>
          <w:sz w:val="20"/>
          <w:szCs w:val="20"/>
        </w:rPr>
        <w:t xml:space="preserve">of the regular rate setting </w:t>
      </w:r>
      <w:r w:rsidRPr="00B81FD6">
        <w:rPr>
          <w:sz w:val="20"/>
          <w:szCs w:val="20"/>
        </w:rPr>
        <w:t>meet</w:t>
      </w:r>
      <w:r>
        <w:rPr>
          <w:sz w:val="20"/>
          <w:szCs w:val="20"/>
        </w:rPr>
        <w:t xml:space="preserve">ing cycle </w:t>
      </w:r>
    </w:p>
    <w:p w14:paraId="04F42449" w14:textId="77777777" w:rsidR="00B3797D" w:rsidRDefault="00B3797D" w:rsidP="00B3797D">
      <w:pPr>
        <w:pStyle w:val="BodyText"/>
        <w:spacing w:before="27"/>
        <w:ind w:right="475"/>
        <w:rPr>
          <w:sz w:val="20"/>
          <w:szCs w:val="20"/>
        </w:rPr>
      </w:pPr>
    </w:p>
    <w:p w14:paraId="2520B11B" w14:textId="77777777" w:rsidR="00B3797D" w:rsidRDefault="00B3797D" w:rsidP="00B3797D">
      <w:pPr>
        <w:pStyle w:val="BodyText"/>
        <w:numPr>
          <w:ilvl w:val="0"/>
          <w:numId w:val="1"/>
        </w:numPr>
        <w:spacing w:before="27"/>
        <w:ind w:right="475"/>
        <w:rPr>
          <w:sz w:val="20"/>
          <w:szCs w:val="20"/>
        </w:rPr>
      </w:pPr>
      <w:r>
        <w:rPr>
          <w:sz w:val="20"/>
          <w:szCs w:val="20"/>
        </w:rPr>
        <w:t>Support an environment that promotes inclusion, respect and confidence for all members and participants</w:t>
      </w:r>
    </w:p>
    <w:p w14:paraId="72370F34" w14:textId="77777777" w:rsidR="00B3797D" w:rsidRDefault="00B3797D" w:rsidP="00B3797D">
      <w:pPr>
        <w:pStyle w:val="BodyText"/>
        <w:spacing w:before="27"/>
        <w:ind w:right="475"/>
        <w:rPr>
          <w:sz w:val="20"/>
          <w:szCs w:val="20"/>
        </w:rPr>
      </w:pPr>
    </w:p>
    <w:p w14:paraId="454F3926" w14:textId="77777777" w:rsidR="00B3797D" w:rsidRPr="00613102" w:rsidRDefault="00B3797D" w:rsidP="00B3797D">
      <w:pPr>
        <w:pStyle w:val="BodyText"/>
        <w:numPr>
          <w:ilvl w:val="0"/>
          <w:numId w:val="1"/>
        </w:numPr>
        <w:spacing w:before="27"/>
        <w:ind w:right="475"/>
        <w:rPr>
          <w:sz w:val="20"/>
          <w:szCs w:val="20"/>
        </w:rPr>
      </w:pPr>
      <w:r>
        <w:rPr>
          <w:sz w:val="20"/>
          <w:szCs w:val="20"/>
        </w:rPr>
        <w:t xml:space="preserve">Be </w:t>
      </w:r>
      <w:r w:rsidRPr="00CD0755">
        <w:rPr>
          <w:sz w:val="20"/>
          <w:szCs w:val="20"/>
        </w:rPr>
        <w:t>familiar with and comply with the Open Public Meetings Act</w:t>
      </w:r>
    </w:p>
    <w:p w14:paraId="0B503901" w14:textId="77777777" w:rsidR="00B3797D" w:rsidRDefault="00B3797D" w:rsidP="00B3797D">
      <w:pPr>
        <w:pStyle w:val="ListParagraph"/>
        <w:rPr>
          <w:sz w:val="20"/>
          <w:szCs w:val="20"/>
        </w:rPr>
      </w:pPr>
    </w:p>
    <w:p w14:paraId="1FA798CF" w14:textId="77777777" w:rsidR="00B3797D" w:rsidRDefault="00B3797D" w:rsidP="00B3797D">
      <w:pPr>
        <w:pStyle w:val="BodyText"/>
        <w:numPr>
          <w:ilvl w:val="0"/>
          <w:numId w:val="1"/>
        </w:numPr>
        <w:spacing w:before="27"/>
        <w:ind w:right="475"/>
        <w:rPr>
          <w:sz w:val="20"/>
          <w:szCs w:val="20"/>
        </w:rPr>
      </w:pPr>
      <w:r>
        <w:rPr>
          <w:sz w:val="20"/>
          <w:szCs w:val="20"/>
        </w:rPr>
        <w:t>Identify data needed for rate-setting purposes</w:t>
      </w:r>
    </w:p>
    <w:p w14:paraId="7B9DEE93" w14:textId="77777777" w:rsidR="00B3797D" w:rsidRDefault="00B3797D" w:rsidP="00B3797D">
      <w:pPr>
        <w:pStyle w:val="BodyText"/>
        <w:spacing w:before="27"/>
        <w:ind w:left="1260" w:right="475"/>
        <w:rPr>
          <w:sz w:val="20"/>
          <w:szCs w:val="20"/>
        </w:rPr>
      </w:pPr>
    </w:p>
    <w:p w14:paraId="74D67223" w14:textId="77777777" w:rsidR="00B3797D" w:rsidRDefault="00B3797D" w:rsidP="00B3797D">
      <w:pPr>
        <w:pStyle w:val="BodyText"/>
        <w:numPr>
          <w:ilvl w:val="0"/>
          <w:numId w:val="1"/>
        </w:numPr>
        <w:spacing w:before="27"/>
        <w:ind w:right="475"/>
        <w:rPr>
          <w:sz w:val="20"/>
          <w:szCs w:val="20"/>
        </w:rPr>
      </w:pPr>
      <w:r>
        <w:rPr>
          <w:sz w:val="20"/>
          <w:szCs w:val="20"/>
        </w:rPr>
        <w:t>E</w:t>
      </w:r>
      <w:r w:rsidRPr="00887595">
        <w:rPr>
          <w:sz w:val="20"/>
          <w:szCs w:val="20"/>
        </w:rPr>
        <w:t>valuate</w:t>
      </w:r>
      <w:r>
        <w:rPr>
          <w:sz w:val="20"/>
          <w:szCs w:val="20"/>
        </w:rPr>
        <w:t xml:space="preserve"> and apply critical analysis to</w:t>
      </w:r>
      <w:r w:rsidRPr="00887595">
        <w:rPr>
          <w:sz w:val="20"/>
          <w:szCs w:val="20"/>
        </w:rPr>
        <w:t xml:space="preserve"> all information presented and testimony provided</w:t>
      </w:r>
      <w:r>
        <w:rPr>
          <w:sz w:val="20"/>
          <w:szCs w:val="20"/>
        </w:rPr>
        <w:t xml:space="preserve"> during meetings</w:t>
      </w:r>
      <w:r w:rsidRPr="00887595">
        <w:rPr>
          <w:sz w:val="20"/>
          <w:szCs w:val="20"/>
        </w:rPr>
        <w:t xml:space="preserve"> </w:t>
      </w:r>
    </w:p>
    <w:p w14:paraId="61E5A8EA" w14:textId="77777777" w:rsidR="00B3797D" w:rsidRDefault="00B3797D" w:rsidP="00B3797D">
      <w:pPr>
        <w:pStyle w:val="ListParagraph"/>
        <w:rPr>
          <w:sz w:val="20"/>
          <w:szCs w:val="20"/>
        </w:rPr>
      </w:pPr>
    </w:p>
    <w:p w14:paraId="428E111E" w14:textId="77777777" w:rsidR="00B3797D" w:rsidRDefault="00B3797D" w:rsidP="00B3797D">
      <w:pPr>
        <w:pStyle w:val="BodyText"/>
        <w:numPr>
          <w:ilvl w:val="0"/>
          <w:numId w:val="1"/>
        </w:numPr>
        <w:spacing w:before="27"/>
        <w:ind w:right="475"/>
        <w:rPr>
          <w:sz w:val="20"/>
          <w:szCs w:val="20"/>
        </w:rPr>
      </w:pPr>
      <w:r>
        <w:rPr>
          <w:sz w:val="20"/>
          <w:szCs w:val="20"/>
        </w:rPr>
        <w:t>Recommend a CDE</w:t>
      </w:r>
      <w:r w:rsidRPr="00EA13A3">
        <w:rPr>
          <w:sz w:val="20"/>
          <w:szCs w:val="20"/>
        </w:rPr>
        <w:t xml:space="preserve"> combined </w:t>
      </w:r>
      <w:r>
        <w:rPr>
          <w:sz w:val="20"/>
          <w:szCs w:val="20"/>
        </w:rPr>
        <w:t>labor and administrative rate to the legislature prior to July 1</w:t>
      </w:r>
      <w:r w:rsidRPr="00CD0755">
        <w:rPr>
          <w:sz w:val="20"/>
          <w:szCs w:val="20"/>
          <w:vertAlign w:val="superscript"/>
        </w:rPr>
        <w:t>st</w:t>
      </w:r>
      <w:r>
        <w:rPr>
          <w:sz w:val="20"/>
          <w:szCs w:val="20"/>
        </w:rPr>
        <w:t xml:space="preserve"> of the year the Board meets</w:t>
      </w:r>
    </w:p>
    <w:p w14:paraId="5F338C41" w14:textId="77777777" w:rsidR="00B3797D" w:rsidRDefault="00B3797D" w:rsidP="00B3797D">
      <w:pPr>
        <w:pStyle w:val="BodyText"/>
        <w:numPr>
          <w:ilvl w:val="1"/>
          <w:numId w:val="1"/>
        </w:numPr>
        <w:spacing w:before="27"/>
        <w:ind w:right="475"/>
        <w:rPr>
          <w:sz w:val="20"/>
          <w:szCs w:val="20"/>
        </w:rPr>
      </w:pPr>
      <w:r>
        <w:rPr>
          <w:sz w:val="20"/>
          <w:szCs w:val="20"/>
        </w:rPr>
        <w:t xml:space="preserve">If an agreement on either the labor, an administrative rate, or both, is not reached by </w:t>
      </w:r>
      <w:r w:rsidRPr="00200CDF">
        <w:rPr>
          <w:sz w:val="20"/>
          <w:szCs w:val="20"/>
        </w:rPr>
        <w:t>a majority of</w:t>
      </w:r>
      <w:r>
        <w:rPr>
          <w:sz w:val="20"/>
          <w:szCs w:val="20"/>
        </w:rPr>
        <w:t xml:space="preserve"> the voting members of the Board prior to July 1</w:t>
      </w:r>
      <w:r w:rsidRPr="009F5B04">
        <w:rPr>
          <w:sz w:val="20"/>
          <w:szCs w:val="20"/>
          <w:vertAlign w:val="superscript"/>
        </w:rPr>
        <w:t>st</w:t>
      </w:r>
      <w:r>
        <w:rPr>
          <w:sz w:val="20"/>
          <w:szCs w:val="20"/>
        </w:rPr>
        <w:t xml:space="preserve">, then </w:t>
      </w:r>
    </w:p>
    <w:p w14:paraId="57988A14" w14:textId="77777777" w:rsidR="00B3797D" w:rsidRDefault="00B3797D" w:rsidP="00B3797D">
      <w:pPr>
        <w:pStyle w:val="BodyText"/>
        <w:numPr>
          <w:ilvl w:val="2"/>
          <w:numId w:val="1"/>
        </w:numPr>
        <w:spacing w:before="27"/>
        <w:ind w:right="475"/>
        <w:rPr>
          <w:sz w:val="20"/>
          <w:szCs w:val="20"/>
        </w:rPr>
      </w:pPr>
      <w:r>
        <w:rPr>
          <w:sz w:val="20"/>
          <w:szCs w:val="20"/>
        </w:rPr>
        <w:t>The labor rate shall be determined by the vote of the Chair; and</w:t>
      </w:r>
    </w:p>
    <w:p w14:paraId="11F613C2" w14:textId="77777777" w:rsidR="00B3797D" w:rsidRDefault="00B3797D" w:rsidP="00B3797D">
      <w:pPr>
        <w:pStyle w:val="BodyText"/>
        <w:numPr>
          <w:ilvl w:val="2"/>
          <w:numId w:val="1"/>
        </w:numPr>
        <w:spacing w:before="27"/>
        <w:ind w:right="475"/>
        <w:rPr>
          <w:sz w:val="20"/>
          <w:szCs w:val="20"/>
        </w:rPr>
      </w:pPr>
      <w:r>
        <w:rPr>
          <w:sz w:val="20"/>
          <w:szCs w:val="20"/>
        </w:rPr>
        <w:t>The administrative rate component shall be determined by DSHS.</w:t>
      </w:r>
    </w:p>
    <w:p w14:paraId="2860C1EF" w14:textId="77777777" w:rsidR="00B3797D" w:rsidRDefault="00B3797D" w:rsidP="00B3797D">
      <w:pPr>
        <w:pStyle w:val="BodyText"/>
        <w:spacing w:before="27"/>
        <w:ind w:left="1260" w:right="475"/>
        <w:rPr>
          <w:sz w:val="20"/>
          <w:szCs w:val="20"/>
        </w:rPr>
      </w:pPr>
    </w:p>
    <w:p w14:paraId="22FCBA1A" w14:textId="77777777" w:rsidR="00B3797D" w:rsidRDefault="00B3797D" w:rsidP="00B3797D">
      <w:pPr>
        <w:pStyle w:val="BodyText"/>
        <w:numPr>
          <w:ilvl w:val="0"/>
          <w:numId w:val="1"/>
        </w:numPr>
        <w:spacing w:before="27"/>
        <w:ind w:right="475"/>
        <w:rPr>
          <w:sz w:val="20"/>
          <w:szCs w:val="20"/>
        </w:rPr>
      </w:pPr>
      <w:r>
        <w:rPr>
          <w:sz w:val="20"/>
          <w:szCs w:val="20"/>
        </w:rPr>
        <w:t>Take testimony and make a recommendation regarding the administrative vendor rate for home care agencies that service Medicaid clients</w:t>
      </w:r>
    </w:p>
    <w:p w14:paraId="547C4DD6" w14:textId="77777777" w:rsidR="00B3797D" w:rsidRDefault="00B3797D" w:rsidP="00B3797D">
      <w:pPr>
        <w:pStyle w:val="BodyText"/>
        <w:spacing w:before="27"/>
        <w:ind w:left="1260" w:right="475"/>
        <w:rPr>
          <w:sz w:val="20"/>
          <w:szCs w:val="20"/>
        </w:rPr>
      </w:pPr>
    </w:p>
    <w:p w14:paraId="3FC2F524" w14:textId="77777777" w:rsidR="00B3797D" w:rsidRPr="00F8581E" w:rsidRDefault="00B3797D" w:rsidP="00B3797D">
      <w:pPr>
        <w:pStyle w:val="BodyText"/>
        <w:numPr>
          <w:ilvl w:val="0"/>
          <w:numId w:val="1"/>
        </w:numPr>
        <w:spacing w:before="27"/>
        <w:ind w:right="475"/>
        <w:rPr>
          <w:sz w:val="20"/>
          <w:szCs w:val="20"/>
        </w:rPr>
      </w:pPr>
      <w:r>
        <w:rPr>
          <w:sz w:val="20"/>
          <w:szCs w:val="20"/>
        </w:rPr>
        <w:t>Establish</w:t>
      </w:r>
      <w:r w:rsidRPr="00CD0755">
        <w:rPr>
          <w:sz w:val="20"/>
          <w:szCs w:val="20"/>
        </w:rPr>
        <w:t>, review</w:t>
      </w:r>
      <w:r>
        <w:rPr>
          <w:sz w:val="20"/>
          <w:szCs w:val="20"/>
        </w:rPr>
        <w:t>,</w:t>
      </w:r>
      <w:r w:rsidRPr="00CD0755">
        <w:rPr>
          <w:sz w:val="20"/>
          <w:szCs w:val="20"/>
        </w:rPr>
        <w:t xml:space="preserve"> </w:t>
      </w:r>
      <w:r>
        <w:rPr>
          <w:sz w:val="20"/>
          <w:szCs w:val="20"/>
        </w:rPr>
        <w:t xml:space="preserve">amend, and </w:t>
      </w:r>
      <w:r w:rsidRPr="00CD0755">
        <w:rPr>
          <w:sz w:val="20"/>
          <w:szCs w:val="20"/>
        </w:rPr>
        <w:t>adopt Board governance documents, such as by-laws, policies and procedures, and team norms</w:t>
      </w:r>
    </w:p>
    <w:p w14:paraId="35433D39" w14:textId="77777777" w:rsidR="00B3797D" w:rsidRDefault="00B3797D" w:rsidP="00B3797D">
      <w:pPr>
        <w:pStyle w:val="ListParagraph"/>
        <w:rPr>
          <w:sz w:val="20"/>
          <w:szCs w:val="20"/>
        </w:rPr>
      </w:pPr>
    </w:p>
    <w:p w14:paraId="6F9070B2" w14:textId="77777777" w:rsidR="00B3797D" w:rsidRDefault="00B3797D" w:rsidP="00B3797D">
      <w:pPr>
        <w:pStyle w:val="BodyText"/>
        <w:numPr>
          <w:ilvl w:val="0"/>
          <w:numId w:val="1"/>
        </w:numPr>
        <w:spacing w:before="27"/>
        <w:ind w:right="475"/>
        <w:rPr>
          <w:sz w:val="20"/>
          <w:szCs w:val="20"/>
        </w:rPr>
      </w:pPr>
      <w:r>
        <w:rPr>
          <w:sz w:val="20"/>
          <w:szCs w:val="20"/>
        </w:rPr>
        <w:t xml:space="preserve">Convene additional off cycle meetings </w:t>
      </w:r>
      <w:r w:rsidRPr="00B81FD6">
        <w:rPr>
          <w:sz w:val="20"/>
          <w:szCs w:val="20"/>
        </w:rPr>
        <w:t>when the rate must be changed due to unforeseen circumstances</w:t>
      </w:r>
      <w:r>
        <w:rPr>
          <w:sz w:val="20"/>
          <w:szCs w:val="20"/>
        </w:rPr>
        <w:t xml:space="preserve"> or if the legislature rejects the proposed rate</w:t>
      </w:r>
    </w:p>
    <w:p w14:paraId="13405753" w14:textId="77777777" w:rsidR="00B3797D" w:rsidRDefault="00B3797D" w:rsidP="00B3797D">
      <w:pPr>
        <w:pStyle w:val="BodyText"/>
        <w:spacing w:before="27"/>
        <w:ind w:right="475"/>
        <w:rPr>
          <w:sz w:val="20"/>
          <w:szCs w:val="20"/>
        </w:rPr>
      </w:pPr>
    </w:p>
    <w:p w14:paraId="2662CBF8" w14:textId="77777777" w:rsidR="00B3797D" w:rsidRPr="00672593" w:rsidRDefault="00B3797D" w:rsidP="00B3797D">
      <w:pPr>
        <w:pStyle w:val="BodyText"/>
        <w:numPr>
          <w:ilvl w:val="0"/>
          <w:numId w:val="1"/>
        </w:numPr>
        <w:spacing w:before="27" w:line="316" w:lineRule="auto"/>
        <w:ind w:left="820" w:right="423"/>
        <w:rPr>
          <w:sz w:val="20"/>
          <w:szCs w:val="20"/>
        </w:rPr>
      </w:pPr>
      <w:r w:rsidRPr="00672593">
        <w:rPr>
          <w:sz w:val="20"/>
          <w:szCs w:val="20"/>
        </w:rPr>
        <w:t>Not participate in the collective bargaining process during RSB meetings</w:t>
      </w:r>
    </w:p>
    <w:p w14:paraId="6D1A4B85" w14:textId="77777777" w:rsidR="00B3797D" w:rsidRDefault="00B3797D"/>
    <w:sectPr w:rsidR="00B379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E586" w14:textId="77777777" w:rsidR="00B3797D" w:rsidRDefault="00B3797D" w:rsidP="00B3797D">
      <w:r>
        <w:separator/>
      </w:r>
    </w:p>
  </w:endnote>
  <w:endnote w:type="continuationSeparator" w:id="0">
    <w:p w14:paraId="24CFB026" w14:textId="77777777" w:rsidR="00B3797D" w:rsidRDefault="00B3797D" w:rsidP="00B3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69DB" w14:textId="0E23AD0A" w:rsidR="00B3797D" w:rsidRPr="00B3797D" w:rsidRDefault="00B3797D" w:rsidP="00B3797D">
    <w:pPr>
      <w:pStyle w:val="Footer"/>
      <w:jc w:val="right"/>
      <w:rPr>
        <w:sz w:val="20"/>
        <w:szCs w:val="20"/>
      </w:rPr>
    </w:pPr>
    <w:r w:rsidRPr="00B3797D">
      <w:rPr>
        <w:noProof/>
        <w:sz w:val="20"/>
        <w:szCs w:val="20"/>
      </w:rPr>
      <mc:AlternateContent>
        <mc:Choice Requires="wps">
          <w:drawing>
            <wp:anchor distT="0" distB="0" distL="114300" distR="114300" simplePos="0" relativeHeight="251659264" behindDoc="0" locked="0" layoutInCell="1" allowOverlap="1" wp14:anchorId="44F1DF3C" wp14:editId="02CCDC9A">
              <wp:simplePos x="0" y="0"/>
              <wp:positionH relativeFrom="column">
                <wp:posOffset>4676775</wp:posOffset>
              </wp:positionH>
              <wp:positionV relativeFrom="paragraph">
                <wp:posOffset>-20320</wp:posOffset>
              </wp:positionV>
              <wp:extent cx="0" cy="19050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1C2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8.25pt,-1.6pt" to="368.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J86&#10;YuDdAAAACQEAAA8AAABkcnMvZG93bnJldi54bWxMj8FOwzAMhu9IvENkJG5bSifKVJpO0ySEuCDW&#10;wT1rvLSQOFWSduXtCeLAjrY//f7+ajNbwyb0oXck4G6ZAUNqnepJC3g/PC3WwEKUpKRxhAK+McCm&#10;vr6qZKncmfY4NVGzFEKhlAK6GIeS89B2aGVYugEp3U7OWxnT6DVXXp5TuDU8z7KCW9lT+tDJAXcd&#10;tl/NaAWYFz996J3ehvF5XzSfb6f89TAJcXszbx+BRZzjPwy/+kkd6uR0dCOpwIyAh1Vxn1ABi1UO&#10;LAF/i6OAvFgDryt+2aD+AQAA//8DAFBLAQItABQABgAIAAAAIQC2gziS/gAAAOEBAAATAAAAAAAA&#10;AAAAAAAAAAAAAABbQ29udGVudF9UeXBlc10ueG1sUEsBAi0AFAAGAAgAAAAhADj9If/WAAAAlAEA&#10;AAsAAAAAAAAAAAAAAAAALwEAAF9yZWxzLy5yZWxzUEsBAi0AFAAGAAgAAAAhAC+p4d+YAQAAhwMA&#10;AA4AAAAAAAAAAAAAAAAALgIAAGRycy9lMm9Eb2MueG1sUEsBAi0AFAAGAAgAAAAhAJ86YuDdAAAA&#10;CQEAAA8AAAAAAAAAAAAAAAAA8gMAAGRycy9kb3ducmV2LnhtbFBLBQYAAAAABAAEAPMAAAD8BAAA&#10;AAA=&#10;" strokecolor="black [3200]" strokeweight=".5pt">
              <v:stroke joinstyle="miter"/>
            </v:line>
          </w:pict>
        </mc:Fallback>
      </mc:AlternateContent>
    </w:r>
    <w:r w:rsidRPr="00B3797D">
      <w:rPr>
        <w:sz w:val="20"/>
        <w:szCs w:val="20"/>
      </w:rPr>
      <w:t>Approved 04/18/2022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B9B9" w14:textId="77777777" w:rsidR="00B3797D" w:rsidRDefault="00B3797D" w:rsidP="00B3797D">
      <w:r>
        <w:separator/>
      </w:r>
    </w:p>
  </w:footnote>
  <w:footnote w:type="continuationSeparator" w:id="0">
    <w:p w14:paraId="70DBD4F0" w14:textId="77777777" w:rsidR="00B3797D" w:rsidRDefault="00B3797D" w:rsidP="00B37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2A0B"/>
    <w:multiLevelType w:val="hybridMultilevel"/>
    <w:tmpl w:val="5E9CF6E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7D"/>
    <w:rsid w:val="006277AC"/>
    <w:rsid w:val="00B3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FD4E4"/>
  <w15:chartTrackingRefBased/>
  <w15:docId w15:val="{613BF6D1-4906-4D2C-B4DA-5FC475F5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97D"/>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B3797D"/>
    <w:pPr>
      <w:spacing w:before="1"/>
      <w:ind w:left="494" w:hanging="36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797D"/>
    <w:rPr>
      <w:sz w:val="19"/>
      <w:szCs w:val="19"/>
    </w:rPr>
  </w:style>
  <w:style w:type="character" w:customStyle="1" w:styleId="BodyTextChar">
    <w:name w:val="Body Text Char"/>
    <w:basedOn w:val="DefaultParagraphFont"/>
    <w:link w:val="BodyText"/>
    <w:uiPriority w:val="1"/>
    <w:rsid w:val="00B3797D"/>
    <w:rPr>
      <w:rFonts w:ascii="Arial" w:eastAsia="Arial" w:hAnsi="Arial" w:cs="Arial"/>
      <w:sz w:val="19"/>
      <w:szCs w:val="19"/>
    </w:rPr>
  </w:style>
  <w:style w:type="character" w:customStyle="1" w:styleId="Heading1Char">
    <w:name w:val="Heading 1 Char"/>
    <w:basedOn w:val="DefaultParagraphFont"/>
    <w:link w:val="Heading1"/>
    <w:uiPriority w:val="9"/>
    <w:rsid w:val="00B3797D"/>
    <w:rPr>
      <w:rFonts w:ascii="Arial" w:eastAsia="Arial" w:hAnsi="Arial" w:cs="Arial"/>
      <w:b/>
      <w:bCs/>
    </w:rPr>
  </w:style>
  <w:style w:type="paragraph" w:styleId="ListParagraph">
    <w:name w:val="List Paragraph"/>
    <w:basedOn w:val="Normal"/>
    <w:uiPriority w:val="1"/>
    <w:qFormat/>
    <w:rsid w:val="00B3797D"/>
    <w:pPr>
      <w:ind w:left="868" w:hanging="362"/>
    </w:pPr>
  </w:style>
  <w:style w:type="paragraph" w:styleId="NoSpacing">
    <w:name w:val="No Spacing"/>
    <w:uiPriority w:val="1"/>
    <w:qFormat/>
    <w:rsid w:val="00B3797D"/>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B3797D"/>
    <w:pPr>
      <w:tabs>
        <w:tab w:val="center" w:pos="4680"/>
        <w:tab w:val="right" w:pos="9360"/>
      </w:tabs>
    </w:pPr>
  </w:style>
  <w:style w:type="character" w:customStyle="1" w:styleId="HeaderChar">
    <w:name w:val="Header Char"/>
    <w:basedOn w:val="DefaultParagraphFont"/>
    <w:link w:val="Header"/>
    <w:uiPriority w:val="99"/>
    <w:rsid w:val="00B3797D"/>
    <w:rPr>
      <w:rFonts w:ascii="Arial" w:eastAsia="Arial" w:hAnsi="Arial" w:cs="Arial"/>
    </w:rPr>
  </w:style>
  <w:style w:type="paragraph" w:styleId="Footer">
    <w:name w:val="footer"/>
    <w:basedOn w:val="Normal"/>
    <w:link w:val="FooterChar"/>
    <w:uiPriority w:val="99"/>
    <w:unhideWhenUsed/>
    <w:rsid w:val="00B3797D"/>
    <w:pPr>
      <w:tabs>
        <w:tab w:val="center" w:pos="4680"/>
        <w:tab w:val="right" w:pos="9360"/>
      </w:tabs>
    </w:pPr>
  </w:style>
  <w:style w:type="character" w:customStyle="1" w:styleId="FooterChar">
    <w:name w:val="Footer Char"/>
    <w:basedOn w:val="DefaultParagraphFont"/>
    <w:link w:val="Footer"/>
    <w:uiPriority w:val="99"/>
    <w:rsid w:val="00B3797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Declet, Sonya (DSHS/ALTSA)</dc:creator>
  <cp:keywords/>
  <dc:description/>
  <cp:lastModifiedBy>Declet, Sonya (DSHS/ALTSA)</cp:lastModifiedBy>
  <cp:revision>1</cp:revision>
  <dcterms:created xsi:type="dcterms:W3CDTF">2022-05-03T20:58:00Z</dcterms:created>
  <dcterms:modified xsi:type="dcterms:W3CDTF">2022-05-03T21:06:00Z</dcterms:modified>
</cp:coreProperties>
</file>