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1"/>
        <w:rPr>
          <w:rFonts w:ascii="Times New Roman"/>
          <w:sz w:val="11"/>
        </w:rPr>
      </w:pPr>
    </w:p>
    <w:p>
      <w:pPr>
        <w:pStyle w:val="BodyText"/>
        <w:ind w:left="1060"/>
        <w:rPr>
          <w:rFonts w:ascii="Times New Roman"/>
          <w:sz w:val="20"/>
        </w:rPr>
      </w:pPr>
      <w:r>
        <w:rPr>
          <w:rFonts w:ascii="Times New Roman"/>
          <w:sz w:val="20"/>
        </w:rPr>
        <w:drawing>
          <wp:inline distT="0" distB="0" distL="0" distR="0">
            <wp:extent cx="2761136" cy="469391"/>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761136" cy="469391"/>
                    </a:xfrm>
                    <a:prstGeom prst="rect">
                      <a:avLst/>
                    </a:prstGeom>
                  </pic:spPr>
                </pic:pic>
              </a:graphicData>
            </a:graphic>
          </wp:inline>
        </w:drawing>
      </w:r>
      <w:r>
        <w:rPr>
          <w:rFonts w:ascii="Times New Roman"/>
          <w:sz w:val="20"/>
        </w:rPr>
      </w:r>
    </w:p>
    <w:p>
      <w:pPr>
        <w:pStyle w:val="BodyText"/>
        <w:spacing w:before="11"/>
        <w:rPr>
          <w:rFonts w:ascii="Times New Roman"/>
          <w:sz w:val="16"/>
        </w:rPr>
      </w:pPr>
      <w:r>
        <w:rPr/>
        <w:drawing>
          <wp:anchor distT="0" distB="0" distL="0" distR="0" allowOverlap="1" layoutInCell="1" locked="0" behindDoc="0" simplePos="0" relativeHeight="0">
            <wp:simplePos x="0" y="0"/>
            <wp:positionH relativeFrom="page">
              <wp:posOffset>4043363</wp:posOffset>
            </wp:positionH>
            <wp:positionV relativeFrom="paragraph">
              <wp:posOffset>148844</wp:posOffset>
            </wp:positionV>
            <wp:extent cx="1942944" cy="1068990"/>
            <wp:effectExtent l="0" t="0" r="0" b="0"/>
            <wp:wrapTopAndBottom/>
            <wp:docPr id="3" name="image2.png" descr="DSHS logo - TransLives SM "/>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942944" cy="1068990"/>
                    </a:xfrm>
                    <a:prstGeom prst="rect">
                      <a:avLst/>
                    </a:prstGeom>
                  </pic:spPr>
                </pic:pic>
              </a:graphicData>
            </a:graphic>
          </wp:anchor>
        </w:drawing>
      </w:r>
    </w:p>
    <w:p>
      <w:pPr>
        <w:pStyle w:val="BodyText"/>
        <w:rPr>
          <w:rFonts w:ascii="Times New Roman"/>
          <w:sz w:val="20"/>
        </w:rPr>
      </w:pPr>
    </w:p>
    <w:p>
      <w:pPr>
        <w:pStyle w:val="BodyText"/>
        <w:spacing w:before="2"/>
        <w:rPr>
          <w:rFonts w:ascii="Times New Roman"/>
          <w:sz w:val="27"/>
        </w:rPr>
      </w:pPr>
      <w:r>
        <w:rPr/>
        <w:pict>
          <v:shapetype id="_x0000_t202" o:spt="202" coordsize="21600,21600" path="m,l,21600r21600,l21600,xe">
            <v:stroke joinstyle="miter"/>
            <v:path gradientshapeok="t" o:connecttype="rect"/>
          </v:shapetype>
          <v:shape style="position:absolute;margin-left:94.5pt;margin-top:18.108477pt;width:612.75pt;height:156pt;mso-position-horizontal-relative:page;mso-position-vertical-relative:paragraph;z-index:-251657216;mso-wrap-distance-left:0;mso-wrap-distance-right:0" type="#_x0000_t202" filled="true" fillcolor="#006fc0" stroked="true" strokeweight="1pt" strokecolor="#4e8542">
            <v:textbox inset="0,0,0,0">
              <w:txbxContent>
                <w:p>
                  <w:pPr>
                    <w:spacing w:before="328"/>
                    <w:ind w:left="505" w:right="505" w:firstLine="0"/>
                    <w:jc w:val="center"/>
                    <w:rPr>
                      <w:sz w:val="72"/>
                    </w:rPr>
                  </w:pPr>
                  <w:r>
                    <w:rPr>
                      <w:color w:val="E2DED1"/>
                      <w:sz w:val="72"/>
                    </w:rPr>
                    <w:t>Washington State’s Revised Statewide Transition Plan for New HCBS Rules</w:t>
                  </w:r>
                </w:p>
                <w:p>
                  <w:pPr>
                    <w:spacing w:before="1"/>
                    <w:ind w:left="3459" w:right="3457" w:firstLine="0"/>
                    <w:jc w:val="center"/>
                    <w:rPr>
                      <w:sz w:val="28"/>
                    </w:rPr>
                  </w:pPr>
                  <w:r>
                    <w:rPr>
                      <w:color w:val="E2DED1"/>
                      <w:sz w:val="28"/>
                    </w:rPr>
                    <w:t>Posted for Public Comment on March 15, 2017 Revised February 2017</w:t>
                  </w:r>
                </w:p>
              </w:txbxContent>
            </v:textbox>
            <v:fill type="solid"/>
            <v:stroke dashstyle="solid"/>
            <w10:wrap type="topAndBottom"/>
          </v:shape>
        </w:pict>
      </w:r>
    </w:p>
    <w:p>
      <w:pPr>
        <w:pStyle w:val="BodyText"/>
        <w:rPr>
          <w:rFonts w:ascii="Times New Roman"/>
          <w:sz w:val="20"/>
        </w:rPr>
      </w:pPr>
    </w:p>
    <w:p>
      <w:pPr>
        <w:pStyle w:val="BodyText"/>
        <w:spacing w:before="7"/>
        <w:rPr>
          <w:rFonts w:ascii="Times New Roman"/>
          <w:sz w:val="24"/>
        </w:rPr>
      </w:pPr>
      <w:r>
        <w:rPr/>
        <w:drawing>
          <wp:anchor distT="0" distB="0" distL="0" distR="0" allowOverlap="1" layoutInCell="1" locked="0" behindDoc="0" simplePos="0" relativeHeight="2">
            <wp:simplePos x="0" y="0"/>
            <wp:positionH relativeFrom="page">
              <wp:posOffset>3924300</wp:posOffset>
            </wp:positionH>
            <wp:positionV relativeFrom="paragraph">
              <wp:posOffset>204651</wp:posOffset>
            </wp:positionV>
            <wp:extent cx="2228820" cy="1478470"/>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2228820" cy="1478470"/>
                    </a:xfrm>
                    <a:prstGeom prst="rect">
                      <a:avLst/>
                    </a:prstGeom>
                  </pic:spPr>
                </pic:pic>
              </a:graphicData>
            </a:graphic>
          </wp:anchor>
        </w:drawing>
      </w:r>
    </w:p>
    <w:p>
      <w:pPr>
        <w:spacing w:after="0"/>
        <w:rPr>
          <w:rFonts w:ascii="Times New Roman"/>
          <w:sz w:val="24"/>
        </w:rPr>
        <w:sectPr>
          <w:type w:val="continuous"/>
          <w:pgSz w:w="15840" w:h="12240" w:orient="landscape"/>
          <w:pgMar w:top="1140" w:bottom="28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9"/>
        </w:rPr>
      </w:pPr>
    </w:p>
    <w:p>
      <w:pPr>
        <w:spacing w:before="44"/>
        <w:ind w:left="1060" w:right="0" w:firstLine="0"/>
        <w:jc w:val="left"/>
        <w:rPr>
          <w:b/>
          <w:sz w:val="28"/>
        </w:rPr>
      </w:pPr>
      <w:r>
        <w:rPr>
          <w:b/>
          <w:color w:val="B35E06"/>
          <w:sz w:val="28"/>
        </w:rPr>
        <w:t>Table of Contents</w:t>
      </w:r>
    </w:p>
    <w:p>
      <w:pPr>
        <w:pStyle w:val="Heading2"/>
        <w:tabs>
          <w:tab w:pos="14009" w:val="right" w:leader="dot"/>
        </w:tabs>
        <w:spacing w:before="410"/>
        <w:jc w:val="left"/>
      </w:pPr>
      <w:hyperlink w:history="true" w:anchor="_bookmark0">
        <w:r>
          <w:rPr/>
          <w:t>INTRODUCTION-PURPOSE</w:t>
          <w:tab/>
          <w:t>7</w:t>
        </w:r>
      </w:hyperlink>
    </w:p>
    <w:p>
      <w:pPr>
        <w:pStyle w:val="Heading2"/>
        <w:tabs>
          <w:tab w:pos="14009" w:val="right" w:leader="dot"/>
        </w:tabs>
        <w:spacing w:before="405"/>
        <w:jc w:val="left"/>
      </w:pPr>
      <w:hyperlink w:history="true" w:anchor="_bookmark1">
        <w:r>
          <w:rPr/>
          <w:t>OVERVIEW OF WASHINGTON’S</w:t>
        </w:r>
        <w:r>
          <w:rPr>
            <w:spacing w:val="-7"/>
          </w:rPr>
          <w:t> </w:t>
        </w:r>
        <w:r>
          <w:rPr/>
          <w:t>HCBS SYSTEM</w:t>
          <w:tab/>
          <w:t>8</w:t>
        </w:r>
      </w:hyperlink>
    </w:p>
    <w:p>
      <w:pPr>
        <w:tabs>
          <w:tab w:pos="14010" w:val="right" w:leader="dot"/>
        </w:tabs>
        <w:spacing w:before="285"/>
        <w:ind w:left="1060" w:right="0" w:firstLine="0"/>
        <w:jc w:val="left"/>
        <w:rPr>
          <w:b/>
          <w:sz w:val="20"/>
        </w:rPr>
      </w:pPr>
      <w:hyperlink w:history="true" w:anchor="_bookmark2">
        <w:r>
          <w:rPr>
            <w:b/>
            <w:sz w:val="20"/>
          </w:rPr>
          <w:t>Aging and Long-Term Support Administration—Overview</w:t>
          <w:tab/>
          <w:t>8</w:t>
        </w:r>
      </w:hyperlink>
    </w:p>
    <w:p>
      <w:pPr>
        <w:tabs>
          <w:tab w:pos="14010" w:val="right" w:leader="dot"/>
        </w:tabs>
        <w:spacing w:before="277"/>
        <w:ind w:left="1060" w:right="0" w:firstLine="0"/>
        <w:jc w:val="left"/>
        <w:rPr>
          <w:b/>
          <w:sz w:val="20"/>
        </w:rPr>
      </w:pPr>
      <w:hyperlink w:history="true" w:anchor="_bookmark3">
        <w:r>
          <w:rPr>
            <w:b/>
            <w:sz w:val="20"/>
          </w:rPr>
          <w:t>Developmental</w:t>
        </w:r>
        <w:r>
          <w:rPr>
            <w:b/>
            <w:spacing w:val="-2"/>
            <w:sz w:val="20"/>
          </w:rPr>
          <w:t> </w:t>
        </w:r>
        <w:r>
          <w:rPr>
            <w:b/>
            <w:sz w:val="20"/>
          </w:rPr>
          <w:t>Disabilities Administration--Overview</w:t>
          <w:tab/>
          <w:t>10</w:t>
        </w:r>
      </w:hyperlink>
    </w:p>
    <w:p>
      <w:pPr>
        <w:tabs>
          <w:tab w:pos="14010" w:val="right" w:leader="dot"/>
        </w:tabs>
        <w:spacing w:before="276"/>
        <w:ind w:left="1060" w:right="0" w:firstLine="0"/>
        <w:jc w:val="left"/>
        <w:rPr>
          <w:b/>
          <w:sz w:val="20"/>
        </w:rPr>
      </w:pPr>
      <w:hyperlink w:history="true" w:anchor="_bookmark4">
        <w:r>
          <w:rPr>
            <w:b/>
            <w:sz w:val="20"/>
          </w:rPr>
          <w:t>Provider Types used by ALTSA</w:t>
        </w:r>
        <w:r>
          <w:rPr>
            <w:b/>
            <w:spacing w:val="-1"/>
            <w:sz w:val="20"/>
          </w:rPr>
          <w:t> </w:t>
        </w:r>
        <w:r>
          <w:rPr>
            <w:b/>
            <w:sz w:val="20"/>
          </w:rPr>
          <w:t>and</w:t>
        </w:r>
        <w:r>
          <w:rPr>
            <w:b/>
            <w:spacing w:val="1"/>
            <w:sz w:val="20"/>
          </w:rPr>
          <w:t> </w:t>
        </w:r>
        <w:r>
          <w:rPr>
            <w:b/>
            <w:sz w:val="20"/>
          </w:rPr>
          <w:t>DDA</w:t>
          <w:tab/>
          <w:t>10</w:t>
        </w:r>
      </w:hyperlink>
    </w:p>
    <w:p>
      <w:pPr>
        <w:tabs>
          <w:tab w:pos="14010" w:val="right" w:leader="dot"/>
        </w:tabs>
        <w:spacing w:before="277"/>
        <w:ind w:left="1060" w:right="0" w:firstLine="0"/>
        <w:jc w:val="left"/>
        <w:rPr>
          <w:b/>
          <w:sz w:val="20"/>
        </w:rPr>
      </w:pPr>
      <w:hyperlink w:history="true" w:anchor="_bookmark5">
        <w:r>
          <w:rPr>
            <w:b/>
            <w:sz w:val="20"/>
          </w:rPr>
          <w:t>Stakeholder and</w:t>
        </w:r>
        <w:r>
          <w:rPr>
            <w:b/>
            <w:spacing w:val="1"/>
            <w:sz w:val="20"/>
          </w:rPr>
          <w:t> </w:t>
        </w:r>
        <w:r>
          <w:rPr>
            <w:b/>
            <w:sz w:val="20"/>
          </w:rPr>
          <w:t>Tribal</w:t>
        </w:r>
        <w:r>
          <w:rPr>
            <w:b/>
            <w:spacing w:val="-1"/>
            <w:sz w:val="20"/>
          </w:rPr>
          <w:t> </w:t>
        </w:r>
        <w:r>
          <w:rPr>
            <w:b/>
            <w:sz w:val="20"/>
          </w:rPr>
          <w:t>Meetings/Presentations</w:t>
          <w:tab/>
          <w:t>12</w:t>
        </w:r>
      </w:hyperlink>
    </w:p>
    <w:p>
      <w:pPr>
        <w:tabs>
          <w:tab w:pos="14010" w:val="right" w:leader="dot"/>
        </w:tabs>
        <w:spacing w:before="277"/>
        <w:ind w:left="1060" w:right="0" w:firstLine="0"/>
        <w:jc w:val="left"/>
        <w:rPr>
          <w:b/>
          <w:sz w:val="20"/>
        </w:rPr>
      </w:pPr>
      <w:hyperlink w:history="true" w:anchor="_bookmark6">
        <w:r>
          <w:rPr>
            <w:b/>
            <w:sz w:val="20"/>
          </w:rPr>
          <w:t>Posting of State Transition Plan for Public</w:t>
        </w:r>
        <w:r>
          <w:rPr>
            <w:b/>
            <w:spacing w:val="1"/>
            <w:sz w:val="20"/>
          </w:rPr>
          <w:t> </w:t>
        </w:r>
        <w:r>
          <w:rPr>
            <w:b/>
            <w:sz w:val="20"/>
          </w:rPr>
          <w:t>Comment</w:t>
          <w:tab/>
          <w:t>12</w:t>
        </w:r>
      </w:hyperlink>
    </w:p>
    <w:p>
      <w:pPr>
        <w:tabs>
          <w:tab w:pos="14010" w:val="right" w:leader="dot"/>
        </w:tabs>
        <w:spacing w:before="276"/>
        <w:ind w:left="1060" w:right="0" w:firstLine="0"/>
        <w:jc w:val="left"/>
        <w:rPr>
          <w:b/>
          <w:sz w:val="20"/>
        </w:rPr>
      </w:pPr>
      <w:hyperlink w:history="true" w:anchor="_bookmark7">
        <w:r>
          <w:rPr>
            <w:b/>
            <w:sz w:val="20"/>
          </w:rPr>
          <w:t>Stakeholder and</w:t>
        </w:r>
        <w:r>
          <w:rPr>
            <w:b/>
            <w:spacing w:val="1"/>
            <w:sz w:val="20"/>
          </w:rPr>
          <w:t> </w:t>
        </w:r>
        <w:r>
          <w:rPr>
            <w:b/>
            <w:sz w:val="20"/>
          </w:rPr>
          <w:t>Tribal</w:t>
        </w:r>
        <w:r>
          <w:rPr>
            <w:b/>
            <w:spacing w:val="-1"/>
            <w:sz w:val="20"/>
          </w:rPr>
          <w:t> </w:t>
        </w:r>
        <w:r>
          <w:rPr>
            <w:b/>
            <w:sz w:val="20"/>
          </w:rPr>
          <w:t>Comments</w:t>
          <w:tab/>
          <w:t>13</w:t>
        </w:r>
      </w:hyperlink>
    </w:p>
    <w:p>
      <w:pPr>
        <w:tabs>
          <w:tab w:pos="14010" w:val="right" w:leader="dot"/>
        </w:tabs>
        <w:spacing w:before="277"/>
        <w:ind w:left="1060" w:right="0" w:firstLine="0"/>
        <w:jc w:val="left"/>
        <w:rPr>
          <w:b/>
          <w:sz w:val="20"/>
        </w:rPr>
      </w:pPr>
      <w:hyperlink w:history="true" w:anchor="_bookmark8">
        <w:r>
          <w:rPr>
            <w:b/>
            <w:sz w:val="20"/>
          </w:rPr>
          <w:t>Process for Ensuring Ongoing Transparency and Input from Stakeholders</w:t>
        </w:r>
        <w:r>
          <w:rPr>
            <w:b/>
            <w:spacing w:val="-1"/>
            <w:sz w:val="20"/>
          </w:rPr>
          <w:t> </w:t>
        </w:r>
        <w:r>
          <w:rPr>
            <w:b/>
            <w:sz w:val="20"/>
          </w:rPr>
          <w:t>and</w:t>
        </w:r>
        <w:r>
          <w:rPr>
            <w:b/>
            <w:spacing w:val="1"/>
            <w:sz w:val="20"/>
          </w:rPr>
          <w:t> </w:t>
        </w:r>
        <w:r>
          <w:rPr>
            <w:b/>
            <w:sz w:val="20"/>
          </w:rPr>
          <w:t>Tribes</w:t>
          <w:tab/>
          <w:t>14</w:t>
        </w:r>
      </w:hyperlink>
    </w:p>
    <w:p>
      <w:pPr>
        <w:pStyle w:val="Heading2"/>
        <w:tabs>
          <w:tab w:pos="14012" w:val="right" w:leader="dot"/>
        </w:tabs>
        <w:spacing w:before="395"/>
        <w:jc w:val="left"/>
      </w:pPr>
      <w:hyperlink w:history="true" w:anchor="_bookmark9">
        <w:r>
          <w:rPr/>
          <w:t>RESULTS OF THE STATE SYSTEMIC EVALUATION OF</w:t>
        </w:r>
        <w:r>
          <w:rPr>
            <w:spacing w:val="-5"/>
          </w:rPr>
          <w:t> </w:t>
        </w:r>
        <w:r>
          <w:rPr/>
          <w:t>HCBS</w:t>
        </w:r>
        <w:r>
          <w:rPr>
            <w:spacing w:val="-1"/>
          </w:rPr>
          <w:t> </w:t>
        </w:r>
        <w:r>
          <w:rPr/>
          <w:t>SETTINGS</w:t>
          <w:tab/>
          <w:t>14</w:t>
        </w:r>
      </w:hyperlink>
    </w:p>
    <w:p>
      <w:pPr>
        <w:tabs>
          <w:tab w:pos="14010" w:val="right" w:leader="dot"/>
        </w:tabs>
        <w:spacing w:before="285"/>
        <w:ind w:left="1060" w:right="0" w:firstLine="0"/>
        <w:jc w:val="left"/>
        <w:rPr>
          <w:b/>
          <w:sz w:val="20"/>
        </w:rPr>
      </w:pPr>
      <w:hyperlink w:history="true" w:anchor="_bookmark10">
        <w:r>
          <w:rPr>
            <w:b/>
            <w:sz w:val="20"/>
          </w:rPr>
          <w:t>State</w:t>
        </w:r>
        <w:r>
          <w:rPr>
            <w:b/>
            <w:spacing w:val="-1"/>
            <w:sz w:val="20"/>
          </w:rPr>
          <w:t> </w:t>
        </w:r>
        <w:r>
          <w:rPr>
            <w:b/>
            <w:sz w:val="20"/>
          </w:rPr>
          <w:t>HCBS</w:t>
        </w:r>
        <w:r>
          <w:rPr>
            <w:b/>
            <w:spacing w:val="-1"/>
            <w:sz w:val="20"/>
          </w:rPr>
          <w:t> </w:t>
        </w:r>
        <w:r>
          <w:rPr>
            <w:b/>
            <w:sz w:val="20"/>
          </w:rPr>
          <w:t>settings</w:t>
          <w:tab/>
          <w:t>14</w:t>
        </w:r>
      </w:hyperlink>
    </w:p>
    <w:p>
      <w:pPr>
        <w:tabs>
          <w:tab w:pos="14010" w:val="right" w:leader="dot"/>
        </w:tabs>
        <w:spacing w:before="276"/>
        <w:ind w:left="1060" w:right="0" w:firstLine="0"/>
        <w:jc w:val="left"/>
        <w:rPr>
          <w:b/>
          <w:sz w:val="20"/>
        </w:rPr>
      </w:pPr>
      <w:hyperlink w:history="true" w:anchor="_bookmark11">
        <w:r>
          <w:rPr>
            <w:b/>
            <w:sz w:val="20"/>
          </w:rPr>
          <w:t>Systemic Evaluation of</w:t>
        </w:r>
        <w:r>
          <w:rPr>
            <w:b/>
            <w:spacing w:val="2"/>
            <w:sz w:val="20"/>
          </w:rPr>
          <w:t> </w:t>
        </w:r>
        <w:r>
          <w:rPr>
            <w:b/>
            <w:sz w:val="20"/>
          </w:rPr>
          <w:t>Setting</w:t>
        </w:r>
        <w:r>
          <w:rPr>
            <w:b/>
            <w:spacing w:val="-1"/>
            <w:sz w:val="20"/>
          </w:rPr>
          <w:t> </w:t>
        </w:r>
        <w:r>
          <w:rPr>
            <w:b/>
            <w:sz w:val="20"/>
          </w:rPr>
          <w:t>Types</w:t>
          <w:tab/>
          <w:t>16</w:t>
        </w:r>
      </w:hyperlink>
    </w:p>
    <w:p>
      <w:pPr>
        <w:tabs>
          <w:tab w:pos="14010" w:val="right" w:leader="dot"/>
        </w:tabs>
        <w:spacing w:before="277"/>
        <w:ind w:left="1060" w:right="0" w:firstLine="0"/>
        <w:jc w:val="left"/>
        <w:rPr>
          <w:b/>
          <w:sz w:val="20"/>
        </w:rPr>
      </w:pPr>
      <w:hyperlink w:history="true" w:anchor="_bookmark12">
        <w:r>
          <w:rPr>
            <w:b/>
            <w:sz w:val="20"/>
          </w:rPr>
          <w:t>Setting Types that have been approved by</w:t>
        </w:r>
        <w:r>
          <w:rPr>
            <w:b/>
            <w:spacing w:val="-1"/>
            <w:sz w:val="20"/>
          </w:rPr>
          <w:t> </w:t>
        </w:r>
        <w:r>
          <w:rPr>
            <w:b/>
            <w:sz w:val="20"/>
          </w:rPr>
          <w:t>CMS</w:t>
          <w:tab/>
          <w:t>16</w:t>
        </w:r>
      </w:hyperlink>
    </w:p>
    <w:p>
      <w:pPr>
        <w:pStyle w:val="BodyText"/>
        <w:spacing w:before="7"/>
        <w:rPr>
          <w:b/>
          <w:sz w:val="28"/>
        </w:rPr>
      </w:pPr>
      <w:r>
        <w:rPr/>
        <w:pict>
          <v:shape style="position:absolute;margin-left:70.559998pt;margin-top:19.652508pt;width:650.9pt;height:.1pt;mso-position-horizontal-relative:page;mso-position-vertical-relative:paragraph;z-index:-251655168;mso-wrap-distance-left:0;mso-wrap-distance-right:0" coordorigin="1411,393" coordsize="13018,0" path="m1411,393l14429,393e" filled="false" stroked="true" strokeweight=".481pt" strokecolor="#d9d9d9">
            <v:path arrowok="t"/>
            <v:stroke dashstyle="solid"/>
            <w10:wrap type="topAndBottom"/>
          </v:shape>
        </w:pict>
      </w:r>
    </w:p>
    <w:p>
      <w:pPr>
        <w:spacing w:after="0"/>
        <w:rPr>
          <w:sz w:val="28"/>
        </w:rPr>
        <w:sectPr>
          <w:footerReference w:type="default" r:id="rId8"/>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2"/>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1"/>
        <w:rPr>
          <w:b/>
          <w:sz w:val="11"/>
        </w:rPr>
      </w:pPr>
    </w:p>
    <w:p>
      <w:pPr>
        <w:tabs>
          <w:tab w:pos="14010" w:val="right" w:leader="dot"/>
        </w:tabs>
        <w:spacing w:before="59"/>
        <w:ind w:left="1060" w:right="0" w:firstLine="0"/>
        <w:jc w:val="left"/>
        <w:rPr>
          <w:b/>
          <w:sz w:val="20"/>
        </w:rPr>
      </w:pPr>
      <w:hyperlink w:history="true" w:anchor="_bookmark13">
        <w:r>
          <w:rPr>
            <w:b/>
            <w:sz w:val="20"/>
          </w:rPr>
          <w:t>Setting Types the State assessed that fully comply with</w:t>
        </w:r>
        <w:r>
          <w:rPr>
            <w:b/>
            <w:spacing w:val="-3"/>
            <w:sz w:val="20"/>
          </w:rPr>
          <w:t> </w:t>
        </w:r>
        <w:r>
          <w:rPr>
            <w:b/>
            <w:sz w:val="20"/>
          </w:rPr>
          <w:t>HCBS</w:t>
        </w:r>
        <w:r>
          <w:rPr>
            <w:b/>
            <w:spacing w:val="-1"/>
            <w:sz w:val="20"/>
          </w:rPr>
          <w:t> </w:t>
        </w:r>
        <w:r>
          <w:rPr>
            <w:b/>
            <w:sz w:val="20"/>
          </w:rPr>
          <w:t>Characteristics</w:t>
          <w:tab/>
          <w:t>16</w:t>
        </w:r>
      </w:hyperlink>
    </w:p>
    <w:p>
      <w:pPr>
        <w:tabs>
          <w:tab w:pos="14010" w:val="right" w:leader="dot"/>
        </w:tabs>
        <w:spacing w:before="277"/>
        <w:ind w:left="1060" w:right="0" w:firstLine="0"/>
        <w:jc w:val="left"/>
        <w:rPr>
          <w:b/>
          <w:sz w:val="20"/>
        </w:rPr>
      </w:pPr>
      <w:hyperlink w:history="true" w:anchor="_bookmark14">
        <w:r>
          <w:rPr>
            <w:b/>
            <w:sz w:val="20"/>
          </w:rPr>
          <w:t>Setting Types the State assessed that will fully comply with</w:t>
        </w:r>
        <w:r>
          <w:rPr>
            <w:b/>
            <w:spacing w:val="-4"/>
            <w:sz w:val="20"/>
          </w:rPr>
          <w:t> </w:t>
        </w:r>
        <w:r>
          <w:rPr>
            <w:b/>
            <w:sz w:val="20"/>
          </w:rPr>
          <w:t>HCBS</w:t>
        </w:r>
        <w:r>
          <w:rPr>
            <w:b/>
            <w:spacing w:val="-2"/>
            <w:sz w:val="20"/>
          </w:rPr>
          <w:t> </w:t>
        </w:r>
        <w:r>
          <w:rPr>
            <w:b/>
            <w:sz w:val="20"/>
          </w:rPr>
          <w:t>Characteristics</w:t>
          <w:tab/>
          <w:t>17</w:t>
        </w:r>
      </w:hyperlink>
    </w:p>
    <w:p>
      <w:pPr>
        <w:tabs>
          <w:tab w:pos="14010" w:val="right" w:leader="dot"/>
        </w:tabs>
        <w:spacing w:before="277"/>
        <w:ind w:left="1060" w:right="0" w:firstLine="0"/>
        <w:jc w:val="left"/>
        <w:rPr>
          <w:b/>
          <w:sz w:val="20"/>
        </w:rPr>
      </w:pPr>
      <w:hyperlink w:history="true" w:anchor="_bookmark15">
        <w:r>
          <w:rPr>
            <w:b/>
            <w:sz w:val="20"/>
          </w:rPr>
          <w:t>Setting Types that do not/cannot meet</w:t>
        </w:r>
        <w:r>
          <w:rPr>
            <w:b/>
            <w:spacing w:val="-3"/>
            <w:sz w:val="20"/>
          </w:rPr>
          <w:t> </w:t>
        </w:r>
        <w:r>
          <w:rPr>
            <w:b/>
            <w:sz w:val="20"/>
          </w:rPr>
          <w:t>HCBS</w:t>
        </w:r>
        <w:r>
          <w:rPr>
            <w:b/>
            <w:spacing w:val="-1"/>
            <w:sz w:val="20"/>
          </w:rPr>
          <w:t> </w:t>
        </w:r>
        <w:r>
          <w:rPr>
            <w:b/>
            <w:sz w:val="20"/>
          </w:rPr>
          <w:t>characteristics</w:t>
          <w:tab/>
          <w:t>17</w:t>
        </w:r>
      </w:hyperlink>
    </w:p>
    <w:p>
      <w:pPr>
        <w:tabs>
          <w:tab w:pos="14010" w:val="right" w:leader="dot"/>
        </w:tabs>
        <w:spacing w:before="276"/>
        <w:ind w:left="1060" w:right="0" w:firstLine="0"/>
        <w:jc w:val="left"/>
        <w:rPr>
          <w:b/>
          <w:sz w:val="20"/>
        </w:rPr>
      </w:pPr>
      <w:hyperlink w:history="true" w:anchor="_bookmark16">
        <w:r>
          <w:rPr>
            <w:b/>
            <w:sz w:val="20"/>
          </w:rPr>
          <w:t>Ongoing evaluation of all settings for</w:t>
        </w:r>
        <w:r>
          <w:rPr>
            <w:b/>
            <w:spacing w:val="-2"/>
            <w:sz w:val="20"/>
          </w:rPr>
          <w:t> </w:t>
        </w:r>
        <w:r>
          <w:rPr>
            <w:b/>
            <w:sz w:val="20"/>
          </w:rPr>
          <w:t>HCBS</w:t>
        </w:r>
        <w:r>
          <w:rPr>
            <w:b/>
            <w:spacing w:val="-1"/>
            <w:sz w:val="20"/>
          </w:rPr>
          <w:t> </w:t>
        </w:r>
        <w:r>
          <w:rPr>
            <w:b/>
            <w:sz w:val="20"/>
          </w:rPr>
          <w:t>characteristics</w:t>
          <w:tab/>
          <w:t>18</w:t>
        </w:r>
      </w:hyperlink>
    </w:p>
    <w:p>
      <w:pPr>
        <w:pStyle w:val="Heading2"/>
        <w:tabs>
          <w:tab w:pos="14012" w:val="right" w:leader="dot"/>
        </w:tabs>
        <w:spacing w:before="395"/>
        <w:jc w:val="left"/>
      </w:pPr>
      <w:hyperlink w:history="true" w:anchor="_bookmark17">
        <w:r>
          <w:rPr/>
          <w:t>APPENDIX A:  ANALYSIS</w:t>
        </w:r>
        <w:r>
          <w:rPr>
            <w:spacing w:val="-4"/>
          </w:rPr>
          <w:t> </w:t>
        </w:r>
        <w:r>
          <w:rPr/>
          <w:t>BY</w:t>
        </w:r>
        <w:r>
          <w:rPr>
            <w:spacing w:val="1"/>
          </w:rPr>
          <w:t> </w:t>
        </w:r>
        <w:r>
          <w:rPr/>
          <w:t>SETTING</w:t>
          <w:tab/>
          <w:t>20</w:t>
        </w:r>
      </w:hyperlink>
    </w:p>
    <w:p>
      <w:pPr>
        <w:tabs>
          <w:tab w:pos="14010" w:val="right" w:leader="dot"/>
        </w:tabs>
        <w:spacing w:before="285"/>
        <w:ind w:left="1060" w:right="0" w:firstLine="0"/>
        <w:jc w:val="left"/>
        <w:rPr>
          <w:b/>
          <w:sz w:val="20"/>
        </w:rPr>
      </w:pPr>
      <w:hyperlink w:history="true" w:anchor="_bookmark18">
        <w:r>
          <w:rPr>
            <w:b/>
            <w:sz w:val="20"/>
          </w:rPr>
          <w:t>Supported</w:t>
        </w:r>
        <w:r>
          <w:rPr>
            <w:b/>
            <w:spacing w:val="-2"/>
            <w:sz w:val="20"/>
          </w:rPr>
          <w:t> </w:t>
        </w:r>
        <w:r>
          <w:rPr>
            <w:b/>
            <w:sz w:val="20"/>
          </w:rPr>
          <w:t>Living</w:t>
          <w:tab/>
          <w:t>20</w:t>
        </w:r>
      </w:hyperlink>
    </w:p>
    <w:p>
      <w:pPr>
        <w:tabs>
          <w:tab w:pos="14010" w:val="right" w:leader="dot"/>
        </w:tabs>
        <w:spacing w:before="277"/>
        <w:ind w:left="1060" w:right="0" w:firstLine="0"/>
        <w:jc w:val="left"/>
        <w:rPr>
          <w:b/>
          <w:sz w:val="20"/>
        </w:rPr>
      </w:pPr>
      <w:hyperlink w:history="true" w:anchor="_bookmark19">
        <w:r>
          <w:rPr>
            <w:b/>
            <w:sz w:val="20"/>
          </w:rPr>
          <w:t>Adult Day</w:t>
        </w:r>
        <w:r>
          <w:rPr>
            <w:b/>
            <w:spacing w:val="-2"/>
            <w:sz w:val="20"/>
          </w:rPr>
          <w:t> </w:t>
        </w:r>
        <w:r>
          <w:rPr>
            <w:b/>
            <w:sz w:val="20"/>
          </w:rPr>
          <w:t>Care Services</w:t>
          <w:tab/>
          <w:t>35</w:t>
        </w:r>
      </w:hyperlink>
    </w:p>
    <w:p>
      <w:pPr>
        <w:tabs>
          <w:tab w:pos="14010" w:val="right" w:leader="dot"/>
        </w:tabs>
        <w:spacing w:before="276"/>
        <w:ind w:left="1060" w:right="0" w:firstLine="0"/>
        <w:jc w:val="left"/>
        <w:rPr>
          <w:b/>
          <w:sz w:val="20"/>
        </w:rPr>
      </w:pPr>
      <w:hyperlink w:history="true" w:anchor="_bookmark20">
        <w:r>
          <w:rPr>
            <w:b/>
            <w:sz w:val="20"/>
          </w:rPr>
          <w:t>DDA</w:t>
        </w:r>
        <w:r>
          <w:rPr>
            <w:b/>
            <w:spacing w:val="-2"/>
            <w:sz w:val="20"/>
          </w:rPr>
          <w:t> </w:t>
        </w:r>
        <w:r>
          <w:rPr>
            <w:b/>
            <w:sz w:val="20"/>
          </w:rPr>
          <w:t>Group</w:t>
        </w:r>
        <w:r>
          <w:rPr>
            <w:b/>
            <w:spacing w:val="1"/>
            <w:sz w:val="20"/>
          </w:rPr>
          <w:t> </w:t>
        </w:r>
        <w:r>
          <w:rPr>
            <w:b/>
            <w:sz w:val="20"/>
          </w:rPr>
          <w:t>Home</w:t>
          <w:tab/>
          <w:t>40</w:t>
        </w:r>
      </w:hyperlink>
    </w:p>
    <w:p>
      <w:pPr>
        <w:tabs>
          <w:tab w:pos="14010" w:val="right" w:leader="dot"/>
        </w:tabs>
        <w:spacing w:before="277"/>
        <w:ind w:left="1060" w:right="0" w:firstLine="0"/>
        <w:jc w:val="left"/>
        <w:rPr>
          <w:b/>
          <w:sz w:val="20"/>
        </w:rPr>
      </w:pPr>
      <w:hyperlink w:history="true" w:anchor="_bookmark23">
        <w:r>
          <w:rPr>
            <w:b/>
            <w:sz w:val="20"/>
          </w:rPr>
          <w:t>Licensed Staffed Residential (LSR), Child Foster Home, and Group Care</w:t>
        </w:r>
        <w:r>
          <w:rPr>
            <w:b/>
            <w:spacing w:val="-2"/>
            <w:sz w:val="20"/>
          </w:rPr>
          <w:t> </w:t>
        </w:r>
        <w:r>
          <w:rPr>
            <w:b/>
            <w:sz w:val="20"/>
          </w:rPr>
          <w:t>Facilities</w:t>
          <w:tab/>
          <w:t>50</w:t>
        </w:r>
      </w:hyperlink>
    </w:p>
    <w:p>
      <w:pPr>
        <w:tabs>
          <w:tab w:pos="14010" w:val="right" w:leader="dot"/>
        </w:tabs>
        <w:spacing w:before="277"/>
        <w:ind w:left="1060" w:right="0" w:firstLine="0"/>
        <w:jc w:val="left"/>
        <w:rPr>
          <w:b/>
          <w:sz w:val="20"/>
        </w:rPr>
      </w:pPr>
      <w:hyperlink w:history="true" w:anchor="_bookmark24">
        <w:r>
          <w:rPr>
            <w:b/>
            <w:sz w:val="20"/>
          </w:rPr>
          <w:t>DDA Individual</w:t>
        </w:r>
        <w:r>
          <w:rPr>
            <w:b/>
            <w:spacing w:val="-1"/>
            <w:sz w:val="20"/>
          </w:rPr>
          <w:t> </w:t>
        </w:r>
        <w:r>
          <w:rPr>
            <w:b/>
            <w:sz w:val="20"/>
          </w:rPr>
          <w:t>Supported</w:t>
        </w:r>
        <w:r>
          <w:rPr>
            <w:b/>
            <w:spacing w:val="1"/>
            <w:sz w:val="20"/>
          </w:rPr>
          <w:t> </w:t>
        </w:r>
        <w:r>
          <w:rPr>
            <w:b/>
            <w:sz w:val="20"/>
          </w:rPr>
          <w:t>Employment</w:t>
          <w:tab/>
          <w:t>60</w:t>
        </w:r>
      </w:hyperlink>
    </w:p>
    <w:p>
      <w:pPr>
        <w:tabs>
          <w:tab w:pos="14010" w:val="right" w:leader="dot"/>
        </w:tabs>
        <w:spacing w:before="276"/>
        <w:ind w:left="1060" w:right="0" w:firstLine="0"/>
        <w:jc w:val="left"/>
        <w:rPr>
          <w:b/>
          <w:sz w:val="20"/>
        </w:rPr>
      </w:pPr>
      <w:hyperlink w:history="true" w:anchor="_bookmark25">
        <w:r>
          <w:rPr>
            <w:b/>
            <w:sz w:val="20"/>
          </w:rPr>
          <w:t>DDA Group</w:t>
        </w:r>
        <w:r>
          <w:rPr>
            <w:b/>
            <w:spacing w:val="-1"/>
            <w:sz w:val="20"/>
          </w:rPr>
          <w:t> </w:t>
        </w:r>
        <w:r>
          <w:rPr>
            <w:b/>
            <w:sz w:val="20"/>
          </w:rPr>
          <w:t>Supported</w:t>
        </w:r>
        <w:r>
          <w:rPr>
            <w:b/>
            <w:spacing w:val="1"/>
            <w:sz w:val="20"/>
          </w:rPr>
          <w:t> </w:t>
        </w:r>
        <w:r>
          <w:rPr>
            <w:b/>
            <w:sz w:val="20"/>
          </w:rPr>
          <w:t>Employment</w:t>
          <w:tab/>
          <w:t>72</w:t>
        </w:r>
      </w:hyperlink>
    </w:p>
    <w:p>
      <w:pPr>
        <w:tabs>
          <w:tab w:pos="14010" w:val="right" w:leader="dot"/>
        </w:tabs>
        <w:spacing w:before="277"/>
        <w:ind w:left="1060" w:right="0" w:firstLine="0"/>
        <w:jc w:val="left"/>
        <w:rPr>
          <w:b/>
          <w:sz w:val="20"/>
        </w:rPr>
      </w:pPr>
      <w:hyperlink w:history="true" w:anchor="_bookmark26">
        <w:r>
          <w:rPr>
            <w:b/>
            <w:sz w:val="20"/>
          </w:rPr>
          <w:t>DDA</w:t>
        </w:r>
        <w:r>
          <w:rPr>
            <w:b/>
            <w:spacing w:val="-2"/>
            <w:sz w:val="20"/>
          </w:rPr>
          <w:t> </w:t>
        </w:r>
        <w:r>
          <w:rPr>
            <w:b/>
            <w:sz w:val="20"/>
          </w:rPr>
          <w:t>Community</w:t>
        </w:r>
        <w:r>
          <w:rPr>
            <w:b/>
            <w:spacing w:val="-1"/>
            <w:sz w:val="20"/>
          </w:rPr>
          <w:t> </w:t>
        </w:r>
        <w:r>
          <w:rPr>
            <w:b/>
            <w:sz w:val="20"/>
          </w:rPr>
          <w:t>Inclusion</w:t>
          <w:tab/>
          <w:t>84</w:t>
        </w:r>
      </w:hyperlink>
    </w:p>
    <w:p>
      <w:pPr>
        <w:tabs>
          <w:tab w:pos="14010" w:val="right" w:leader="dot"/>
        </w:tabs>
        <w:spacing w:before="277"/>
        <w:ind w:left="1060" w:right="0" w:firstLine="0"/>
        <w:jc w:val="left"/>
        <w:rPr>
          <w:b/>
          <w:sz w:val="20"/>
        </w:rPr>
      </w:pPr>
      <w:hyperlink w:history="true" w:anchor="_bookmark27">
        <w:r>
          <w:rPr>
            <w:b/>
            <w:sz w:val="20"/>
          </w:rPr>
          <w:t>Community</w:t>
        </w:r>
        <w:r>
          <w:rPr>
            <w:b/>
            <w:spacing w:val="-2"/>
            <w:sz w:val="20"/>
          </w:rPr>
          <w:t> </w:t>
        </w:r>
        <w:r>
          <w:rPr>
            <w:b/>
            <w:sz w:val="20"/>
          </w:rPr>
          <w:t>Healthcare Providers</w:t>
          <w:tab/>
          <w:t>87</w:t>
        </w:r>
      </w:hyperlink>
    </w:p>
    <w:p>
      <w:pPr>
        <w:tabs>
          <w:tab w:pos="14010" w:val="right" w:leader="dot"/>
        </w:tabs>
        <w:spacing w:before="276"/>
        <w:ind w:left="1060" w:right="0" w:firstLine="0"/>
        <w:jc w:val="left"/>
        <w:rPr>
          <w:b/>
          <w:sz w:val="20"/>
        </w:rPr>
      </w:pPr>
      <w:hyperlink w:history="true" w:anchor="_bookmark28">
        <w:r>
          <w:rPr>
            <w:b/>
            <w:sz w:val="20"/>
          </w:rPr>
          <w:t>Dental</w:t>
        </w:r>
        <w:r>
          <w:rPr>
            <w:b/>
            <w:spacing w:val="-2"/>
            <w:sz w:val="20"/>
          </w:rPr>
          <w:t> </w:t>
        </w:r>
        <w:r>
          <w:rPr>
            <w:b/>
            <w:sz w:val="20"/>
          </w:rPr>
          <w:t>Providers</w:t>
          <w:tab/>
          <w:t>89</w:t>
        </w:r>
      </w:hyperlink>
    </w:p>
    <w:p>
      <w:pPr>
        <w:tabs>
          <w:tab w:pos="14010" w:val="right" w:leader="dot"/>
        </w:tabs>
        <w:spacing w:before="277"/>
        <w:ind w:left="1060" w:right="0" w:firstLine="0"/>
        <w:jc w:val="left"/>
        <w:rPr>
          <w:b/>
          <w:sz w:val="20"/>
        </w:rPr>
      </w:pPr>
      <w:hyperlink w:history="true" w:anchor="_bookmark29">
        <w:r>
          <w:rPr>
            <w:b/>
            <w:sz w:val="20"/>
          </w:rPr>
          <w:t>DDA Behavioral Health Crisis Bed</w:t>
        </w:r>
        <w:r>
          <w:rPr>
            <w:b/>
            <w:spacing w:val="1"/>
            <w:sz w:val="20"/>
          </w:rPr>
          <w:t> </w:t>
        </w:r>
        <w:r>
          <w:rPr>
            <w:b/>
            <w:sz w:val="20"/>
          </w:rPr>
          <w:t>Diversion</w:t>
        </w:r>
        <w:r>
          <w:rPr>
            <w:b/>
            <w:spacing w:val="1"/>
            <w:sz w:val="20"/>
          </w:rPr>
          <w:t> </w:t>
        </w:r>
        <w:r>
          <w:rPr>
            <w:b/>
            <w:sz w:val="20"/>
          </w:rPr>
          <w:t>Services</w:t>
          <w:tab/>
          <w:t>91</w:t>
        </w:r>
      </w:hyperlink>
    </w:p>
    <w:p>
      <w:pPr>
        <w:tabs>
          <w:tab w:pos="14007" w:val="right" w:leader="dot"/>
        </w:tabs>
        <w:spacing w:before="277"/>
        <w:ind w:left="1060" w:right="0" w:firstLine="0"/>
        <w:jc w:val="left"/>
        <w:rPr>
          <w:b/>
          <w:sz w:val="20"/>
        </w:rPr>
      </w:pPr>
      <w:hyperlink w:history="true" w:anchor="_bookmark30">
        <w:r>
          <w:rPr>
            <w:b/>
            <w:sz w:val="20"/>
          </w:rPr>
          <w:t>DDA Specialized</w:t>
        </w:r>
        <w:r>
          <w:rPr>
            <w:b/>
            <w:spacing w:val="-1"/>
            <w:sz w:val="20"/>
          </w:rPr>
          <w:t> </w:t>
        </w:r>
        <w:r>
          <w:rPr>
            <w:b/>
            <w:sz w:val="20"/>
          </w:rPr>
          <w:t>Psychiatric</w:t>
        </w:r>
        <w:r>
          <w:rPr>
            <w:b/>
            <w:spacing w:val="1"/>
            <w:sz w:val="20"/>
          </w:rPr>
          <w:t> </w:t>
        </w:r>
        <w:r>
          <w:rPr>
            <w:b/>
            <w:sz w:val="20"/>
          </w:rPr>
          <w:t>Services</w:t>
          <w:tab/>
          <w:t>102</w:t>
        </w:r>
      </w:hyperlink>
    </w:p>
    <w:p>
      <w:pPr>
        <w:tabs>
          <w:tab w:pos="14007" w:val="right" w:leader="dot"/>
        </w:tabs>
        <w:spacing w:before="276"/>
        <w:ind w:left="1060" w:right="0" w:firstLine="0"/>
        <w:jc w:val="left"/>
        <w:rPr>
          <w:b/>
          <w:sz w:val="20"/>
        </w:rPr>
      </w:pPr>
      <w:hyperlink w:history="true" w:anchor="_bookmark31">
        <w:r>
          <w:rPr>
            <w:b/>
            <w:sz w:val="20"/>
          </w:rPr>
          <w:t>DDA Positive Behavior Support</w:t>
        </w:r>
        <w:r>
          <w:rPr>
            <w:b/>
            <w:spacing w:val="-1"/>
            <w:sz w:val="20"/>
          </w:rPr>
          <w:t> </w:t>
        </w:r>
        <w:r>
          <w:rPr>
            <w:b/>
            <w:sz w:val="20"/>
          </w:rPr>
          <w:t>and</w:t>
        </w:r>
        <w:r>
          <w:rPr>
            <w:b/>
            <w:spacing w:val="1"/>
            <w:sz w:val="20"/>
          </w:rPr>
          <w:t> </w:t>
        </w:r>
        <w:r>
          <w:rPr>
            <w:b/>
            <w:sz w:val="20"/>
          </w:rPr>
          <w:t>Consultation</w:t>
          <w:tab/>
          <w:t>105</w:t>
        </w:r>
      </w:hyperlink>
    </w:p>
    <w:p>
      <w:pPr>
        <w:pStyle w:val="BodyText"/>
        <w:rPr>
          <w:b/>
          <w:sz w:val="20"/>
        </w:rPr>
      </w:pPr>
    </w:p>
    <w:p>
      <w:pPr>
        <w:pStyle w:val="BodyText"/>
        <w:spacing w:before="5"/>
        <w:rPr>
          <w:b/>
          <w:sz w:val="15"/>
        </w:rPr>
      </w:pPr>
      <w:r>
        <w:rPr/>
        <w:pict>
          <v:shape style="position:absolute;margin-left:70.559998pt;margin-top:11.654461pt;width:650.9pt;height:.1pt;mso-position-horizontal-relative:page;mso-position-vertical-relative:paragraph;z-index:-251654144;mso-wrap-distance-left:0;mso-wrap-distance-right:0" coordorigin="1411,233" coordsize="13018,0" path="m1411,233l14429,233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1"/>
        <w:rPr>
          <w:b/>
          <w:sz w:val="11"/>
        </w:rPr>
      </w:pPr>
    </w:p>
    <w:p>
      <w:pPr>
        <w:tabs>
          <w:tab w:pos="14007" w:val="right" w:leader="dot"/>
        </w:tabs>
        <w:spacing w:before="59"/>
        <w:ind w:left="1060" w:right="0" w:firstLine="0"/>
        <w:jc w:val="left"/>
        <w:rPr>
          <w:b/>
          <w:sz w:val="20"/>
        </w:rPr>
      </w:pPr>
      <w:hyperlink w:history="true" w:anchor="_bookmark32">
        <w:r>
          <w:rPr>
            <w:b/>
            <w:sz w:val="20"/>
          </w:rPr>
          <w:t>DDA Community Crisis</w:t>
        </w:r>
        <w:r>
          <w:rPr>
            <w:b/>
            <w:spacing w:val="-3"/>
            <w:sz w:val="20"/>
          </w:rPr>
          <w:t> </w:t>
        </w:r>
        <w:r>
          <w:rPr>
            <w:b/>
            <w:sz w:val="20"/>
          </w:rPr>
          <w:t>Stabilization</w:t>
        </w:r>
        <w:r>
          <w:rPr>
            <w:b/>
            <w:spacing w:val="1"/>
            <w:sz w:val="20"/>
          </w:rPr>
          <w:t> </w:t>
        </w:r>
        <w:r>
          <w:rPr>
            <w:b/>
            <w:sz w:val="20"/>
          </w:rPr>
          <w:t>Services</w:t>
          <w:tab/>
          <w:t>108</w:t>
        </w:r>
      </w:hyperlink>
    </w:p>
    <w:p>
      <w:pPr>
        <w:tabs>
          <w:tab w:pos="14007" w:val="right" w:leader="dot"/>
        </w:tabs>
        <w:spacing w:before="277"/>
        <w:ind w:left="1060" w:right="0" w:firstLine="0"/>
        <w:jc w:val="left"/>
        <w:rPr>
          <w:b/>
          <w:sz w:val="20"/>
        </w:rPr>
      </w:pPr>
      <w:hyperlink w:history="true" w:anchor="_bookmark33">
        <w:r>
          <w:rPr>
            <w:b/>
            <w:sz w:val="20"/>
          </w:rPr>
          <w:t>Vehicle</w:t>
        </w:r>
        <w:r>
          <w:rPr>
            <w:b/>
            <w:spacing w:val="-1"/>
            <w:sz w:val="20"/>
          </w:rPr>
          <w:t> </w:t>
        </w:r>
        <w:r>
          <w:rPr>
            <w:b/>
            <w:sz w:val="20"/>
          </w:rPr>
          <w:t>Modification</w:t>
        </w:r>
        <w:r>
          <w:rPr>
            <w:b/>
            <w:spacing w:val="1"/>
            <w:sz w:val="20"/>
          </w:rPr>
          <w:t> </w:t>
        </w:r>
        <w:r>
          <w:rPr>
            <w:b/>
            <w:sz w:val="20"/>
          </w:rPr>
          <w:t>Providers</w:t>
          <w:tab/>
          <w:t>120</w:t>
        </w:r>
      </w:hyperlink>
    </w:p>
    <w:p>
      <w:pPr>
        <w:tabs>
          <w:tab w:pos="14007" w:val="right" w:leader="dot"/>
        </w:tabs>
        <w:spacing w:before="277"/>
        <w:ind w:left="1060" w:right="0" w:firstLine="0"/>
        <w:jc w:val="left"/>
        <w:rPr>
          <w:b/>
          <w:sz w:val="20"/>
        </w:rPr>
      </w:pPr>
      <w:hyperlink w:history="true" w:anchor="_bookmark34">
        <w:r>
          <w:rPr>
            <w:b/>
            <w:sz w:val="20"/>
          </w:rPr>
          <w:t>Veterinarians for Service Animals</w:t>
          <w:tab/>
          <w:t>122</w:t>
        </w:r>
      </w:hyperlink>
    </w:p>
    <w:p>
      <w:pPr>
        <w:tabs>
          <w:tab w:pos="14007" w:val="right" w:leader="dot"/>
        </w:tabs>
        <w:spacing w:before="276"/>
        <w:ind w:left="1060" w:right="0" w:firstLine="0"/>
        <w:jc w:val="left"/>
        <w:rPr>
          <w:b/>
          <w:sz w:val="20"/>
        </w:rPr>
      </w:pPr>
      <w:hyperlink w:history="true" w:anchor="_bookmark35">
        <w:r>
          <w:rPr>
            <w:b/>
            <w:sz w:val="20"/>
          </w:rPr>
          <w:t>Transportation Providers</w:t>
          <w:tab/>
          <w:t>124</w:t>
        </w:r>
      </w:hyperlink>
    </w:p>
    <w:p>
      <w:pPr>
        <w:tabs>
          <w:tab w:pos="14008" w:val="right" w:leader="dot"/>
        </w:tabs>
        <w:spacing w:before="277"/>
        <w:ind w:left="1060" w:right="0" w:firstLine="0"/>
        <w:jc w:val="left"/>
        <w:rPr>
          <w:b/>
          <w:sz w:val="20"/>
        </w:rPr>
      </w:pPr>
      <w:hyperlink w:history="true" w:anchor="_bookmark36">
        <w:r>
          <w:rPr>
            <w:b/>
            <w:sz w:val="20"/>
          </w:rPr>
          <w:t>DDA Group</w:t>
        </w:r>
        <w:r>
          <w:rPr>
            <w:b/>
            <w:spacing w:val="-1"/>
            <w:sz w:val="20"/>
          </w:rPr>
          <w:t> </w:t>
        </w:r>
        <w:r>
          <w:rPr>
            <w:b/>
            <w:sz w:val="20"/>
          </w:rPr>
          <w:t>Training</w:t>
        </w:r>
        <w:r>
          <w:rPr>
            <w:b/>
            <w:spacing w:val="-1"/>
            <w:sz w:val="20"/>
          </w:rPr>
          <w:t> </w:t>
        </w:r>
        <w:r>
          <w:rPr>
            <w:b/>
            <w:sz w:val="20"/>
          </w:rPr>
          <w:t>Homes</w:t>
          <w:tab/>
          <w:t>126</w:t>
        </w:r>
      </w:hyperlink>
    </w:p>
    <w:p>
      <w:pPr>
        <w:tabs>
          <w:tab w:pos="14007" w:val="right" w:leader="dot"/>
        </w:tabs>
        <w:spacing w:before="277"/>
        <w:ind w:left="1060" w:right="0" w:firstLine="0"/>
        <w:jc w:val="left"/>
        <w:rPr>
          <w:b/>
          <w:sz w:val="20"/>
        </w:rPr>
      </w:pPr>
      <w:hyperlink w:history="true" w:anchor="_bookmark37">
        <w:r>
          <w:rPr>
            <w:b/>
            <w:sz w:val="20"/>
          </w:rPr>
          <w:t>DDA</w:t>
        </w:r>
        <w:r>
          <w:rPr>
            <w:b/>
            <w:spacing w:val="-2"/>
            <w:sz w:val="20"/>
          </w:rPr>
          <w:t> </w:t>
        </w:r>
        <w:r>
          <w:rPr>
            <w:b/>
            <w:sz w:val="20"/>
          </w:rPr>
          <w:t>Companion</w:t>
        </w:r>
        <w:r>
          <w:rPr>
            <w:b/>
            <w:spacing w:val="1"/>
            <w:sz w:val="20"/>
          </w:rPr>
          <w:t> </w:t>
        </w:r>
        <w:r>
          <w:rPr>
            <w:b/>
            <w:sz w:val="20"/>
          </w:rPr>
          <w:t>Homes</w:t>
          <w:tab/>
          <w:t>139</w:t>
        </w:r>
      </w:hyperlink>
    </w:p>
    <w:p>
      <w:pPr>
        <w:tabs>
          <w:tab w:pos="14007" w:val="right" w:leader="dot"/>
        </w:tabs>
        <w:spacing w:before="276"/>
        <w:ind w:left="1060" w:right="0" w:firstLine="0"/>
        <w:jc w:val="left"/>
        <w:rPr>
          <w:b/>
          <w:sz w:val="20"/>
        </w:rPr>
      </w:pPr>
      <w:hyperlink w:history="true" w:anchor="_bookmark38">
        <w:r>
          <w:rPr>
            <w:b/>
            <w:sz w:val="20"/>
          </w:rPr>
          <w:t>DDA</w:t>
        </w:r>
        <w:r>
          <w:rPr>
            <w:b/>
            <w:spacing w:val="-2"/>
            <w:sz w:val="20"/>
          </w:rPr>
          <w:t> </w:t>
        </w:r>
        <w:r>
          <w:rPr>
            <w:b/>
            <w:sz w:val="20"/>
          </w:rPr>
          <w:t>Pre-Vocational</w:t>
        </w:r>
        <w:r>
          <w:rPr>
            <w:b/>
            <w:spacing w:val="1"/>
            <w:sz w:val="20"/>
          </w:rPr>
          <w:t> </w:t>
        </w:r>
        <w:r>
          <w:rPr>
            <w:b/>
            <w:sz w:val="20"/>
          </w:rPr>
          <w:t>Services</w:t>
          <w:tab/>
          <w:t>149</w:t>
        </w:r>
      </w:hyperlink>
    </w:p>
    <w:p>
      <w:pPr>
        <w:pStyle w:val="Heading2"/>
        <w:tabs>
          <w:tab w:pos="14012" w:val="right" w:leader="dot"/>
        </w:tabs>
        <w:spacing w:before="395"/>
        <w:jc w:val="left"/>
      </w:pPr>
      <w:hyperlink w:history="true" w:anchor="_bookmark39">
        <w:r>
          <w:rPr/>
          <w:t>APPENDIX B: SITE</w:t>
        </w:r>
        <w:r>
          <w:rPr>
            <w:spacing w:val="-3"/>
          </w:rPr>
          <w:t> </w:t>
        </w:r>
        <w:r>
          <w:rPr/>
          <w:t>SPECIFIC</w:t>
        </w:r>
        <w:r>
          <w:rPr>
            <w:spacing w:val="1"/>
          </w:rPr>
          <w:t> </w:t>
        </w:r>
        <w:r>
          <w:rPr/>
          <w:t>ASSESSMENT</w:t>
          <w:tab/>
          <w:t>159</w:t>
        </w:r>
      </w:hyperlink>
    </w:p>
    <w:p>
      <w:pPr>
        <w:tabs>
          <w:tab w:pos="14007" w:val="right" w:leader="dot"/>
        </w:tabs>
        <w:spacing w:before="285"/>
        <w:ind w:left="1060" w:right="0" w:firstLine="0"/>
        <w:jc w:val="left"/>
        <w:rPr>
          <w:b/>
          <w:sz w:val="20"/>
        </w:rPr>
      </w:pPr>
      <w:hyperlink w:history="true" w:anchor="_bookmark41">
        <w:r>
          <w:rPr>
            <w:b/>
            <w:sz w:val="20"/>
          </w:rPr>
          <w:t>Ongoing evaluation of all settings for</w:t>
        </w:r>
        <w:r>
          <w:rPr>
            <w:b/>
            <w:spacing w:val="-2"/>
            <w:sz w:val="20"/>
          </w:rPr>
          <w:t> </w:t>
        </w:r>
        <w:r>
          <w:rPr>
            <w:b/>
            <w:sz w:val="20"/>
          </w:rPr>
          <w:t>HCBS</w:t>
        </w:r>
        <w:r>
          <w:rPr>
            <w:b/>
            <w:spacing w:val="-1"/>
            <w:sz w:val="20"/>
          </w:rPr>
          <w:t> </w:t>
        </w:r>
        <w:r>
          <w:rPr>
            <w:b/>
            <w:sz w:val="20"/>
          </w:rPr>
          <w:t>characteristics</w:t>
          <w:tab/>
          <w:t>168</w:t>
        </w:r>
      </w:hyperlink>
    </w:p>
    <w:p>
      <w:pPr>
        <w:tabs>
          <w:tab w:pos="14008" w:val="right" w:leader="dot"/>
        </w:tabs>
        <w:spacing w:before="277"/>
        <w:ind w:left="1060" w:right="0" w:firstLine="0"/>
        <w:jc w:val="left"/>
        <w:rPr>
          <w:b/>
          <w:sz w:val="20"/>
        </w:rPr>
      </w:pPr>
      <w:hyperlink w:history="true" w:anchor="_bookmark42">
        <w:r>
          <w:rPr>
            <w:b/>
            <w:sz w:val="20"/>
          </w:rPr>
          <w:t>Ongoing Identification and Review of Settings for</w:t>
        </w:r>
        <w:r>
          <w:rPr>
            <w:b/>
            <w:spacing w:val="-1"/>
            <w:sz w:val="20"/>
          </w:rPr>
          <w:t> </w:t>
        </w:r>
        <w:r>
          <w:rPr>
            <w:b/>
            <w:sz w:val="20"/>
          </w:rPr>
          <w:t>Heightened</w:t>
        </w:r>
        <w:r>
          <w:rPr>
            <w:b/>
            <w:spacing w:val="1"/>
            <w:sz w:val="20"/>
          </w:rPr>
          <w:t> </w:t>
        </w:r>
        <w:r>
          <w:rPr>
            <w:b/>
            <w:sz w:val="20"/>
          </w:rPr>
          <w:t>Scrutiny</w:t>
          <w:tab/>
          <w:t>176</w:t>
        </w:r>
      </w:hyperlink>
    </w:p>
    <w:p>
      <w:pPr>
        <w:pStyle w:val="Heading2"/>
        <w:tabs>
          <w:tab w:pos="14012" w:val="right" w:leader="dot"/>
        </w:tabs>
        <w:spacing w:before="394"/>
        <w:jc w:val="left"/>
      </w:pPr>
      <w:hyperlink w:history="true" w:anchor="_bookmark43">
        <w:r>
          <w:rPr/>
          <w:t>APPENDIX C:  STATE’S REMEDIAL WORK PLAN</w:t>
        </w:r>
        <w:r>
          <w:rPr>
            <w:spacing w:val="-3"/>
          </w:rPr>
          <w:t> </w:t>
        </w:r>
        <w:r>
          <w:rPr/>
          <w:t>AND</w:t>
        </w:r>
        <w:r>
          <w:rPr>
            <w:spacing w:val="1"/>
          </w:rPr>
          <w:t> </w:t>
        </w:r>
        <w:r>
          <w:rPr/>
          <w:t>TIMELINES</w:t>
          <w:tab/>
          <w:t>177</w:t>
        </w:r>
      </w:hyperlink>
    </w:p>
    <w:p>
      <w:pPr>
        <w:pStyle w:val="Heading2"/>
        <w:tabs>
          <w:tab w:pos="14012" w:val="right" w:leader="dot"/>
        </w:tabs>
        <w:spacing w:before="406"/>
        <w:jc w:val="left"/>
      </w:pPr>
      <w:hyperlink w:history="true" w:anchor="_bookmark44">
        <w:r>
          <w:rPr/>
          <w:t>APPENDIX D:  COMMENTS RECEIVED BY ALTSA</w:t>
        </w:r>
        <w:r>
          <w:rPr>
            <w:spacing w:val="-2"/>
          </w:rPr>
          <w:t> </w:t>
        </w:r>
        <w:r>
          <w:rPr/>
          <w:t>AND DDA</w:t>
          <w:tab/>
          <w:t>192</w:t>
        </w:r>
      </w:hyperlink>
    </w:p>
    <w:p>
      <w:pPr>
        <w:pStyle w:val="Heading2"/>
        <w:tabs>
          <w:tab w:pos="14012" w:val="right" w:leader="dot"/>
        </w:tabs>
        <w:spacing w:before="283"/>
        <w:jc w:val="left"/>
      </w:pPr>
      <w:hyperlink w:history="true" w:anchor="_bookmark45">
        <w:r>
          <w:rPr/>
          <w:t>APPENDIX</w:t>
        </w:r>
        <w:r>
          <w:rPr>
            <w:spacing w:val="-1"/>
          </w:rPr>
          <w:t> </w:t>
        </w:r>
        <w:r>
          <w:rPr/>
          <w:t>E:  ATTACHMENTS</w:t>
          <w:tab/>
          <w:t>193</w:t>
        </w:r>
      </w:hyperlink>
    </w:p>
    <w:p>
      <w:pPr>
        <w:tabs>
          <w:tab w:pos="14007" w:val="right" w:leader="dot"/>
        </w:tabs>
        <w:spacing w:before="285"/>
        <w:ind w:left="1060" w:right="0" w:firstLine="0"/>
        <w:jc w:val="left"/>
        <w:rPr>
          <w:b/>
          <w:sz w:val="20"/>
        </w:rPr>
      </w:pPr>
      <w:hyperlink w:history="true" w:anchor="_bookmark46">
        <w:r>
          <w:rPr>
            <w:b/>
            <w:sz w:val="20"/>
          </w:rPr>
          <w:t>Letter Sent to Participants Regarding their</w:t>
        </w:r>
        <w:r>
          <w:rPr>
            <w:b/>
            <w:spacing w:val="1"/>
            <w:sz w:val="20"/>
          </w:rPr>
          <w:t> </w:t>
        </w:r>
        <w:r>
          <w:rPr>
            <w:b/>
            <w:sz w:val="20"/>
          </w:rPr>
          <w:t>Rights</w:t>
          <w:tab/>
          <w:t>193</w:t>
        </w:r>
      </w:hyperlink>
    </w:p>
    <w:p>
      <w:pPr>
        <w:tabs>
          <w:tab w:pos="14007" w:val="right" w:leader="dot"/>
        </w:tabs>
        <w:spacing w:before="396"/>
        <w:ind w:left="1060" w:right="0" w:firstLine="0"/>
        <w:jc w:val="left"/>
        <w:rPr>
          <w:b/>
          <w:sz w:val="20"/>
        </w:rPr>
      </w:pPr>
      <w:hyperlink w:history="true" w:anchor="_bookmark47">
        <w:r>
          <w:rPr>
            <w:b/>
            <w:sz w:val="20"/>
          </w:rPr>
          <w:t>LONG-TERM CARE WORKER ORIENTATION TRAINING (UPDATED</w:t>
        </w:r>
        <w:r>
          <w:rPr>
            <w:b/>
            <w:spacing w:val="2"/>
            <w:sz w:val="20"/>
          </w:rPr>
          <w:t> </w:t>
        </w:r>
        <w:r>
          <w:rPr>
            <w:b/>
            <w:sz w:val="20"/>
          </w:rPr>
          <w:t>1/15/16)</w:t>
          <w:tab/>
          <w:t>196</w:t>
        </w:r>
      </w:hyperlink>
    </w:p>
    <w:p>
      <w:pPr>
        <w:pStyle w:val="BodyText"/>
        <w:rPr>
          <w:b/>
          <w:sz w:val="20"/>
        </w:rPr>
      </w:pPr>
    </w:p>
    <w:p>
      <w:pPr>
        <w:pStyle w:val="BodyText"/>
        <w:rPr>
          <w:b/>
          <w:sz w:val="20"/>
        </w:rPr>
      </w:pPr>
    </w:p>
    <w:p>
      <w:pPr>
        <w:pStyle w:val="BodyText"/>
        <w:rPr>
          <w:b/>
          <w:sz w:val="20"/>
        </w:rPr>
      </w:pPr>
    </w:p>
    <w:p>
      <w:pPr>
        <w:pStyle w:val="BodyText"/>
        <w:spacing w:before="7"/>
        <w:rPr>
          <w:b/>
          <w:sz w:val="17"/>
        </w:rPr>
      </w:pPr>
      <w:r>
        <w:rPr/>
        <w:pict>
          <v:shape style="position:absolute;margin-left:70.559998pt;margin-top:12.930243pt;width:650.9pt;height:.1pt;mso-position-horizontal-relative:page;mso-position-vertical-relative:paragraph;z-index:-251653120;mso-wrap-distance-left:0;mso-wrap-distance-right:0" coordorigin="1411,259" coordsize="13018,0" path="m1411,259l14429,259e" filled="false" stroked="true" strokeweight=".481pt" strokecolor="#d9d9d9">
            <v:path arrowok="t"/>
            <v:stroke dashstyle="solid"/>
            <w10:wrap type="topAndBottom"/>
          </v:shape>
        </w:pict>
      </w:r>
    </w:p>
    <w:p>
      <w:pPr>
        <w:spacing w:after="0"/>
        <w:rPr>
          <w:sz w:val="17"/>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4"/>
        <w:rPr>
          <w:b/>
          <w:sz w:val="12"/>
        </w:rPr>
      </w:pPr>
    </w:p>
    <w:sdt>
      <w:sdtPr>
        <w:docPartObj>
          <w:docPartGallery w:val="Table of Contents"/>
          <w:docPartUnique/>
        </w:docPartObj>
      </w:sdtPr>
      <w:sdtEndPr/>
      <w:sdtContent>
        <w:p>
          <w:pPr>
            <w:pStyle w:val="TOC1"/>
            <w:tabs>
              <w:tab w:pos="14012" w:val="right" w:leader="dot"/>
            </w:tabs>
          </w:pPr>
          <w:hyperlink w:history="true" w:anchor="_bookmark48">
            <w:r>
              <w:rPr/>
              <w:t>ATTACHMENTS TO THE MILESTONES COMPLETED IN</w:t>
            </w:r>
            <w:r>
              <w:rPr>
                <w:spacing w:val="-11"/>
              </w:rPr>
              <w:t> </w:t>
            </w:r>
            <w:r>
              <w:rPr/>
              <w:t>APPENDIX C</w:t>
              <w:tab/>
              <w:t>197</w:t>
            </w:r>
          </w:hyperlink>
        </w:p>
        <w:p>
          <w:pPr>
            <w:pStyle w:val="TOC2"/>
            <w:tabs>
              <w:tab w:pos="14007" w:val="right" w:leader="dot"/>
            </w:tabs>
            <w:spacing w:before="285"/>
          </w:pPr>
          <w:hyperlink w:history="true" w:anchor="_bookmark49">
            <w:r>
              <w:rPr/>
              <w:t>DDA</w:t>
            </w:r>
            <w:r>
              <w:rPr>
                <w:spacing w:val="-2"/>
              </w:rPr>
              <w:t> </w:t>
            </w:r>
            <w:r>
              <w:rPr/>
              <w:t>Policy</w:t>
            </w:r>
            <w:r>
              <w:rPr>
                <w:spacing w:val="-1"/>
              </w:rPr>
              <w:t> </w:t>
            </w:r>
            <w:r>
              <w:rPr/>
              <w:t>4.02</w:t>
              <w:tab/>
              <w:t>197</w:t>
            </w:r>
          </w:hyperlink>
        </w:p>
        <w:p>
          <w:pPr>
            <w:pStyle w:val="TOC2"/>
            <w:tabs>
              <w:tab w:pos="14007" w:val="right" w:leader="dot"/>
            </w:tabs>
          </w:pPr>
          <w:hyperlink w:history="true" w:anchor="_bookmark50">
            <w:r>
              <w:rPr/>
              <w:t>Client Service</w:t>
            </w:r>
            <w:r>
              <w:rPr>
                <w:spacing w:val="-1"/>
              </w:rPr>
              <w:t> </w:t>
            </w:r>
            <w:r>
              <w:rPr/>
              <w:t>Summary</w:t>
            </w:r>
            <w:r>
              <w:rPr>
                <w:spacing w:val="-1"/>
              </w:rPr>
              <w:t> </w:t>
            </w:r>
            <w:r>
              <w:rPr/>
              <w:t>Excerpt</w:t>
              <w:tab/>
              <w:t>206</w:t>
            </w:r>
          </w:hyperlink>
        </w:p>
        <w:p>
          <w:pPr>
            <w:pStyle w:val="TOC2"/>
            <w:tabs>
              <w:tab w:pos="14007" w:val="right" w:leader="dot"/>
            </w:tabs>
            <w:spacing w:before="276"/>
          </w:pPr>
          <w:hyperlink w:history="true" w:anchor="_bookmark52">
            <w:r>
              <w:rPr/>
              <w:t>Excerpt from Client Service Contract for Companion</w:t>
            </w:r>
            <w:r>
              <w:rPr>
                <w:spacing w:val="-1"/>
              </w:rPr>
              <w:t> </w:t>
            </w:r>
            <w:r>
              <w:rPr/>
              <w:t>Home</w:t>
            </w:r>
            <w:r>
              <w:rPr>
                <w:spacing w:val="-2"/>
              </w:rPr>
              <w:t> </w:t>
            </w:r>
            <w:r>
              <w:rPr/>
              <w:t>7-1-2015</w:t>
              <w:tab/>
              <w:t>207</w:t>
            </w:r>
          </w:hyperlink>
        </w:p>
        <w:p>
          <w:pPr>
            <w:pStyle w:val="TOC2"/>
            <w:tabs>
              <w:tab w:pos="14007" w:val="right" w:leader="dot"/>
            </w:tabs>
          </w:pPr>
          <w:hyperlink w:history="true" w:anchor="_bookmark54">
            <w:r>
              <w:rPr/>
              <w:t>Excerpt from Engrossed Substitute Senate</w:t>
            </w:r>
            <w:r>
              <w:rPr>
                <w:spacing w:val="1"/>
              </w:rPr>
              <w:t> </w:t>
            </w:r>
            <w:r>
              <w:rPr/>
              <w:t>Bill</w:t>
            </w:r>
            <w:r>
              <w:rPr>
                <w:spacing w:val="-1"/>
              </w:rPr>
              <w:t> </w:t>
            </w:r>
            <w:r>
              <w:rPr/>
              <w:t>6052</w:t>
              <w:tab/>
              <w:t>215</w:t>
            </w:r>
          </w:hyperlink>
        </w:p>
        <w:p>
          <w:pPr>
            <w:pStyle w:val="TOC2"/>
            <w:tabs>
              <w:tab w:pos="14007" w:val="right" w:leader="dot"/>
            </w:tabs>
          </w:pPr>
          <w:hyperlink w:history="true" w:anchor="_bookmark55">
            <w:r>
              <w:rPr/>
              <w:t>Excerpt from Group Training Home Contract</w:t>
            </w:r>
            <w:r>
              <w:rPr>
                <w:spacing w:val="-1"/>
              </w:rPr>
              <w:t> </w:t>
            </w:r>
            <w:r>
              <w:rPr/>
              <w:t>7-1-2015</w:t>
              <w:tab/>
              <w:t>216</w:t>
            </w:r>
          </w:hyperlink>
        </w:p>
        <w:p>
          <w:pPr>
            <w:pStyle w:val="TOC2"/>
            <w:tabs>
              <w:tab w:pos="14007" w:val="right" w:leader="dot"/>
            </w:tabs>
            <w:spacing w:before="276"/>
          </w:pPr>
          <w:hyperlink w:history="true" w:anchor="_bookmark57">
            <w:r>
              <w:rPr/>
              <w:t>Excerpt from Washington Initiative for Supported Employment</w:t>
            </w:r>
            <w:r>
              <w:rPr>
                <w:spacing w:val="4"/>
              </w:rPr>
              <w:t> </w:t>
            </w:r>
            <w:r>
              <w:rPr/>
              <w:t>(WISE) Contract</w:t>
              <w:tab/>
              <w:t>217</w:t>
            </w:r>
          </w:hyperlink>
        </w:p>
        <w:p>
          <w:pPr>
            <w:pStyle w:val="TOC2"/>
            <w:tabs>
              <w:tab w:pos="14008" w:val="right" w:leader="dot"/>
            </w:tabs>
          </w:pPr>
          <w:hyperlink w:history="true" w:anchor="_bookmark58">
            <w:r>
              <w:rPr/>
              <w:t>R15-047</w:t>
            </w:r>
            <w:r>
              <w:rPr>
                <w:spacing w:val="-1"/>
              </w:rPr>
              <w:t> </w:t>
            </w:r>
            <w:r>
              <w:rPr/>
              <w:t>–</w:t>
            </w:r>
            <w:r>
              <w:rPr>
                <w:spacing w:val="-1"/>
              </w:rPr>
              <w:t> </w:t>
            </w:r>
            <w:r>
              <w:rPr/>
              <w:t>INFORMATION</w:t>
              <w:tab/>
              <w:t>218</w:t>
            </w:r>
          </w:hyperlink>
        </w:p>
        <w:p>
          <w:pPr>
            <w:pStyle w:val="TOC2"/>
            <w:tabs>
              <w:tab w:pos="14007" w:val="right" w:leader="dot"/>
            </w:tabs>
          </w:pPr>
          <w:hyperlink w:history="true" w:anchor="_bookmark59">
            <w:r>
              <w:rPr/>
              <w:t>R15-056</w:t>
            </w:r>
            <w:r>
              <w:rPr>
                <w:spacing w:val="-1"/>
              </w:rPr>
              <w:t> </w:t>
            </w:r>
            <w:r>
              <w:rPr/>
              <w:t>-</w:t>
            </w:r>
            <w:r>
              <w:rPr>
                <w:spacing w:val="-1"/>
              </w:rPr>
              <w:t> </w:t>
            </w:r>
            <w:r>
              <w:rPr/>
              <w:t>INFORMATION</w:t>
              <w:tab/>
              <w:t>220</w:t>
            </w:r>
          </w:hyperlink>
        </w:p>
        <w:p>
          <w:pPr>
            <w:pStyle w:val="TOC2"/>
            <w:tabs>
              <w:tab w:pos="14007" w:val="right" w:leader="dot"/>
            </w:tabs>
            <w:spacing w:before="276"/>
          </w:pPr>
          <w:hyperlink w:history="true" w:anchor="_bookmark60">
            <w:r>
              <w:rPr/>
              <w:t>Resident</w:t>
            </w:r>
            <w:r>
              <w:rPr>
                <w:spacing w:val="-1"/>
              </w:rPr>
              <w:t> </w:t>
            </w:r>
            <w:r>
              <w:rPr/>
              <w:t>Interview Questions</w:t>
              <w:tab/>
              <w:t>222</w:t>
            </w:r>
          </w:hyperlink>
        </w:p>
        <w:p>
          <w:pPr>
            <w:pStyle w:val="TOC2"/>
            <w:tabs>
              <w:tab w:pos="14007" w:val="right" w:leader="dot"/>
            </w:tabs>
          </w:pPr>
          <w:hyperlink w:history="true" w:anchor="_bookmark61">
            <w:r>
              <w:rPr/>
              <w:t>WA.0409</w:t>
              <w:tab/>
              <w:t>232</w:t>
            </w:r>
          </w:hyperlink>
        </w:p>
        <w:p>
          <w:pPr>
            <w:pStyle w:val="TOC2"/>
            <w:tabs>
              <w:tab w:pos="14007" w:val="right" w:leader="dot"/>
            </w:tabs>
          </w:pPr>
          <w:hyperlink w:history="true" w:anchor="_bookmark63">
            <w:r>
              <w:rPr/>
              <w:t>WA.0410</w:t>
              <w:tab/>
              <w:t>235</w:t>
            </w:r>
          </w:hyperlink>
        </w:p>
        <w:p>
          <w:pPr>
            <w:pStyle w:val="TOC2"/>
            <w:tabs>
              <w:tab w:pos="14007" w:val="right" w:leader="dot"/>
            </w:tabs>
            <w:spacing w:before="276"/>
          </w:pPr>
          <w:hyperlink w:history="true" w:anchor="_bookmark64">
            <w:r>
              <w:rPr/>
              <w:t>WA.0411</w:t>
              <w:tab/>
              <w:t>237</w:t>
            </w:r>
          </w:hyperlink>
        </w:p>
        <w:p>
          <w:pPr>
            <w:pStyle w:val="TOC2"/>
            <w:tabs>
              <w:tab w:pos="14007" w:val="right" w:leader="dot"/>
            </w:tabs>
          </w:pPr>
          <w:hyperlink w:history="true" w:anchor="_bookmark65">
            <w:r>
              <w:rPr/>
              <w:t>DDA Residential</w:t>
            </w:r>
            <w:r>
              <w:rPr>
                <w:spacing w:val="-1"/>
              </w:rPr>
              <w:t> </w:t>
            </w:r>
            <w:r>
              <w:rPr/>
              <w:t>Provider</w:t>
            </w:r>
            <w:r>
              <w:rPr>
                <w:spacing w:val="1"/>
              </w:rPr>
              <w:t> </w:t>
            </w:r>
            <w:r>
              <w:rPr/>
              <w:t>Training</w:t>
              <w:tab/>
              <w:t>239</w:t>
            </w:r>
          </w:hyperlink>
        </w:p>
        <w:p>
          <w:pPr>
            <w:pStyle w:val="TOC2"/>
            <w:tabs>
              <w:tab w:pos="14007" w:val="right" w:leader="dot"/>
            </w:tabs>
          </w:pPr>
          <w:hyperlink w:history="true" w:anchor="_bookmark66">
            <w:r>
              <w:rPr/>
              <w:t>ALTSA and DDA</w:t>
            </w:r>
            <w:r>
              <w:rPr>
                <w:spacing w:val="-2"/>
              </w:rPr>
              <w:t> </w:t>
            </w:r>
            <w:r>
              <w:rPr/>
              <w:t>HCBS</w:t>
            </w:r>
            <w:r>
              <w:rPr>
                <w:spacing w:val="2"/>
              </w:rPr>
              <w:t> </w:t>
            </w:r>
            <w:r>
              <w:rPr/>
              <w:t>Settings</w:t>
              <w:tab/>
              <w:t>246</w:t>
            </w:r>
          </w:hyperlink>
        </w:p>
        <w:p>
          <w:pPr>
            <w:pStyle w:val="TOC2"/>
            <w:tabs>
              <w:tab w:pos="14007" w:val="right" w:leader="dot"/>
            </w:tabs>
            <w:spacing w:before="276"/>
          </w:pPr>
          <w:hyperlink w:history="true" w:anchor="_bookmark67">
            <w:r>
              <w:rPr/>
              <w:t>DDA</w:t>
            </w:r>
            <w:r>
              <w:rPr>
                <w:spacing w:val="-2"/>
              </w:rPr>
              <w:t> </w:t>
            </w:r>
            <w:r>
              <w:rPr/>
              <w:t>Policy</w:t>
            </w:r>
            <w:r>
              <w:rPr>
                <w:spacing w:val="-1"/>
              </w:rPr>
              <w:t> </w:t>
            </w:r>
            <w:r>
              <w:rPr/>
              <w:t>4.07</w:t>
              <w:tab/>
              <w:t>249</w:t>
            </w:r>
          </w:hyperlink>
        </w:p>
        <w:p>
          <w:pPr>
            <w:pStyle w:val="TOC2"/>
            <w:tabs>
              <w:tab w:pos="14007" w:val="right" w:leader="dot"/>
            </w:tabs>
          </w:pPr>
          <w:hyperlink w:history="true" w:anchor="_bookmark68">
            <w:r>
              <w:rPr/>
              <w:t>Client Rights WAC Revision Proposal </w:t>
            </w:r>
            <w:r>
              <w:rPr>
                <w:spacing w:val="1"/>
              </w:rPr>
              <w:t> </w:t>
            </w:r>
            <w:r>
              <w:rPr/>
              <w:t>updated 10-18-16</w:t>
              <w:tab/>
              <w:t>260</w:t>
            </w:r>
          </w:hyperlink>
        </w:p>
        <w:p>
          <w:pPr>
            <w:pStyle w:val="TOC2"/>
            <w:tabs>
              <w:tab w:pos="14007" w:val="right" w:leader="dot"/>
            </w:tabs>
          </w:pPr>
          <w:r>
            <w:rPr/>
            <w:pict>
              <v:shape style="position:absolute;margin-left:70.559998pt;margin-top:29.850983pt;width:650.9pt;height:.1pt;mso-position-horizontal-relative:page;mso-position-vertical-relative:paragraph;z-index:-251652096;mso-wrap-distance-left:0;mso-wrap-distance-right:0" coordorigin="1411,597" coordsize="13018,0" path="m1411,597l14429,597e" filled="false" stroked="true" strokeweight=".481pt" strokecolor="#d9d9d9">
                <v:path arrowok="t"/>
                <v:stroke dashstyle="solid"/>
                <w10:wrap type="topAndBottom"/>
              </v:shape>
            </w:pict>
          </w:r>
          <w:hyperlink w:history="true" w:anchor="_bookmark69">
            <w:r>
              <w:rPr/>
              <w:t>Public Notification of Revised</w:t>
            </w:r>
            <w:r>
              <w:rPr>
                <w:spacing w:val="3"/>
              </w:rPr>
              <w:t> </w:t>
            </w:r>
            <w:r>
              <w:rPr/>
              <w:t>STP</w:t>
              <w:tab/>
              <w:t>262</w:t>
            </w:r>
          </w:hyperlink>
        </w:p>
      </w:sdtContent>
    </w:sdt>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1"/>
        <w:rPr>
          <w:b/>
          <w:sz w:val="11"/>
        </w:rPr>
      </w:pPr>
    </w:p>
    <w:p>
      <w:pPr>
        <w:tabs>
          <w:tab w:pos="14007" w:val="right" w:leader="dot"/>
        </w:tabs>
        <w:spacing w:before="59"/>
        <w:ind w:left="1060" w:right="0" w:firstLine="0"/>
        <w:jc w:val="left"/>
        <w:rPr>
          <w:b/>
          <w:sz w:val="20"/>
        </w:rPr>
      </w:pPr>
      <w:hyperlink w:history="true" w:anchor="_bookmark70">
        <w:r>
          <w:rPr>
            <w:b/>
            <w:sz w:val="20"/>
          </w:rPr>
          <w:t>Public Notification of Revised</w:t>
        </w:r>
        <w:r>
          <w:rPr>
            <w:b/>
            <w:spacing w:val="3"/>
            <w:sz w:val="20"/>
          </w:rPr>
          <w:t> </w:t>
        </w:r>
        <w:r>
          <w:rPr>
            <w:b/>
            <w:sz w:val="20"/>
          </w:rPr>
          <w:t>STP</w:t>
          <w:tab/>
          <w:t>263</w:t>
        </w:r>
      </w:hyperlink>
    </w:p>
    <w:p>
      <w:pPr>
        <w:tabs>
          <w:tab w:pos="14007" w:val="right" w:leader="dot"/>
        </w:tabs>
        <w:spacing w:before="277"/>
        <w:ind w:left="1060" w:right="0" w:firstLine="0"/>
        <w:jc w:val="left"/>
        <w:rPr>
          <w:b/>
          <w:sz w:val="20"/>
        </w:rPr>
      </w:pPr>
      <w:hyperlink w:history="true" w:anchor="_bookmark71">
        <w:r>
          <w:rPr>
            <w:b/>
            <w:sz w:val="20"/>
          </w:rPr>
          <w:t>STP Tribal</w:t>
        </w:r>
        <w:r>
          <w:rPr>
            <w:b/>
            <w:spacing w:val="-3"/>
            <w:sz w:val="20"/>
          </w:rPr>
          <w:t> </w:t>
        </w:r>
        <w:r>
          <w:rPr>
            <w:b/>
            <w:sz w:val="20"/>
          </w:rPr>
          <w:t>Notification</w:t>
        </w:r>
        <w:r>
          <w:rPr>
            <w:b/>
            <w:spacing w:val="1"/>
            <w:sz w:val="20"/>
          </w:rPr>
          <w:t> </w:t>
        </w:r>
        <w:r>
          <w:rPr>
            <w:b/>
            <w:sz w:val="20"/>
          </w:rPr>
          <w:t>Letter</w:t>
          <w:tab/>
          <w:t>266</w:t>
        </w:r>
      </w:hyperlink>
    </w:p>
    <w:p>
      <w:pPr>
        <w:tabs>
          <w:tab w:pos="14007" w:val="right" w:leader="dot"/>
        </w:tabs>
        <w:spacing w:before="277"/>
        <w:ind w:left="1060" w:right="0" w:firstLine="0"/>
        <w:jc w:val="left"/>
        <w:rPr>
          <w:b/>
          <w:sz w:val="20"/>
        </w:rPr>
      </w:pPr>
      <w:hyperlink w:history="true" w:anchor="_bookmark72">
        <w:r>
          <w:rPr>
            <w:b/>
            <w:sz w:val="20"/>
          </w:rPr>
          <w:t>Notification to post HCBS Transition</w:t>
        </w:r>
        <w:r>
          <w:rPr>
            <w:b/>
            <w:spacing w:val="1"/>
            <w:sz w:val="20"/>
          </w:rPr>
          <w:t> </w:t>
        </w:r>
        <w:r>
          <w:rPr>
            <w:b/>
            <w:sz w:val="20"/>
          </w:rPr>
          <w:t>Plan</w:t>
        </w:r>
        <w:r>
          <w:rPr>
            <w:b/>
            <w:spacing w:val="1"/>
            <w:sz w:val="20"/>
          </w:rPr>
          <w:t> </w:t>
        </w:r>
        <w:r>
          <w:rPr>
            <w:b/>
            <w:sz w:val="20"/>
          </w:rPr>
          <w:t>Flyer</w:t>
          <w:tab/>
          <w:t>269</w:t>
        </w:r>
      </w:hyperlink>
    </w:p>
    <w:p>
      <w:pPr>
        <w:tabs>
          <w:tab w:pos="14007" w:val="right" w:leader="dot"/>
        </w:tabs>
        <w:spacing w:before="276"/>
        <w:ind w:left="1060" w:right="0" w:firstLine="0"/>
        <w:jc w:val="left"/>
        <w:rPr>
          <w:b/>
          <w:sz w:val="20"/>
        </w:rPr>
      </w:pPr>
      <w:hyperlink w:history="true" w:anchor="_bookmark73">
        <w:r>
          <w:rPr>
            <w:b/>
            <w:sz w:val="20"/>
          </w:rPr>
          <w:t>HCBS Transition</w:t>
        </w:r>
        <w:r>
          <w:rPr>
            <w:b/>
            <w:spacing w:val="-1"/>
            <w:sz w:val="20"/>
          </w:rPr>
          <w:t> </w:t>
        </w:r>
        <w:r>
          <w:rPr>
            <w:b/>
            <w:sz w:val="20"/>
          </w:rPr>
          <w:t>Plan</w:t>
        </w:r>
        <w:r>
          <w:rPr>
            <w:b/>
            <w:spacing w:val="1"/>
            <w:sz w:val="20"/>
          </w:rPr>
          <w:t> </w:t>
        </w:r>
        <w:r>
          <w:rPr>
            <w:b/>
            <w:sz w:val="20"/>
          </w:rPr>
          <w:t>Flyer</w:t>
          <w:tab/>
          <w:t>272</w:t>
        </w:r>
      </w:hyperlink>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4"/>
        </w:rPr>
      </w:pPr>
      <w:r>
        <w:rPr/>
        <w:pict>
          <v:shape style="position:absolute;margin-left:70.559998pt;margin-top:17.140398pt;width:650.9pt;height:.1pt;mso-position-horizontal-relative:page;mso-position-vertical-relative:paragraph;z-index:-251651072;mso-wrap-distance-left:0;mso-wrap-distance-right:0" coordorigin="1411,343" coordsize="13018,0" path="m1411,343l14429,343e" filled="false" stroked="true" strokeweight=".481pt" strokecolor="#d9d9d9">
            <v:path arrowok="t"/>
            <v:stroke dashstyle="solid"/>
            <w10:wrap type="topAndBottom"/>
          </v:shape>
        </w:pict>
      </w:r>
    </w:p>
    <w:p>
      <w:pPr>
        <w:spacing w:after="0"/>
        <w:rPr>
          <w:sz w:val="2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19" w:right="2957" w:firstLine="0"/>
        <w:jc w:val="center"/>
        <w:rPr>
          <w:b/>
          <w:sz w:val="28"/>
        </w:rPr>
      </w:pPr>
      <w:bookmarkStart w:name="Introduction-Purpose" w:id="1"/>
      <w:bookmarkEnd w:id="1"/>
      <w:r>
        <w:rPr/>
      </w:r>
      <w:bookmarkStart w:name="_bookmark0" w:id="2"/>
      <w:bookmarkEnd w:id="2"/>
      <w:r>
        <w:rPr/>
      </w:r>
      <w:r>
        <w:rPr>
          <w:b/>
          <w:sz w:val="28"/>
        </w:rPr>
        <w:t>Introduction-Purpose</w:t>
      </w:r>
    </w:p>
    <w:p>
      <w:pPr>
        <w:pStyle w:val="BodyText"/>
        <w:spacing w:before="169"/>
        <w:ind w:left="1059" w:right="1135"/>
      </w:pPr>
      <w:r>
        <w:rPr/>
        <w:t>The Washington State Health Care Authority (HCA, the state’s Medicaid Agency), the Department of Social and Health Services (DSHS) Aging and Long-Term Support Administration (ALTSA), and Developmental Disabilities Administration (DDA) submit this revised statewide transition plan in accordance with the requirements set forth in the Centers for Medicare and Medicaid Services new requirements for Home and Community- based Services regulations found at 42 CFR § 441.301(c)(4)(5) and § 441.710(a)(1)(2). Washington State has updated the statewide transition plan based on feedback received from CMS on the previously submitted statewide transition plan. On November 4, 2016, Washington State received initial approval of its Statewide Transition Plan (STP) and is currently working to achieve final approval.</w:t>
      </w:r>
    </w:p>
    <w:p>
      <w:pPr>
        <w:pStyle w:val="BodyText"/>
        <w:spacing w:before="11"/>
        <w:rPr>
          <w:sz w:val="21"/>
        </w:rPr>
      </w:pPr>
    </w:p>
    <w:p>
      <w:pPr>
        <w:pStyle w:val="BodyText"/>
        <w:ind w:left="1059" w:right="1192"/>
      </w:pPr>
      <w:r>
        <w:rPr/>
        <w:t>There have been three significant changes to Washington’s LTSS system since the previous Statewide Transition plan was submitted to CMS on March 11, 2015. First, the Community First Choice (CFC) program was approved by CMS on June 30, 2015. This approval included Adult family Home and Assisted Living settings. Second, the Individual and Family Support (IFS) waiver was approved by CMS on May 27, 2015 with a June 1, 2015 effective date. Third, CMS approval was granted for two Residential Support Waiver (RSW) amendments. These amendments approved the Adult Day Health and the Enhanced Service Facility settings on August 19, 2015 and May 23, 2016, respectively.</w:t>
      </w:r>
    </w:p>
    <w:p>
      <w:pPr>
        <w:pStyle w:val="BodyText"/>
        <w:spacing w:before="11"/>
        <w:rPr>
          <w:sz w:val="21"/>
        </w:rPr>
      </w:pPr>
    </w:p>
    <w:p>
      <w:pPr>
        <w:pStyle w:val="BodyText"/>
        <w:ind w:left="1059" w:right="1531"/>
      </w:pPr>
      <w:r>
        <w:rPr/>
        <w:t>Washington State fully supports the intent of the HCBS setting rules. Washington State has long been an advocate for providing services to clients in the most integrated home and community-based settings, and is a leader in providing clients with choices regarding the settings in which long-term services and supports are provided and will continue its partnership with participants, advocacy groups, stakeholders, and Tribes.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r>
        <w:rPr/>
        <w:pict>
          <v:shape style="position:absolute;margin-left:70.559998pt;margin-top:12.417547pt;width:650.9pt;height:.1pt;mso-position-horizontal-relative:page;mso-position-vertical-relative:paragraph;z-index:-251650048;mso-wrap-distance-left:0;mso-wrap-distance-right:0" coordorigin="1411,248" coordsize="13018,0" path="m1411,248l14429,248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0" w:right="2957" w:firstLine="0"/>
        <w:jc w:val="center"/>
        <w:rPr>
          <w:b/>
          <w:sz w:val="28"/>
        </w:rPr>
      </w:pPr>
      <w:bookmarkStart w:name="Overview of Washington’s HCBS System" w:id="3"/>
      <w:bookmarkEnd w:id="3"/>
      <w:r>
        <w:rPr/>
      </w:r>
      <w:bookmarkStart w:name="_bookmark1" w:id="4"/>
      <w:bookmarkEnd w:id="4"/>
      <w:r>
        <w:rPr/>
      </w:r>
      <w:r>
        <w:rPr>
          <w:b/>
          <w:sz w:val="28"/>
        </w:rPr>
        <w:t>Overview of Washington’s HCBS System</w:t>
      </w:r>
    </w:p>
    <w:p>
      <w:pPr>
        <w:pStyle w:val="BodyText"/>
        <w:spacing w:before="169"/>
        <w:ind w:left="1060"/>
      </w:pPr>
      <w:hyperlink r:id="rId9">
        <w:r>
          <w:rPr>
            <w:u w:val="single"/>
          </w:rPr>
          <w:t>Aging and Long-Term Support Administration </w:t>
        </w:r>
      </w:hyperlink>
      <w:r>
        <w:rPr>
          <w:u w:val="single"/>
        </w:rPr>
        <w:t>and </w:t>
      </w:r>
      <w:hyperlink r:id="rId10">
        <w:r>
          <w:rPr>
            <w:u w:val="single"/>
          </w:rPr>
          <w:t>Developmental Disabilities Administration</w:t>
        </w:r>
      </w:hyperlink>
    </w:p>
    <w:p>
      <w:pPr>
        <w:pStyle w:val="BodyText"/>
        <w:spacing w:before="3"/>
        <w:rPr>
          <w:sz w:val="17"/>
        </w:rPr>
      </w:pPr>
    </w:p>
    <w:p>
      <w:pPr>
        <w:pStyle w:val="BodyText"/>
        <w:spacing w:before="56"/>
        <w:ind w:left="1059" w:right="1382"/>
      </w:pPr>
      <w:r>
        <w:rPr/>
        <w:t>ALTSA and DDA jointly administer the Community First Choice program which was implemented July 1, 2015 and currently serves over 64,000 individuals.</w:t>
      </w:r>
    </w:p>
    <w:p>
      <w:pPr>
        <w:pStyle w:val="BodyText"/>
        <w:spacing w:before="4"/>
        <w:rPr>
          <w:sz w:val="16"/>
        </w:rPr>
      </w:pPr>
    </w:p>
    <w:p>
      <w:pPr>
        <w:pStyle w:val="BodyText"/>
        <w:ind w:left="1059"/>
      </w:pPr>
      <w:bookmarkStart w:name="Aging and Long-Term Support Administrati" w:id="5"/>
      <w:bookmarkEnd w:id="5"/>
      <w:r>
        <w:rPr/>
      </w:r>
      <w:bookmarkStart w:name="_bookmark2" w:id="6"/>
      <w:bookmarkEnd w:id="6"/>
      <w:r>
        <w:rPr/>
      </w:r>
      <w:hyperlink r:id="rId9">
        <w:r>
          <w:rPr>
            <w:u w:val="single"/>
          </w:rPr>
          <w:t>Aging and Long-Term Support Administration</w:t>
        </w:r>
      </w:hyperlink>
      <w:r>
        <w:rPr>
          <w:u w:val="single"/>
        </w:rPr>
        <w:t>—Overview</w:t>
      </w:r>
    </w:p>
    <w:p>
      <w:pPr>
        <w:pStyle w:val="BodyText"/>
        <w:spacing w:before="5"/>
        <w:rPr>
          <w:sz w:val="17"/>
        </w:rPr>
      </w:pPr>
    </w:p>
    <w:p>
      <w:pPr>
        <w:pStyle w:val="BodyText"/>
        <w:spacing w:before="57"/>
        <w:ind w:left="1060" w:right="1561"/>
      </w:pPr>
      <w:r>
        <w:rPr/>
        <w:t>The DSHS Aging and Long-Term Support Administration (ALTSA) mission is to transform lives by promoting choice, independence and safety through innovative services. ALTSA’s Medicaid HCBS waiver programs are:</w:t>
      </w:r>
    </w:p>
    <w:p>
      <w:pPr>
        <w:pStyle w:val="ListParagraph"/>
        <w:numPr>
          <w:ilvl w:val="0"/>
          <w:numId w:val="1"/>
        </w:numPr>
        <w:tabs>
          <w:tab w:pos="1780" w:val="left" w:leader="none"/>
          <w:tab w:pos="1781" w:val="left" w:leader="none"/>
        </w:tabs>
        <w:spacing w:line="240" w:lineRule="auto" w:before="1" w:after="0"/>
        <w:ind w:left="1780" w:right="0" w:hanging="361"/>
        <w:jc w:val="left"/>
        <w:rPr>
          <w:sz w:val="22"/>
        </w:rPr>
      </w:pPr>
      <w:r>
        <w:rPr>
          <w:sz w:val="22"/>
        </w:rPr>
        <w:t>Community Options Program Entry System (COPES), a 1915(c) waiver serving over 35,600</w:t>
      </w:r>
      <w:r>
        <w:rPr>
          <w:spacing w:val="-12"/>
          <w:sz w:val="22"/>
        </w:rPr>
        <w:t> </w:t>
      </w:r>
      <w:r>
        <w:rPr>
          <w:sz w:val="22"/>
        </w:rPr>
        <w:t>individuals.</w:t>
      </w:r>
    </w:p>
    <w:p>
      <w:pPr>
        <w:pStyle w:val="ListParagraph"/>
        <w:numPr>
          <w:ilvl w:val="0"/>
          <w:numId w:val="1"/>
        </w:numPr>
        <w:tabs>
          <w:tab w:pos="1780" w:val="left" w:leader="none"/>
          <w:tab w:pos="1781" w:val="left" w:leader="none"/>
        </w:tabs>
        <w:spacing w:line="279" w:lineRule="exact" w:before="0" w:after="0"/>
        <w:ind w:left="1780" w:right="0" w:hanging="361"/>
        <w:jc w:val="left"/>
        <w:rPr>
          <w:sz w:val="22"/>
        </w:rPr>
      </w:pPr>
      <w:r>
        <w:rPr>
          <w:sz w:val="22"/>
        </w:rPr>
        <w:t>New Freedom HCBS, a 1915(c) waiver serving over 500</w:t>
      </w:r>
      <w:r>
        <w:rPr>
          <w:spacing w:val="-7"/>
          <w:sz w:val="22"/>
        </w:rPr>
        <w:t> </w:t>
      </w:r>
      <w:r>
        <w:rPr>
          <w:sz w:val="22"/>
        </w:rPr>
        <w:t>individuals.</w:t>
      </w:r>
    </w:p>
    <w:p>
      <w:pPr>
        <w:pStyle w:val="ListParagraph"/>
        <w:numPr>
          <w:ilvl w:val="0"/>
          <w:numId w:val="1"/>
        </w:numPr>
        <w:tabs>
          <w:tab w:pos="1779" w:val="left" w:leader="none"/>
          <w:tab w:pos="1781" w:val="left" w:leader="none"/>
        </w:tabs>
        <w:spacing w:line="279" w:lineRule="exact" w:before="0" w:after="0"/>
        <w:ind w:left="1780" w:right="0" w:hanging="362"/>
        <w:jc w:val="left"/>
        <w:rPr>
          <w:sz w:val="22"/>
        </w:rPr>
      </w:pPr>
      <w:r>
        <w:rPr>
          <w:sz w:val="22"/>
        </w:rPr>
        <w:t>Residential Support Waiver, a 1915(c) waiver serving over 700</w:t>
      </w:r>
      <w:r>
        <w:rPr>
          <w:spacing w:val="-5"/>
          <w:sz w:val="22"/>
        </w:rPr>
        <w:t> </w:t>
      </w:r>
      <w:r>
        <w:rPr>
          <w:sz w:val="22"/>
        </w:rPr>
        <w:t>individuals.</w:t>
      </w:r>
    </w:p>
    <w:p>
      <w:pPr>
        <w:pStyle w:val="BodyText"/>
      </w:pPr>
    </w:p>
    <w:p>
      <w:pPr>
        <w:pStyle w:val="BodyText"/>
        <w:ind w:left="1059"/>
      </w:pPr>
      <w:r>
        <w:rPr/>
        <w:t>In addition to the Medicaid HCBS waiver programs, ALTSA also offers these state plan programs:</w:t>
      </w:r>
    </w:p>
    <w:p>
      <w:pPr>
        <w:pStyle w:val="ListParagraph"/>
        <w:numPr>
          <w:ilvl w:val="0"/>
          <w:numId w:val="1"/>
        </w:numPr>
        <w:tabs>
          <w:tab w:pos="1779" w:val="left" w:leader="none"/>
          <w:tab w:pos="1780" w:val="left" w:leader="none"/>
        </w:tabs>
        <w:spacing w:line="240" w:lineRule="auto" w:before="1" w:after="0"/>
        <w:ind w:left="1779" w:right="0" w:hanging="361"/>
        <w:jc w:val="left"/>
        <w:rPr>
          <w:sz w:val="22"/>
        </w:rPr>
      </w:pPr>
      <w:r>
        <w:rPr>
          <w:sz w:val="22"/>
        </w:rPr>
        <w:t>Medicaid Personal Care, serving over 600</w:t>
      </w:r>
      <w:r>
        <w:rPr>
          <w:spacing w:val="-6"/>
          <w:sz w:val="22"/>
        </w:rPr>
        <w:t> </w:t>
      </w:r>
      <w:r>
        <w:rPr>
          <w:sz w:val="22"/>
        </w:rPr>
        <w:t>individuals.</w:t>
      </w:r>
    </w:p>
    <w:p>
      <w:pPr>
        <w:pStyle w:val="ListParagraph"/>
        <w:numPr>
          <w:ilvl w:val="0"/>
          <w:numId w:val="1"/>
        </w:numPr>
        <w:tabs>
          <w:tab w:pos="1779" w:val="left" w:leader="none"/>
          <w:tab w:pos="1780" w:val="left" w:leader="none"/>
        </w:tabs>
        <w:spacing w:line="240" w:lineRule="auto" w:before="1" w:after="0"/>
        <w:ind w:left="1779" w:right="0" w:hanging="361"/>
        <w:jc w:val="left"/>
        <w:rPr>
          <w:sz w:val="22"/>
        </w:rPr>
      </w:pPr>
      <w:r>
        <w:rPr>
          <w:sz w:val="22"/>
        </w:rPr>
        <w:t>Managed Care PACE, serving over 500</w:t>
      </w:r>
      <w:r>
        <w:rPr>
          <w:spacing w:val="-18"/>
          <w:sz w:val="22"/>
        </w:rPr>
        <w:t> </w:t>
      </w:r>
      <w:r>
        <w:rPr>
          <w:sz w:val="22"/>
        </w:rPr>
        <w:t>individuals.</w:t>
      </w:r>
    </w:p>
    <w:p>
      <w:pPr>
        <w:pStyle w:val="ListParagraph"/>
        <w:numPr>
          <w:ilvl w:val="0"/>
          <w:numId w:val="1"/>
        </w:numPr>
        <w:tabs>
          <w:tab w:pos="1779" w:val="left" w:leader="none"/>
          <w:tab w:pos="1780" w:val="left" w:leader="none"/>
        </w:tabs>
        <w:spacing w:line="240" w:lineRule="auto" w:before="0" w:after="0"/>
        <w:ind w:left="1779" w:right="0" w:hanging="361"/>
        <w:jc w:val="left"/>
        <w:rPr>
          <w:sz w:val="22"/>
        </w:rPr>
      </w:pPr>
      <w:r>
        <w:rPr>
          <w:sz w:val="22"/>
        </w:rPr>
        <w:t>Private Duty Nursing, serving over 100</w:t>
      </w:r>
      <w:r>
        <w:rPr>
          <w:spacing w:val="-17"/>
          <w:sz w:val="22"/>
        </w:rPr>
        <w:t> </w:t>
      </w:r>
      <w:r>
        <w:rPr>
          <w:sz w:val="22"/>
        </w:rPr>
        <w:t>individuals.</w:t>
      </w:r>
    </w:p>
    <w:p>
      <w:pPr>
        <w:pStyle w:val="BodyText"/>
        <w:spacing w:before="10"/>
        <w:rPr>
          <w:sz w:val="21"/>
        </w:rPr>
      </w:pPr>
    </w:p>
    <w:p>
      <w:pPr>
        <w:pStyle w:val="BodyText"/>
        <w:spacing w:before="1"/>
        <w:ind w:left="1059"/>
      </w:pPr>
      <w:r>
        <w:rPr/>
        <w:t>ALTSA also administers the Roads to Community Living (Money Follows the Person) federally-funded program—serving (895) individuals.</w:t>
      </w:r>
    </w:p>
    <w:p>
      <w:pPr>
        <w:pStyle w:val="BodyText"/>
      </w:pPr>
    </w:p>
    <w:p>
      <w:pPr>
        <w:pStyle w:val="BodyText"/>
        <w:ind w:left="1058" w:right="1086"/>
      </w:pPr>
      <w:r>
        <w:rPr/>
        <w:t>ALTSA offers services that empower individuals to remain independent and supported in the setting of their choice. This is accomplished through the development of person-centered care plans that reflect individual choices and preferences.</w:t>
      </w:r>
    </w:p>
    <w:p>
      <w:pPr>
        <w:pStyle w:val="BodyText"/>
      </w:pPr>
    </w:p>
    <w:p>
      <w:pPr>
        <w:pStyle w:val="BodyText"/>
        <w:ind w:left="1058"/>
      </w:pPr>
      <w:r>
        <w:rPr/>
        <w:t>Across all programs, ALTSA offers a variety of services that support people in the community, including:</w:t>
      </w:r>
    </w:p>
    <w:p>
      <w:pPr>
        <w:pStyle w:val="ListParagraph"/>
        <w:numPr>
          <w:ilvl w:val="0"/>
          <w:numId w:val="1"/>
        </w:numPr>
        <w:tabs>
          <w:tab w:pos="1778" w:val="left" w:leader="none"/>
          <w:tab w:pos="1779" w:val="left" w:leader="none"/>
        </w:tabs>
        <w:spacing w:line="240" w:lineRule="auto" w:before="1" w:after="0"/>
        <w:ind w:left="1778" w:right="1336" w:hanging="360"/>
        <w:jc w:val="left"/>
        <w:rPr>
          <w:sz w:val="22"/>
        </w:rPr>
      </w:pPr>
      <w:r>
        <w:rPr>
          <w:sz w:val="22"/>
        </w:rPr>
        <w:t>Personal care and supportive services for approximately 53,000 individuals living in their own homes, adult family homes, and assisted living</w:t>
      </w:r>
      <w:r>
        <w:rPr>
          <w:spacing w:val="-2"/>
          <w:sz w:val="22"/>
        </w:rPr>
        <w:t> </w:t>
      </w:r>
      <w:r>
        <w:rPr>
          <w:sz w:val="22"/>
        </w:rPr>
        <w:t>settings.</w:t>
      </w:r>
    </w:p>
    <w:p>
      <w:pPr>
        <w:pStyle w:val="ListParagraph"/>
        <w:numPr>
          <w:ilvl w:val="0"/>
          <w:numId w:val="1"/>
        </w:numPr>
        <w:tabs>
          <w:tab w:pos="1778" w:val="left" w:leader="none"/>
          <w:tab w:pos="1779" w:val="left" w:leader="none"/>
        </w:tabs>
        <w:spacing w:line="279" w:lineRule="exact" w:before="0" w:after="0"/>
        <w:ind w:left="1778" w:right="0" w:hanging="361"/>
        <w:jc w:val="left"/>
        <w:rPr>
          <w:sz w:val="22"/>
        </w:rPr>
      </w:pPr>
      <w:r>
        <w:rPr>
          <w:sz w:val="22"/>
        </w:rPr>
        <w:t>Assistance with skilled nursing needs available in all</w:t>
      </w:r>
      <w:r>
        <w:rPr>
          <w:spacing w:val="-9"/>
          <w:sz w:val="22"/>
        </w:rPr>
        <w:t> </w:t>
      </w:r>
      <w:r>
        <w:rPr>
          <w:sz w:val="22"/>
        </w:rPr>
        <w:t>settings.</w:t>
      </w:r>
    </w:p>
    <w:p>
      <w:pPr>
        <w:pStyle w:val="ListParagraph"/>
        <w:numPr>
          <w:ilvl w:val="0"/>
          <w:numId w:val="1"/>
        </w:numPr>
        <w:tabs>
          <w:tab w:pos="1778" w:val="left" w:leader="none"/>
          <w:tab w:pos="1779" w:val="left" w:leader="none"/>
        </w:tabs>
        <w:spacing w:line="240" w:lineRule="auto" w:before="1" w:after="0"/>
        <w:ind w:left="1778" w:right="0" w:hanging="361"/>
        <w:jc w:val="left"/>
        <w:rPr>
          <w:sz w:val="22"/>
        </w:rPr>
      </w:pPr>
      <w:r>
        <w:rPr>
          <w:sz w:val="22"/>
        </w:rPr>
        <w:t>Support to transition from nursing homes to independent living and community residential</w:t>
      </w:r>
      <w:r>
        <w:rPr>
          <w:spacing w:val="-3"/>
          <w:sz w:val="22"/>
        </w:rPr>
        <w:t> </w:t>
      </w:r>
      <w:r>
        <w:rPr>
          <w:sz w:val="22"/>
        </w:rPr>
        <w:t>settings.</w:t>
      </w:r>
    </w:p>
    <w:p>
      <w:pPr>
        <w:pStyle w:val="ListParagraph"/>
        <w:numPr>
          <w:ilvl w:val="0"/>
          <w:numId w:val="1"/>
        </w:numPr>
        <w:tabs>
          <w:tab w:pos="1778" w:val="left" w:leader="none"/>
          <w:tab w:pos="1779" w:val="left" w:leader="none"/>
        </w:tabs>
        <w:spacing w:line="240" w:lineRule="auto" w:before="0" w:after="0"/>
        <w:ind w:left="1778" w:right="1554" w:hanging="361"/>
        <w:jc w:val="left"/>
        <w:rPr>
          <w:sz w:val="22"/>
        </w:rPr>
      </w:pPr>
      <w:r>
        <w:rPr>
          <w:sz w:val="22"/>
        </w:rPr>
        <w:t>Information and assistance regarding services available in private homes, in adult family homes, assisted living facilities, and nursing homes, including options counseling for individuals regardless of</w:t>
      </w:r>
      <w:r>
        <w:rPr>
          <w:spacing w:val="-10"/>
          <w:sz w:val="22"/>
        </w:rPr>
        <w:t> </w:t>
      </w:r>
      <w:r>
        <w:rPr>
          <w:sz w:val="22"/>
        </w:rPr>
        <w:t>income.</w:t>
      </w:r>
    </w:p>
    <w:p>
      <w:pPr>
        <w:pStyle w:val="ListParagraph"/>
        <w:numPr>
          <w:ilvl w:val="0"/>
          <w:numId w:val="1"/>
        </w:numPr>
        <w:tabs>
          <w:tab w:pos="1778" w:val="left" w:leader="none"/>
          <w:tab w:pos="1779" w:val="left" w:leader="none"/>
        </w:tabs>
        <w:spacing w:line="279" w:lineRule="exact" w:before="1" w:after="0"/>
        <w:ind w:left="1778" w:right="0" w:hanging="361"/>
        <w:jc w:val="left"/>
        <w:rPr>
          <w:sz w:val="22"/>
        </w:rPr>
      </w:pPr>
      <w:r>
        <w:rPr>
          <w:sz w:val="22"/>
        </w:rPr>
        <w:t>Locally-designed programs focused on the needs of adults who are</w:t>
      </w:r>
      <w:r>
        <w:rPr>
          <w:spacing w:val="-12"/>
          <w:sz w:val="22"/>
        </w:rPr>
        <w:t> </w:t>
      </w:r>
      <w:r>
        <w:rPr>
          <w:sz w:val="22"/>
        </w:rPr>
        <w:t>older.</w:t>
      </w:r>
    </w:p>
    <w:p>
      <w:pPr>
        <w:pStyle w:val="ListParagraph"/>
        <w:numPr>
          <w:ilvl w:val="0"/>
          <w:numId w:val="1"/>
        </w:numPr>
        <w:tabs>
          <w:tab w:pos="1778" w:val="left" w:leader="none"/>
          <w:tab w:pos="1779" w:val="left" w:leader="none"/>
        </w:tabs>
        <w:spacing w:line="279" w:lineRule="exact" w:before="0" w:after="0"/>
        <w:ind w:left="1778" w:right="0" w:hanging="361"/>
        <w:jc w:val="left"/>
        <w:rPr>
          <w:sz w:val="22"/>
        </w:rPr>
      </w:pPr>
      <w:r>
        <w:rPr/>
        <w:pict>
          <v:shape style="position:absolute;margin-left:70.559998pt;margin-top:16.669031pt;width:650.9pt;height:.1pt;mso-position-horizontal-relative:page;mso-position-vertical-relative:paragraph;z-index:-251649024;mso-wrap-distance-left:0;mso-wrap-distance-right:0" coordorigin="1411,333" coordsize="13018,0" path="m1411,333l14429,333e" filled="false" stroked="true" strokeweight=".481pt" strokecolor="#d9d9d9">
            <v:path arrowok="t"/>
            <v:stroke dashstyle="solid"/>
            <w10:wrap type="topAndBottom"/>
          </v:shape>
        </w:pict>
      </w:r>
      <w:r>
        <w:rPr>
          <w:sz w:val="22"/>
        </w:rPr>
        <w:t>The Stanford University Chronic Disease Self-Management Education Programs and other evidence-based health promotion</w:t>
      </w:r>
      <w:r>
        <w:rPr>
          <w:spacing w:val="-26"/>
          <w:sz w:val="22"/>
        </w:rPr>
        <w:t> </w:t>
      </w:r>
      <w:r>
        <w:rPr>
          <w:sz w:val="22"/>
        </w:rPr>
        <w:t>programs.</w:t>
      </w:r>
    </w:p>
    <w:p>
      <w:pPr>
        <w:spacing w:after="0" w:line="279" w:lineRule="exact"/>
        <w:jc w:val="left"/>
        <w:rPr>
          <w:sz w:val="2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7"/>
        <w:rPr>
          <w:b/>
          <w:sz w:val="16"/>
        </w:rPr>
      </w:pPr>
    </w:p>
    <w:p>
      <w:pPr>
        <w:pStyle w:val="ListParagraph"/>
        <w:numPr>
          <w:ilvl w:val="0"/>
          <w:numId w:val="1"/>
        </w:numPr>
        <w:tabs>
          <w:tab w:pos="1780" w:val="left" w:leader="none"/>
          <w:tab w:pos="1781" w:val="left" w:leader="none"/>
        </w:tabs>
        <w:spacing w:line="240" w:lineRule="auto" w:before="0" w:after="0"/>
        <w:ind w:left="1780" w:right="0" w:hanging="361"/>
        <w:jc w:val="left"/>
        <w:rPr>
          <w:sz w:val="22"/>
        </w:rPr>
      </w:pPr>
      <w:r>
        <w:rPr>
          <w:sz w:val="22"/>
        </w:rPr>
        <w:t>Care coordination for foster children to support improved health outcomes for children and their</w:t>
      </w:r>
      <w:r>
        <w:rPr>
          <w:spacing w:val="-8"/>
          <w:sz w:val="22"/>
        </w:rPr>
        <w:t> </w:t>
      </w:r>
      <w:r>
        <w:rPr>
          <w:sz w:val="22"/>
        </w:rPr>
        <w:t>families.</w:t>
      </w:r>
    </w:p>
    <w:p>
      <w:pPr>
        <w:pStyle w:val="ListParagraph"/>
        <w:numPr>
          <w:ilvl w:val="0"/>
          <w:numId w:val="1"/>
        </w:numPr>
        <w:tabs>
          <w:tab w:pos="1780" w:val="left" w:leader="none"/>
          <w:tab w:pos="1781" w:val="left" w:leader="none"/>
        </w:tabs>
        <w:spacing w:line="279" w:lineRule="exact" w:before="1" w:after="0"/>
        <w:ind w:left="1780" w:right="0" w:hanging="361"/>
        <w:jc w:val="left"/>
        <w:rPr>
          <w:sz w:val="22"/>
        </w:rPr>
      </w:pPr>
      <w:r>
        <w:rPr>
          <w:sz w:val="22"/>
        </w:rPr>
        <w:t>Protection of safety, rights, security and well-being of people in all settings, including licensed or certified care</w:t>
      </w:r>
      <w:r>
        <w:rPr>
          <w:spacing w:val="-22"/>
          <w:sz w:val="22"/>
        </w:rPr>
        <w:t> </w:t>
      </w:r>
      <w:r>
        <w:rPr>
          <w:sz w:val="22"/>
        </w:rPr>
        <w:t>settings.</w:t>
      </w:r>
    </w:p>
    <w:p>
      <w:pPr>
        <w:pStyle w:val="ListParagraph"/>
        <w:numPr>
          <w:ilvl w:val="0"/>
          <w:numId w:val="1"/>
        </w:numPr>
        <w:tabs>
          <w:tab w:pos="1780" w:val="left" w:leader="none"/>
          <w:tab w:pos="1781" w:val="left" w:leader="none"/>
        </w:tabs>
        <w:spacing w:line="279" w:lineRule="exact" w:before="0" w:after="0"/>
        <w:ind w:left="1780" w:right="0" w:hanging="361"/>
        <w:jc w:val="left"/>
        <w:rPr>
          <w:sz w:val="22"/>
        </w:rPr>
      </w:pPr>
      <w:r>
        <w:rPr>
          <w:sz w:val="22"/>
        </w:rPr>
        <w:t>Protection of vulnerable adults from abuse, neglect, abandonment, and</w:t>
      </w:r>
      <w:r>
        <w:rPr>
          <w:spacing w:val="-11"/>
          <w:sz w:val="22"/>
        </w:rPr>
        <w:t> </w:t>
      </w:r>
      <w:r>
        <w:rPr>
          <w:sz w:val="22"/>
        </w:rPr>
        <w:t>exploitation.</w:t>
      </w:r>
    </w:p>
    <w:p>
      <w:pPr>
        <w:pStyle w:val="BodyText"/>
      </w:pPr>
    </w:p>
    <w:p>
      <w:pPr>
        <w:pStyle w:val="BodyText"/>
        <w:ind w:left="1060" w:right="1281"/>
      </w:pPr>
      <w:r>
        <w:rPr/>
        <w:t>ALTSA’s strategies are driven by several bedrock principles. Staff members are essential in carrying out these core principles and are one of the primary reasons the state’s long-term care system is ranked as one of the best in the nation.</w:t>
      </w:r>
    </w:p>
    <w:p>
      <w:pPr>
        <w:pStyle w:val="BodyText"/>
        <w:spacing w:before="1"/>
      </w:pPr>
    </w:p>
    <w:p>
      <w:pPr>
        <w:pStyle w:val="BodyText"/>
        <w:ind w:left="1060"/>
      </w:pPr>
      <w:r>
        <w:rPr/>
        <w:t>We believe the individuals we support:</w:t>
      </w:r>
    </w:p>
    <w:p>
      <w:pPr>
        <w:pStyle w:val="ListParagraph"/>
        <w:numPr>
          <w:ilvl w:val="0"/>
          <w:numId w:val="1"/>
        </w:numPr>
        <w:tabs>
          <w:tab w:pos="1780" w:val="left" w:leader="none"/>
          <w:tab w:pos="1781" w:val="left" w:leader="none"/>
        </w:tabs>
        <w:spacing w:line="279" w:lineRule="exact" w:before="0" w:after="0"/>
        <w:ind w:left="1780" w:right="0" w:hanging="361"/>
        <w:jc w:val="left"/>
        <w:rPr>
          <w:sz w:val="22"/>
        </w:rPr>
      </w:pPr>
      <w:r>
        <w:rPr>
          <w:sz w:val="22"/>
        </w:rPr>
        <w:t>Should have the central role in making decisions about their daily</w:t>
      </w:r>
      <w:r>
        <w:rPr>
          <w:spacing w:val="-5"/>
          <w:sz w:val="22"/>
        </w:rPr>
        <w:t> </w:t>
      </w:r>
      <w:r>
        <w:rPr>
          <w:sz w:val="22"/>
        </w:rPr>
        <w:t>lives.</w:t>
      </w:r>
    </w:p>
    <w:p>
      <w:pPr>
        <w:pStyle w:val="ListParagraph"/>
        <w:numPr>
          <w:ilvl w:val="0"/>
          <w:numId w:val="1"/>
        </w:numPr>
        <w:tabs>
          <w:tab w:pos="1780" w:val="left" w:leader="none"/>
          <w:tab w:pos="1781" w:val="left" w:leader="none"/>
        </w:tabs>
        <w:spacing w:line="279" w:lineRule="exact" w:before="0" w:after="0"/>
        <w:ind w:left="1780" w:right="0" w:hanging="361"/>
        <w:jc w:val="left"/>
        <w:rPr>
          <w:sz w:val="22"/>
        </w:rPr>
      </w:pPr>
      <w:r>
        <w:rPr>
          <w:sz w:val="22"/>
        </w:rPr>
        <w:t>Will choose supports that promote health, independence, community integration, and</w:t>
      </w:r>
      <w:r>
        <w:rPr>
          <w:spacing w:val="-4"/>
          <w:sz w:val="22"/>
        </w:rPr>
        <w:t> </w:t>
      </w:r>
      <w:r>
        <w:rPr>
          <w:sz w:val="22"/>
        </w:rPr>
        <w:t>self-determination.</w:t>
      </w:r>
    </w:p>
    <w:p>
      <w:pPr>
        <w:pStyle w:val="ListParagraph"/>
        <w:numPr>
          <w:ilvl w:val="0"/>
          <w:numId w:val="1"/>
        </w:numPr>
        <w:tabs>
          <w:tab w:pos="1780" w:val="left" w:leader="none"/>
          <w:tab w:pos="1781" w:val="left" w:leader="none"/>
        </w:tabs>
        <w:spacing w:line="240" w:lineRule="auto" w:before="1" w:after="0"/>
        <w:ind w:left="1780" w:right="0" w:hanging="361"/>
        <w:jc w:val="left"/>
        <w:rPr>
          <w:sz w:val="22"/>
        </w:rPr>
      </w:pPr>
      <w:r>
        <w:rPr>
          <w:sz w:val="22"/>
        </w:rPr>
        <w:t>Succeed best when support is person-centered and recognizes that their needs are</w:t>
      </w:r>
      <w:r>
        <w:rPr>
          <w:spacing w:val="-9"/>
          <w:sz w:val="22"/>
        </w:rPr>
        <w:t> </w:t>
      </w:r>
      <w:r>
        <w:rPr>
          <w:sz w:val="22"/>
        </w:rPr>
        <w:t>interrelated.</w:t>
      </w:r>
    </w:p>
    <w:p>
      <w:pPr>
        <w:pStyle w:val="BodyText"/>
      </w:pPr>
    </w:p>
    <w:p>
      <w:pPr>
        <w:pStyle w:val="BodyText"/>
        <w:ind w:left="1060"/>
      </w:pPr>
      <w:r>
        <w:rPr/>
        <w:t>We believe families and friends of the people we support:</w:t>
      </w:r>
    </w:p>
    <w:p>
      <w:pPr>
        <w:pStyle w:val="ListParagraph"/>
        <w:numPr>
          <w:ilvl w:val="0"/>
          <w:numId w:val="1"/>
        </w:numPr>
        <w:tabs>
          <w:tab w:pos="1780" w:val="left" w:leader="none"/>
          <w:tab w:pos="1781" w:val="left" w:leader="none"/>
        </w:tabs>
        <w:spacing w:line="279" w:lineRule="exact" w:before="1" w:after="0"/>
        <w:ind w:left="1780" w:right="0" w:hanging="361"/>
        <w:jc w:val="left"/>
        <w:rPr>
          <w:sz w:val="22"/>
        </w:rPr>
      </w:pPr>
      <w:r>
        <w:rPr>
          <w:sz w:val="22"/>
        </w:rPr>
        <w:t>Are an essential reason many people can live successfully in their own homes and</w:t>
      </w:r>
      <w:r>
        <w:rPr>
          <w:spacing w:val="-14"/>
          <w:sz w:val="22"/>
        </w:rPr>
        <w:t> </w:t>
      </w:r>
      <w:r>
        <w:rPr>
          <w:sz w:val="22"/>
        </w:rPr>
        <w:t>communities.</w:t>
      </w:r>
    </w:p>
    <w:p>
      <w:pPr>
        <w:pStyle w:val="ListParagraph"/>
        <w:numPr>
          <w:ilvl w:val="0"/>
          <w:numId w:val="1"/>
        </w:numPr>
        <w:tabs>
          <w:tab w:pos="1780" w:val="left" w:leader="none"/>
          <w:tab w:pos="1781" w:val="left" w:leader="none"/>
        </w:tabs>
        <w:spacing w:line="279" w:lineRule="exact" w:before="0" w:after="0"/>
        <w:ind w:left="1780" w:right="0" w:hanging="361"/>
        <w:jc w:val="left"/>
        <w:rPr>
          <w:sz w:val="22"/>
        </w:rPr>
      </w:pPr>
      <w:r>
        <w:rPr>
          <w:sz w:val="22"/>
        </w:rPr>
        <w:t>Can realize a positive difference in their lives, and the lives of their loved one, with even a small investment in</w:t>
      </w:r>
      <w:r>
        <w:rPr>
          <w:spacing w:val="-26"/>
          <w:sz w:val="22"/>
        </w:rPr>
        <w:t> </w:t>
      </w:r>
      <w:r>
        <w:rPr>
          <w:sz w:val="22"/>
        </w:rPr>
        <w:t>support.</w:t>
      </w:r>
    </w:p>
    <w:p>
      <w:pPr>
        <w:pStyle w:val="ListParagraph"/>
        <w:numPr>
          <w:ilvl w:val="0"/>
          <w:numId w:val="1"/>
        </w:numPr>
        <w:tabs>
          <w:tab w:pos="1780" w:val="left" w:leader="none"/>
          <w:tab w:pos="1781" w:val="left" w:leader="none"/>
        </w:tabs>
        <w:spacing w:line="240" w:lineRule="auto" w:before="0" w:after="0"/>
        <w:ind w:left="1780" w:right="0" w:hanging="361"/>
        <w:jc w:val="left"/>
        <w:rPr>
          <w:sz w:val="22"/>
        </w:rPr>
      </w:pPr>
      <w:r>
        <w:rPr>
          <w:sz w:val="22"/>
        </w:rPr>
        <w:t>Act as advocates for quality support and services in the best interest of their family member or</w:t>
      </w:r>
      <w:r>
        <w:rPr>
          <w:spacing w:val="-14"/>
          <w:sz w:val="22"/>
        </w:rPr>
        <w:t> </w:t>
      </w:r>
      <w:r>
        <w:rPr>
          <w:sz w:val="22"/>
        </w:rPr>
        <w:t>friend.</w:t>
      </w:r>
    </w:p>
    <w:p>
      <w:pPr>
        <w:pStyle w:val="BodyText"/>
        <w:spacing w:before="1"/>
      </w:pPr>
    </w:p>
    <w:p>
      <w:pPr>
        <w:pStyle w:val="BodyText"/>
        <w:ind w:left="1060"/>
      </w:pPr>
      <w:r>
        <w:rPr/>
        <w:t>We believe the system of services administered by ALTSA must be:</w:t>
      </w:r>
    </w:p>
    <w:p>
      <w:pPr>
        <w:pStyle w:val="ListParagraph"/>
        <w:numPr>
          <w:ilvl w:val="0"/>
          <w:numId w:val="1"/>
        </w:numPr>
        <w:tabs>
          <w:tab w:pos="1780" w:val="left" w:leader="none"/>
          <w:tab w:pos="1781" w:val="left" w:leader="none"/>
        </w:tabs>
        <w:spacing w:line="240" w:lineRule="auto" w:before="0" w:after="0"/>
        <w:ind w:left="1780" w:right="0" w:hanging="361"/>
        <w:jc w:val="left"/>
        <w:rPr>
          <w:sz w:val="22"/>
        </w:rPr>
      </w:pPr>
      <w:r>
        <w:rPr>
          <w:sz w:val="22"/>
        </w:rPr>
        <w:t>Accountable for outcomes and</w:t>
      </w:r>
      <w:r>
        <w:rPr>
          <w:spacing w:val="-8"/>
          <w:sz w:val="22"/>
        </w:rPr>
        <w:t> </w:t>
      </w:r>
      <w:r>
        <w:rPr>
          <w:sz w:val="22"/>
        </w:rPr>
        <w:t>costs.</w:t>
      </w:r>
    </w:p>
    <w:p>
      <w:pPr>
        <w:pStyle w:val="ListParagraph"/>
        <w:numPr>
          <w:ilvl w:val="0"/>
          <w:numId w:val="1"/>
        </w:numPr>
        <w:tabs>
          <w:tab w:pos="1780" w:val="left" w:leader="none"/>
          <w:tab w:pos="1781" w:val="left" w:leader="none"/>
        </w:tabs>
        <w:spacing w:line="279" w:lineRule="exact" w:before="1" w:after="0"/>
        <w:ind w:left="1780" w:right="0" w:hanging="361"/>
        <w:jc w:val="left"/>
        <w:rPr>
          <w:sz w:val="22"/>
        </w:rPr>
      </w:pPr>
      <w:r>
        <w:rPr>
          <w:sz w:val="22"/>
        </w:rPr>
        <w:t>Informed by evidence of</w:t>
      </w:r>
      <w:r>
        <w:rPr>
          <w:spacing w:val="-7"/>
          <w:sz w:val="22"/>
        </w:rPr>
        <w:t> </w:t>
      </w:r>
      <w:r>
        <w:rPr>
          <w:sz w:val="22"/>
        </w:rPr>
        <w:t>effectiveness.</w:t>
      </w:r>
    </w:p>
    <w:p>
      <w:pPr>
        <w:pStyle w:val="ListParagraph"/>
        <w:numPr>
          <w:ilvl w:val="0"/>
          <w:numId w:val="1"/>
        </w:numPr>
        <w:tabs>
          <w:tab w:pos="1780" w:val="left" w:leader="none"/>
          <w:tab w:pos="1781" w:val="left" w:leader="none"/>
        </w:tabs>
        <w:spacing w:line="279" w:lineRule="exact" w:before="0" w:after="0"/>
        <w:ind w:left="1781" w:right="0" w:hanging="361"/>
        <w:jc w:val="left"/>
        <w:rPr>
          <w:sz w:val="22"/>
        </w:rPr>
      </w:pPr>
      <w:r>
        <w:rPr>
          <w:sz w:val="22"/>
        </w:rPr>
        <w:t>Responsive to changing</w:t>
      </w:r>
      <w:r>
        <w:rPr>
          <w:spacing w:val="-5"/>
          <w:sz w:val="22"/>
        </w:rPr>
        <w:t> </w:t>
      </w:r>
      <w:r>
        <w:rPr>
          <w:sz w:val="22"/>
        </w:rPr>
        <w:t>needs.</w:t>
      </w:r>
    </w:p>
    <w:p>
      <w:pPr>
        <w:pStyle w:val="ListParagraph"/>
        <w:numPr>
          <w:ilvl w:val="0"/>
          <w:numId w:val="1"/>
        </w:numPr>
        <w:tabs>
          <w:tab w:pos="1780" w:val="left" w:leader="none"/>
          <w:tab w:pos="1781" w:val="left" w:leader="none"/>
        </w:tabs>
        <w:spacing w:line="240" w:lineRule="auto" w:before="1" w:after="0"/>
        <w:ind w:left="1781" w:right="0" w:hanging="361"/>
        <w:jc w:val="left"/>
        <w:rPr>
          <w:sz w:val="22"/>
        </w:rPr>
      </w:pPr>
      <w:r>
        <w:rPr>
          <w:sz w:val="22"/>
        </w:rPr>
        <w:t>Sustainable over time and within realistic resource</w:t>
      </w:r>
      <w:r>
        <w:rPr>
          <w:spacing w:val="-5"/>
          <w:sz w:val="22"/>
        </w:rPr>
        <w:t> </w:t>
      </w:r>
      <w:r>
        <w:rPr>
          <w:sz w:val="22"/>
        </w:rPr>
        <w:t>estimates.</w:t>
      </w:r>
    </w:p>
    <w:p>
      <w:pPr>
        <w:pStyle w:val="ListParagraph"/>
        <w:numPr>
          <w:ilvl w:val="0"/>
          <w:numId w:val="1"/>
        </w:numPr>
        <w:tabs>
          <w:tab w:pos="1781" w:val="left" w:leader="none"/>
          <w:tab w:pos="1782" w:val="left" w:leader="none"/>
        </w:tabs>
        <w:spacing w:line="240" w:lineRule="auto" w:before="0" w:after="0"/>
        <w:ind w:left="1781" w:right="0" w:hanging="361"/>
        <w:jc w:val="left"/>
        <w:rPr>
          <w:sz w:val="22"/>
        </w:rPr>
      </w:pPr>
      <w:r>
        <w:rPr>
          <w:sz w:val="22"/>
        </w:rPr>
        <w:t>Collaborative with service recipients, families, communities, providers, partners, and other</w:t>
      </w:r>
      <w:r>
        <w:rPr>
          <w:spacing w:val="-11"/>
          <w:sz w:val="22"/>
        </w:rPr>
        <w:t> </w:t>
      </w:r>
      <w:r>
        <w:rPr>
          <w:sz w:val="22"/>
        </w:rPr>
        <w:t>stakeholders.</w:t>
      </w:r>
    </w:p>
    <w:p>
      <w:pPr>
        <w:pStyle w:val="ListParagraph"/>
        <w:numPr>
          <w:ilvl w:val="0"/>
          <w:numId w:val="1"/>
        </w:numPr>
        <w:tabs>
          <w:tab w:pos="1781" w:val="left" w:leader="none"/>
          <w:tab w:pos="1782" w:val="left" w:leader="none"/>
        </w:tabs>
        <w:spacing w:line="240" w:lineRule="auto" w:before="1" w:after="0"/>
        <w:ind w:left="1781" w:right="0" w:hanging="361"/>
        <w:jc w:val="left"/>
        <w:rPr>
          <w:sz w:val="22"/>
        </w:rPr>
      </w:pPr>
      <w:r>
        <w:rPr>
          <w:sz w:val="22"/>
        </w:rPr>
        <w:t>Accessible to individuals who are Limited English Proficient or have a communication barrier due to a</w:t>
      </w:r>
      <w:r>
        <w:rPr>
          <w:spacing w:val="-22"/>
          <w:sz w:val="22"/>
        </w:rPr>
        <w:t> </w:t>
      </w:r>
      <w:r>
        <w:rPr>
          <w:sz w:val="22"/>
        </w:rPr>
        <w:t>disability.</w:t>
      </w:r>
    </w:p>
    <w:p>
      <w:pPr>
        <w:pStyle w:val="ListParagraph"/>
        <w:numPr>
          <w:ilvl w:val="0"/>
          <w:numId w:val="1"/>
        </w:numPr>
        <w:tabs>
          <w:tab w:pos="1781" w:val="left" w:leader="none"/>
          <w:tab w:pos="1782" w:val="left" w:leader="none"/>
        </w:tabs>
        <w:spacing w:line="237" w:lineRule="auto" w:before="2" w:after="0"/>
        <w:ind w:left="1781" w:right="1278" w:hanging="361"/>
        <w:jc w:val="left"/>
        <w:rPr>
          <w:sz w:val="22"/>
        </w:rPr>
      </w:pPr>
      <w:r>
        <w:rPr>
          <w:sz w:val="22"/>
        </w:rPr>
        <w:t>Able to keep people free from abuse and neglect, and support shared responsibility with individuals, families, providers, advocates and communities to prevent or respond to abuse and</w:t>
      </w:r>
      <w:r>
        <w:rPr>
          <w:spacing w:val="-4"/>
          <w:sz w:val="22"/>
        </w:rPr>
        <w:t> </w:t>
      </w:r>
      <w:r>
        <w:rPr>
          <w:sz w:val="22"/>
        </w:rPr>
        <w:t>abusers.</w:t>
      </w:r>
    </w:p>
    <w:p>
      <w:pPr>
        <w:pStyle w:val="BodyText"/>
        <w:spacing w:before="2"/>
      </w:pPr>
    </w:p>
    <w:p>
      <w:pPr>
        <w:pStyle w:val="BodyText"/>
        <w:spacing w:line="276" w:lineRule="auto"/>
        <w:ind w:left="1059" w:right="1135"/>
      </w:pPr>
      <w:r>
        <w:rPr/>
        <w:t>Operationalizing these strategies has allowed Washington State to be a national leader in rebalancing our service delivery system from institutional to home and community-based settings with 84% of Medicaid clients receiving services in their own homes and community residential settings. In fact, AARP released its 2014 scorecard of states’ long-term care systems in which Washington State was ranked second in the nation in terms of long-term services and supports for older adults, people with physical disabilities, and family caregiver.</w:t>
      </w:r>
    </w:p>
    <w:p>
      <w:pPr>
        <w:pStyle w:val="BodyText"/>
        <w:rPr>
          <w:sz w:val="20"/>
        </w:rPr>
      </w:pPr>
    </w:p>
    <w:p>
      <w:pPr>
        <w:pStyle w:val="BodyText"/>
        <w:spacing w:before="1"/>
      </w:pPr>
      <w:r>
        <w:rPr/>
        <w:pict>
          <v:shape style="position:absolute;margin-left:70.559998pt;margin-top:15.716059pt;width:650.9pt;height:.1pt;mso-position-horizontal-relative:page;mso-position-vertical-relative:paragraph;z-index:-251648000;mso-wrap-distance-left:0;mso-wrap-distance-right:0" coordorigin="1411,314" coordsize="13018,0" path="m1411,314l14429,314e" filled="false" stroked="true" strokeweight=".481pt" strokecolor="#d9d9d9">
            <v:path arrowok="t"/>
            <v:stroke dashstyle="solid"/>
            <w10:wrap type="topAndBottom"/>
          </v:shape>
        </w:pict>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12"/>
        </w:rPr>
      </w:pPr>
    </w:p>
    <w:p>
      <w:pPr>
        <w:pStyle w:val="BodyText"/>
        <w:spacing w:before="56"/>
        <w:ind w:left="1060"/>
      </w:pPr>
      <w:bookmarkStart w:name="Developmental Disabilities Administratio" w:id="7"/>
      <w:bookmarkEnd w:id="7"/>
      <w:r>
        <w:rPr/>
      </w:r>
      <w:bookmarkStart w:name="_bookmark3" w:id="8"/>
      <w:bookmarkEnd w:id="8"/>
      <w:r>
        <w:rPr/>
      </w:r>
      <w:hyperlink r:id="rId10">
        <w:r>
          <w:rPr>
            <w:u w:val="single"/>
          </w:rPr>
          <w:t>Developmental Disabilities Administration</w:t>
        </w:r>
      </w:hyperlink>
      <w:r>
        <w:rPr>
          <w:u w:val="single"/>
        </w:rPr>
        <w:t>--Overview</w:t>
      </w:r>
    </w:p>
    <w:p>
      <w:pPr>
        <w:pStyle w:val="BodyText"/>
        <w:spacing w:before="7"/>
        <w:rPr>
          <w:sz w:val="21"/>
        </w:rPr>
      </w:pPr>
    </w:p>
    <w:p>
      <w:pPr>
        <w:pStyle w:val="BodyText"/>
        <w:spacing w:before="56"/>
        <w:ind w:left="1059" w:right="1228"/>
      </w:pPr>
      <w:r>
        <w:rPr/>
        <w:t>The DSHS Developmental Disabilities Administration’s (DDA’s) mission is to transform lives by providing support and fostering partnerships that empower people to live the lives they want. DDA’s Medicaid HCBS waiver programs are:</w:t>
      </w:r>
    </w:p>
    <w:p>
      <w:pPr>
        <w:pStyle w:val="BodyText"/>
        <w:rPr>
          <w:sz w:val="23"/>
        </w:rPr>
      </w:pPr>
    </w:p>
    <w:p>
      <w:pPr>
        <w:pStyle w:val="ListParagraph"/>
        <w:numPr>
          <w:ilvl w:val="0"/>
          <w:numId w:val="1"/>
        </w:numPr>
        <w:tabs>
          <w:tab w:pos="1780" w:val="left" w:leader="none"/>
          <w:tab w:pos="1781" w:val="left" w:leader="none"/>
        </w:tabs>
        <w:spacing w:line="240" w:lineRule="auto" w:before="1" w:after="0"/>
        <w:ind w:left="1780" w:right="0" w:hanging="361"/>
        <w:jc w:val="left"/>
        <w:rPr>
          <w:sz w:val="22"/>
        </w:rPr>
      </w:pPr>
      <w:r>
        <w:rPr>
          <w:sz w:val="22"/>
        </w:rPr>
        <w:t>CORE (1915(c) waiver)--serving about 4561</w:t>
      </w:r>
      <w:r>
        <w:rPr>
          <w:spacing w:val="-4"/>
          <w:sz w:val="22"/>
        </w:rPr>
        <w:t> </w:t>
      </w:r>
      <w:r>
        <w:rPr>
          <w:sz w:val="22"/>
        </w:rPr>
        <w:t>individuals.</w:t>
      </w:r>
    </w:p>
    <w:p>
      <w:pPr>
        <w:pStyle w:val="ListParagraph"/>
        <w:numPr>
          <w:ilvl w:val="0"/>
          <w:numId w:val="1"/>
        </w:numPr>
        <w:tabs>
          <w:tab w:pos="1780" w:val="left" w:leader="none"/>
          <w:tab w:pos="1781" w:val="left" w:leader="none"/>
        </w:tabs>
        <w:spacing w:line="240" w:lineRule="auto" w:before="39" w:after="0"/>
        <w:ind w:left="1780" w:right="0" w:hanging="361"/>
        <w:jc w:val="left"/>
        <w:rPr>
          <w:sz w:val="22"/>
        </w:rPr>
      </w:pPr>
      <w:r>
        <w:rPr>
          <w:sz w:val="22"/>
        </w:rPr>
        <w:t>Basic Plus (1915(c) waiver)--serving about 8192</w:t>
      </w:r>
      <w:r>
        <w:rPr>
          <w:spacing w:val="-5"/>
          <w:sz w:val="22"/>
        </w:rPr>
        <w:t> </w:t>
      </w:r>
      <w:r>
        <w:rPr>
          <w:sz w:val="22"/>
        </w:rPr>
        <w:t>individuals.</w:t>
      </w:r>
    </w:p>
    <w:p>
      <w:pPr>
        <w:pStyle w:val="ListParagraph"/>
        <w:numPr>
          <w:ilvl w:val="0"/>
          <w:numId w:val="1"/>
        </w:numPr>
        <w:tabs>
          <w:tab w:pos="1780" w:val="left" w:leader="none"/>
          <w:tab w:pos="1781" w:val="left" w:leader="none"/>
        </w:tabs>
        <w:spacing w:line="240" w:lineRule="auto" w:before="41" w:after="0"/>
        <w:ind w:left="1780" w:right="0" w:hanging="361"/>
        <w:jc w:val="left"/>
        <w:rPr>
          <w:sz w:val="22"/>
        </w:rPr>
      </w:pPr>
      <w:r>
        <w:rPr>
          <w:sz w:val="22"/>
        </w:rPr>
        <w:t>Children’s Intensive In-Home Behavioral Supports (CIIBS) (1915(c) waiver)—serving about 100</w:t>
      </w:r>
      <w:r>
        <w:rPr>
          <w:spacing w:val="-7"/>
          <w:sz w:val="22"/>
        </w:rPr>
        <w:t> </w:t>
      </w:r>
      <w:r>
        <w:rPr>
          <w:sz w:val="22"/>
        </w:rPr>
        <w:t>individuals.</w:t>
      </w:r>
    </w:p>
    <w:p>
      <w:pPr>
        <w:pStyle w:val="ListParagraph"/>
        <w:numPr>
          <w:ilvl w:val="0"/>
          <w:numId w:val="1"/>
        </w:numPr>
        <w:tabs>
          <w:tab w:pos="1780" w:val="left" w:leader="none"/>
          <w:tab w:pos="1781" w:val="left" w:leader="none"/>
        </w:tabs>
        <w:spacing w:line="240" w:lineRule="auto" w:before="39" w:after="0"/>
        <w:ind w:left="1780" w:right="0" w:hanging="361"/>
        <w:jc w:val="left"/>
        <w:rPr>
          <w:sz w:val="22"/>
        </w:rPr>
      </w:pPr>
      <w:r>
        <w:rPr>
          <w:sz w:val="22"/>
        </w:rPr>
        <w:t>Community Protection (1915(c) waiver)--serving about 410</w:t>
      </w:r>
      <w:r>
        <w:rPr>
          <w:spacing w:val="-2"/>
          <w:sz w:val="22"/>
        </w:rPr>
        <w:t> </w:t>
      </w:r>
      <w:r>
        <w:rPr>
          <w:sz w:val="22"/>
        </w:rPr>
        <w:t>individuals.</w:t>
      </w:r>
    </w:p>
    <w:p>
      <w:pPr>
        <w:pStyle w:val="ListParagraph"/>
        <w:numPr>
          <w:ilvl w:val="0"/>
          <w:numId w:val="1"/>
        </w:numPr>
        <w:tabs>
          <w:tab w:pos="1780" w:val="left" w:leader="none"/>
          <w:tab w:pos="1781" w:val="left" w:leader="none"/>
        </w:tabs>
        <w:spacing w:line="240" w:lineRule="auto" w:before="39" w:after="0"/>
        <w:ind w:left="1780" w:right="0" w:hanging="361"/>
        <w:jc w:val="left"/>
        <w:rPr>
          <w:sz w:val="22"/>
        </w:rPr>
      </w:pPr>
      <w:r>
        <w:rPr>
          <w:sz w:val="22"/>
        </w:rPr>
        <w:t>Individual and Family Services (IFS) (1915(c) waiver)—serving about 4,621</w:t>
      </w:r>
      <w:r>
        <w:rPr>
          <w:spacing w:val="-13"/>
          <w:sz w:val="22"/>
        </w:rPr>
        <w:t> </w:t>
      </w:r>
      <w:r>
        <w:rPr>
          <w:sz w:val="22"/>
        </w:rPr>
        <w:t>individuals.</w:t>
      </w:r>
    </w:p>
    <w:p>
      <w:pPr>
        <w:pStyle w:val="BodyText"/>
        <w:spacing w:before="4"/>
        <w:rPr>
          <w:sz w:val="26"/>
        </w:rPr>
      </w:pPr>
    </w:p>
    <w:p>
      <w:pPr>
        <w:pStyle w:val="BodyText"/>
        <w:spacing w:line="273" w:lineRule="auto" w:before="1"/>
        <w:ind w:left="1060" w:right="1788"/>
      </w:pPr>
      <w:r>
        <w:rPr/>
        <w:t>DDA administers programs that are designed to assist individuals with developmental disabilities and their families to obtain services and supports based on individual preferences, capabilities and needs.</w:t>
      </w:r>
    </w:p>
    <w:p>
      <w:pPr>
        <w:pStyle w:val="BodyText"/>
        <w:spacing w:before="1"/>
        <w:rPr>
          <w:sz w:val="23"/>
        </w:rPr>
      </w:pPr>
    </w:p>
    <w:p>
      <w:pPr>
        <w:pStyle w:val="BodyText"/>
        <w:spacing w:before="1"/>
        <w:ind w:left="1060"/>
      </w:pPr>
      <w:r>
        <w:rPr/>
        <w:t>DDA also administers the Roads to Community Living (Money Follows the Person) federally -funded program.</w:t>
      </w:r>
    </w:p>
    <w:p>
      <w:pPr>
        <w:pStyle w:val="BodyText"/>
        <w:spacing w:before="6"/>
        <w:rPr>
          <w:sz w:val="26"/>
        </w:rPr>
      </w:pPr>
    </w:p>
    <w:p>
      <w:pPr>
        <w:pStyle w:val="BodyText"/>
        <w:spacing w:line="271" w:lineRule="auto" w:before="1"/>
        <w:ind w:left="1060" w:right="1151"/>
      </w:pPr>
      <w:r>
        <w:rPr/>
        <w:t>DDA strives to develop and implement public policies that promote individual worth, self-respect, dignity, and power of choice; healthy safe and fulfilling lives; and supports that meet the individual’s needs during the person’s life span.</w:t>
      </w:r>
    </w:p>
    <w:p>
      <w:pPr>
        <w:pStyle w:val="BodyText"/>
        <w:spacing w:before="9"/>
        <w:rPr>
          <w:sz w:val="23"/>
        </w:rPr>
      </w:pPr>
    </w:p>
    <w:p>
      <w:pPr>
        <w:pStyle w:val="BodyText"/>
        <w:ind w:left="1060"/>
      </w:pPr>
      <w:bookmarkStart w:name="Provider Types used by ALTSA and DDA" w:id="9"/>
      <w:bookmarkEnd w:id="9"/>
      <w:r>
        <w:rPr/>
      </w:r>
      <w:bookmarkStart w:name="_bookmark4" w:id="10"/>
      <w:bookmarkEnd w:id="10"/>
      <w:r>
        <w:rPr/>
      </w:r>
      <w:r>
        <w:rPr>
          <w:u w:val="single"/>
        </w:rPr>
        <w:t>Provider Types used by ALTSA and DDA</w:t>
      </w:r>
    </w:p>
    <w:p>
      <w:pPr>
        <w:pStyle w:val="BodyText"/>
        <w:spacing w:before="39"/>
        <w:ind w:left="1059" w:right="1332"/>
      </w:pPr>
      <w:r>
        <w:rPr/>
        <w:t>Individuals on Medicaid may choose to receive HCBS services in their own home or from a residential provider. In-home service providers include individual providers, home care agency providers, and DDA supported living providers. Residential providers include adult residential services, enhanced adult residential services, assisted living facilities, enhanced service facilities, adult family homes, DDA group homes, group training homes, licensed staffed residential, companion homes, child foster homes, and group care facilities. In addition, participants may access adult day services, employment services, and services from typical community resources.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r>
        <w:rPr/>
        <w:pict>
          <v:shape style="position:absolute;margin-left:70.559998pt;margin-top:9.937761pt;width:650.9pt;height:.1pt;mso-position-horizontal-relative:page;mso-position-vertical-relative:paragraph;z-index:-251646976;mso-wrap-distance-left:0;mso-wrap-distance-right:0" coordorigin="1411,199" coordsize="13018,0" path="m1411,199l14429,199e" filled="false" stroked="true" strokeweight=".481pt" strokecolor="#d9d9d9">
            <v:path arrowok="t"/>
            <v:stroke dashstyle="solid"/>
            <w10:wrap type="topAndBottom"/>
          </v:shape>
        </w:pict>
      </w:r>
    </w:p>
    <w:p>
      <w:pPr>
        <w:spacing w:after="0"/>
        <w:rPr>
          <w:sz w:val="1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12"/>
        </w:rPr>
      </w:pPr>
    </w:p>
    <w:p>
      <w:pPr>
        <w:pStyle w:val="BodyText"/>
        <w:spacing w:before="56"/>
        <w:ind w:left="1060"/>
      </w:pPr>
      <w:r>
        <w:rPr>
          <w:u w:val="single"/>
        </w:rPr>
        <w:t>Monitoring On-Going Compliance</w:t>
      </w:r>
    </w:p>
    <w:p>
      <w:pPr>
        <w:pStyle w:val="BodyText"/>
        <w:spacing w:before="5"/>
        <w:rPr>
          <w:sz w:val="17"/>
        </w:rPr>
      </w:pPr>
    </w:p>
    <w:p>
      <w:pPr>
        <w:pStyle w:val="BodyText"/>
        <w:spacing w:before="56"/>
        <w:ind w:left="1060" w:right="1086"/>
      </w:pPr>
      <w:r>
        <w:rPr/>
        <w:t>DSHS licenses Adult Family Homes and Assisted Living Facilities, and certifies supported living and group home providers, according to state laws (Revised Code of Washington, RCW) and Washington Administrative Code (WAC). The Department’s Residential Care Services Division (RCS) conducts unannounced inspections at least every 18 months and at least every two years for supported living and DDA group homes, complaint investigations and monitoring visits to determine if homes are in compliance with laws, regulations, and contract requirements. Washington has provided monitoring services for many years and is a leader in promoting community integration. The provider must promote resident rights and the health, safety, and well-being of each resident living in each licensed or certified setting.</w:t>
      </w:r>
    </w:p>
    <w:p>
      <w:pPr>
        <w:pStyle w:val="BodyText"/>
        <w:spacing w:before="11"/>
        <w:rPr>
          <w:sz w:val="21"/>
        </w:rPr>
      </w:pPr>
    </w:p>
    <w:p>
      <w:pPr>
        <w:pStyle w:val="BodyText"/>
        <w:ind w:left="1059"/>
      </w:pPr>
      <w:r>
        <w:rPr/>
        <w:t>The licensing and certification processes include monitoring of the following:</w:t>
      </w:r>
    </w:p>
    <w:p>
      <w:pPr>
        <w:pStyle w:val="BodyText"/>
        <w:spacing w:before="1"/>
      </w:pPr>
    </w:p>
    <w:p>
      <w:pPr>
        <w:pStyle w:val="ListParagraph"/>
        <w:numPr>
          <w:ilvl w:val="0"/>
          <w:numId w:val="1"/>
        </w:numPr>
        <w:tabs>
          <w:tab w:pos="1779" w:val="left" w:leader="none"/>
          <w:tab w:pos="1780" w:val="left" w:leader="none"/>
        </w:tabs>
        <w:spacing w:line="279" w:lineRule="exact" w:before="0" w:after="0"/>
        <w:ind w:left="1779" w:right="0" w:hanging="361"/>
        <w:jc w:val="left"/>
        <w:rPr>
          <w:sz w:val="22"/>
        </w:rPr>
      </w:pPr>
      <w:r>
        <w:rPr>
          <w:sz w:val="22"/>
        </w:rPr>
        <w:t>Criminal background checks on all providers, staff, volunteer caregivers, and anyone who will have unsupervised access to</w:t>
      </w:r>
      <w:r>
        <w:rPr>
          <w:spacing w:val="-24"/>
          <w:sz w:val="22"/>
        </w:rPr>
        <w:t> </w:t>
      </w:r>
      <w:r>
        <w:rPr>
          <w:sz w:val="22"/>
        </w:rPr>
        <w:t>residents;</w:t>
      </w:r>
    </w:p>
    <w:p>
      <w:pPr>
        <w:pStyle w:val="ListParagraph"/>
        <w:numPr>
          <w:ilvl w:val="0"/>
          <w:numId w:val="1"/>
        </w:numPr>
        <w:tabs>
          <w:tab w:pos="1779" w:val="left" w:leader="none"/>
          <w:tab w:pos="1780" w:val="left" w:leader="none"/>
        </w:tabs>
        <w:spacing w:line="240" w:lineRule="auto" w:before="0" w:after="0"/>
        <w:ind w:left="1779" w:right="1543" w:hanging="361"/>
        <w:jc w:val="left"/>
        <w:rPr>
          <w:sz w:val="22"/>
        </w:rPr>
      </w:pPr>
      <w:r>
        <w:rPr>
          <w:sz w:val="22"/>
        </w:rPr>
        <w:t>National fingerprint-based background checks on all providers, entity representatives, resident managers, and caregivers hired after January 1,</w:t>
      </w:r>
      <w:r>
        <w:rPr>
          <w:spacing w:val="-2"/>
          <w:sz w:val="22"/>
        </w:rPr>
        <w:t> </w:t>
      </w:r>
      <w:r>
        <w:rPr>
          <w:sz w:val="22"/>
        </w:rPr>
        <w:t>2012;</w:t>
      </w:r>
    </w:p>
    <w:p>
      <w:pPr>
        <w:pStyle w:val="ListParagraph"/>
        <w:numPr>
          <w:ilvl w:val="0"/>
          <w:numId w:val="1"/>
        </w:numPr>
        <w:tabs>
          <w:tab w:pos="1779" w:val="left" w:leader="none"/>
          <w:tab w:pos="1780" w:val="left" w:leader="none"/>
        </w:tabs>
        <w:spacing w:line="240" w:lineRule="auto" w:before="0" w:after="0"/>
        <w:ind w:left="1779" w:right="0" w:hanging="361"/>
        <w:jc w:val="left"/>
        <w:rPr>
          <w:sz w:val="22"/>
        </w:rPr>
      </w:pPr>
      <w:r>
        <w:rPr>
          <w:sz w:val="22"/>
        </w:rPr>
        <w:t>Financial</w:t>
      </w:r>
      <w:r>
        <w:rPr>
          <w:spacing w:val="-1"/>
          <w:sz w:val="22"/>
        </w:rPr>
        <w:t> </w:t>
      </w:r>
      <w:r>
        <w:rPr>
          <w:sz w:val="22"/>
        </w:rPr>
        <w:t>assessments;</w:t>
      </w:r>
    </w:p>
    <w:p>
      <w:pPr>
        <w:pStyle w:val="ListParagraph"/>
        <w:numPr>
          <w:ilvl w:val="0"/>
          <w:numId w:val="1"/>
        </w:numPr>
        <w:tabs>
          <w:tab w:pos="1779" w:val="left" w:leader="none"/>
          <w:tab w:pos="1780" w:val="left" w:leader="none"/>
        </w:tabs>
        <w:spacing w:line="240" w:lineRule="auto" w:before="1" w:after="0"/>
        <w:ind w:left="1779" w:right="0" w:hanging="361"/>
        <w:jc w:val="left"/>
        <w:rPr>
          <w:sz w:val="22"/>
        </w:rPr>
      </w:pPr>
      <w:r>
        <w:rPr>
          <w:sz w:val="22"/>
        </w:rPr>
        <w:t>Complaints received by either DSHS or Department of</w:t>
      </w:r>
      <w:r>
        <w:rPr>
          <w:spacing w:val="-9"/>
          <w:sz w:val="22"/>
        </w:rPr>
        <w:t> </w:t>
      </w:r>
      <w:r>
        <w:rPr>
          <w:sz w:val="22"/>
        </w:rPr>
        <w:t>Health;</w:t>
      </w:r>
    </w:p>
    <w:p>
      <w:pPr>
        <w:pStyle w:val="ListParagraph"/>
        <w:numPr>
          <w:ilvl w:val="0"/>
          <w:numId w:val="1"/>
        </w:numPr>
        <w:tabs>
          <w:tab w:pos="1779" w:val="left" w:leader="none"/>
          <w:tab w:pos="1780" w:val="left" w:leader="none"/>
        </w:tabs>
        <w:spacing w:line="279" w:lineRule="exact" w:before="0" w:after="0"/>
        <w:ind w:left="1779" w:right="0" w:hanging="361"/>
        <w:jc w:val="left"/>
        <w:rPr>
          <w:sz w:val="22"/>
        </w:rPr>
      </w:pPr>
      <w:r>
        <w:rPr>
          <w:sz w:val="22"/>
        </w:rPr>
        <w:t>The Department’s abuse</w:t>
      </w:r>
      <w:r>
        <w:rPr>
          <w:spacing w:val="-2"/>
          <w:sz w:val="22"/>
        </w:rPr>
        <w:t> </w:t>
      </w:r>
      <w:r>
        <w:rPr>
          <w:sz w:val="22"/>
        </w:rPr>
        <w:t>registry;</w:t>
      </w:r>
    </w:p>
    <w:p>
      <w:pPr>
        <w:pStyle w:val="ListParagraph"/>
        <w:numPr>
          <w:ilvl w:val="0"/>
          <w:numId w:val="1"/>
        </w:numPr>
        <w:tabs>
          <w:tab w:pos="1779" w:val="left" w:leader="none"/>
          <w:tab w:pos="1780" w:val="left" w:leader="none"/>
        </w:tabs>
        <w:spacing w:line="279" w:lineRule="exact" w:before="0" w:after="0"/>
        <w:ind w:left="1779" w:right="0" w:hanging="361"/>
        <w:jc w:val="left"/>
        <w:rPr>
          <w:sz w:val="22"/>
        </w:rPr>
      </w:pPr>
      <w:r>
        <w:rPr>
          <w:sz w:val="22"/>
        </w:rPr>
        <w:t>Ensuring completion of the Department-approved orientation for AFH providers and administrator training for AFH</w:t>
      </w:r>
      <w:r>
        <w:rPr>
          <w:spacing w:val="-29"/>
          <w:sz w:val="22"/>
        </w:rPr>
        <w:t> </w:t>
      </w:r>
      <w:r>
        <w:rPr>
          <w:sz w:val="22"/>
        </w:rPr>
        <w:t>administrators;</w:t>
      </w:r>
    </w:p>
    <w:p>
      <w:pPr>
        <w:pStyle w:val="ListParagraph"/>
        <w:numPr>
          <w:ilvl w:val="0"/>
          <w:numId w:val="1"/>
        </w:numPr>
        <w:tabs>
          <w:tab w:pos="1779" w:val="left" w:leader="none"/>
          <w:tab w:pos="1780" w:val="left" w:leader="none"/>
        </w:tabs>
        <w:spacing w:line="240" w:lineRule="auto" w:before="1" w:after="0"/>
        <w:ind w:left="1779" w:right="0" w:hanging="361"/>
        <w:jc w:val="left"/>
        <w:rPr>
          <w:sz w:val="22"/>
        </w:rPr>
      </w:pPr>
      <w:r>
        <w:rPr>
          <w:sz w:val="22"/>
        </w:rPr>
        <w:t>Ensuring that providers and caregivers have completed specific training requirements;</w:t>
      </w:r>
      <w:r>
        <w:rPr>
          <w:spacing w:val="-9"/>
          <w:sz w:val="22"/>
        </w:rPr>
        <w:t> </w:t>
      </w:r>
      <w:r>
        <w:rPr>
          <w:sz w:val="22"/>
        </w:rPr>
        <w:t>and</w:t>
      </w:r>
    </w:p>
    <w:p>
      <w:pPr>
        <w:pStyle w:val="ListParagraph"/>
        <w:numPr>
          <w:ilvl w:val="0"/>
          <w:numId w:val="1"/>
        </w:numPr>
        <w:tabs>
          <w:tab w:pos="1779" w:val="left" w:leader="none"/>
          <w:tab w:pos="1780" w:val="left" w:leader="none"/>
        </w:tabs>
        <w:spacing w:line="240" w:lineRule="auto" w:before="0" w:after="0"/>
        <w:ind w:left="1779" w:right="1206" w:hanging="361"/>
        <w:jc w:val="left"/>
        <w:rPr>
          <w:sz w:val="22"/>
        </w:rPr>
      </w:pPr>
      <w:r>
        <w:rPr>
          <w:sz w:val="22"/>
        </w:rPr>
        <w:t>On-site inspections to ensure homes meet all licensing and certification requirements in WAC and RCW, including those regarding resident rights. DDA Client rights draft revised WAC 388-823-1095 specifically includes references to HCBS settings rights and applies to all DDA participants (in Appendix E Attachments). Revised WAC will be implemented by July 1, 2017, and is listed in Appendix C: State’s Remedial Work Plan and</w:t>
      </w:r>
      <w:r>
        <w:rPr>
          <w:spacing w:val="-7"/>
          <w:sz w:val="22"/>
        </w:rPr>
        <w:t> </w:t>
      </w:r>
      <w:r>
        <w:rPr>
          <w:sz w:val="22"/>
        </w:rPr>
        <w:t>Timelines.</w:t>
      </w:r>
    </w:p>
    <w:p>
      <w:pPr>
        <w:pStyle w:val="BodyText"/>
        <w:spacing w:before="11"/>
        <w:rPr>
          <w:sz w:val="21"/>
        </w:rPr>
      </w:pPr>
    </w:p>
    <w:p>
      <w:pPr>
        <w:pStyle w:val="BodyText"/>
        <w:ind w:left="1059" w:right="1158"/>
      </w:pPr>
      <w:r>
        <w:rPr/>
        <w:t>The Washington State Long-Term Care Ombuds Program provides advocacy support for residents in licensed residential settings. They receive complaints and resolve problems involving quality of care, restraint use, transfer and discharge, abuse, and other aspects of resident dignity and rights.</w:t>
      </w:r>
    </w:p>
    <w:p>
      <w:pPr>
        <w:pStyle w:val="BodyText"/>
        <w:spacing w:before="1"/>
      </w:pPr>
    </w:p>
    <w:p>
      <w:pPr>
        <w:pStyle w:val="BodyText"/>
        <w:ind w:left="1059" w:right="1391"/>
      </w:pPr>
      <w:r>
        <w:rPr/>
        <w:t>DSHS contracted evaluators conduct annual inspections of adult day service centers and companion homes to ensure that they are complying with state laws and regulations, including those regarding resident rights.</w:t>
      </w:r>
    </w:p>
    <w:p>
      <w:pPr>
        <w:pStyle w:val="BodyText"/>
      </w:pPr>
    </w:p>
    <w:p>
      <w:pPr>
        <w:pStyle w:val="BodyText"/>
        <w:ind w:left="1059" w:right="1516"/>
      </w:pPr>
      <w:r>
        <w:rPr/>
        <w:t>Children’s Administration’s Division of Licensed Resources (DLR) conducts inspections of licensed staffed residential, child foster homes, and group care facilities at least every three years. DLR is also responsible for complaint investigations along with Child Protective Services (CPS).</w:t>
      </w:r>
    </w:p>
    <w:p>
      <w:pPr>
        <w:pStyle w:val="BodyText"/>
        <w:rPr>
          <w:sz w:val="19"/>
        </w:rPr>
      </w:pPr>
      <w:r>
        <w:rPr/>
        <w:pict>
          <v:shape style="position:absolute;margin-left:70.559998pt;margin-top:13.823315pt;width:650.9pt;height:.1pt;mso-position-horizontal-relative:page;mso-position-vertical-relative:paragraph;z-index:-251645952;mso-wrap-distance-left:0;mso-wrap-distance-right:0" coordorigin="1411,276" coordsize="13018,0" path="m1411,276l14429,276e" filled="false" stroked="true" strokeweight=".481pt" strokecolor="#d9d9d9">
            <v:path arrowok="t"/>
            <v:stroke dashstyle="solid"/>
            <w10:wrap type="topAndBottom"/>
          </v:shape>
        </w:pict>
      </w:r>
    </w:p>
    <w:p>
      <w:pPr>
        <w:spacing w:after="0"/>
        <w:rPr>
          <w:sz w:val="1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1060" w:right="0" w:firstLine="0"/>
        <w:jc w:val="left"/>
        <w:rPr>
          <w:b/>
          <w:sz w:val="28"/>
        </w:rPr>
      </w:pPr>
      <w:r>
        <w:rPr>
          <w:b/>
          <w:sz w:val="28"/>
        </w:rPr>
        <w:t>Public Input Process</w:t>
      </w:r>
    </w:p>
    <w:p>
      <w:pPr>
        <w:spacing w:before="251"/>
        <w:ind w:left="1060" w:right="0" w:firstLine="0"/>
        <w:jc w:val="left"/>
        <w:rPr>
          <w:b/>
          <w:sz w:val="24"/>
        </w:rPr>
      </w:pPr>
      <w:r>
        <w:rPr>
          <w:b/>
          <w:sz w:val="24"/>
          <w:u w:val="single"/>
        </w:rPr>
        <w:t>Notices to Providers</w:t>
      </w:r>
    </w:p>
    <w:p>
      <w:pPr>
        <w:pStyle w:val="BodyText"/>
        <w:spacing w:before="2"/>
        <w:rPr>
          <w:b/>
          <w:sz w:val="15"/>
        </w:rPr>
      </w:pPr>
    </w:p>
    <w:p>
      <w:pPr>
        <w:pStyle w:val="BodyText"/>
        <w:spacing w:before="57"/>
        <w:ind w:left="1059" w:right="1135"/>
      </w:pPr>
      <w:r>
        <w:rPr/>
        <w:t>The HCBS requirements apply to the HCBS waiver programs described in the Introduction-Purpose. ALTSA and DDA notified providers in writing about the new HCBS requirements. All current and historical notices are posted </w:t>
      </w:r>
      <w:r>
        <w:rPr>
          <w:color w:val="6F2F9F"/>
          <w:u w:val="single" w:color="6F2F9F"/>
        </w:rPr>
        <w:t>here unless hyperlinked below</w:t>
      </w:r>
      <w:r>
        <w:rPr/>
        <w:t>.</w:t>
      </w:r>
    </w:p>
    <w:p>
      <w:pPr>
        <w:pStyle w:val="ListParagraph"/>
        <w:numPr>
          <w:ilvl w:val="0"/>
          <w:numId w:val="1"/>
        </w:numPr>
        <w:tabs>
          <w:tab w:pos="1780" w:val="left" w:leader="none"/>
          <w:tab w:pos="1781" w:val="left" w:leader="none"/>
        </w:tabs>
        <w:spacing w:line="279" w:lineRule="exact" w:before="0" w:after="0"/>
        <w:ind w:left="1780" w:right="0" w:hanging="361"/>
        <w:jc w:val="left"/>
        <w:rPr>
          <w:sz w:val="22"/>
        </w:rPr>
      </w:pPr>
      <w:r>
        <w:rPr>
          <w:sz w:val="22"/>
        </w:rPr>
        <w:t>Letter to Stakeholders Announcing the Changes (January 13,</w:t>
      </w:r>
      <w:r>
        <w:rPr>
          <w:spacing w:val="-2"/>
          <w:sz w:val="22"/>
        </w:rPr>
        <w:t> </w:t>
      </w:r>
      <w:r>
        <w:rPr>
          <w:sz w:val="22"/>
        </w:rPr>
        <w:t>2014)</w:t>
      </w:r>
    </w:p>
    <w:p>
      <w:pPr>
        <w:pStyle w:val="ListParagraph"/>
        <w:numPr>
          <w:ilvl w:val="0"/>
          <w:numId w:val="1"/>
        </w:numPr>
        <w:tabs>
          <w:tab w:pos="1780" w:val="left" w:leader="none"/>
          <w:tab w:pos="1781" w:val="left" w:leader="none"/>
        </w:tabs>
        <w:spacing w:line="240" w:lineRule="auto" w:before="0" w:after="0"/>
        <w:ind w:left="1780" w:right="0" w:hanging="362"/>
        <w:jc w:val="left"/>
        <w:rPr>
          <w:sz w:val="22"/>
        </w:rPr>
      </w:pPr>
      <w:r>
        <w:rPr>
          <w:sz w:val="22"/>
        </w:rPr>
        <w:t>Letter to Pre-vocational providers (November 6,</w:t>
      </w:r>
      <w:r>
        <w:rPr>
          <w:spacing w:val="-2"/>
          <w:sz w:val="22"/>
        </w:rPr>
        <w:t> </w:t>
      </w:r>
      <w:r>
        <w:rPr>
          <w:sz w:val="22"/>
        </w:rPr>
        <w:t>2014)</w:t>
      </w:r>
    </w:p>
    <w:p>
      <w:pPr>
        <w:pStyle w:val="ListParagraph"/>
        <w:numPr>
          <w:ilvl w:val="0"/>
          <w:numId w:val="1"/>
        </w:numPr>
        <w:tabs>
          <w:tab w:pos="1780" w:val="left" w:leader="none"/>
          <w:tab w:pos="1781" w:val="left" w:leader="none"/>
        </w:tabs>
        <w:spacing w:line="240" w:lineRule="auto" w:before="1" w:after="0"/>
        <w:ind w:left="1780" w:right="0" w:hanging="362"/>
        <w:jc w:val="left"/>
        <w:rPr>
          <w:sz w:val="22"/>
        </w:rPr>
      </w:pPr>
      <w:r>
        <w:rPr>
          <w:sz w:val="22"/>
        </w:rPr>
        <w:t>Letter to Group Training Homes (November 6,</w:t>
      </w:r>
      <w:r>
        <w:rPr>
          <w:spacing w:val="-8"/>
          <w:sz w:val="22"/>
        </w:rPr>
        <w:t> </w:t>
      </w:r>
      <w:r>
        <w:rPr>
          <w:sz w:val="22"/>
        </w:rPr>
        <w:t>2014)</w:t>
      </w:r>
    </w:p>
    <w:p>
      <w:pPr>
        <w:pStyle w:val="ListParagraph"/>
        <w:numPr>
          <w:ilvl w:val="0"/>
          <w:numId w:val="1"/>
        </w:numPr>
        <w:tabs>
          <w:tab w:pos="1780" w:val="left" w:leader="none"/>
          <w:tab w:pos="1781" w:val="left" w:leader="none"/>
        </w:tabs>
        <w:spacing w:line="240" w:lineRule="auto" w:before="0" w:after="0"/>
        <w:ind w:left="1780" w:right="0" w:hanging="362"/>
        <w:jc w:val="left"/>
        <w:rPr>
          <w:sz w:val="22"/>
        </w:rPr>
      </w:pPr>
      <w:r>
        <w:rPr>
          <w:sz w:val="22"/>
        </w:rPr>
        <w:t>Notice to Assisted Living Administrators about resident interviews regarding new HCBS rules (May 22,</w:t>
      </w:r>
      <w:r>
        <w:rPr>
          <w:spacing w:val="-12"/>
          <w:sz w:val="22"/>
        </w:rPr>
        <w:t> </w:t>
      </w:r>
      <w:r>
        <w:rPr>
          <w:sz w:val="22"/>
        </w:rPr>
        <w:t>2014)</w:t>
      </w:r>
    </w:p>
    <w:p>
      <w:pPr>
        <w:pStyle w:val="ListParagraph"/>
        <w:numPr>
          <w:ilvl w:val="0"/>
          <w:numId w:val="1"/>
        </w:numPr>
        <w:tabs>
          <w:tab w:pos="1779" w:val="left" w:leader="none"/>
          <w:tab w:pos="1780" w:val="left" w:leader="none"/>
        </w:tabs>
        <w:spacing w:line="279" w:lineRule="exact" w:before="1" w:after="0"/>
        <w:ind w:left="1779" w:right="0" w:hanging="361"/>
        <w:jc w:val="left"/>
        <w:rPr>
          <w:sz w:val="22"/>
        </w:rPr>
      </w:pPr>
      <w:r>
        <w:rPr>
          <w:sz w:val="22"/>
        </w:rPr>
        <w:t>Notice to Assisted Living Facility Administrators and interested parties regarding New HCBS Rules webpage (September 29,</w:t>
      </w:r>
      <w:r>
        <w:rPr>
          <w:spacing w:val="-24"/>
          <w:sz w:val="22"/>
        </w:rPr>
        <w:t> </w:t>
      </w:r>
      <w:r>
        <w:rPr>
          <w:sz w:val="22"/>
        </w:rPr>
        <w:t>2014)</w:t>
      </w:r>
    </w:p>
    <w:p>
      <w:pPr>
        <w:pStyle w:val="ListParagraph"/>
        <w:numPr>
          <w:ilvl w:val="0"/>
          <w:numId w:val="1"/>
        </w:numPr>
        <w:tabs>
          <w:tab w:pos="1780" w:val="left" w:leader="none"/>
          <w:tab w:pos="1781" w:val="left" w:leader="none"/>
        </w:tabs>
        <w:spacing w:line="279" w:lineRule="exact" w:before="0" w:after="0"/>
        <w:ind w:left="1780" w:right="0" w:hanging="361"/>
        <w:jc w:val="left"/>
        <w:rPr>
          <w:sz w:val="22"/>
        </w:rPr>
      </w:pPr>
      <w:r>
        <w:rPr>
          <w:sz w:val="22"/>
        </w:rPr>
        <w:t>Notice to Adult Family Home providers and interested parties regarding New HCBS Rules webpage (September 29,</w:t>
      </w:r>
      <w:r>
        <w:rPr>
          <w:spacing w:val="-12"/>
          <w:sz w:val="22"/>
        </w:rPr>
        <w:t> </w:t>
      </w:r>
      <w:r>
        <w:rPr>
          <w:sz w:val="22"/>
        </w:rPr>
        <w:t>2014)</w:t>
      </w:r>
    </w:p>
    <w:p>
      <w:pPr>
        <w:pStyle w:val="ListParagraph"/>
        <w:numPr>
          <w:ilvl w:val="0"/>
          <w:numId w:val="1"/>
        </w:numPr>
        <w:tabs>
          <w:tab w:pos="1780" w:val="left" w:leader="none"/>
          <w:tab w:pos="1781" w:val="left" w:leader="none"/>
        </w:tabs>
        <w:spacing w:line="240" w:lineRule="auto" w:before="1" w:after="0"/>
        <w:ind w:left="1780" w:right="1627" w:hanging="360"/>
        <w:jc w:val="left"/>
        <w:rPr>
          <w:sz w:val="22"/>
        </w:rPr>
      </w:pPr>
      <w:r>
        <w:rPr>
          <w:sz w:val="22"/>
        </w:rPr>
        <w:t>Notice to Adult Family Home providers and interested parties regarding key requirements in the federal HCBS regulations (June 29, 2015)</w:t>
      </w:r>
    </w:p>
    <w:p>
      <w:pPr>
        <w:pStyle w:val="ListParagraph"/>
        <w:numPr>
          <w:ilvl w:val="0"/>
          <w:numId w:val="1"/>
        </w:numPr>
        <w:tabs>
          <w:tab w:pos="1780" w:val="left" w:leader="none"/>
          <w:tab w:pos="1781" w:val="left" w:leader="none"/>
        </w:tabs>
        <w:spacing w:line="240" w:lineRule="auto" w:before="0" w:after="0"/>
        <w:ind w:left="1780" w:right="1553" w:hanging="361"/>
        <w:jc w:val="left"/>
        <w:rPr>
          <w:sz w:val="22"/>
        </w:rPr>
      </w:pPr>
      <w:r>
        <w:rPr>
          <w:sz w:val="22"/>
        </w:rPr>
        <w:t>Notice to Assisted Living Administrators and interested parties regarding key requirements in the federal HCBS regulations (June 29, 2015)</w:t>
      </w:r>
    </w:p>
    <w:p>
      <w:pPr>
        <w:pStyle w:val="ListParagraph"/>
        <w:numPr>
          <w:ilvl w:val="0"/>
          <w:numId w:val="1"/>
        </w:numPr>
        <w:tabs>
          <w:tab w:pos="1780" w:val="left" w:leader="none"/>
          <w:tab w:pos="1781" w:val="left" w:leader="none"/>
        </w:tabs>
        <w:spacing w:line="279" w:lineRule="exact" w:before="0" w:after="0"/>
        <w:ind w:left="1780" w:right="0" w:hanging="362"/>
        <w:jc w:val="left"/>
        <w:rPr>
          <w:sz w:val="22"/>
        </w:rPr>
      </w:pPr>
      <w:hyperlink r:id="rId11">
        <w:r>
          <w:rPr>
            <w:color w:val="6B9F24"/>
            <w:sz w:val="22"/>
            <w:u w:val="single" w:color="6B9F24"/>
          </w:rPr>
          <w:t>Notice</w:t>
        </w:r>
        <w:r>
          <w:rPr>
            <w:color w:val="6B9F24"/>
            <w:sz w:val="22"/>
          </w:rPr>
          <w:t> </w:t>
        </w:r>
      </w:hyperlink>
      <w:r>
        <w:rPr>
          <w:sz w:val="22"/>
        </w:rPr>
        <w:t>to Adult Family Home providers and interested parties regarding webinar on HCBS requirements (July 27,</w:t>
      </w:r>
      <w:r>
        <w:rPr>
          <w:spacing w:val="-15"/>
          <w:sz w:val="22"/>
        </w:rPr>
        <w:t> </w:t>
      </w:r>
      <w:r>
        <w:rPr>
          <w:sz w:val="22"/>
        </w:rPr>
        <w:t>2015)</w:t>
      </w:r>
    </w:p>
    <w:p>
      <w:pPr>
        <w:pStyle w:val="ListParagraph"/>
        <w:numPr>
          <w:ilvl w:val="0"/>
          <w:numId w:val="1"/>
        </w:numPr>
        <w:tabs>
          <w:tab w:pos="1780" w:val="left" w:leader="none"/>
          <w:tab w:pos="1781" w:val="left" w:leader="none"/>
        </w:tabs>
        <w:spacing w:line="240" w:lineRule="auto" w:before="1" w:after="0"/>
        <w:ind w:left="1780" w:right="0" w:hanging="361"/>
        <w:jc w:val="left"/>
        <w:rPr>
          <w:sz w:val="22"/>
        </w:rPr>
      </w:pPr>
      <w:hyperlink r:id="rId12">
        <w:r>
          <w:rPr>
            <w:color w:val="6B9F24"/>
            <w:sz w:val="22"/>
            <w:u w:val="single" w:color="6B9F24"/>
          </w:rPr>
          <w:t>Notice</w:t>
        </w:r>
        <w:r>
          <w:rPr>
            <w:color w:val="6B9F24"/>
            <w:sz w:val="22"/>
          </w:rPr>
          <w:t> </w:t>
        </w:r>
      </w:hyperlink>
      <w:r>
        <w:rPr>
          <w:sz w:val="22"/>
        </w:rPr>
        <w:t>to Assisted Living Administrators and interested parties regarding webinar on HCBS requirements (July 27,</w:t>
      </w:r>
      <w:r>
        <w:rPr>
          <w:spacing w:val="-18"/>
          <w:sz w:val="22"/>
        </w:rPr>
        <w:t> </w:t>
      </w:r>
      <w:r>
        <w:rPr>
          <w:sz w:val="22"/>
        </w:rPr>
        <w:t>2015)</w:t>
      </w:r>
    </w:p>
    <w:p>
      <w:pPr>
        <w:pStyle w:val="BodyText"/>
        <w:spacing w:before="10"/>
        <w:rPr>
          <w:sz w:val="17"/>
        </w:rPr>
      </w:pPr>
    </w:p>
    <w:p>
      <w:pPr>
        <w:spacing w:before="51"/>
        <w:ind w:left="1060" w:right="0" w:firstLine="0"/>
        <w:jc w:val="left"/>
        <w:rPr>
          <w:b/>
          <w:sz w:val="24"/>
        </w:rPr>
      </w:pPr>
      <w:bookmarkStart w:name="Stakeholder and Tribal Meetings/Presenta" w:id="11"/>
      <w:bookmarkEnd w:id="11"/>
      <w:r>
        <w:rPr/>
      </w:r>
      <w:bookmarkStart w:name="_bookmark5" w:id="12"/>
      <w:bookmarkEnd w:id="12"/>
      <w:r>
        <w:rPr/>
      </w:r>
      <w:r>
        <w:rPr>
          <w:b/>
          <w:sz w:val="24"/>
          <w:u w:val="single"/>
        </w:rPr>
        <w:t>Stakeholder and Tribal Meetings/Presentations</w:t>
      </w:r>
    </w:p>
    <w:p>
      <w:pPr>
        <w:pStyle w:val="ListParagraph"/>
        <w:numPr>
          <w:ilvl w:val="0"/>
          <w:numId w:val="1"/>
        </w:numPr>
        <w:tabs>
          <w:tab w:pos="1780" w:val="left" w:leader="none"/>
          <w:tab w:pos="1781" w:val="left" w:leader="none"/>
        </w:tabs>
        <w:spacing w:line="240" w:lineRule="auto" w:before="0" w:after="0"/>
        <w:ind w:left="1780" w:right="0" w:hanging="361"/>
        <w:jc w:val="left"/>
        <w:rPr>
          <w:sz w:val="22"/>
        </w:rPr>
      </w:pPr>
      <w:r>
        <w:rPr>
          <w:sz w:val="22"/>
        </w:rPr>
        <w:t>Provided statewide informational webinars on May 30, 2014, November 5, 2014, August 11, 2015, and August 13,</w:t>
      </w:r>
      <w:r>
        <w:rPr>
          <w:spacing w:val="-25"/>
          <w:sz w:val="22"/>
        </w:rPr>
        <w:t> </w:t>
      </w:r>
      <w:r>
        <w:rPr>
          <w:sz w:val="22"/>
        </w:rPr>
        <w:t>2015.</w:t>
      </w:r>
    </w:p>
    <w:p>
      <w:pPr>
        <w:pStyle w:val="ListParagraph"/>
        <w:numPr>
          <w:ilvl w:val="0"/>
          <w:numId w:val="1"/>
        </w:numPr>
        <w:tabs>
          <w:tab w:pos="1780" w:val="left" w:leader="none"/>
          <w:tab w:pos="1781" w:val="left" w:leader="none"/>
        </w:tabs>
        <w:spacing w:line="279" w:lineRule="exact" w:before="1" w:after="0"/>
        <w:ind w:left="1780" w:right="0" w:hanging="362"/>
        <w:jc w:val="left"/>
        <w:rPr>
          <w:sz w:val="22"/>
        </w:rPr>
      </w:pPr>
      <w:r>
        <w:rPr>
          <w:sz w:val="22"/>
        </w:rPr>
        <w:t>Conducted five meetings with ALTSA stakeholders and</w:t>
      </w:r>
      <w:r>
        <w:rPr>
          <w:spacing w:val="-10"/>
          <w:sz w:val="22"/>
        </w:rPr>
        <w:t> </w:t>
      </w:r>
      <w:r>
        <w:rPr>
          <w:sz w:val="22"/>
        </w:rPr>
        <w:t>advocates.</w:t>
      </w:r>
    </w:p>
    <w:p>
      <w:pPr>
        <w:pStyle w:val="ListParagraph"/>
        <w:numPr>
          <w:ilvl w:val="0"/>
          <w:numId w:val="1"/>
        </w:numPr>
        <w:tabs>
          <w:tab w:pos="1780" w:val="left" w:leader="none"/>
          <w:tab w:pos="1781" w:val="left" w:leader="none"/>
        </w:tabs>
        <w:spacing w:line="279" w:lineRule="exact" w:before="0" w:after="0"/>
        <w:ind w:left="1780" w:right="0" w:hanging="362"/>
        <w:jc w:val="left"/>
        <w:rPr>
          <w:sz w:val="22"/>
        </w:rPr>
      </w:pPr>
      <w:r>
        <w:rPr>
          <w:sz w:val="22"/>
        </w:rPr>
        <w:t>Conducted six meetings with Developmental Disabilities Administration (DDA) stakeholders and</w:t>
      </w:r>
      <w:r>
        <w:rPr>
          <w:spacing w:val="-13"/>
          <w:sz w:val="22"/>
        </w:rPr>
        <w:t> </w:t>
      </w:r>
      <w:r>
        <w:rPr>
          <w:sz w:val="22"/>
        </w:rPr>
        <w:t>advocates.</w:t>
      </w:r>
    </w:p>
    <w:p>
      <w:pPr>
        <w:pStyle w:val="ListParagraph"/>
        <w:numPr>
          <w:ilvl w:val="0"/>
          <w:numId w:val="1"/>
        </w:numPr>
        <w:tabs>
          <w:tab w:pos="1779" w:val="left" w:leader="none"/>
          <w:tab w:pos="1780" w:val="left" w:leader="none"/>
        </w:tabs>
        <w:spacing w:line="240" w:lineRule="auto" w:before="0" w:after="0"/>
        <w:ind w:left="1779" w:right="0" w:hanging="361"/>
        <w:jc w:val="left"/>
        <w:rPr>
          <w:sz w:val="22"/>
        </w:rPr>
      </w:pPr>
      <w:r>
        <w:rPr>
          <w:sz w:val="22"/>
        </w:rPr>
        <w:t>Letter to DDA Stakeholders for public feedback meeting (October 6,</w:t>
      </w:r>
      <w:r>
        <w:rPr>
          <w:spacing w:val="-12"/>
          <w:sz w:val="22"/>
        </w:rPr>
        <w:t> </w:t>
      </w:r>
      <w:r>
        <w:rPr>
          <w:sz w:val="22"/>
        </w:rPr>
        <w:t>2014)</w:t>
      </w:r>
    </w:p>
    <w:p>
      <w:pPr>
        <w:pStyle w:val="ListParagraph"/>
        <w:numPr>
          <w:ilvl w:val="0"/>
          <w:numId w:val="1"/>
        </w:numPr>
        <w:tabs>
          <w:tab w:pos="1779" w:val="left" w:leader="none"/>
          <w:tab w:pos="1780" w:val="left" w:leader="none"/>
        </w:tabs>
        <w:spacing w:line="240" w:lineRule="auto" w:before="1" w:after="0"/>
        <w:ind w:left="1779" w:right="0" w:hanging="361"/>
        <w:jc w:val="left"/>
        <w:rPr>
          <w:sz w:val="22"/>
        </w:rPr>
      </w:pPr>
      <w:r>
        <w:rPr>
          <w:sz w:val="22"/>
        </w:rPr>
        <w:t>Posted presentation on ALTSA internet site</w:t>
      </w:r>
      <w:r>
        <w:rPr>
          <w:color w:val="6F2F9F"/>
          <w:sz w:val="22"/>
        </w:rPr>
        <w:t> </w:t>
      </w:r>
      <w:hyperlink r:id="rId13">
        <w:r>
          <w:rPr>
            <w:color w:val="6F2F9F"/>
            <w:sz w:val="22"/>
            <w:u w:val="single" w:color="6F2F9F"/>
          </w:rPr>
          <w:t>Home and Community Based Services Rules - Stakeholder Notices</w:t>
        </w:r>
        <w:r>
          <w:rPr>
            <w:color w:val="6F2F9F"/>
            <w:sz w:val="22"/>
          </w:rPr>
          <w:t> </w:t>
        </w:r>
      </w:hyperlink>
      <w:r>
        <w:rPr>
          <w:sz w:val="22"/>
        </w:rPr>
        <w:t>on August 27,</w:t>
      </w:r>
      <w:r>
        <w:rPr>
          <w:spacing w:val="-26"/>
          <w:sz w:val="22"/>
        </w:rPr>
        <w:t> </w:t>
      </w:r>
      <w:r>
        <w:rPr>
          <w:sz w:val="22"/>
        </w:rPr>
        <w:t>2014.</w:t>
      </w:r>
    </w:p>
    <w:p>
      <w:pPr>
        <w:pStyle w:val="ListParagraph"/>
        <w:numPr>
          <w:ilvl w:val="0"/>
          <w:numId w:val="1"/>
        </w:numPr>
        <w:tabs>
          <w:tab w:pos="1780" w:val="left" w:leader="none"/>
          <w:tab w:pos="1781" w:val="left" w:leader="none"/>
        </w:tabs>
        <w:spacing w:line="240" w:lineRule="auto" w:before="0" w:after="0"/>
        <w:ind w:left="1780" w:right="0" w:hanging="361"/>
        <w:jc w:val="left"/>
        <w:rPr>
          <w:sz w:val="22"/>
        </w:rPr>
      </w:pPr>
      <w:r>
        <w:rPr>
          <w:sz w:val="22"/>
        </w:rPr>
        <w:t>Held Tribal roundtable discussions on September 16, 2014, and October 14,</w:t>
      </w:r>
      <w:r>
        <w:rPr>
          <w:spacing w:val="-14"/>
          <w:sz w:val="22"/>
        </w:rPr>
        <w:t> </w:t>
      </w:r>
      <w:r>
        <w:rPr>
          <w:sz w:val="22"/>
        </w:rPr>
        <w:t>2014.</w:t>
      </w:r>
    </w:p>
    <w:p>
      <w:pPr>
        <w:pStyle w:val="ListParagraph"/>
        <w:numPr>
          <w:ilvl w:val="0"/>
          <w:numId w:val="1"/>
        </w:numPr>
        <w:tabs>
          <w:tab w:pos="1780" w:val="left" w:leader="none"/>
          <w:tab w:pos="1781" w:val="left" w:leader="none"/>
        </w:tabs>
        <w:spacing w:line="279" w:lineRule="exact" w:before="1" w:after="0"/>
        <w:ind w:left="1780" w:right="0" w:hanging="361"/>
        <w:jc w:val="left"/>
        <w:rPr>
          <w:sz w:val="22"/>
        </w:rPr>
      </w:pPr>
      <w:r>
        <w:rPr>
          <w:sz w:val="22"/>
        </w:rPr>
        <w:t>Held formal Tribal consultation on October 23,</w:t>
      </w:r>
      <w:r>
        <w:rPr>
          <w:spacing w:val="-8"/>
          <w:sz w:val="22"/>
        </w:rPr>
        <w:t> </w:t>
      </w:r>
      <w:r>
        <w:rPr>
          <w:sz w:val="22"/>
        </w:rPr>
        <w:t>2014.</w:t>
      </w:r>
    </w:p>
    <w:p>
      <w:pPr>
        <w:pStyle w:val="ListParagraph"/>
        <w:numPr>
          <w:ilvl w:val="0"/>
          <w:numId w:val="1"/>
        </w:numPr>
        <w:tabs>
          <w:tab w:pos="1780" w:val="left" w:leader="none"/>
          <w:tab w:pos="1781" w:val="left" w:leader="none"/>
        </w:tabs>
        <w:spacing w:line="279" w:lineRule="exact" w:before="0" w:after="0"/>
        <w:ind w:left="1780" w:right="0" w:hanging="361"/>
        <w:jc w:val="left"/>
        <w:rPr>
          <w:sz w:val="22"/>
        </w:rPr>
      </w:pPr>
      <w:r>
        <w:rPr>
          <w:sz w:val="22"/>
        </w:rPr>
        <w:t>Notice on January 15, 2016 to Tribes regarding posting of revised statewide transition</w:t>
      </w:r>
      <w:r>
        <w:rPr>
          <w:spacing w:val="-14"/>
          <w:sz w:val="22"/>
        </w:rPr>
        <w:t> </w:t>
      </w:r>
      <w:r>
        <w:rPr>
          <w:sz w:val="22"/>
        </w:rPr>
        <w:t>plan.</w:t>
      </w:r>
    </w:p>
    <w:p>
      <w:pPr>
        <w:pStyle w:val="ListParagraph"/>
        <w:numPr>
          <w:ilvl w:val="0"/>
          <w:numId w:val="1"/>
        </w:numPr>
        <w:tabs>
          <w:tab w:pos="1780" w:val="left" w:leader="none"/>
          <w:tab w:pos="1781" w:val="left" w:leader="none"/>
        </w:tabs>
        <w:spacing w:line="240" w:lineRule="auto" w:before="1" w:after="0"/>
        <w:ind w:left="1780" w:right="0" w:hanging="361"/>
        <w:jc w:val="left"/>
        <w:rPr>
          <w:sz w:val="22"/>
        </w:rPr>
      </w:pPr>
      <w:r>
        <w:rPr>
          <w:sz w:val="22"/>
        </w:rPr>
        <w:t>Notice on March 1, 2017 to Tribes regarding posting of revised statewide transition plan (Updated</w:t>
      </w:r>
      <w:r>
        <w:rPr>
          <w:spacing w:val="-25"/>
          <w:sz w:val="22"/>
        </w:rPr>
        <w:t> </w:t>
      </w:r>
      <w:r>
        <w:rPr>
          <w:sz w:val="22"/>
        </w:rPr>
        <w:t>3/15/17).</w:t>
      </w:r>
    </w:p>
    <w:p>
      <w:pPr>
        <w:pStyle w:val="BodyText"/>
        <w:spacing w:before="12"/>
        <w:rPr>
          <w:sz w:val="23"/>
        </w:rPr>
      </w:pPr>
    </w:p>
    <w:p>
      <w:pPr>
        <w:spacing w:before="0"/>
        <w:ind w:left="1060" w:right="0" w:firstLine="0"/>
        <w:jc w:val="left"/>
        <w:rPr>
          <w:b/>
          <w:sz w:val="24"/>
        </w:rPr>
      </w:pPr>
      <w:bookmarkStart w:name="Posting of State Transition Plan for Pub" w:id="13"/>
      <w:bookmarkEnd w:id="13"/>
      <w:r>
        <w:rPr/>
      </w:r>
      <w:bookmarkStart w:name="_bookmark6" w:id="14"/>
      <w:bookmarkEnd w:id="14"/>
      <w:r>
        <w:rPr/>
      </w:r>
      <w:r>
        <w:rPr>
          <w:b/>
          <w:sz w:val="24"/>
          <w:u w:val="single"/>
        </w:rPr>
        <w:t> Posting of State Transition Plan for Public Comment</w:t>
      </w:r>
    </w:p>
    <w:p>
      <w:pPr>
        <w:pStyle w:val="ListParagraph"/>
        <w:numPr>
          <w:ilvl w:val="0"/>
          <w:numId w:val="1"/>
        </w:numPr>
        <w:tabs>
          <w:tab w:pos="1780" w:val="left" w:leader="none"/>
          <w:tab w:pos="1781" w:val="left" w:leader="none"/>
        </w:tabs>
        <w:spacing w:line="240" w:lineRule="auto" w:before="0" w:after="0"/>
        <w:ind w:left="1780" w:right="0" w:hanging="361"/>
        <w:jc w:val="left"/>
        <w:rPr>
          <w:sz w:val="22"/>
        </w:rPr>
      </w:pPr>
      <w:r>
        <w:rPr>
          <w:sz w:val="22"/>
        </w:rPr>
        <w:t>Published</w:t>
      </w:r>
      <w:r>
        <w:rPr>
          <w:color w:val="6F2F9F"/>
          <w:sz w:val="22"/>
        </w:rPr>
        <w:t> </w:t>
      </w:r>
      <w:hyperlink r:id="rId14">
        <w:r>
          <w:rPr>
            <w:color w:val="6F2F9F"/>
            <w:sz w:val="22"/>
            <w:u w:val="single" w:color="6F2F9F"/>
          </w:rPr>
          <w:t>first public notice</w:t>
        </w:r>
        <w:r>
          <w:rPr>
            <w:color w:val="6F2F9F"/>
            <w:sz w:val="22"/>
          </w:rPr>
          <w:t> </w:t>
        </w:r>
      </w:hyperlink>
      <w:r>
        <w:rPr>
          <w:sz w:val="22"/>
        </w:rPr>
        <w:t>in Washington State Register on September 3,</w:t>
      </w:r>
      <w:r>
        <w:rPr>
          <w:spacing w:val="-7"/>
          <w:sz w:val="22"/>
        </w:rPr>
        <w:t> </w:t>
      </w:r>
      <w:r>
        <w:rPr>
          <w:sz w:val="22"/>
        </w:rPr>
        <w:t>2014.</w:t>
      </w:r>
    </w:p>
    <w:p>
      <w:pPr>
        <w:pStyle w:val="BodyText"/>
        <w:spacing w:before="10"/>
        <w:rPr>
          <w:sz w:val="18"/>
        </w:rPr>
      </w:pPr>
      <w:r>
        <w:rPr/>
        <w:pict>
          <v:shape style="position:absolute;margin-left:70.559998pt;margin-top:13.731482pt;width:650.9pt;height:.1pt;mso-position-horizontal-relative:page;mso-position-vertical-relative:paragraph;z-index:-251644928;mso-wrap-distance-left:0;mso-wrap-distance-right:0" coordorigin="1411,275" coordsize="13018,0" path="m1411,275l14429,275e" filled="false" stroked="true" strokeweight=".481pt" strokecolor="#d9d9d9">
            <v:path arrowok="t"/>
            <v:stroke dashstyle="solid"/>
            <w10:wrap type="topAndBottom"/>
          </v:shape>
        </w:pict>
      </w:r>
    </w:p>
    <w:p>
      <w:pPr>
        <w:spacing w:after="0"/>
        <w:rPr>
          <w:sz w:val="1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7"/>
        <w:rPr>
          <w:b/>
          <w:sz w:val="16"/>
        </w:rPr>
      </w:pPr>
    </w:p>
    <w:p>
      <w:pPr>
        <w:pStyle w:val="ListParagraph"/>
        <w:numPr>
          <w:ilvl w:val="0"/>
          <w:numId w:val="1"/>
        </w:numPr>
        <w:tabs>
          <w:tab w:pos="1780" w:val="left" w:leader="none"/>
          <w:tab w:pos="1781" w:val="left" w:leader="none"/>
        </w:tabs>
        <w:spacing w:line="240" w:lineRule="auto" w:before="0" w:after="0"/>
        <w:ind w:left="1780" w:right="0" w:hanging="361"/>
        <w:jc w:val="left"/>
        <w:rPr>
          <w:sz w:val="22"/>
        </w:rPr>
      </w:pPr>
      <w:r>
        <w:rPr>
          <w:sz w:val="22"/>
        </w:rPr>
        <w:t>Published</w:t>
      </w:r>
      <w:r>
        <w:rPr>
          <w:color w:val="6F2F9F"/>
          <w:sz w:val="22"/>
        </w:rPr>
        <w:t> </w:t>
      </w:r>
      <w:hyperlink r:id="rId15">
        <w:r>
          <w:rPr>
            <w:color w:val="6F2F9F"/>
            <w:sz w:val="22"/>
            <w:u w:val="single" w:color="6F2F9F"/>
          </w:rPr>
          <w:t>second public notice</w:t>
        </w:r>
        <w:r>
          <w:rPr>
            <w:color w:val="6F2F9F"/>
            <w:sz w:val="22"/>
          </w:rPr>
          <w:t> </w:t>
        </w:r>
      </w:hyperlink>
      <w:r>
        <w:rPr>
          <w:sz w:val="22"/>
        </w:rPr>
        <w:t>in Washington State Register on September 30,</w:t>
      </w:r>
      <w:r>
        <w:rPr>
          <w:spacing w:val="-16"/>
          <w:sz w:val="22"/>
        </w:rPr>
        <w:t> </w:t>
      </w:r>
      <w:r>
        <w:rPr>
          <w:sz w:val="22"/>
        </w:rPr>
        <w:t>2014.</w:t>
      </w:r>
    </w:p>
    <w:p>
      <w:pPr>
        <w:pStyle w:val="ListParagraph"/>
        <w:numPr>
          <w:ilvl w:val="0"/>
          <w:numId w:val="1"/>
        </w:numPr>
        <w:tabs>
          <w:tab w:pos="1780" w:val="left" w:leader="none"/>
          <w:tab w:pos="1781" w:val="left" w:leader="none"/>
        </w:tabs>
        <w:spacing w:line="279" w:lineRule="exact" w:before="1" w:after="0"/>
        <w:ind w:left="1780" w:right="0" w:hanging="361"/>
        <w:jc w:val="left"/>
        <w:rPr>
          <w:sz w:val="22"/>
        </w:rPr>
      </w:pPr>
      <w:r>
        <w:rPr>
          <w:sz w:val="22"/>
        </w:rPr>
        <w:t>Published</w:t>
      </w:r>
      <w:r>
        <w:rPr>
          <w:color w:val="6F2F9F"/>
          <w:sz w:val="22"/>
        </w:rPr>
        <w:t> </w:t>
      </w:r>
      <w:hyperlink r:id="rId16">
        <w:r>
          <w:rPr>
            <w:color w:val="6F2F9F"/>
            <w:sz w:val="22"/>
            <w:u w:val="single" w:color="6F2F9F"/>
          </w:rPr>
          <w:t>third public notice</w:t>
        </w:r>
        <w:r>
          <w:rPr>
            <w:color w:val="6F2F9F"/>
            <w:sz w:val="22"/>
          </w:rPr>
          <w:t> </w:t>
        </w:r>
      </w:hyperlink>
      <w:r>
        <w:rPr>
          <w:sz w:val="22"/>
        </w:rPr>
        <w:t>in Washington State Register on October 15,</w:t>
      </w:r>
      <w:r>
        <w:rPr>
          <w:spacing w:val="-8"/>
          <w:sz w:val="22"/>
        </w:rPr>
        <w:t> </w:t>
      </w:r>
      <w:r>
        <w:rPr>
          <w:sz w:val="22"/>
        </w:rPr>
        <w:t>2014.</w:t>
      </w:r>
    </w:p>
    <w:p>
      <w:pPr>
        <w:pStyle w:val="ListParagraph"/>
        <w:numPr>
          <w:ilvl w:val="0"/>
          <w:numId w:val="1"/>
        </w:numPr>
        <w:tabs>
          <w:tab w:pos="1780" w:val="left" w:leader="none"/>
          <w:tab w:pos="1781" w:val="left" w:leader="none"/>
        </w:tabs>
        <w:spacing w:line="279" w:lineRule="exact" w:before="0" w:after="0"/>
        <w:ind w:left="1780" w:right="0" w:hanging="361"/>
        <w:jc w:val="left"/>
        <w:rPr>
          <w:sz w:val="22"/>
        </w:rPr>
      </w:pPr>
      <w:r>
        <w:rPr>
          <w:sz w:val="22"/>
        </w:rPr>
        <w:t>Posted information on the transition plan on the DDA internet site</w:t>
      </w:r>
      <w:r>
        <w:rPr>
          <w:color w:val="6F2F9F"/>
          <w:sz w:val="22"/>
        </w:rPr>
        <w:t> </w:t>
      </w:r>
      <w:hyperlink r:id="rId10">
        <w:r>
          <w:rPr>
            <w:color w:val="6F2F9F"/>
            <w:sz w:val="22"/>
            <w:u w:val="single" w:color="6F2F9F"/>
          </w:rPr>
          <w:t>http://www.dshs.wa.gov/ddd/</w:t>
        </w:r>
        <w:r>
          <w:rPr>
            <w:color w:val="6F2F9F"/>
            <w:sz w:val="22"/>
          </w:rPr>
          <w:t> </w:t>
        </w:r>
      </w:hyperlink>
      <w:r>
        <w:rPr>
          <w:sz w:val="22"/>
        </w:rPr>
        <w:t>on October 20,</w:t>
      </w:r>
      <w:r>
        <w:rPr>
          <w:spacing w:val="-26"/>
          <w:sz w:val="22"/>
        </w:rPr>
        <w:t> </w:t>
      </w:r>
      <w:r>
        <w:rPr>
          <w:sz w:val="22"/>
        </w:rPr>
        <w:t>2014.</w:t>
      </w:r>
    </w:p>
    <w:p>
      <w:pPr>
        <w:pStyle w:val="ListParagraph"/>
        <w:numPr>
          <w:ilvl w:val="0"/>
          <w:numId w:val="1"/>
        </w:numPr>
        <w:tabs>
          <w:tab w:pos="1780" w:val="left" w:leader="none"/>
          <w:tab w:pos="1781" w:val="left" w:leader="none"/>
        </w:tabs>
        <w:spacing w:line="240" w:lineRule="auto" w:before="0" w:after="0"/>
        <w:ind w:left="1780" w:right="1209" w:hanging="361"/>
        <w:jc w:val="left"/>
        <w:rPr>
          <w:sz w:val="22"/>
        </w:rPr>
      </w:pPr>
      <w:r>
        <w:rPr>
          <w:sz w:val="22"/>
        </w:rPr>
        <w:t>Mailed notice to stakeholders and Tribes on December 2, 2014 regarding the posting of the draft transition plan effective December 17, 2014.</w:t>
      </w:r>
    </w:p>
    <w:p>
      <w:pPr>
        <w:pStyle w:val="ListParagraph"/>
        <w:numPr>
          <w:ilvl w:val="0"/>
          <w:numId w:val="1"/>
        </w:numPr>
        <w:tabs>
          <w:tab w:pos="1780" w:val="left" w:leader="none"/>
          <w:tab w:pos="1781" w:val="left" w:leader="none"/>
        </w:tabs>
        <w:spacing w:line="240" w:lineRule="auto" w:before="1" w:after="0"/>
        <w:ind w:left="1780" w:right="1393" w:hanging="360"/>
        <w:jc w:val="left"/>
        <w:rPr>
          <w:sz w:val="22"/>
        </w:rPr>
      </w:pPr>
      <w:r>
        <w:rPr>
          <w:sz w:val="22"/>
        </w:rPr>
        <w:t>Posted draft transition plan on ALTSA internet site</w:t>
      </w:r>
      <w:r>
        <w:rPr>
          <w:color w:val="6F2F9F"/>
          <w:sz w:val="22"/>
        </w:rPr>
        <w:t> </w:t>
      </w:r>
      <w:hyperlink r:id="rId17">
        <w:r>
          <w:rPr>
            <w:color w:val="6F2F9F"/>
            <w:sz w:val="22"/>
            <w:u w:val="single" w:color="6F2F9F"/>
          </w:rPr>
          <w:t>http://www.dshs.wa.gov/altsa</w:t>
        </w:r>
        <w:r>
          <w:rPr>
            <w:color w:val="6F2F9F"/>
            <w:sz w:val="22"/>
          </w:rPr>
          <w:t> </w:t>
        </w:r>
      </w:hyperlink>
      <w:r>
        <w:rPr>
          <w:sz w:val="22"/>
        </w:rPr>
        <w:t>on December 17, 2014 to open the public comment period.</w:t>
      </w:r>
    </w:p>
    <w:p>
      <w:pPr>
        <w:pStyle w:val="ListParagraph"/>
        <w:numPr>
          <w:ilvl w:val="0"/>
          <w:numId w:val="1"/>
        </w:numPr>
        <w:tabs>
          <w:tab w:pos="1780" w:val="left" w:leader="none"/>
          <w:tab w:pos="1781" w:val="left" w:leader="none"/>
        </w:tabs>
        <w:spacing w:line="240" w:lineRule="auto" w:before="0" w:after="0"/>
        <w:ind w:left="1780" w:right="1207" w:hanging="361"/>
        <w:jc w:val="left"/>
        <w:rPr>
          <w:sz w:val="22"/>
        </w:rPr>
      </w:pPr>
      <w:r>
        <w:rPr>
          <w:sz w:val="22"/>
        </w:rPr>
        <w:t>Provided statewide webinar on December 17, 2014, as an additional opportunity to discuss and solicit comments on the draft transition plan.</w:t>
      </w:r>
    </w:p>
    <w:p>
      <w:pPr>
        <w:pStyle w:val="ListParagraph"/>
        <w:numPr>
          <w:ilvl w:val="0"/>
          <w:numId w:val="1"/>
        </w:numPr>
        <w:tabs>
          <w:tab w:pos="1780" w:val="left" w:leader="none"/>
          <w:tab w:pos="1781" w:val="left" w:leader="none"/>
        </w:tabs>
        <w:spacing w:line="240" w:lineRule="auto" w:before="0" w:after="0"/>
        <w:ind w:left="1780" w:right="2013" w:hanging="360"/>
        <w:jc w:val="left"/>
        <w:rPr>
          <w:sz w:val="22"/>
        </w:rPr>
      </w:pPr>
      <w:r>
        <w:rPr>
          <w:sz w:val="22"/>
        </w:rPr>
        <w:t>Published</w:t>
      </w:r>
      <w:r>
        <w:rPr>
          <w:color w:val="6F2F9F"/>
          <w:sz w:val="22"/>
        </w:rPr>
        <w:t> </w:t>
      </w:r>
      <w:hyperlink r:id="rId13">
        <w:r>
          <w:rPr>
            <w:color w:val="6F2F9F"/>
            <w:sz w:val="22"/>
            <w:u w:val="single" w:color="6F2F9F"/>
          </w:rPr>
          <w:t>additional public notice</w:t>
        </w:r>
        <w:r>
          <w:rPr>
            <w:color w:val="6F2F9F"/>
            <w:sz w:val="22"/>
          </w:rPr>
          <w:t> </w:t>
        </w:r>
      </w:hyperlink>
      <w:r>
        <w:rPr>
          <w:sz w:val="22"/>
        </w:rPr>
        <w:t>in Home and Community Services Offices, Area Agency on Aging Offices, and Developmental Disabilities Administration Offices on January 5, 2015 announcing an extended comment period ending February 6,</w:t>
      </w:r>
      <w:r>
        <w:rPr>
          <w:spacing w:val="-34"/>
          <w:sz w:val="22"/>
        </w:rPr>
        <w:t> </w:t>
      </w:r>
      <w:r>
        <w:rPr>
          <w:sz w:val="22"/>
        </w:rPr>
        <w:t>2015.</w:t>
      </w:r>
    </w:p>
    <w:p>
      <w:pPr>
        <w:pStyle w:val="ListParagraph"/>
        <w:numPr>
          <w:ilvl w:val="0"/>
          <w:numId w:val="1"/>
        </w:numPr>
        <w:tabs>
          <w:tab w:pos="1780" w:val="left" w:leader="none"/>
          <w:tab w:pos="1781" w:val="left" w:leader="none"/>
        </w:tabs>
        <w:spacing w:line="240" w:lineRule="auto" w:before="0" w:after="0"/>
        <w:ind w:left="1780" w:right="1822" w:hanging="360"/>
        <w:jc w:val="left"/>
        <w:rPr>
          <w:sz w:val="22"/>
        </w:rPr>
      </w:pPr>
      <w:r>
        <w:rPr>
          <w:sz w:val="22"/>
        </w:rPr>
        <w:t>Published</w:t>
      </w:r>
      <w:r>
        <w:rPr>
          <w:color w:val="6F2F9F"/>
          <w:sz w:val="22"/>
        </w:rPr>
        <w:t> </w:t>
      </w:r>
      <w:hyperlink r:id="rId18">
        <w:r>
          <w:rPr>
            <w:color w:val="6F2F9F"/>
            <w:sz w:val="22"/>
            <w:u w:val="single" w:color="6F2F9F"/>
          </w:rPr>
          <w:t>fourth public notice</w:t>
        </w:r>
        <w:r>
          <w:rPr>
            <w:color w:val="6F2F9F"/>
            <w:sz w:val="22"/>
          </w:rPr>
          <w:t> </w:t>
        </w:r>
      </w:hyperlink>
      <w:r>
        <w:rPr>
          <w:sz w:val="22"/>
        </w:rPr>
        <w:t>in Washington State Register on January 2, 2015 announcing an extended comment period ending February 6, 2015.</w:t>
      </w:r>
    </w:p>
    <w:p>
      <w:pPr>
        <w:pStyle w:val="ListParagraph"/>
        <w:numPr>
          <w:ilvl w:val="0"/>
          <w:numId w:val="1"/>
        </w:numPr>
        <w:tabs>
          <w:tab w:pos="1780" w:val="left" w:leader="none"/>
          <w:tab w:pos="1781" w:val="left" w:leader="none"/>
        </w:tabs>
        <w:spacing w:line="240" w:lineRule="auto" w:before="0" w:after="0"/>
        <w:ind w:left="1780" w:right="1244" w:hanging="360"/>
        <w:jc w:val="left"/>
        <w:rPr>
          <w:sz w:val="22"/>
        </w:rPr>
      </w:pPr>
      <w:r>
        <w:rPr>
          <w:sz w:val="22"/>
        </w:rPr>
        <w:t>Updated draft transition plan on ALTSA internet site</w:t>
      </w:r>
      <w:r>
        <w:rPr>
          <w:color w:val="6F2F9F"/>
          <w:sz w:val="22"/>
        </w:rPr>
        <w:t> </w:t>
      </w:r>
      <w:hyperlink r:id="rId19">
        <w:r>
          <w:rPr>
            <w:color w:val="6F2F9F"/>
            <w:sz w:val="22"/>
            <w:u w:val="single" w:color="6F2F9F"/>
          </w:rPr>
          <w:t>https://www.dshs.wa.gov/altsa/hcbs-statewide-draft-transition-plan</w:t>
        </w:r>
        <w:r>
          <w:rPr>
            <w:color w:val="6F2F9F"/>
            <w:sz w:val="22"/>
          </w:rPr>
          <w:t> </w:t>
        </w:r>
      </w:hyperlink>
      <w:r>
        <w:rPr>
          <w:sz w:val="22"/>
        </w:rPr>
        <w:t>on January 6, 2015 to extend the comment period through February 6,</w:t>
      </w:r>
      <w:r>
        <w:rPr>
          <w:spacing w:val="-12"/>
          <w:sz w:val="22"/>
        </w:rPr>
        <w:t> </w:t>
      </w:r>
      <w:r>
        <w:rPr>
          <w:sz w:val="22"/>
        </w:rPr>
        <w:t>2015.</w:t>
      </w:r>
    </w:p>
    <w:p>
      <w:pPr>
        <w:pStyle w:val="ListParagraph"/>
        <w:numPr>
          <w:ilvl w:val="0"/>
          <w:numId w:val="1"/>
        </w:numPr>
        <w:tabs>
          <w:tab w:pos="1780" w:val="left" w:leader="none"/>
          <w:tab w:pos="1781" w:val="left" w:leader="none"/>
        </w:tabs>
        <w:spacing w:line="240" w:lineRule="auto" w:before="0" w:after="0"/>
        <w:ind w:left="1780" w:right="0" w:hanging="361"/>
        <w:jc w:val="left"/>
        <w:rPr>
          <w:sz w:val="22"/>
        </w:rPr>
      </w:pPr>
      <w:r>
        <w:rPr>
          <w:sz w:val="22"/>
        </w:rPr>
        <w:t>Updated transition plan on</w:t>
      </w:r>
      <w:r>
        <w:rPr>
          <w:color w:val="6F2F9F"/>
          <w:sz w:val="22"/>
        </w:rPr>
        <w:t> </w:t>
      </w:r>
      <w:hyperlink r:id="rId19">
        <w:r>
          <w:rPr>
            <w:color w:val="6F2F9F"/>
            <w:sz w:val="22"/>
            <w:u w:val="single" w:color="6F2F9F"/>
          </w:rPr>
          <w:t>ALTSA internet site</w:t>
        </w:r>
        <w:r>
          <w:rPr>
            <w:color w:val="6F2F9F"/>
            <w:sz w:val="22"/>
          </w:rPr>
          <w:t> </w:t>
        </w:r>
      </w:hyperlink>
      <w:r>
        <w:rPr>
          <w:sz w:val="22"/>
        </w:rPr>
        <w:t>on March 11,</w:t>
      </w:r>
      <w:r>
        <w:rPr>
          <w:spacing w:val="-17"/>
          <w:sz w:val="22"/>
        </w:rPr>
        <w:t> </w:t>
      </w:r>
      <w:r>
        <w:rPr>
          <w:sz w:val="22"/>
        </w:rPr>
        <w:t>2015.</w:t>
      </w:r>
    </w:p>
    <w:p>
      <w:pPr>
        <w:pStyle w:val="ListParagraph"/>
        <w:numPr>
          <w:ilvl w:val="0"/>
          <w:numId w:val="1"/>
        </w:numPr>
        <w:tabs>
          <w:tab w:pos="1780" w:val="left" w:leader="none"/>
          <w:tab w:pos="1781" w:val="left" w:leader="none"/>
        </w:tabs>
        <w:spacing w:line="240" w:lineRule="auto" w:before="0" w:after="0"/>
        <w:ind w:left="1780" w:right="0" w:hanging="361"/>
        <w:jc w:val="left"/>
        <w:rPr>
          <w:sz w:val="22"/>
        </w:rPr>
      </w:pPr>
      <w:r>
        <w:rPr>
          <w:sz w:val="22"/>
        </w:rPr>
        <w:t>Published</w:t>
      </w:r>
      <w:r>
        <w:rPr>
          <w:color w:val="6F2F9F"/>
          <w:sz w:val="22"/>
        </w:rPr>
        <w:t> </w:t>
      </w:r>
      <w:r>
        <w:rPr>
          <w:color w:val="6F2F9F"/>
          <w:sz w:val="22"/>
          <w:u w:val="single" w:color="6F2F9F"/>
        </w:rPr>
        <w:t>public notice</w:t>
      </w:r>
      <w:r>
        <w:rPr>
          <w:color w:val="6F2F9F"/>
          <w:sz w:val="22"/>
        </w:rPr>
        <w:t> </w:t>
      </w:r>
      <w:r>
        <w:rPr>
          <w:sz w:val="22"/>
        </w:rPr>
        <w:t>in Washington State Register on January 6, 2016 for the posting of the revised statewide transition</w:t>
      </w:r>
      <w:r>
        <w:rPr>
          <w:spacing w:val="-27"/>
          <w:sz w:val="22"/>
        </w:rPr>
        <w:t> </w:t>
      </w:r>
      <w:r>
        <w:rPr>
          <w:sz w:val="22"/>
        </w:rPr>
        <w:t>plan</w:t>
      </w:r>
    </w:p>
    <w:p>
      <w:pPr>
        <w:spacing w:before="0"/>
        <w:ind w:left="1780" w:right="0" w:firstLine="0"/>
        <w:jc w:val="left"/>
        <w:rPr>
          <w:i/>
          <w:sz w:val="22"/>
        </w:rPr>
      </w:pPr>
      <w:r>
        <w:rPr>
          <w:i/>
          <w:sz w:val="22"/>
        </w:rPr>
        <w:t>(Updated 1/15/16).</w:t>
      </w:r>
    </w:p>
    <w:p>
      <w:pPr>
        <w:pStyle w:val="ListParagraph"/>
        <w:numPr>
          <w:ilvl w:val="0"/>
          <w:numId w:val="1"/>
        </w:numPr>
        <w:tabs>
          <w:tab w:pos="1780" w:val="left" w:leader="none"/>
          <w:tab w:pos="1781" w:val="left" w:leader="none"/>
        </w:tabs>
        <w:spacing w:line="279" w:lineRule="exact" w:before="1" w:after="0"/>
        <w:ind w:left="1780" w:right="0" w:hanging="361"/>
        <w:jc w:val="left"/>
        <w:rPr>
          <w:i/>
          <w:sz w:val="22"/>
        </w:rPr>
      </w:pPr>
      <w:r>
        <w:rPr>
          <w:sz w:val="22"/>
        </w:rPr>
        <w:t>Sent</w:t>
      </w:r>
      <w:r>
        <w:rPr>
          <w:color w:val="6F2F9F"/>
          <w:sz w:val="22"/>
        </w:rPr>
        <w:t> </w:t>
      </w:r>
      <w:r>
        <w:rPr>
          <w:color w:val="6F2F9F"/>
          <w:sz w:val="22"/>
          <w:u w:val="single" w:color="6F2F9F"/>
        </w:rPr>
        <w:t>notice</w:t>
      </w:r>
      <w:r>
        <w:rPr>
          <w:color w:val="6F2F9F"/>
          <w:sz w:val="22"/>
        </w:rPr>
        <w:t> </w:t>
      </w:r>
      <w:r>
        <w:rPr>
          <w:sz w:val="22"/>
        </w:rPr>
        <w:t>on January 15, 2016, to Tribes regarding posting of revised statewide transition plan </w:t>
      </w:r>
      <w:r>
        <w:rPr>
          <w:i/>
          <w:sz w:val="22"/>
        </w:rPr>
        <w:t>(Updated</w:t>
      </w:r>
      <w:r>
        <w:rPr>
          <w:i/>
          <w:spacing w:val="-32"/>
          <w:sz w:val="22"/>
        </w:rPr>
        <w:t> </w:t>
      </w:r>
      <w:r>
        <w:rPr>
          <w:i/>
          <w:sz w:val="22"/>
        </w:rPr>
        <w:t>1/15/16).</w:t>
      </w:r>
    </w:p>
    <w:p>
      <w:pPr>
        <w:pStyle w:val="ListParagraph"/>
        <w:numPr>
          <w:ilvl w:val="0"/>
          <w:numId w:val="1"/>
        </w:numPr>
        <w:tabs>
          <w:tab w:pos="1780" w:val="left" w:leader="none"/>
          <w:tab w:pos="1781" w:val="left" w:leader="none"/>
        </w:tabs>
        <w:spacing w:line="240" w:lineRule="auto" w:before="0" w:after="0"/>
        <w:ind w:left="1780" w:right="1305" w:hanging="360"/>
        <w:jc w:val="left"/>
        <w:rPr>
          <w:i/>
          <w:sz w:val="22"/>
        </w:rPr>
      </w:pPr>
      <w:r>
        <w:rPr>
          <w:sz w:val="22"/>
        </w:rPr>
        <w:t>Revised transition plan posted on the</w:t>
      </w:r>
      <w:r>
        <w:rPr>
          <w:color w:val="6F2F9F"/>
          <w:sz w:val="22"/>
        </w:rPr>
        <w:t> </w:t>
      </w:r>
      <w:hyperlink r:id="rId19">
        <w:r>
          <w:rPr>
            <w:color w:val="6F2F9F"/>
            <w:sz w:val="22"/>
            <w:u w:val="single" w:color="6F2F9F"/>
          </w:rPr>
          <w:t>ALTSA internet site</w:t>
        </w:r>
        <w:r>
          <w:rPr>
            <w:color w:val="6F2F9F"/>
            <w:sz w:val="22"/>
          </w:rPr>
          <w:t> </w:t>
        </w:r>
      </w:hyperlink>
      <w:r>
        <w:rPr>
          <w:sz w:val="22"/>
        </w:rPr>
        <w:t>and in local HCS, AAA, and DDA offices on January 15, 2016 through February 15, 2016 for public comment </w:t>
      </w:r>
      <w:r>
        <w:rPr>
          <w:i/>
          <w:sz w:val="22"/>
        </w:rPr>
        <w:t>(Updated</w:t>
      </w:r>
      <w:r>
        <w:rPr>
          <w:i/>
          <w:spacing w:val="-4"/>
          <w:sz w:val="22"/>
        </w:rPr>
        <w:t> </w:t>
      </w:r>
      <w:r>
        <w:rPr>
          <w:i/>
          <w:sz w:val="22"/>
        </w:rPr>
        <w:t>1/15/16).</w:t>
      </w:r>
    </w:p>
    <w:p>
      <w:pPr>
        <w:pStyle w:val="ListParagraph"/>
        <w:numPr>
          <w:ilvl w:val="0"/>
          <w:numId w:val="1"/>
        </w:numPr>
        <w:tabs>
          <w:tab w:pos="1780" w:val="left" w:leader="none"/>
          <w:tab w:pos="1781" w:val="left" w:leader="none"/>
        </w:tabs>
        <w:spacing w:line="240" w:lineRule="auto" w:before="0" w:after="0"/>
        <w:ind w:left="1779" w:right="1565" w:hanging="360"/>
        <w:jc w:val="left"/>
        <w:rPr>
          <w:sz w:val="22"/>
        </w:rPr>
      </w:pPr>
      <w:r>
        <w:rPr>
          <w:sz w:val="22"/>
        </w:rPr>
        <w:t>Published public notice in Washington State Register on March 1, 2017 for the posting of the revised statewide transition plan to be posted for 30 day public comment period beginning March 15, 2017 (Updated</w:t>
      </w:r>
      <w:r>
        <w:rPr>
          <w:spacing w:val="-14"/>
          <w:sz w:val="22"/>
        </w:rPr>
        <w:t> </w:t>
      </w:r>
      <w:r>
        <w:rPr>
          <w:sz w:val="22"/>
        </w:rPr>
        <w:t>3/15/17).</w:t>
      </w:r>
    </w:p>
    <w:p>
      <w:pPr>
        <w:pStyle w:val="ListParagraph"/>
        <w:numPr>
          <w:ilvl w:val="0"/>
          <w:numId w:val="1"/>
        </w:numPr>
        <w:tabs>
          <w:tab w:pos="1780" w:val="left" w:leader="none"/>
          <w:tab w:pos="1781" w:val="left" w:leader="none"/>
        </w:tabs>
        <w:spacing w:line="240" w:lineRule="auto" w:before="0" w:after="0"/>
        <w:ind w:left="1780" w:right="0" w:hanging="362"/>
        <w:jc w:val="left"/>
        <w:rPr>
          <w:sz w:val="22"/>
        </w:rPr>
      </w:pPr>
      <w:r>
        <w:rPr>
          <w:sz w:val="22"/>
        </w:rPr>
        <w:t>Sent notice on March 1, 2017 to Tribes regarding posting of revised statewide transition plan (Updated</w:t>
      </w:r>
      <w:r>
        <w:rPr>
          <w:spacing w:val="-28"/>
          <w:sz w:val="22"/>
        </w:rPr>
        <w:t> </w:t>
      </w:r>
      <w:r>
        <w:rPr>
          <w:sz w:val="22"/>
        </w:rPr>
        <w:t>3/15/17).</w:t>
      </w:r>
    </w:p>
    <w:p>
      <w:pPr>
        <w:pStyle w:val="ListParagraph"/>
        <w:numPr>
          <w:ilvl w:val="0"/>
          <w:numId w:val="1"/>
        </w:numPr>
        <w:tabs>
          <w:tab w:pos="1780" w:val="left" w:leader="none"/>
          <w:tab w:pos="1781" w:val="left" w:leader="none"/>
        </w:tabs>
        <w:spacing w:line="237" w:lineRule="auto" w:before="3" w:after="0"/>
        <w:ind w:left="1780" w:right="1464" w:hanging="361"/>
        <w:jc w:val="left"/>
        <w:rPr>
          <w:sz w:val="22"/>
        </w:rPr>
      </w:pPr>
      <w:r>
        <w:rPr>
          <w:sz w:val="22"/>
        </w:rPr>
        <w:t>Revised transition plan posted on the ALTSA internet site and in local HCS, AAA, and DDA offices on March 15, 2017 through April 16, 2017 (Updated</w:t>
      </w:r>
      <w:r>
        <w:rPr>
          <w:spacing w:val="-5"/>
          <w:sz w:val="22"/>
        </w:rPr>
        <w:t> </w:t>
      </w:r>
      <w:r>
        <w:rPr>
          <w:sz w:val="22"/>
        </w:rPr>
        <w:t>3/15/17).</w:t>
      </w:r>
    </w:p>
    <w:p>
      <w:pPr>
        <w:pStyle w:val="BodyText"/>
        <w:spacing w:before="1"/>
        <w:rPr>
          <w:sz w:val="24"/>
        </w:rPr>
      </w:pPr>
    </w:p>
    <w:p>
      <w:pPr>
        <w:spacing w:line="293" w:lineRule="exact" w:before="0"/>
        <w:ind w:left="1060" w:right="0" w:firstLine="0"/>
        <w:jc w:val="left"/>
        <w:rPr>
          <w:b/>
          <w:sz w:val="24"/>
        </w:rPr>
      </w:pPr>
      <w:bookmarkStart w:name="Stakeholder and Tribal Comments" w:id="15"/>
      <w:bookmarkEnd w:id="15"/>
      <w:r>
        <w:rPr/>
      </w:r>
      <w:bookmarkStart w:name="_bookmark7" w:id="16"/>
      <w:bookmarkEnd w:id="16"/>
      <w:r>
        <w:rPr/>
      </w:r>
      <w:r>
        <w:rPr>
          <w:b/>
          <w:sz w:val="24"/>
          <w:u w:val="single"/>
        </w:rPr>
        <w:t>Stakeholder and Tribal Comments</w:t>
      </w:r>
    </w:p>
    <w:p>
      <w:pPr>
        <w:pStyle w:val="BodyText"/>
        <w:ind w:left="1059" w:right="1357"/>
      </w:pPr>
      <w:r>
        <w:rPr/>
        <w:t>Stakeholder and Tribal comments about the transition plan were solicited through the methods described above. Stakeholder and Tribal comments were provided through a variety of methods including e-mail, telephone, letter, in-person meetings, via conferences and webinars, and the internet site.</w:t>
      </w:r>
    </w:p>
    <w:p>
      <w:pPr>
        <w:pStyle w:val="BodyText"/>
        <w:rPr>
          <w:sz w:val="20"/>
        </w:rPr>
      </w:pPr>
    </w:p>
    <w:p>
      <w:pPr>
        <w:pStyle w:val="BodyText"/>
        <w:rPr>
          <w:sz w:val="20"/>
        </w:rPr>
      </w:pPr>
    </w:p>
    <w:p>
      <w:pPr>
        <w:pStyle w:val="BodyText"/>
        <w:spacing w:before="4"/>
        <w:rPr>
          <w:sz w:val="11"/>
        </w:rPr>
      </w:pPr>
      <w:r>
        <w:rPr/>
        <w:pict>
          <v:shape style="position:absolute;margin-left:70.559998pt;margin-top:9.15523pt;width:650.9pt;height:.1pt;mso-position-horizontal-relative:page;mso-position-vertical-relative:paragraph;z-index:-251643904;mso-wrap-distance-left:0;mso-wrap-distance-right:0" coordorigin="1411,183" coordsize="13018,0" path="m1411,183l14429,183e" filled="false" stroked="true" strokeweight=".481pt" strokecolor="#d9d9d9">
            <v:path arrowok="t"/>
            <v:stroke dashstyle="solid"/>
            <w10:wrap type="topAndBottom"/>
          </v:shape>
        </w:pict>
      </w:r>
    </w:p>
    <w:p>
      <w:pPr>
        <w:spacing w:after="0"/>
        <w:rPr>
          <w:sz w:val="11"/>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4"/>
        <w:rPr>
          <w:b/>
          <w:sz w:val="12"/>
        </w:rPr>
      </w:pPr>
    </w:p>
    <w:p>
      <w:pPr>
        <w:spacing w:line="293" w:lineRule="exact" w:before="52"/>
        <w:ind w:left="1060" w:right="0" w:firstLine="0"/>
        <w:jc w:val="left"/>
        <w:rPr>
          <w:b/>
          <w:sz w:val="24"/>
        </w:rPr>
      </w:pPr>
      <w:bookmarkStart w:name="Process for Ensuring Ongoing Transparenc" w:id="17"/>
      <w:bookmarkEnd w:id="17"/>
      <w:r>
        <w:rPr/>
      </w:r>
      <w:bookmarkStart w:name="_bookmark8" w:id="18"/>
      <w:bookmarkEnd w:id="18"/>
      <w:r>
        <w:rPr/>
      </w:r>
      <w:r>
        <w:rPr>
          <w:b/>
          <w:sz w:val="24"/>
          <w:u w:val="single"/>
        </w:rPr>
        <w:t>Process for Ensuring Ongoing Transparency and Input from Stakeholders and Tribes</w:t>
      </w:r>
    </w:p>
    <w:p>
      <w:pPr>
        <w:pStyle w:val="BodyText"/>
        <w:ind w:left="1059" w:right="1260"/>
      </w:pPr>
      <w:r>
        <w:rPr/>
        <w:t>The Centers for Medicare and Medicaid Services (CMS) will continue to work with the state to ensure that all waiver programs are brought into compliance with the new federal requirements. As of November 4, 2016, CMS granted initial approval of Washington’s statewide transition plan. CMS will continue to provide input until the transition plan receives final approval allowing until January 1, 2019 to effectuate full compliance. Updated statewide transition plans will be posted on the ALTSA internet site as milestones are reached, with updates and an opportunity for public comment.</w:t>
      </w:r>
    </w:p>
    <w:p>
      <w:pPr>
        <w:pStyle w:val="BodyText"/>
        <w:spacing w:before="4"/>
        <w:rPr>
          <w:sz w:val="19"/>
        </w:rPr>
      </w:pPr>
    </w:p>
    <w:p>
      <w:pPr>
        <w:spacing w:line="590" w:lineRule="atLeast" w:before="0"/>
        <w:ind w:left="1059" w:right="7419" w:firstLine="0"/>
        <w:jc w:val="left"/>
        <w:rPr>
          <w:b/>
          <w:sz w:val="28"/>
        </w:rPr>
      </w:pPr>
      <w:bookmarkStart w:name="Results of the State Systemic Evaluation" w:id="19"/>
      <w:bookmarkEnd w:id="19"/>
      <w:r>
        <w:rPr/>
      </w:r>
      <w:bookmarkStart w:name="_bookmark9" w:id="20"/>
      <w:bookmarkEnd w:id="20"/>
      <w:r>
        <w:rPr/>
      </w:r>
      <w:r>
        <w:rPr>
          <w:b/>
          <w:sz w:val="28"/>
        </w:rPr>
        <w:t>Results of the State Systemic Evaluation of HCBS Settings</w:t>
      </w:r>
      <w:bookmarkStart w:name="State HCBS settings:" w:id="21"/>
      <w:bookmarkEnd w:id="21"/>
      <w:r>
        <w:rPr>
          <w:b/>
          <w:sz w:val="28"/>
        </w:rPr>
      </w:r>
      <w:bookmarkStart w:name="_bookmark10" w:id="22"/>
      <w:bookmarkEnd w:id="22"/>
      <w:r>
        <w:rPr>
          <w:b/>
          <w:sz w:val="28"/>
        </w:rPr>
      </w:r>
      <w:r>
        <w:rPr>
          <w:b/>
          <w:sz w:val="28"/>
        </w:rPr>
        <w:t> State HCBS settings:</w:t>
      </w:r>
    </w:p>
    <w:p>
      <w:pPr>
        <w:pStyle w:val="BodyText"/>
        <w:spacing w:line="276" w:lineRule="auto" w:before="49"/>
        <w:ind w:left="1059" w:right="1192"/>
      </w:pPr>
      <w:r>
        <w:rPr/>
        <w:t>ALTSA and DDA have a robust LTSS system based on the core value that individuals can be supported to age in place in the setting of their choice. Participants may choose from an array of settings in which LTSS can be provided and all participants may choose to receive supports in their own homes, which is a non-disability specific setting.</w:t>
      </w:r>
    </w:p>
    <w:p>
      <w:pPr>
        <w:pStyle w:val="BodyText"/>
        <w:spacing w:before="6"/>
        <w:rPr>
          <w:sz w:val="16"/>
        </w:rPr>
      </w:pPr>
    </w:p>
    <w:p>
      <w:pPr>
        <w:pStyle w:val="BodyText"/>
        <w:spacing w:line="276" w:lineRule="auto"/>
        <w:ind w:left="1059" w:right="1083"/>
      </w:pPr>
      <w:r>
        <w:rPr/>
        <w:t>Participants who elect to receive services in their own homes may hire qualified family members or friends to as an individual provider of personal care, choose care provided through a home care agency, or hire an individual provider through the Home Care Referral Registry. Participants in Washington State can self-direct their care and are able to receive Nurse Delegation in their own home. In order to ensure that participants who chose a private home have access to in-home care providers capable of meeting their support needs, Washington has extensive and well-developed training and certification for long term care workers. In addition, the State is engaged in workforce development strategies for Individual Providers through advanced training opportunities, wage increases based on cumulative career hours, health care, and retirement benefits. These efforts contribute to a competent and professional workforce.</w:t>
      </w:r>
    </w:p>
    <w:p>
      <w:pPr>
        <w:pStyle w:val="BodyText"/>
        <w:spacing w:before="4"/>
        <w:rPr>
          <w:sz w:val="16"/>
        </w:rPr>
      </w:pPr>
    </w:p>
    <w:p>
      <w:pPr>
        <w:pStyle w:val="BodyText"/>
        <w:spacing w:line="276" w:lineRule="auto"/>
        <w:ind w:left="1059" w:right="1124"/>
      </w:pPr>
      <w:r>
        <w:rPr/>
        <w:t>Case managers assist participants to develop a person centered plan of care that reflects the individual participant’s choices and preferences. As part of the planning process, case managers discuss all available options for service settings and provider types. Participants choose from among these settings and providers when developing their plan.  When selecting an in home option participants may access waiver services to make any needed adaptations to the participant’s home.</w:t>
      </w:r>
    </w:p>
    <w:p>
      <w:pPr>
        <w:pStyle w:val="BodyText"/>
        <w:spacing w:before="4"/>
        <w:rPr>
          <w:sz w:val="16"/>
        </w:rPr>
      </w:pPr>
    </w:p>
    <w:p>
      <w:pPr>
        <w:pStyle w:val="BodyText"/>
        <w:spacing w:line="276" w:lineRule="auto" w:before="1"/>
        <w:ind w:left="1059" w:right="1192"/>
      </w:pPr>
      <w:r>
        <w:rPr/>
        <w:t>As of February 2016, WA serves 53,164 participants through the Home and Community Services (HCS) Division. Of those, 40,233 (76%) are served in their own home and 12,362 (23%) are in provider owned residential settings.</w:t>
      </w:r>
    </w:p>
    <w:p>
      <w:pPr>
        <w:pStyle w:val="BodyText"/>
        <w:spacing w:before="4"/>
        <w:rPr>
          <w:sz w:val="25"/>
        </w:rPr>
      </w:pPr>
    </w:p>
    <w:p>
      <w:pPr>
        <w:pStyle w:val="BodyText"/>
        <w:tabs>
          <w:tab w:pos="14048" w:val="left" w:leader="none"/>
        </w:tabs>
        <w:ind w:left="1031"/>
      </w:pPr>
      <w:r>
        <w:rPr>
          <w:spacing w:val="-22"/>
          <w:w w:val="100"/>
          <w:u w:val="single" w:color="D9D9D9"/>
        </w:rPr>
        <w:t> </w:t>
      </w:r>
      <w:r>
        <w:rPr>
          <w:u w:val="single" w:color="D9D9D9"/>
        </w:rPr>
        <w:t>The</w:t>
      </w:r>
      <w:r>
        <w:rPr>
          <w:spacing w:val="-2"/>
          <w:u w:val="single" w:color="D9D9D9"/>
        </w:rPr>
        <w:t> </w:t>
      </w:r>
      <w:r>
        <w:rPr>
          <w:u w:val="single" w:color="D9D9D9"/>
        </w:rPr>
        <w:t>Developmental</w:t>
      </w:r>
      <w:r>
        <w:rPr>
          <w:spacing w:val="-4"/>
          <w:u w:val="single" w:color="D9D9D9"/>
        </w:rPr>
        <w:t> </w:t>
      </w:r>
      <w:r>
        <w:rPr>
          <w:u w:val="single" w:color="D9D9D9"/>
        </w:rPr>
        <w:t>Disabilities</w:t>
      </w:r>
      <w:r>
        <w:rPr>
          <w:spacing w:val="-3"/>
          <w:u w:val="single" w:color="D9D9D9"/>
        </w:rPr>
        <w:t> </w:t>
      </w:r>
      <w:r>
        <w:rPr>
          <w:u w:val="single" w:color="D9D9D9"/>
        </w:rPr>
        <w:t>Administration</w:t>
      </w:r>
      <w:r>
        <w:rPr>
          <w:spacing w:val="-4"/>
          <w:u w:val="single" w:color="D9D9D9"/>
        </w:rPr>
        <w:t> </w:t>
      </w:r>
      <w:r>
        <w:rPr>
          <w:u w:val="single" w:color="D9D9D9"/>
        </w:rPr>
        <w:t>serves</w:t>
      </w:r>
      <w:r>
        <w:rPr>
          <w:spacing w:val="-5"/>
          <w:u w:val="single" w:color="D9D9D9"/>
        </w:rPr>
        <w:t> </w:t>
      </w:r>
      <w:r>
        <w:rPr>
          <w:u w:val="single" w:color="D9D9D9"/>
        </w:rPr>
        <w:t>43,726</w:t>
      </w:r>
      <w:r>
        <w:rPr>
          <w:spacing w:val="-1"/>
          <w:u w:val="single" w:color="D9D9D9"/>
        </w:rPr>
        <w:t> </w:t>
      </w:r>
      <w:r>
        <w:rPr>
          <w:u w:val="single" w:color="D9D9D9"/>
        </w:rPr>
        <w:t>participants.</w:t>
      </w:r>
      <w:r>
        <w:rPr>
          <w:spacing w:val="-3"/>
          <w:u w:val="single" w:color="D9D9D9"/>
        </w:rPr>
        <w:t> </w:t>
      </w:r>
      <w:r>
        <w:rPr>
          <w:u w:val="single" w:color="D9D9D9"/>
        </w:rPr>
        <w:t>Of</w:t>
      </w:r>
      <w:r>
        <w:rPr>
          <w:spacing w:val="-6"/>
          <w:u w:val="single" w:color="D9D9D9"/>
        </w:rPr>
        <w:t> </w:t>
      </w:r>
      <w:r>
        <w:rPr>
          <w:u w:val="single" w:color="D9D9D9"/>
        </w:rPr>
        <w:t>those,</w:t>
      </w:r>
      <w:r>
        <w:rPr>
          <w:spacing w:val="-3"/>
          <w:u w:val="single" w:color="D9D9D9"/>
        </w:rPr>
        <w:t> </w:t>
      </w:r>
      <w:r>
        <w:rPr>
          <w:u w:val="single" w:color="D9D9D9"/>
        </w:rPr>
        <w:t>39,290</w:t>
      </w:r>
      <w:r>
        <w:rPr>
          <w:spacing w:val="-2"/>
          <w:u w:val="single" w:color="D9D9D9"/>
        </w:rPr>
        <w:t> </w:t>
      </w:r>
      <w:r>
        <w:rPr>
          <w:u w:val="single" w:color="D9D9D9"/>
        </w:rPr>
        <w:t>(90%)</w:t>
      </w:r>
      <w:r>
        <w:rPr>
          <w:spacing w:val="-3"/>
          <w:u w:val="single" w:color="D9D9D9"/>
        </w:rPr>
        <w:t> </w:t>
      </w:r>
      <w:r>
        <w:rPr>
          <w:u w:val="single" w:color="D9D9D9"/>
        </w:rPr>
        <w:t>live</w:t>
      </w:r>
      <w:r>
        <w:rPr>
          <w:spacing w:val="-1"/>
          <w:u w:val="single" w:color="D9D9D9"/>
        </w:rPr>
        <w:t> </w:t>
      </w:r>
      <w:r>
        <w:rPr>
          <w:u w:val="single" w:color="D9D9D9"/>
        </w:rPr>
        <w:t>in</w:t>
      </w:r>
      <w:r>
        <w:rPr>
          <w:spacing w:val="-6"/>
          <w:u w:val="single" w:color="D9D9D9"/>
        </w:rPr>
        <w:t> </w:t>
      </w:r>
      <w:r>
        <w:rPr>
          <w:u w:val="single" w:color="D9D9D9"/>
        </w:rPr>
        <w:t>their</w:t>
      </w:r>
      <w:r>
        <w:rPr>
          <w:spacing w:val="-3"/>
          <w:u w:val="single" w:color="D9D9D9"/>
        </w:rPr>
        <w:t> </w:t>
      </w:r>
      <w:r>
        <w:rPr>
          <w:u w:val="single" w:color="D9D9D9"/>
        </w:rPr>
        <w:t>own</w:t>
      </w:r>
      <w:r>
        <w:rPr>
          <w:spacing w:val="-6"/>
          <w:u w:val="single" w:color="D9D9D9"/>
        </w:rPr>
        <w:t> </w:t>
      </w:r>
      <w:r>
        <w:rPr>
          <w:u w:val="single" w:color="D9D9D9"/>
        </w:rPr>
        <w:t>homes.</w:t>
        <w:tab/>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0"/>
        </w:rPr>
      </w:pPr>
    </w:p>
    <w:p>
      <w:pPr>
        <w:pStyle w:val="BodyText"/>
        <w:spacing w:before="4"/>
        <w:rPr>
          <w:b/>
          <w:sz w:val="17"/>
        </w:rPr>
      </w:pPr>
    </w:p>
    <w:p>
      <w:pPr>
        <w:pStyle w:val="BodyText"/>
        <w:spacing w:before="56"/>
        <w:ind w:left="1060"/>
      </w:pPr>
      <w:r>
        <w:rPr/>
        <w:t>Washington increases housing capacity for participants through:</w:t>
      </w:r>
    </w:p>
    <w:p>
      <w:pPr>
        <w:pStyle w:val="ListParagraph"/>
        <w:numPr>
          <w:ilvl w:val="1"/>
          <w:numId w:val="1"/>
        </w:numPr>
        <w:tabs>
          <w:tab w:pos="2499" w:val="left" w:leader="none"/>
          <w:tab w:pos="2501" w:val="left" w:leader="none"/>
        </w:tabs>
        <w:spacing w:line="240" w:lineRule="auto" w:before="39" w:after="0"/>
        <w:ind w:left="2500" w:right="0" w:hanging="362"/>
        <w:jc w:val="left"/>
        <w:rPr>
          <w:sz w:val="22"/>
        </w:rPr>
      </w:pPr>
      <w:r>
        <w:rPr>
          <w:sz w:val="22"/>
        </w:rPr>
        <w:t>Housing and Urban Development (HUD) programs and</w:t>
      </w:r>
      <w:r>
        <w:rPr>
          <w:spacing w:val="-11"/>
          <w:sz w:val="22"/>
        </w:rPr>
        <w:t> </w:t>
      </w:r>
      <w:r>
        <w:rPr>
          <w:sz w:val="22"/>
        </w:rPr>
        <w:t>subsidies</w:t>
      </w:r>
    </w:p>
    <w:p>
      <w:pPr>
        <w:pStyle w:val="ListParagraph"/>
        <w:numPr>
          <w:ilvl w:val="2"/>
          <w:numId w:val="1"/>
        </w:numPr>
        <w:tabs>
          <w:tab w:pos="3220" w:val="left" w:leader="none"/>
          <w:tab w:pos="3221" w:val="left" w:leader="none"/>
        </w:tabs>
        <w:spacing w:line="240" w:lineRule="auto" w:before="41" w:after="0"/>
        <w:ind w:left="3220" w:right="0" w:hanging="361"/>
        <w:jc w:val="left"/>
        <w:rPr>
          <w:sz w:val="22"/>
        </w:rPr>
      </w:pPr>
      <w:r>
        <w:rPr>
          <w:sz w:val="22"/>
        </w:rPr>
        <w:t>Non-Elderly Disabled category 2 (NED 2)</w:t>
      </w:r>
      <w:r>
        <w:rPr>
          <w:spacing w:val="-8"/>
          <w:sz w:val="22"/>
        </w:rPr>
        <w:t> </w:t>
      </w:r>
      <w:r>
        <w:rPr>
          <w:sz w:val="22"/>
        </w:rPr>
        <w:t>vouchers:</w:t>
      </w:r>
    </w:p>
    <w:p>
      <w:pPr>
        <w:pStyle w:val="ListParagraph"/>
        <w:numPr>
          <w:ilvl w:val="3"/>
          <w:numId w:val="1"/>
        </w:numPr>
        <w:tabs>
          <w:tab w:pos="3940" w:val="left" w:leader="none"/>
          <w:tab w:pos="3941" w:val="left" w:leader="none"/>
        </w:tabs>
        <w:spacing w:line="276" w:lineRule="auto" w:before="34" w:after="0"/>
        <w:ind w:left="3940" w:right="1336" w:hanging="361"/>
        <w:jc w:val="left"/>
        <w:rPr>
          <w:sz w:val="22"/>
        </w:rPr>
      </w:pPr>
      <w:r>
        <w:rPr>
          <w:sz w:val="22"/>
        </w:rPr>
        <w:t>Washington maintains a 95% occupancy rate for its 215 NED 2 vouchers awarded by HUD in 2011. These vouchers provide rent subsidies for individuals exiting institutional settings through the Housing Authorities of Snohomish County, the City of Longview, the City of Tacoma, the City of Yakima, and Clallam</w:t>
      </w:r>
      <w:r>
        <w:rPr>
          <w:spacing w:val="-24"/>
          <w:sz w:val="22"/>
        </w:rPr>
        <w:t> </w:t>
      </w:r>
      <w:r>
        <w:rPr>
          <w:sz w:val="22"/>
        </w:rPr>
        <w:t>County.</w:t>
      </w:r>
    </w:p>
    <w:p>
      <w:pPr>
        <w:pStyle w:val="ListParagraph"/>
        <w:numPr>
          <w:ilvl w:val="2"/>
          <w:numId w:val="1"/>
        </w:numPr>
        <w:tabs>
          <w:tab w:pos="3220" w:val="left" w:leader="none"/>
          <w:tab w:pos="3221" w:val="left" w:leader="none"/>
        </w:tabs>
        <w:spacing w:line="275" w:lineRule="exact" w:before="0" w:after="0"/>
        <w:ind w:left="3220" w:right="0" w:hanging="361"/>
        <w:jc w:val="left"/>
        <w:rPr>
          <w:sz w:val="22"/>
        </w:rPr>
      </w:pPr>
      <w:r>
        <w:rPr>
          <w:sz w:val="22"/>
        </w:rPr>
        <w:t>HUD 811</w:t>
      </w:r>
      <w:r>
        <w:rPr>
          <w:spacing w:val="1"/>
          <w:sz w:val="22"/>
        </w:rPr>
        <w:t> </w:t>
      </w:r>
      <w:r>
        <w:rPr>
          <w:sz w:val="22"/>
        </w:rPr>
        <w:t>Subsidies:</w:t>
      </w:r>
    </w:p>
    <w:p>
      <w:pPr>
        <w:pStyle w:val="ListParagraph"/>
        <w:numPr>
          <w:ilvl w:val="3"/>
          <w:numId w:val="1"/>
        </w:numPr>
        <w:tabs>
          <w:tab w:pos="3940" w:val="left" w:leader="none"/>
          <w:tab w:pos="3941" w:val="left" w:leader="none"/>
        </w:tabs>
        <w:spacing w:line="276" w:lineRule="auto" w:before="32" w:after="0"/>
        <w:ind w:left="3940" w:right="1161" w:hanging="360"/>
        <w:jc w:val="left"/>
        <w:rPr>
          <w:sz w:val="22"/>
        </w:rPr>
      </w:pPr>
      <w:r>
        <w:rPr>
          <w:sz w:val="22"/>
        </w:rPr>
        <w:t>ALTSA partners with the Department of Commerce to provide approximately 215 units of project-based housing rental assistance to non-elderly, disabled ADS clients currently residing in institutional, residential or in-home settings.</w:t>
      </w:r>
    </w:p>
    <w:p>
      <w:pPr>
        <w:pStyle w:val="ListParagraph"/>
        <w:numPr>
          <w:ilvl w:val="2"/>
          <w:numId w:val="1"/>
        </w:numPr>
        <w:tabs>
          <w:tab w:pos="3220" w:val="left" w:leader="none"/>
          <w:tab w:pos="3221" w:val="left" w:leader="none"/>
        </w:tabs>
        <w:spacing w:line="275" w:lineRule="exact" w:before="0" w:after="0"/>
        <w:ind w:left="3220" w:right="0" w:hanging="361"/>
        <w:jc w:val="left"/>
        <w:rPr>
          <w:sz w:val="22"/>
        </w:rPr>
      </w:pPr>
      <w:r>
        <w:rPr>
          <w:sz w:val="22"/>
        </w:rPr>
        <w:t>Housing Bridge</w:t>
      </w:r>
      <w:r>
        <w:rPr>
          <w:spacing w:val="-4"/>
          <w:sz w:val="22"/>
        </w:rPr>
        <w:t> </w:t>
      </w:r>
      <w:r>
        <w:rPr>
          <w:sz w:val="22"/>
        </w:rPr>
        <w:t>Program:</w:t>
      </w:r>
    </w:p>
    <w:p>
      <w:pPr>
        <w:pStyle w:val="ListParagraph"/>
        <w:numPr>
          <w:ilvl w:val="3"/>
          <w:numId w:val="1"/>
        </w:numPr>
        <w:tabs>
          <w:tab w:pos="3940" w:val="left" w:leader="none"/>
          <w:tab w:pos="3941" w:val="left" w:leader="none"/>
        </w:tabs>
        <w:spacing w:line="240" w:lineRule="auto" w:before="34" w:after="0"/>
        <w:ind w:left="3940" w:right="1261" w:hanging="360"/>
        <w:jc w:val="left"/>
        <w:rPr>
          <w:sz w:val="22"/>
        </w:rPr>
      </w:pPr>
      <w:r>
        <w:rPr>
          <w:sz w:val="22"/>
        </w:rPr>
        <w:t>Provides up to 24 months of state paid rental assistance for disabled, low-income participants in the form of a monthly rent subsidy, which is paid directly to housing providers. This is similar to tenant-based housing choice voucher programs administered through public housing</w:t>
      </w:r>
      <w:r>
        <w:rPr>
          <w:spacing w:val="-7"/>
          <w:sz w:val="22"/>
        </w:rPr>
        <w:t> </w:t>
      </w:r>
      <w:r>
        <w:rPr>
          <w:sz w:val="22"/>
        </w:rPr>
        <w:t>authorities.</w:t>
      </w:r>
    </w:p>
    <w:p>
      <w:pPr>
        <w:pStyle w:val="ListParagraph"/>
        <w:numPr>
          <w:ilvl w:val="3"/>
          <w:numId w:val="1"/>
        </w:numPr>
        <w:tabs>
          <w:tab w:pos="3940" w:val="left" w:leader="none"/>
          <w:tab w:pos="3941" w:val="left" w:leader="none"/>
        </w:tabs>
        <w:spacing w:line="240" w:lineRule="auto" w:before="0" w:after="0"/>
        <w:ind w:left="3940" w:right="0" w:hanging="362"/>
        <w:jc w:val="left"/>
        <w:rPr>
          <w:sz w:val="22"/>
        </w:rPr>
      </w:pPr>
      <w:r>
        <w:rPr>
          <w:sz w:val="22"/>
        </w:rPr>
        <w:t>Housing Bridge rental subsidies support transitions of individuals moving primarily from</w:t>
      </w:r>
      <w:r>
        <w:rPr>
          <w:spacing w:val="-12"/>
          <w:sz w:val="22"/>
        </w:rPr>
        <w:t> </w:t>
      </w:r>
      <w:r>
        <w:rPr>
          <w:sz w:val="22"/>
        </w:rPr>
        <w:t>institutional</w:t>
      </w:r>
    </w:p>
    <w:p>
      <w:pPr>
        <w:pStyle w:val="BodyText"/>
        <w:spacing w:line="237" w:lineRule="auto" w:before="3"/>
        <w:ind w:left="3939" w:right="1135"/>
      </w:pPr>
      <w:r>
        <w:rPr/>
        <w:t>settings. The program, funded from Money Follows the Person rebalancing funds, has helped approximately 80 clients statewide achieve permanent affordable independent housing.</w:t>
      </w:r>
    </w:p>
    <w:p>
      <w:pPr>
        <w:pStyle w:val="ListParagraph"/>
        <w:numPr>
          <w:ilvl w:val="1"/>
          <w:numId w:val="1"/>
        </w:numPr>
        <w:tabs>
          <w:tab w:pos="2499" w:val="left" w:leader="none"/>
          <w:tab w:pos="2500" w:val="left" w:leader="none"/>
        </w:tabs>
        <w:spacing w:line="240" w:lineRule="auto" w:before="1" w:after="0"/>
        <w:ind w:left="2499" w:right="0" w:hanging="361"/>
        <w:jc w:val="left"/>
        <w:rPr>
          <w:sz w:val="22"/>
        </w:rPr>
      </w:pPr>
      <w:r>
        <w:rPr>
          <w:sz w:val="22"/>
        </w:rPr>
        <w:t>County city housing levy funds to build programs for individuals with limited household</w:t>
      </w:r>
      <w:r>
        <w:rPr>
          <w:spacing w:val="-13"/>
          <w:sz w:val="22"/>
        </w:rPr>
        <w:t> </w:t>
      </w:r>
      <w:r>
        <w:rPr>
          <w:sz w:val="22"/>
        </w:rPr>
        <w:t>incomes</w:t>
      </w:r>
    </w:p>
    <w:p>
      <w:pPr>
        <w:pStyle w:val="ListParagraph"/>
        <w:numPr>
          <w:ilvl w:val="2"/>
          <w:numId w:val="1"/>
        </w:numPr>
        <w:tabs>
          <w:tab w:pos="3219" w:val="left" w:leader="none"/>
          <w:tab w:pos="3221" w:val="left" w:leader="none"/>
        </w:tabs>
        <w:spacing w:line="240" w:lineRule="auto" w:before="41" w:after="0"/>
        <w:ind w:left="3220" w:right="0" w:hanging="362"/>
        <w:jc w:val="left"/>
        <w:rPr>
          <w:sz w:val="22"/>
        </w:rPr>
      </w:pPr>
      <w:r>
        <w:rPr>
          <w:sz w:val="22"/>
        </w:rPr>
        <w:t>Seattle has produced 12,500 units to</w:t>
      </w:r>
      <w:r>
        <w:rPr>
          <w:spacing w:val="-2"/>
          <w:sz w:val="22"/>
        </w:rPr>
        <w:t> </w:t>
      </w:r>
      <w:r>
        <w:rPr>
          <w:sz w:val="22"/>
        </w:rPr>
        <w:t>date.</w:t>
      </w:r>
    </w:p>
    <w:p>
      <w:pPr>
        <w:pStyle w:val="ListParagraph"/>
        <w:numPr>
          <w:ilvl w:val="2"/>
          <w:numId w:val="1"/>
        </w:numPr>
        <w:tabs>
          <w:tab w:pos="3220" w:val="left" w:leader="none"/>
          <w:tab w:pos="3221" w:val="left" w:leader="none"/>
        </w:tabs>
        <w:spacing w:line="240" w:lineRule="auto" w:before="35" w:after="0"/>
        <w:ind w:left="3220" w:right="0" w:hanging="361"/>
        <w:jc w:val="left"/>
        <w:rPr>
          <w:sz w:val="22"/>
        </w:rPr>
      </w:pPr>
      <w:r>
        <w:rPr>
          <w:sz w:val="22"/>
        </w:rPr>
        <w:t>Bellingham has produced 226 units to</w:t>
      </w:r>
      <w:r>
        <w:rPr>
          <w:spacing w:val="-3"/>
          <w:sz w:val="22"/>
        </w:rPr>
        <w:t> </w:t>
      </w:r>
      <w:r>
        <w:rPr>
          <w:sz w:val="22"/>
        </w:rPr>
        <w:t>date.</w:t>
      </w:r>
    </w:p>
    <w:p>
      <w:pPr>
        <w:pStyle w:val="ListParagraph"/>
        <w:numPr>
          <w:ilvl w:val="2"/>
          <w:numId w:val="1"/>
        </w:numPr>
        <w:tabs>
          <w:tab w:pos="3220" w:val="left" w:leader="none"/>
          <w:tab w:pos="3221" w:val="left" w:leader="none"/>
        </w:tabs>
        <w:spacing w:line="240" w:lineRule="auto" w:before="31" w:after="0"/>
        <w:ind w:left="3220" w:right="0" w:hanging="361"/>
        <w:jc w:val="left"/>
        <w:rPr>
          <w:sz w:val="22"/>
        </w:rPr>
      </w:pPr>
      <w:r>
        <w:rPr>
          <w:sz w:val="22"/>
        </w:rPr>
        <w:t>Vancouver passed a seven year housing levy during the November 2016 elections which will allow the city to raise up</w:t>
      </w:r>
      <w:r>
        <w:rPr>
          <w:spacing w:val="-26"/>
          <w:sz w:val="22"/>
        </w:rPr>
        <w:t> </w:t>
      </w:r>
      <w:r>
        <w:rPr>
          <w:sz w:val="22"/>
        </w:rPr>
        <w:t>to</w:t>
      </w:r>
    </w:p>
    <w:p>
      <w:pPr>
        <w:pStyle w:val="BodyText"/>
        <w:spacing w:before="34"/>
        <w:ind w:left="3220"/>
      </w:pPr>
      <w:r>
        <w:rPr/>
        <w:t>$6 million per year for affordable housing.</w:t>
      </w:r>
    </w:p>
    <w:p>
      <w:pPr>
        <w:pStyle w:val="ListParagraph"/>
        <w:numPr>
          <w:ilvl w:val="2"/>
          <w:numId w:val="1"/>
        </w:numPr>
        <w:tabs>
          <w:tab w:pos="3220" w:val="left" w:leader="none"/>
          <w:tab w:pos="3221" w:val="left" w:leader="none"/>
        </w:tabs>
        <w:spacing w:line="240" w:lineRule="auto" w:before="42" w:after="0"/>
        <w:ind w:left="3220" w:right="0" w:hanging="361"/>
        <w:jc w:val="left"/>
        <w:rPr>
          <w:sz w:val="22"/>
        </w:rPr>
      </w:pPr>
      <w:r>
        <w:rPr>
          <w:sz w:val="22"/>
        </w:rPr>
        <w:t>HUD program information for Washington State is available</w:t>
      </w:r>
      <w:r>
        <w:rPr>
          <w:color w:val="6F2F9F"/>
          <w:spacing w:val="-3"/>
          <w:sz w:val="22"/>
        </w:rPr>
        <w:t> </w:t>
      </w:r>
      <w:r>
        <w:rPr>
          <w:color w:val="6F2F9F"/>
          <w:sz w:val="22"/>
          <w:u w:val="single" w:color="6F2F9F"/>
        </w:rPr>
        <w:t>here</w:t>
      </w:r>
      <w:r>
        <w:rPr>
          <w:sz w:val="22"/>
        </w:rPr>
        <w:t>.</w:t>
      </w:r>
    </w:p>
    <w:p>
      <w:pPr>
        <w:pStyle w:val="ListParagraph"/>
        <w:numPr>
          <w:ilvl w:val="1"/>
          <w:numId w:val="1"/>
        </w:numPr>
        <w:tabs>
          <w:tab w:pos="2500" w:val="left" w:leader="none"/>
          <w:tab w:pos="2501" w:val="left" w:leader="none"/>
        </w:tabs>
        <w:spacing w:line="240" w:lineRule="auto" w:before="32" w:after="0"/>
        <w:ind w:left="2500" w:right="0" w:hanging="361"/>
        <w:jc w:val="left"/>
        <w:rPr>
          <w:sz w:val="22"/>
        </w:rPr>
      </w:pPr>
      <w:r>
        <w:rPr>
          <w:sz w:val="22"/>
        </w:rPr>
        <w:t>USDA rental housing</w:t>
      </w:r>
      <w:r>
        <w:rPr>
          <w:spacing w:val="-2"/>
          <w:sz w:val="22"/>
        </w:rPr>
        <w:t> </w:t>
      </w:r>
      <w:r>
        <w:rPr>
          <w:sz w:val="22"/>
        </w:rPr>
        <w:t>projects</w:t>
      </w:r>
    </w:p>
    <w:p>
      <w:pPr>
        <w:pStyle w:val="ListParagraph"/>
        <w:numPr>
          <w:ilvl w:val="2"/>
          <w:numId w:val="1"/>
        </w:numPr>
        <w:tabs>
          <w:tab w:pos="3220" w:val="left" w:leader="none"/>
          <w:tab w:pos="3221" w:val="left" w:leader="none"/>
        </w:tabs>
        <w:spacing w:line="240" w:lineRule="auto" w:before="41" w:after="0"/>
        <w:ind w:left="3220" w:right="0" w:hanging="361"/>
        <w:jc w:val="left"/>
        <w:rPr>
          <w:sz w:val="22"/>
        </w:rPr>
      </w:pPr>
      <w:r>
        <w:rPr>
          <w:sz w:val="22"/>
        </w:rPr>
        <w:t>294 projects in 34 of 39 counties with 8,891 affordable housing units to</w:t>
      </w:r>
      <w:r>
        <w:rPr>
          <w:spacing w:val="-11"/>
          <w:sz w:val="22"/>
        </w:rPr>
        <w:t> </w:t>
      </w:r>
      <w:r>
        <w:rPr>
          <w:sz w:val="22"/>
        </w:rPr>
        <w:t>date.</w:t>
      </w:r>
    </w:p>
    <w:p>
      <w:pPr>
        <w:pStyle w:val="ListParagraph"/>
        <w:numPr>
          <w:ilvl w:val="1"/>
          <w:numId w:val="1"/>
        </w:numPr>
        <w:tabs>
          <w:tab w:pos="2500" w:val="left" w:leader="none"/>
          <w:tab w:pos="2501" w:val="left" w:leader="none"/>
        </w:tabs>
        <w:spacing w:line="240" w:lineRule="auto" w:before="34" w:after="0"/>
        <w:ind w:left="2500" w:right="0" w:hanging="361"/>
        <w:jc w:val="left"/>
        <w:rPr>
          <w:sz w:val="22"/>
        </w:rPr>
      </w:pPr>
      <w:r>
        <w:rPr>
          <w:sz w:val="22"/>
        </w:rPr>
        <w:t>Down payment and utility bill assistance to home buyers with limited household</w:t>
      </w:r>
      <w:r>
        <w:rPr>
          <w:spacing w:val="-16"/>
          <w:sz w:val="22"/>
        </w:rPr>
        <w:t> </w:t>
      </w:r>
      <w:r>
        <w:rPr>
          <w:sz w:val="22"/>
        </w:rPr>
        <w:t>incomes</w:t>
      </w:r>
    </w:p>
    <w:p>
      <w:pPr>
        <w:pStyle w:val="ListParagraph"/>
        <w:numPr>
          <w:ilvl w:val="2"/>
          <w:numId w:val="1"/>
        </w:numPr>
        <w:tabs>
          <w:tab w:pos="3220" w:val="left" w:leader="none"/>
          <w:tab w:pos="3221" w:val="left" w:leader="none"/>
        </w:tabs>
        <w:spacing w:line="273" w:lineRule="auto" w:before="39" w:after="0"/>
        <w:ind w:left="3219" w:right="1735" w:hanging="360"/>
        <w:jc w:val="left"/>
        <w:rPr>
          <w:sz w:val="22"/>
        </w:rPr>
      </w:pPr>
      <w:r>
        <w:rPr>
          <w:sz w:val="22"/>
        </w:rPr>
        <w:t>Low-Income Housing Tax Credit: On May 13, 2016 it was announced that the State’s Housing Finance Commission provided an estimated $55.2 million in equity from Low-Income Housing Tax Credits that provided 540 units of affordable housing statewide. More information is available</w:t>
      </w:r>
      <w:r>
        <w:rPr>
          <w:color w:val="6F2F9F"/>
          <w:spacing w:val="-6"/>
          <w:sz w:val="22"/>
        </w:rPr>
        <w:t> </w:t>
      </w:r>
      <w:hyperlink r:id="rId20">
        <w:r>
          <w:rPr>
            <w:color w:val="6F2F9F"/>
            <w:sz w:val="22"/>
            <w:u w:val="single" w:color="6F2F9F"/>
          </w:rPr>
          <w:t>here</w:t>
        </w:r>
      </w:hyperlink>
      <w:r>
        <w:rPr>
          <w:sz w:val="22"/>
        </w:rPr>
        <w:t>.</w:t>
      </w:r>
    </w:p>
    <w:p>
      <w:pPr>
        <w:pStyle w:val="BodyText"/>
        <w:spacing w:before="8"/>
        <w:rPr>
          <w:sz w:val="9"/>
        </w:rPr>
      </w:pPr>
      <w:r>
        <w:rPr/>
        <w:pict>
          <v:shape style="position:absolute;margin-left:70.559998pt;margin-top:8.134838pt;width:650.9pt;height:.1pt;mso-position-horizontal-relative:page;mso-position-vertical-relative:paragraph;z-index:-251642880;mso-wrap-distance-left:0;mso-wrap-distance-right:0" coordorigin="1411,163" coordsize="13018,0" path="m1411,163l14429,163e" filled="false" stroked="true" strokeweight=".481pt" strokecolor="#d9d9d9">
            <v:path arrowok="t"/>
            <v:stroke dashstyle="solid"/>
            <w10:wrap type="topAndBottom"/>
          </v:shape>
        </w:pict>
      </w:r>
    </w:p>
    <w:p>
      <w:pPr>
        <w:spacing w:after="0"/>
        <w:rPr>
          <w:sz w:val="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1060" w:right="0" w:firstLine="0"/>
        <w:jc w:val="left"/>
        <w:rPr>
          <w:b/>
          <w:sz w:val="28"/>
        </w:rPr>
      </w:pPr>
      <w:bookmarkStart w:name="Systemic Evaluation of Setting Types:" w:id="23"/>
      <w:bookmarkEnd w:id="23"/>
      <w:r>
        <w:rPr/>
      </w:r>
      <w:bookmarkStart w:name="_bookmark11" w:id="24"/>
      <w:bookmarkEnd w:id="24"/>
      <w:r>
        <w:rPr/>
      </w:r>
      <w:r>
        <w:rPr>
          <w:b/>
          <w:sz w:val="28"/>
        </w:rPr>
        <w:t>Systemic Evaluation of Setting Types:</w:t>
      </w:r>
    </w:p>
    <w:p>
      <w:pPr>
        <w:pStyle w:val="BodyText"/>
        <w:spacing w:line="276" w:lineRule="auto" w:before="49"/>
        <w:ind w:left="1059" w:right="1137"/>
      </w:pPr>
      <w:r>
        <w:rPr/>
        <w:t>ALTSA and DDA reviewed the requirements for HCBS settings for all identified setting types to determine whether the setting type fully complies with the requirements, setting types that will comply with the requirements after implementing changes, and settings that do not or cannot meet the HCBS requirements. In addition, some setting types have been approved by CMS since the last posting of this document. The review included an evaluation of state laws, rules, policies, processes, and forms/tools in relation to the new federal HCBS requirements and an identification of changes that are necessary to achieve and maintain compliance with the federal HCBS requirements. The state solicited input from the state Long-Term Care Ombuds, stakeholders, and clients as part of this evaluation. The state conducted on site visits of all adult day service centers, all settings presumed to be institutional, all group training homes, and one residential setting identified by a stakeholder as potentially not meeting the characteristics of an HCBS setting. The Adult Day Health providers have been approved in the residential support 1915(c) waiver and the providers and settings are the same as in the COPES 1915(c) waiver.</w:t>
      </w:r>
    </w:p>
    <w:p>
      <w:pPr>
        <w:pStyle w:val="BodyText"/>
        <w:spacing w:before="6"/>
        <w:rPr>
          <w:sz w:val="16"/>
        </w:rPr>
      </w:pPr>
    </w:p>
    <w:p>
      <w:pPr>
        <w:spacing w:before="0"/>
        <w:ind w:left="1060" w:right="0" w:firstLine="0"/>
        <w:jc w:val="left"/>
        <w:rPr>
          <w:b/>
          <w:sz w:val="28"/>
        </w:rPr>
      </w:pPr>
      <w:bookmarkStart w:name="Setting Types that have been approved by" w:id="25"/>
      <w:bookmarkEnd w:id="25"/>
      <w:r>
        <w:rPr/>
      </w:r>
      <w:bookmarkStart w:name="_bookmark12" w:id="26"/>
      <w:bookmarkEnd w:id="26"/>
      <w:r>
        <w:rPr/>
      </w:r>
      <w:r>
        <w:rPr>
          <w:b/>
          <w:sz w:val="28"/>
        </w:rPr>
        <w:t>Setting Types that have been approved by CMS:</w:t>
      </w:r>
    </w:p>
    <w:p>
      <w:pPr>
        <w:pStyle w:val="ListParagraph"/>
        <w:numPr>
          <w:ilvl w:val="0"/>
          <w:numId w:val="2"/>
        </w:numPr>
        <w:tabs>
          <w:tab w:pos="2140" w:val="left" w:leader="none"/>
          <w:tab w:pos="2141" w:val="left" w:leader="none"/>
        </w:tabs>
        <w:spacing w:line="240" w:lineRule="auto" w:before="49" w:after="0"/>
        <w:ind w:left="2140" w:right="0" w:hanging="361"/>
        <w:jc w:val="left"/>
        <w:rPr>
          <w:rFonts w:ascii="Symbol" w:hAnsi="Symbol"/>
          <w:sz w:val="22"/>
        </w:rPr>
      </w:pPr>
      <w:r>
        <w:rPr>
          <w:sz w:val="22"/>
        </w:rPr>
        <w:t>Individual, privately-owned or rented homes and apartments (In-Home</w:t>
      </w:r>
      <w:r>
        <w:rPr>
          <w:spacing w:val="-6"/>
          <w:sz w:val="22"/>
        </w:rPr>
        <w:t> </w:t>
      </w:r>
      <w:r>
        <w:rPr>
          <w:sz w:val="22"/>
        </w:rPr>
        <w:t>Settings)</w:t>
      </w:r>
    </w:p>
    <w:p>
      <w:pPr>
        <w:pStyle w:val="ListParagraph"/>
        <w:numPr>
          <w:ilvl w:val="0"/>
          <w:numId w:val="2"/>
        </w:numPr>
        <w:tabs>
          <w:tab w:pos="2140" w:val="left" w:leader="none"/>
          <w:tab w:pos="2141" w:val="left" w:leader="none"/>
        </w:tabs>
        <w:spacing w:line="279" w:lineRule="exact" w:before="1" w:after="0"/>
        <w:ind w:left="2140" w:right="0" w:hanging="361"/>
        <w:jc w:val="left"/>
        <w:rPr>
          <w:rFonts w:ascii="Symbol" w:hAnsi="Symbol"/>
          <w:sz w:val="22"/>
        </w:rPr>
      </w:pPr>
      <w:r>
        <w:rPr>
          <w:sz w:val="22"/>
        </w:rPr>
        <w:t>Adult Family</w:t>
      </w:r>
      <w:r>
        <w:rPr>
          <w:spacing w:val="-3"/>
          <w:sz w:val="22"/>
        </w:rPr>
        <w:t> </w:t>
      </w:r>
      <w:r>
        <w:rPr>
          <w:sz w:val="22"/>
        </w:rPr>
        <w:t>Homes</w:t>
      </w:r>
    </w:p>
    <w:p>
      <w:pPr>
        <w:pStyle w:val="ListParagraph"/>
        <w:numPr>
          <w:ilvl w:val="0"/>
          <w:numId w:val="2"/>
        </w:numPr>
        <w:tabs>
          <w:tab w:pos="2140" w:val="left" w:leader="none"/>
          <w:tab w:pos="2141" w:val="left" w:leader="none"/>
        </w:tabs>
        <w:spacing w:line="279" w:lineRule="exact" w:before="0" w:after="0"/>
        <w:ind w:left="2140" w:right="0" w:hanging="361"/>
        <w:jc w:val="left"/>
        <w:rPr>
          <w:rFonts w:ascii="Symbol" w:hAnsi="Symbol"/>
          <w:sz w:val="22"/>
        </w:rPr>
      </w:pPr>
      <w:r>
        <w:rPr>
          <w:sz w:val="22"/>
        </w:rPr>
        <w:t>Assisted Living</w:t>
      </w:r>
      <w:r>
        <w:rPr>
          <w:spacing w:val="-5"/>
          <w:sz w:val="22"/>
        </w:rPr>
        <w:t> </w:t>
      </w:r>
      <w:r>
        <w:rPr>
          <w:sz w:val="22"/>
        </w:rPr>
        <w:t>Facilities</w:t>
      </w:r>
    </w:p>
    <w:p>
      <w:pPr>
        <w:pStyle w:val="ListParagraph"/>
        <w:numPr>
          <w:ilvl w:val="0"/>
          <w:numId w:val="2"/>
        </w:numPr>
        <w:tabs>
          <w:tab w:pos="2140" w:val="left" w:leader="none"/>
          <w:tab w:pos="2141" w:val="left" w:leader="none"/>
        </w:tabs>
        <w:spacing w:line="240" w:lineRule="auto" w:before="1" w:after="0"/>
        <w:ind w:left="2140" w:right="0" w:hanging="361"/>
        <w:jc w:val="left"/>
        <w:rPr>
          <w:rFonts w:ascii="Symbol" w:hAnsi="Symbol"/>
          <w:sz w:val="22"/>
        </w:rPr>
      </w:pPr>
      <w:r>
        <w:rPr>
          <w:sz w:val="22"/>
        </w:rPr>
        <w:t>Enhanced Services</w:t>
      </w:r>
      <w:r>
        <w:rPr>
          <w:spacing w:val="-2"/>
          <w:sz w:val="22"/>
        </w:rPr>
        <w:t> </w:t>
      </w:r>
      <w:r>
        <w:rPr>
          <w:sz w:val="22"/>
        </w:rPr>
        <w:t>Facilities</w:t>
      </w:r>
    </w:p>
    <w:p>
      <w:pPr>
        <w:pStyle w:val="ListParagraph"/>
        <w:numPr>
          <w:ilvl w:val="0"/>
          <w:numId w:val="2"/>
        </w:numPr>
        <w:tabs>
          <w:tab w:pos="2140" w:val="left" w:leader="none"/>
          <w:tab w:pos="2141" w:val="left" w:leader="none"/>
        </w:tabs>
        <w:spacing w:line="240" w:lineRule="auto" w:before="0" w:after="0"/>
        <w:ind w:left="2140" w:right="0" w:hanging="361"/>
        <w:jc w:val="left"/>
        <w:rPr>
          <w:rFonts w:ascii="Symbol" w:hAnsi="Symbol"/>
          <w:sz w:val="22"/>
        </w:rPr>
      </w:pPr>
      <w:r>
        <w:rPr>
          <w:sz w:val="22"/>
        </w:rPr>
        <w:t>Adult Day Health</w:t>
      </w:r>
      <w:r>
        <w:rPr>
          <w:spacing w:val="-5"/>
          <w:sz w:val="22"/>
        </w:rPr>
        <w:t> </w:t>
      </w:r>
      <w:r>
        <w:rPr>
          <w:sz w:val="22"/>
        </w:rPr>
        <w:t>Providers</w:t>
      </w:r>
    </w:p>
    <w:p>
      <w:pPr>
        <w:pStyle w:val="ListParagraph"/>
        <w:numPr>
          <w:ilvl w:val="1"/>
          <w:numId w:val="2"/>
        </w:numPr>
        <w:tabs>
          <w:tab w:pos="2499" w:val="left" w:leader="none"/>
          <w:tab w:pos="2500" w:val="left" w:leader="none"/>
        </w:tabs>
        <w:spacing w:line="240" w:lineRule="auto" w:before="0" w:after="0"/>
        <w:ind w:left="2500" w:right="0" w:hanging="360"/>
        <w:jc w:val="left"/>
        <w:rPr>
          <w:sz w:val="22"/>
        </w:rPr>
      </w:pPr>
      <w:r>
        <w:rPr>
          <w:sz w:val="22"/>
        </w:rPr>
        <w:t>Adult Day Health settings were included in the Residential Support Waiver (RSW) amendment approved in May</w:t>
      </w:r>
      <w:r>
        <w:rPr>
          <w:spacing w:val="-25"/>
          <w:sz w:val="22"/>
        </w:rPr>
        <w:t> </w:t>
      </w:r>
      <w:r>
        <w:rPr>
          <w:sz w:val="22"/>
        </w:rPr>
        <w:t>2016</w:t>
      </w:r>
    </w:p>
    <w:p>
      <w:pPr>
        <w:pStyle w:val="BodyText"/>
      </w:pPr>
    </w:p>
    <w:p>
      <w:pPr>
        <w:pStyle w:val="BodyText"/>
        <w:spacing w:before="12"/>
        <w:rPr>
          <w:sz w:val="19"/>
        </w:rPr>
      </w:pPr>
    </w:p>
    <w:p>
      <w:pPr>
        <w:spacing w:before="0"/>
        <w:ind w:left="1060" w:right="0" w:firstLine="0"/>
        <w:jc w:val="left"/>
        <w:rPr>
          <w:b/>
          <w:sz w:val="28"/>
        </w:rPr>
      </w:pPr>
      <w:bookmarkStart w:name="Setting Types the State assessed that fu" w:id="27"/>
      <w:bookmarkEnd w:id="27"/>
      <w:r>
        <w:rPr/>
      </w:r>
      <w:bookmarkStart w:name="_bookmark13" w:id="28"/>
      <w:bookmarkEnd w:id="28"/>
      <w:r>
        <w:rPr/>
      </w:r>
      <w:r>
        <w:rPr>
          <w:b/>
          <w:sz w:val="28"/>
        </w:rPr>
        <w:t>Setting Types the State assessed that fully comply with HCBS Characteristics:</w:t>
      </w:r>
    </w:p>
    <w:p>
      <w:pPr>
        <w:pStyle w:val="ListParagraph"/>
        <w:numPr>
          <w:ilvl w:val="0"/>
          <w:numId w:val="2"/>
        </w:numPr>
        <w:tabs>
          <w:tab w:pos="2140" w:val="left" w:leader="none"/>
          <w:tab w:pos="2141" w:val="left" w:leader="none"/>
        </w:tabs>
        <w:spacing w:line="240" w:lineRule="auto" w:before="47" w:after="0"/>
        <w:ind w:left="2140" w:right="0" w:hanging="361"/>
        <w:jc w:val="left"/>
        <w:rPr>
          <w:rFonts w:ascii="Symbol" w:hAnsi="Symbol"/>
          <w:sz w:val="22"/>
        </w:rPr>
      </w:pPr>
      <w:r>
        <w:rPr>
          <w:sz w:val="22"/>
        </w:rPr>
        <w:t>Vehicle Modification</w:t>
      </w:r>
      <w:r>
        <w:rPr>
          <w:spacing w:val="-6"/>
          <w:sz w:val="22"/>
        </w:rPr>
        <w:t> </w:t>
      </w:r>
      <w:r>
        <w:rPr>
          <w:sz w:val="22"/>
        </w:rPr>
        <w:t>Providers</w:t>
      </w:r>
    </w:p>
    <w:p>
      <w:pPr>
        <w:pStyle w:val="ListParagraph"/>
        <w:numPr>
          <w:ilvl w:val="0"/>
          <w:numId w:val="2"/>
        </w:numPr>
        <w:tabs>
          <w:tab w:pos="2140" w:val="left" w:leader="none"/>
          <w:tab w:pos="2141" w:val="left" w:leader="none"/>
        </w:tabs>
        <w:spacing w:line="240" w:lineRule="auto" w:before="0" w:after="0"/>
        <w:ind w:left="2140" w:right="0" w:hanging="361"/>
        <w:jc w:val="left"/>
        <w:rPr>
          <w:rFonts w:ascii="Symbol" w:hAnsi="Symbol"/>
          <w:sz w:val="22"/>
        </w:rPr>
      </w:pPr>
      <w:r>
        <w:rPr>
          <w:sz w:val="22"/>
        </w:rPr>
        <w:t>Veterinarians for Service Animals</w:t>
      </w:r>
    </w:p>
    <w:p>
      <w:pPr>
        <w:pStyle w:val="ListParagraph"/>
        <w:numPr>
          <w:ilvl w:val="0"/>
          <w:numId w:val="2"/>
        </w:numPr>
        <w:tabs>
          <w:tab w:pos="2140" w:val="left" w:leader="none"/>
          <w:tab w:pos="2141" w:val="left" w:leader="none"/>
        </w:tabs>
        <w:spacing w:line="240" w:lineRule="auto" w:before="1" w:after="0"/>
        <w:ind w:left="2140" w:right="0" w:hanging="361"/>
        <w:jc w:val="left"/>
        <w:rPr>
          <w:rFonts w:ascii="Symbol" w:hAnsi="Symbol"/>
          <w:sz w:val="22"/>
        </w:rPr>
      </w:pPr>
      <w:r>
        <w:rPr>
          <w:sz w:val="22"/>
        </w:rPr>
        <w:t>Transportation</w:t>
      </w:r>
      <w:r>
        <w:rPr>
          <w:spacing w:val="-4"/>
          <w:sz w:val="22"/>
        </w:rPr>
        <w:t> </w:t>
      </w:r>
      <w:r>
        <w:rPr>
          <w:sz w:val="22"/>
        </w:rPr>
        <w:t>Providers</w:t>
      </w:r>
    </w:p>
    <w:p>
      <w:pPr>
        <w:pStyle w:val="ListParagraph"/>
        <w:numPr>
          <w:ilvl w:val="0"/>
          <w:numId w:val="2"/>
        </w:numPr>
        <w:tabs>
          <w:tab w:pos="2140" w:val="left" w:leader="none"/>
          <w:tab w:pos="2141" w:val="left" w:leader="none"/>
        </w:tabs>
        <w:spacing w:line="279" w:lineRule="exact" w:before="0" w:after="0"/>
        <w:ind w:left="2140" w:right="0" w:hanging="361"/>
        <w:jc w:val="left"/>
        <w:rPr>
          <w:rFonts w:ascii="Symbol" w:hAnsi="Symbol"/>
          <w:sz w:val="22"/>
        </w:rPr>
      </w:pPr>
      <w:r>
        <w:rPr>
          <w:sz w:val="22"/>
        </w:rPr>
        <w:t>Community Healthcare</w:t>
      </w:r>
      <w:r>
        <w:rPr>
          <w:spacing w:val="-2"/>
          <w:sz w:val="22"/>
        </w:rPr>
        <w:t> </w:t>
      </w:r>
      <w:r>
        <w:rPr>
          <w:sz w:val="22"/>
        </w:rPr>
        <w:t>Providers</w:t>
      </w:r>
    </w:p>
    <w:p>
      <w:pPr>
        <w:pStyle w:val="ListParagraph"/>
        <w:numPr>
          <w:ilvl w:val="0"/>
          <w:numId w:val="2"/>
        </w:numPr>
        <w:tabs>
          <w:tab w:pos="2140" w:val="left" w:leader="none"/>
          <w:tab w:pos="2141" w:val="left" w:leader="none"/>
        </w:tabs>
        <w:spacing w:line="279" w:lineRule="exact" w:before="0" w:after="0"/>
        <w:ind w:left="2140" w:right="0" w:hanging="361"/>
        <w:jc w:val="left"/>
        <w:rPr>
          <w:rFonts w:ascii="Symbol" w:hAnsi="Symbol"/>
          <w:sz w:val="22"/>
        </w:rPr>
      </w:pPr>
      <w:r>
        <w:rPr>
          <w:sz w:val="22"/>
        </w:rPr>
        <w:t>Dental</w:t>
      </w:r>
      <w:r>
        <w:rPr>
          <w:spacing w:val="-4"/>
          <w:sz w:val="22"/>
        </w:rPr>
        <w:t> </w:t>
      </w:r>
      <w:r>
        <w:rPr>
          <w:sz w:val="22"/>
        </w:rPr>
        <w:t>Providers</w:t>
      </w:r>
    </w:p>
    <w:p>
      <w:pPr>
        <w:pStyle w:val="ListParagraph"/>
        <w:numPr>
          <w:ilvl w:val="0"/>
          <w:numId w:val="2"/>
        </w:numPr>
        <w:tabs>
          <w:tab w:pos="2140" w:val="left" w:leader="none"/>
          <w:tab w:pos="2141" w:val="left" w:leader="none"/>
        </w:tabs>
        <w:spacing w:line="240" w:lineRule="auto" w:before="1" w:after="0"/>
        <w:ind w:left="2140" w:right="0" w:hanging="361"/>
        <w:jc w:val="left"/>
        <w:rPr>
          <w:rFonts w:ascii="Symbol" w:hAnsi="Symbol"/>
          <w:sz w:val="22"/>
        </w:rPr>
      </w:pPr>
      <w:r>
        <w:rPr>
          <w:sz w:val="22"/>
        </w:rPr>
        <w:t>DDA Group Training</w:t>
      </w:r>
      <w:r>
        <w:rPr>
          <w:spacing w:val="-8"/>
          <w:sz w:val="22"/>
        </w:rPr>
        <w:t> </w:t>
      </w:r>
      <w:r>
        <w:rPr>
          <w:sz w:val="22"/>
        </w:rPr>
        <w:t>Homes</w:t>
      </w:r>
    </w:p>
    <w:p>
      <w:pPr>
        <w:pStyle w:val="ListParagraph"/>
        <w:numPr>
          <w:ilvl w:val="0"/>
          <w:numId w:val="2"/>
        </w:numPr>
        <w:tabs>
          <w:tab w:pos="2140" w:val="left" w:leader="none"/>
          <w:tab w:pos="2141" w:val="left" w:leader="none"/>
        </w:tabs>
        <w:spacing w:line="240" w:lineRule="auto" w:before="1" w:after="0"/>
        <w:ind w:left="2140" w:right="0" w:hanging="361"/>
        <w:jc w:val="left"/>
        <w:rPr>
          <w:rFonts w:ascii="Symbol" w:hAnsi="Symbol"/>
          <w:sz w:val="22"/>
        </w:rPr>
      </w:pPr>
      <w:r>
        <w:rPr>
          <w:sz w:val="22"/>
        </w:rPr>
        <w:t>DDA Companion</w:t>
      </w:r>
      <w:r>
        <w:rPr>
          <w:spacing w:val="-5"/>
          <w:sz w:val="22"/>
        </w:rPr>
        <w:t> </w:t>
      </w:r>
      <w:r>
        <w:rPr>
          <w:sz w:val="22"/>
        </w:rPr>
        <w:t>Homes</w:t>
      </w:r>
    </w:p>
    <w:p>
      <w:pPr>
        <w:pStyle w:val="ListParagraph"/>
        <w:numPr>
          <w:ilvl w:val="0"/>
          <w:numId w:val="2"/>
        </w:numPr>
        <w:tabs>
          <w:tab w:pos="2140" w:val="left" w:leader="none"/>
          <w:tab w:pos="2141" w:val="left" w:leader="none"/>
        </w:tabs>
        <w:spacing w:line="240" w:lineRule="auto" w:before="0" w:after="0"/>
        <w:ind w:left="2140" w:right="0" w:hanging="361"/>
        <w:jc w:val="left"/>
        <w:rPr>
          <w:rFonts w:ascii="Symbol" w:hAnsi="Symbol"/>
          <w:sz w:val="22"/>
        </w:rPr>
      </w:pPr>
      <w:r>
        <w:rPr>
          <w:sz w:val="22"/>
        </w:rPr>
        <w:t>Supported</w:t>
      </w:r>
      <w:r>
        <w:rPr>
          <w:spacing w:val="-2"/>
          <w:sz w:val="22"/>
        </w:rPr>
        <w:t> </w:t>
      </w:r>
      <w:r>
        <w:rPr>
          <w:sz w:val="22"/>
        </w:rPr>
        <w:t>Living</w:t>
      </w:r>
    </w:p>
    <w:p>
      <w:pPr>
        <w:pStyle w:val="BodyText"/>
        <w:rPr>
          <w:sz w:val="20"/>
        </w:rPr>
      </w:pPr>
    </w:p>
    <w:p>
      <w:pPr>
        <w:pStyle w:val="BodyText"/>
        <w:spacing w:before="9"/>
        <w:rPr>
          <w:sz w:val="29"/>
        </w:rPr>
      </w:pPr>
      <w:r>
        <w:rPr/>
        <w:pict>
          <v:shape style="position:absolute;margin-left:70.559998pt;margin-top:20.36137pt;width:650.9pt;height:.1pt;mso-position-horizontal-relative:page;mso-position-vertical-relative:paragraph;z-index:-251641856;mso-wrap-distance-left:0;mso-wrap-distance-right:0" coordorigin="1411,407" coordsize="13018,0" path="m1411,407l14429,407e" filled="false" stroked="true" strokeweight=".481pt" strokecolor="#d9d9d9">
            <v:path arrowok="t"/>
            <v:stroke dashstyle="solid"/>
            <w10:wrap type="topAndBottom"/>
          </v:shape>
        </w:pict>
      </w:r>
    </w:p>
    <w:p>
      <w:pPr>
        <w:spacing w:after="0"/>
        <w:rPr>
          <w:sz w:val="2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7"/>
        <w:rPr>
          <w:b/>
          <w:sz w:val="16"/>
        </w:rPr>
      </w:pPr>
    </w:p>
    <w:p>
      <w:pPr>
        <w:pStyle w:val="ListParagraph"/>
        <w:numPr>
          <w:ilvl w:val="0"/>
          <w:numId w:val="2"/>
        </w:numPr>
        <w:tabs>
          <w:tab w:pos="2140" w:val="left" w:leader="none"/>
          <w:tab w:pos="2141" w:val="left" w:leader="none"/>
        </w:tabs>
        <w:spacing w:line="240" w:lineRule="auto" w:before="0" w:after="0"/>
        <w:ind w:left="2140" w:right="0" w:hanging="361"/>
        <w:jc w:val="left"/>
        <w:rPr>
          <w:rFonts w:ascii="Symbol" w:hAnsi="Symbol"/>
          <w:sz w:val="22"/>
        </w:rPr>
      </w:pPr>
      <w:bookmarkStart w:name=" Group Home Licensed Staffed Residentia" w:id="29"/>
      <w:bookmarkEnd w:id="29"/>
      <w:r>
        <w:rPr/>
      </w:r>
      <w:bookmarkStart w:name=" DDA Individual Employment work sites" w:id="30"/>
      <w:bookmarkEnd w:id="30"/>
      <w:r>
        <w:rPr/>
      </w:r>
      <w:bookmarkStart w:name=" DDA Individual Employment work sites" w:id="31"/>
      <w:bookmarkEnd w:id="31"/>
      <w:r>
        <w:rPr>
          <w:sz w:val="22"/>
        </w:rPr>
        <w:t>G</w:t>
      </w:r>
      <w:r>
        <w:rPr>
          <w:sz w:val="22"/>
        </w:rPr>
        <w:t>roup Home Licensed Staffed Residential, Child Foster Care and Group Care</w:t>
      </w:r>
      <w:r>
        <w:rPr>
          <w:spacing w:val="-8"/>
          <w:sz w:val="22"/>
        </w:rPr>
        <w:t> </w:t>
      </w:r>
      <w:r>
        <w:rPr>
          <w:sz w:val="22"/>
        </w:rPr>
        <w:t>Facilities</w:t>
      </w:r>
    </w:p>
    <w:p>
      <w:pPr>
        <w:pStyle w:val="ListParagraph"/>
        <w:numPr>
          <w:ilvl w:val="0"/>
          <w:numId w:val="2"/>
        </w:numPr>
        <w:tabs>
          <w:tab w:pos="2140" w:val="left" w:leader="none"/>
          <w:tab w:pos="2141" w:val="left" w:leader="none"/>
        </w:tabs>
        <w:spacing w:line="279" w:lineRule="exact" w:before="1" w:after="0"/>
        <w:ind w:left="2140" w:right="0" w:hanging="361"/>
        <w:jc w:val="left"/>
        <w:rPr>
          <w:rFonts w:ascii="Symbol" w:hAnsi="Symbol"/>
          <w:sz w:val="22"/>
        </w:rPr>
      </w:pPr>
      <w:r>
        <w:rPr>
          <w:sz w:val="22"/>
        </w:rPr>
        <w:t>DDA Individual Employment work</w:t>
      </w:r>
      <w:r>
        <w:rPr>
          <w:spacing w:val="1"/>
          <w:sz w:val="22"/>
        </w:rPr>
        <w:t> </w:t>
      </w:r>
      <w:r>
        <w:rPr>
          <w:sz w:val="22"/>
        </w:rPr>
        <w:t>sites</w:t>
      </w:r>
    </w:p>
    <w:p>
      <w:pPr>
        <w:pStyle w:val="ListParagraph"/>
        <w:numPr>
          <w:ilvl w:val="0"/>
          <w:numId w:val="2"/>
        </w:numPr>
        <w:tabs>
          <w:tab w:pos="2140" w:val="left" w:leader="none"/>
          <w:tab w:pos="2141" w:val="left" w:leader="none"/>
        </w:tabs>
        <w:spacing w:line="279" w:lineRule="exact" w:before="0" w:after="0"/>
        <w:ind w:left="2140" w:right="0" w:hanging="361"/>
        <w:jc w:val="left"/>
        <w:rPr>
          <w:rFonts w:ascii="Symbol" w:hAnsi="Symbol"/>
          <w:sz w:val="22"/>
        </w:rPr>
      </w:pPr>
      <w:r>
        <w:rPr/>
        <w:pict>
          <v:rect style="position:absolute;margin-left:285.480011pt;margin-top:12.211054pt;width:2.52pt;height:.72pt;mso-position-horizontal-relative:page;mso-position-vertical-relative:paragraph;z-index:251676672" filled="true" fillcolor="#000000" stroked="false">
            <v:fill type="solid"/>
            <w10:wrap type="none"/>
          </v:rect>
        </w:pict>
      </w:r>
      <w:r>
        <w:rPr>
          <w:sz w:val="22"/>
        </w:rPr>
        <w:t>DDA Group Supported Employment work</w:t>
      </w:r>
      <w:r>
        <w:rPr>
          <w:spacing w:val="-10"/>
          <w:sz w:val="22"/>
        </w:rPr>
        <w:t> </w:t>
      </w:r>
      <w:r>
        <w:rPr>
          <w:sz w:val="22"/>
        </w:rPr>
        <w:t>sites</w:t>
      </w:r>
    </w:p>
    <w:p>
      <w:pPr>
        <w:pStyle w:val="ListParagraph"/>
        <w:numPr>
          <w:ilvl w:val="0"/>
          <w:numId w:val="2"/>
        </w:numPr>
        <w:tabs>
          <w:tab w:pos="2140" w:val="left" w:leader="none"/>
          <w:tab w:pos="2141" w:val="left" w:leader="none"/>
        </w:tabs>
        <w:spacing w:line="240" w:lineRule="auto" w:before="0" w:after="0"/>
        <w:ind w:left="2140" w:right="0" w:hanging="361"/>
        <w:jc w:val="left"/>
        <w:rPr>
          <w:rFonts w:ascii="Symbol" w:hAnsi="Symbol"/>
          <w:sz w:val="22"/>
        </w:rPr>
      </w:pPr>
      <w:r>
        <w:rPr>
          <w:sz w:val="22"/>
        </w:rPr>
        <w:t>DDA Community</w:t>
      </w:r>
      <w:r>
        <w:rPr>
          <w:spacing w:val="-3"/>
          <w:sz w:val="22"/>
        </w:rPr>
        <w:t> </w:t>
      </w:r>
      <w:r>
        <w:rPr>
          <w:sz w:val="22"/>
        </w:rPr>
        <w:t>Inclusion</w:t>
      </w:r>
    </w:p>
    <w:p>
      <w:pPr>
        <w:pStyle w:val="ListParagraph"/>
        <w:numPr>
          <w:ilvl w:val="0"/>
          <w:numId w:val="2"/>
        </w:numPr>
        <w:tabs>
          <w:tab w:pos="2140" w:val="left" w:leader="none"/>
          <w:tab w:pos="2141" w:val="left" w:leader="none"/>
        </w:tabs>
        <w:spacing w:line="240" w:lineRule="auto" w:before="1" w:after="0"/>
        <w:ind w:left="2140" w:right="0" w:hanging="361"/>
        <w:jc w:val="left"/>
        <w:rPr>
          <w:rFonts w:ascii="Symbol" w:hAnsi="Symbol"/>
          <w:sz w:val="22"/>
        </w:rPr>
      </w:pPr>
      <w:r>
        <w:rPr>
          <w:sz w:val="22"/>
        </w:rPr>
        <w:t>DDA Behavioral Health Crisis Bed Diversion</w:t>
      </w:r>
      <w:r>
        <w:rPr>
          <w:spacing w:val="-9"/>
          <w:sz w:val="22"/>
        </w:rPr>
        <w:t> </w:t>
      </w:r>
      <w:r>
        <w:rPr>
          <w:sz w:val="22"/>
        </w:rPr>
        <w:t>Services</w:t>
      </w:r>
    </w:p>
    <w:p>
      <w:pPr>
        <w:pStyle w:val="ListParagraph"/>
        <w:numPr>
          <w:ilvl w:val="0"/>
          <w:numId w:val="2"/>
        </w:numPr>
        <w:tabs>
          <w:tab w:pos="2140" w:val="left" w:leader="none"/>
          <w:tab w:pos="2141" w:val="left" w:leader="none"/>
        </w:tabs>
        <w:spacing w:line="279" w:lineRule="exact" w:before="1" w:after="0"/>
        <w:ind w:left="2140" w:right="0" w:hanging="361"/>
        <w:jc w:val="left"/>
        <w:rPr>
          <w:rFonts w:ascii="Symbol" w:hAnsi="Symbol"/>
          <w:sz w:val="22"/>
        </w:rPr>
      </w:pPr>
      <w:r>
        <w:rPr>
          <w:sz w:val="22"/>
        </w:rPr>
        <w:t>DDA Specialized Psychiatric</w:t>
      </w:r>
      <w:r>
        <w:rPr>
          <w:spacing w:val="-6"/>
          <w:sz w:val="22"/>
        </w:rPr>
        <w:t> </w:t>
      </w:r>
      <w:r>
        <w:rPr>
          <w:sz w:val="22"/>
        </w:rPr>
        <w:t>Services</w:t>
      </w:r>
    </w:p>
    <w:p>
      <w:pPr>
        <w:pStyle w:val="ListParagraph"/>
        <w:numPr>
          <w:ilvl w:val="0"/>
          <w:numId w:val="2"/>
        </w:numPr>
        <w:tabs>
          <w:tab w:pos="2140" w:val="left" w:leader="none"/>
          <w:tab w:pos="2141" w:val="left" w:leader="none"/>
        </w:tabs>
        <w:spacing w:line="279" w:lineRule="exact" w:before="0" w:after="0"/>
        <w:ind w:left="2140" w:right="0" w:hanging="361"/>
        <w:jc w:val="left"/>
        <w:rPr>
          <w:rFonts w:ascii="Symbol" w:hAnsi="Symbol"/>
          <w:sz w:val="22"/>
        </w:rPr>
      </w:pPr>
      <w:r>
        <w:rPr>
          <w:sz w:val="22"/>
        </w:rPr>
        <w:t>DDA Positive Behavior Support and</w:t>
      </w:r>
      <w:r>
        <w:rPr>
          <w:spacing w:val="-3"/>
          <w:sz w:val="22"/>
        </w:rPr>
        <w:t> </w:t>
      </w:r>
      <w:r>
        <w:rPr>
          <w:sz w:val="22"/>
        </w:rPr>
        <w:t>Consultation</w:t>
      </w:r>
    </w:p>
    <w:p>
      <w:pPr>
        <w:pStyle w:val="ListParagraph"/>
        <w:numPr>
          <w:ilvl w:val="0"/>
          <w:numId w:val="2"/>
        </w:numPr>
        <w:tabs>
          <w:tab w:pos="2140" w:val="left" w:leader="none"/>
          <w:tab w:pos="2141" w:val="left" w:leader="none"/>
        </w:tabs>
        <w:spacing w:line="240" w:lineRule="auto" w:before="0" w:after="0"/>
        <w:ind w:left="2140" w:right="0" w:hanging="361"/>
        <w:jc w:val="left"/>
        <w:rPr>
          <w:rFonts w:ascii="Symbol" w:hAnsi="Symbol"/>
          <w:sz w:val="22"/>
        </w:rPr>
      </w:pPr>
      <w:r>
        <w:rPr>
          <w:sz w:val="22"/>
        </w:rPr>
        <w:t>DDA Community Crisis Stabilization</w:t>
      </w:r>
      <w:r>
        <w:rPr>
          <w:spacing w:val="-6"/>
          <w:sz w:val="22"/>
        </w:rPr>
        <w:t> </w:t>
      </w:r>
      <w:r>
        <w:rPr>
          <w:sz w:val="22"/>
        </w:rPr>
        <w:t>Services</w:t>
      </w:r>
    </w:p>
    <w:p>
      <w:pPr>
        <w:pStyle w:val="ListParagraph"/>
        <w:numPr>
          <w:ilvl w:val="0"/>
          <w:numId w:val="2"/>
        </w:numPr>
        <w:tabs>
          <w:tab w:pos="2140" w:val="left" w:leader="none"/>
          <w:tab w:pos="2141" w:val="left" w:leader="none"/>
        </w:tabs>
        <w:spacing w:line="240" w:lineRule="auto" w:before="1" w:after="0"/>
        <w:ind w:left="2140" w:right="0" w:hanging="361"/>
        <w:jc w:val="left"/>
        <w:rPr>
          <w:rFonts w:ascii="Symbol" w:hAnsi="Symbol"/>
          <w:sz w:val="22"/>
        </w:rPr>
      </w:pPr>
      <w:r>
        <w:rPr>
          <w:sz w:val="22"/>
        </w:rPr>
        <w:t>Adult Day Care</w:t>
      </w:r>
      <w:r>
        <w:rPr>
          <w:spacing w:val="-4"/>
          <w:sz w:val="22"/>
        </w:rPr>
        <w:t> </w:t>
      </w:r>
      <w:r>
        <w:rPr>
          <w:sz w:val="22"/>
        </w:rPr>
        <w:t>Providers</w:t>
      </w:r>
    </w:p>
    <w:p>
      <w:pPr>
        <w:pStyle w:val="BodyText"/>
        <w:rPr>
          <w:sz w:val="28"/>
        </w:rPr>
      </w:pPr>
    </w:p>
    <w:p>
      <w:pPr>
        <w:spacing w:before="225"/>
        <w:ind w:left="1060" w:right="0" w:firstLine="0"/>
        <w:jc w:val="left"/>
        <w:rPr>
          <w:b/>
          <w:sz w:val="28"/>
        </w:rPr>
      </w:pPr>
      <w:bookmarkStart w:name="Setting Types the State assessed that wi" w:id="32"/>
      <w:bookmarkEnd w:id="32"/>
      <w:r>
        <w:rPr/>
      </w:r>
      <w:bookmarkStart w:name="_bookmark14" w:id="33"/>
      <w:bookmarkEnd w:id="33"/>
      <w:r>
        <w:rPr/>
      </w:r>
      <w:r>
        <w:rPr>
          <w:b/>
          <w:sz w:val="28"/>
        </w:rPr>
        <w:t>Setting Types the State assessed that will fully comply with HCBS Characteristics:</w:t>
      </w:r>
    </w:p>
    <w:p>
      <w:pPr>
        <w:pStyle w:val="BodyText"/>
        <w:spacing w:before="49"/>
        <w:ind w:left="1780"/>
        <w:rPr>
          <w:rFonts w:ascii="Symbol" w:hAnsi="Symbol"/>
        </w:rPr>
      </w:pPr>
      <w:r>
        <w:rPr>
          <w:rFonts w:ascii="Symbol" w:hAnsi="Symbol"/>
          <w:w w:val="100"/>
        </w:rPr>
        <w:t></w:t>
      </w:r>
    </w:p>
    <w:p>
      <w:pPr>
        <w:pStyle w:val="BodyText"/>
        <w:spacing w:before="9"/>
        <w:rPr>
          <w:rFonts w:ascii="Symbol" w:hAnsi="Symbol"/>
          <w:sz w:val="20"/>
        </w:rPr>
      </w:pPr>
    </w:p>
    <w:p>
      <w:pPr>
        <w:spacing w:before="0"/>
        <w:ind w:left="1060" w:right="0" w:firstLine="0"/>
        <w:jc w:val="left"/>
        <w:rPr>
          <w:b/>
          <w:sz w:val="28"/>
        </w:rPr>
      </w:pPr>
      <w:bookmarkStart w:name="Setting Types that do not/cannot meet HC" w:id="34"/>
      <w:bookmarkEnd w:id="34"/>
      <w:r>
        <w:rPr/>
      </w:r>
      <w:bookmarkStart w:name="_bookmark15" w:id="35"/>
      <w:bookmarkEnd w:id="35"/>
      <w:r>
        <w:rPr/>
      </w:r>
      <w:r>
        <w:rPr>
          <w:b/>
          <w:sz w:val="28"/>
        </w:rPr>
        <w:t>Setting Types that do not/cannot meet HCBS characteristics:</w:t>
      </w:r>
    </w:p>
    <w:p>
      <w:pPr>
        <w:pStyle w:val="ListParagraph"/>
        <w:numPr>
          <w:ilvl w:val="0"/>
          <w:numId w:val="2"/>
        </w:numPr>
        <w:tabs>
          <w:tab w:pos="2140" w:val="left" w:leader="none"/>
          <w:tab w:pos="2141" w:val="left" w:leader="none"/>
        </w:tabs>
        <w:spacing w:line="240" w:lineRule="auto" w:before="167" w:after="0"/>
        <w:ind w:left="2140" w:right="0" w:hanging="361"/>
        <w:jc w:val="left"/>
        <w:rPr>
          <w:rFonts w:ascii="Symbol" w:hAnsi="Symbol"/>
          <w:sz w:val="22"/>
        </w:rPr>
      </w:pPr>
      <w:bookmarkStart w:name=" DDA Pre-Vocational Services" w:id="36"/>
      <w:bookmarkEnd w:id="36"/>
      <w:r>
        <w:rPr/>
      </w:r>
      <w:bookmarkStart w:name=" DDA Pre-Vocational Services" w:id="37"/>
      <w:bookmarkEnd w:id="37"/>
      <w:r>
        <w:rPr>
          <w:sz w:val="22"/>
        </w:rPr>
        <w:t>DDA</w:t>
      </w:r>
      <w:r>
        <w:rPr>
          <w:sz w:val="22"/>
        </w:rPr>
        <w:t> Pre-Vocational</w:t>
      </w:r>
      <w:r>
        <w:rPr>
          <w:spacing w:val="-4"/>
          <w:sz w:val="22"/>
        </w:rPr>
        <w:t> </w:t>
      </w:r>
      <w:r>
        <w:rPr>
          <w:sz w:val="22"/>
        </w:rPr>
        <w:t>Services</w:t>
      </w:r>
    </w:p>
    <w:p>
      <w:pPr>
        <w:pStyle w:val="ListParagraph"/>
        <w:numPr>
          <w:ilvl w:val="1"/>
          <w:numId w:val="2"/>
        </w:numPr>
        <w:tabs>
          <w:tab w:pos="2499" w:val="left" w:leader="none"/>
          <w:tab w:pos="2500" w:val="left" w:leader="none"/>
        </w:tabs>
        <w:spacing w:line="240" w:lineRule="auto" w:before="0" w:after="0"/>
        <w:ind w:left="2500" w:right="0" w:hanging="360"/>
        <w:jc w:val="left"/>
        <w:rPr>
          <w:sz w:val="22"/>
        </w:rPr>
      </w:pPr>
      <w:r>
        <w:rPr>
          <w:sz w:val="22"/>
        </w:rPr>
        <w:t>See Appendix C for further information about the plans for DDA Pre-Vocational Services and the individuals</w:t>
      </w:r>
      <w:r>
        <w:rPr>
          <w:spacing w:val="-20"/>
          <w:sz w:val="22"/>
        </w:rPr>
        <w:t> </w:t>
      </w:r>
      <w:r>
        <w:rPr>
          <w:sz w:val="22"/>
        </w:rPr>
        <w:t>affected.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r>
        <w:rPr/>
        <w:pict>
          <v:shape style="position:absolute;margin-left:70.559998pt;margin-top:13.189825pt;width:650.9pt;height:.1pt;mso-position-horizontal-relative:page;mso-position-vertical-relative:paragraph;z-index:-251640832;mso-wrap-distance-left:0;mso-wrap-distance-right:0" coordorigin="1411,264" coordsize="13018,0" path="m1411,264l14429,264e" filled="false" stroked="true" strokeweight=".481pt" strokecolor="#d9d9d9">
            <v:path arrowok="t"/>
            <v:stroke dashstyle="solid"/>
            <w10:wrap type="topAndBottom"/>
          </v:shape>
        </w:pict>
      </w:r>
    </w:p>
    <w:p>
      <w:pPr>
        <w:spacing w:after="0"/>
        <w:rPr>
          <w:sz w:val="1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1060" w:right="0" w:firstLine="0"/>
        <w:jc w:val="left"/>
        <w:rPr>
          <w:b/>
          <w:sz w:val="28"/>
        </w:rPr>
      </w:pPr>
      <w:r>
        <w:rPr>
          <w:b/>
          <w:sz w:val="28"/>
        </w:rPr>
        <w:t>Settings Identified for Heightened Scrutiny Evaluation</w:t>
      </w:r>
    </w:p>
    <w:p>
      <w:pPr>
        <w:pStyle w:val="BodyText"/>
        <w:spacing w:before="248"/>
        <w:ind w:left="1059"/>
      </w:pPr>
      <w:r>
        <w:rPr/>
        <w:t>ALTSA and DDA identify facilities for a Heightened Scrutiny evaluation via multiple avenues, including:</w:t>
      </w:r>
    </w:p>
    <w:p>
      <w:pPr>
        <w:pStyle w:val="ListParagraph"/>
        <w:numPr>
          <w:ilvl w:val="0"/>
          <w:numId w:val="2"/>
        </w:numPr>
        <w:tabs>
          <w:tab w:pos="2139" w:val="left" w:leader="none"/>
          <w:tab w:pos="2140" w:val="left" w:leader="none"/>
        </w:tabs>
        <w:spacing w:line="270" w:lineRule="exact" w:before="1" w:after="0"/>
        <w:ind w:left="2140" w:right="0" w:hanging="360"/>
        <w:jc w:val="left"/>
        <w:rPr>
          <w:rFonts w:ascii="Symbol" w:hAnsi="Symbol"/>
          <w:sz w:val="21"/>
        </w:rPr>
      </w:pPr>
      <w:r>
        <w:rPr>
          <w:sz w:val="22"/>
        </w:rPr>
        <w:t>RCS monitoring visits including interviews with staff, management, and</w:t>
      </w:r>
      <w:r>
        <w:rPr>
          <w:spacing w:val="-13"/>
          <w:sz w:val="22"/>
        </w:rPr>
        <w:t> </w:t>
      </w:r>
      <w:r>
        <w:rPr>
          <w:sz w:val="22"/>
        </w:rPr>
        <w:t>residents</w:t>
      </w:r>
    </w:p>
    <w:p>
      <w:pPr>
        <w:pStyle w:val="ListParagraph"/>
        <w:numPr>
          <w:ilvl w:val="0"/>
          <w:numId w:val="2"/>
        </w:numPr>
        <w:tabs>
          <w:tab w:pos="2139" w:val="left" w:leader="none"/>
          <w:tab w:pos="2140" w:val="left" w:leader="none"/>
        </w:tabs>
        <w:spacing w:line="270" w:lineRule="exact" w:before="0" w:after="0"/>
        <w:ind w:left="2140" w:right="0" w:hanging="360"/>
        <w:jc w:val="left"/>
        <w:rPr>
          <w:rFonts w:ascii="Symbol" w:hAnsi="Symbol"/>
          <w:sz w:val="21"/>
        </w:rPr>
      </w:pPr>
      <w:r>
        <w:rPr>
          <w:sz w:val="22"/>
        </w:rPr>
        <w:t>RCS investigations of non-compliance with</w:t>
      </w:r>
      <w:r>
        <w:rPr>
          <w:spacing w:val="-4"/>
          <w:sz w:val="22"/>
        </w:rPr>
        <w:t> </w:t>
      </w:r>
      <w:r>
        <w:rPr>
          <w:sz w:val="22"/>
        </w:rPr>
        <w:t>regulations</w:t>
      </w:r>
    </w:p>
    <w:p>
      <w:pPr>
        <w:pStyle w:val="ListParagraph"/>
        <w:numPr>
          <w:ilvl w:val="0"/>
          <w:numId w:val="2"/>
        </w:numPr>
        <w:tabs>
          <w:tab w:pos="2139" w:val="left" w:leader="none"/>
          <w:tab w:pos="2140" w:val="left" w:leader="none"/>
        </w:tabs>
        <w:spacing w:line="270" w:lineRule="exact" w:before="1" w:after="0"/>
        <w:ind w:left="2140" w:right="0" w:hanging="360"/>
        <w:jc w:val="left"/>
        <w:rPr>
          <w:rFonts w:ascii="Symbol" w:hAnsi="Symbol"/>
          <w:sz w:val="21"/>
        </w:rPr>
      </w:pPr>
      <w:r>
        <w:rPr>
          <w:sz w:val="22"/>
        </w:rPr>
        <w:t>Reports from stakeholders, community advocacy agencies, Ombuds, family, or other community</w:t>
      </w:r>
      <w:r>
        <w:rPr>
          <w:spacing w:val="-11"/>
          <w:sz w:val="22"/>
        </w:rPr>
        <w:t> </w:t>
      </w:r>
      <w:r>
        <w:rPr>
          <w:sz w:val="22"/>
        </w:rPr>
        <w:t>members</w:t>
      </w:r>
    </w:p>
    <w:p>
      <w:pPr>
        <w:pStyle w:val="ListParagraph"/>
        <w:numPr>
          <w:ilvl w:val="0"/>
          <w:numId w:val="2"/>
        </w:numPr>
        <w:tabs>
          <w:tab w:pos="2139" w:val="left" w:leader="none"/>
          <w:tab w:pos="2140" w:val="left" w:leader="none"/>
        </w:tabs>
        <w:spacing w:line="270" w:lineRule="exact" w:before="0" w:after="0"/>
        <w:ind w:left="2140" w:right="0" w:hanging="360"/>
        <w:jc w:val="left"/>
        <w:rPr>
          <w:rFonts w:ascii="Symbol" w:hAnsi="Symbol"/>
          <w:sz w:val="21"/>
        </w:rPr>
      </w:pPr>
      <w:r>
        <w:rPr>
          <w:sz w:val="22"/>
        </w:rPr>
        <w:t>Comments or complaints received by case management staff directly from the</w:t>
      </w:r>
      <w:r>
        <w:rPr>
          <w:spacing w:val="-10"/>
          <w:sz w:val="22"/>
        </w:rPr>
        <w:t> </w:t>
      </w:r>
      <w:r>
        <w:rPr>
          <w:sz w:val="22"/>
        </w:rPr>
        <w:t>participant</w:t>
      </w:r>
    </w:p>
    <w:p>
      <w:pPr>
        <w:pStyle w:val="BodyText"/>
        <w:spacing w:before="11"/>
        <w:rPr>
          <w:sz w:val="19"/>
        </w:rPr>
      </w:pPr>
    </w:p>
    <w:p>
      <w:pPr>
        <w:spacing w:before="0"/>
        <w:ind w:left="1060" w:right="0" w:firstLine="0"/>
        <w:jc w:val="left"/>
        <w:rPr>
          <w:b/>
          <w:sz w:val="28"/>
        </w:rPr>
      </w:pPr>
      <w:bookmarkStart w:name="Ongoing evaluation of all settings for H" w:id="38"/>
      <w:bookmarkEnd w:id="38"/>
      <w:r>
        <w:rPr/>
      </w:r>
      <w:bookmarkStart w:name="_bookmark16" w:id="39"/>
      <w:bookmarkEnd w:id="39"/>
      <w:r>
        <w:rPr/>
      </w:r>
      <w:r>
        <w:rPr>
          <w:b/>
          <w:sz w:val="28"/>
        </w:rPr>
        <w:t>Ongoing evaluation of all settings for HCBS characteristics</w:t>
      </w:r>
    </w:p>
    <w:p>
      <w:pPr>
        <w:pStyle w:val="BodyText"/>
        <w:spacing w:before="169"/>
        <w:ind w:left="1059" w:right="1137"/>
      </w:pPr>
      <w:r>
        <w:rPr/>
        <w:t>All settings must meet the HCBS final federal rule. Where noted in the “Analysis by Setting” section, the State is using WAC 388-823-1095 as an overarching rule to ensure DDA settings compliance</w:t>
      </w:r>
      <w:r>
        <w:rPr>
          <w:color w:val="1F487C"/>
        </w:rPr>
        <w:t>. </w:t>
      </w:r>
      <w:r>
        <w:rPr/>
        <w:t>The State evaluates settings for HCBS characteristics during the monitoring process completed by the monitoring entity. During this process, sites or homes receive an on-site review, interviews are completed with participants, staff, and administrators as appropriate to the setting, and a visual review of the home or facility, and client record reviews are completed. A more comprehensive outline of the rules and regulations used during monitoring activities of provider owned settings is provided in Appendix B.</w:t>
      </w:r>
    </w:p>
    <w:p>
      <w:pPr>
        <w:pStyle w:val="BodyText"/>
        <w:spacing w:before="11"/>
        <w:rPr>
          <w:sz w:val="21"/>
        </w:rPr>
      </w:pPr>
    </w:p>
    <w:p>
      <w:pPr>
        <w:pStyle w:val="BodyText"/>
        <w:ind w:left="1059" w:right="1135"/>
      </w:pPr>
      <w:r>
        <w:rPr/>
        <w:t>To assist in evaluating provider owned settings, an existing RCS report is being revised to track and trend RCS facility citations for non- compliance. When issues are identified through this report, the state will develop and implement an improvement plan to address systemic issues.</w:t>
      </w:r>
    </w:p>
    <w:p>
      <w:pPr>
        <w:pStyle w:val="BodyText"/>
        <w:spacing w:before="1"/>
      </w:pPr>
    </w:p>
    <w:p>
      <w:pPr>
        <w:pStyle w:val="BodyText"/>
        <w:ind w:left="1059" w:right="1135"/>
      </w:pPr>
      <w:r>
        <w:rPr/>
        <w:t>Additionally, DDA is developing a database to track all reported instances of sites that are not in full compliance with HCBS settings requirements, remediation measures taken, and follow-up inspections to verify compliance. This database and data from RCS databases will allow for monitoring compliance across all settings.</w:t>
      </w:r>
    </w:p>
    <w:p>
      <w:pPr>
        <w:pStyle w:val="BodyText"/>
        <w:spacing w:before="1"/>
        <w:rPr>
          <w:sz w:val="24"/>
        </w:rPr>
      </w:pPr>
    </w:p>
    <w:p>
      <w:pPr>
        <w:spacing w:line="341" w:lineRule="exact" w:before="0"/>
        <w:ind w:left="1060" w:right="0" w:firstLine="0"/>
        <w:jc w:val="left"/>
        <w:rPr>
          <w:b/>
          <w:sz w:val="28"/>
        </w:rPr>
      </w:pPr>
      <w:r>
        <w:rPr>
          <w:b/>
          <w:sz w:val="28"/>
        </w:rPr>
        <w:t>Remediation</w:t>
      </w:r>
    </w:p>
    <w:p>
      <w:pPr>
        <w:pStyle w:val="BodyText"/>
        <w:ind w:left="1060" w:right="2075"/>
      </w:pPr>
      <w:r>
        <w:rPr/>
        <w:t>For settings who fail to meet any of the HCBS requirements, outcomes of the licensing/certification processes include citations and/or enforcement actions taken on non-compliant providers (such as plans of correction, shortened timelines for certification, fines, and certification/license revocation).</w:t>
      </w:r>
    </w:p>
    <w:p>
      <w:pPr>
        <w:pStyle w:val="BodyText"/>
        <w:spacing w:before="1"/>
      </w:pPr>
    </w:p>
    <w:p>
      <w:pPr>
        <w:pStyle w:val="BodyText"/>
        <w:ind w:left="1059" w:right="1329"/>
      </w:pPr>
      <w:r>
        <w:rPr/>
        <w:t>In addition, system issues are addressed through training of providers, revision of laws and rules, and strengthening of licensing requirements. ALTSA is revising reports to track and trend issues that arise regarding participant rights. This information is used by the RCS Management Team, HCS Management Team, DDA Management team, and an ALTSA-wide executive management committee to address systemic issues through Quality Improvement projects.</w:t>
      </w:r>
    </w:p>
    <w:p>
      <w:pPr>
        <w:pStyle w:val="BodyText"/>
        <w:spacing w:before="9"/>
        <w:rPr>
          <w:sz w:val="17"/>
        </w:rPr>
      </w:pPr>
      <w:r>
        <w:rPr/>
        <w:pict>
          <v:shape style="position:absolute;margin-left:70.559998pt;margin-top:13.041915pt;width:650.9pt;height:.1pt;mso-position-horizontal-relative:page;mso-position-vertical-relative:paragraph;z-index:-251638784;mso-wrap-distance-left:0;mso-wrap-distance-right:0" coordorigin="1411,261" coordsize="13018,0" path="m1411,261l14429,261e" filled="false" stroked="true" strokeweight=".481pt" strokecolor="#d9d9d9">
            <v:path arrowok="t"/>
            <v:stroke dashstyle="solid"/>
            <w10:wrap type="topAndBottom"/>
          </v:shape>
        </w:pict>
      </w:r>
    </w:p>
    <w:p>
      <w:pPr>
        <w:spacing w:after="0"/>
        <w:rPr>
          <w:sz w:val="17"/>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0"/>
        </w:rPr>
      </w:pPr>
    </w:p>
    <w:p>
      <w:pPr>
        <w:pStyle w:val="BodyText"/>
        <w:spacing w:before="11"/>
        <w:rPr>
          <w:b/>
          <w:sz w:val="19"/>
        </w:rPr>
      </w:pPr>
    </w:p>
    <w:p>
      <w:pPr>
        <w:pStyle w:val="BodyText"/>
        <w:spacing w:before="56"/>
        <w:ind w:left="1060" w:right="1135"/>
      </w:pPr>
      <w:r>
        <w:rPr/>
        <w:t>When providers are unable to come into compliance with the HCBS rules (or other rules and regulations that pose a health or safety risk to residents), RCS revokes the license of the facility. When a facility’s license is revoked, ALTSA and DDA have the following procedures for resident relocations:</w:t>
      </w:r>
    </w:p>
    <w:p>
      <w:pPr>
        <w:pStyle w:val="BodyText"/>
        <w:spacing w:before="1"/>
        <w:rPr>
          <w:sz w:val="24"/>
        </w:rPr>
      </w:pPr>
    </w:p>
    <w:p>
      <w:pPr>
        <w:spacing w:line="293" w:lineRule="exact" w:before="0"/>
        <w:ind w:left="1060" w:right="0" w:firstLine="0"/>
        <w:jc w:val="left"/>
        <w:rPr>
          <w:b/>
          <w:sz w:val="24"/>
        </w:rPr>
      </w:pPr>
      <w:r>
        <w:rPr>
          <w:b/>
          <w:sz w:val="24"/>
          <w:u w:val="single"/>
        </w:rPr>
        <w:t>Resident Relocation Procedure</w:t>
      </w:r>
    </w:p>
    <w:p>
      <w:pPr>
        <w:pStyle w:val="ListParagraph"/>
        <w:numPr>
          <w:ilvl w:val="0"/>
          <w:numId w:val="3"/>
        </w:numPr>
        <w:tabs>
          <w:tab w:pos="1420" w:val="left" w:leader="none"/>
        </w:tabs>
        <w:spacing w:line="240" w:lineRule="auto" w:before="0" w:after="0"/>
        <w:ind w:left="1419" w:right="1270" w:hanging="360"/>
        <w:jc w:val="left"/>
        <w:rPr>
          <w:sz w:val="22"/>
        </w:rPr>
      </w:pPr>
      <w:r>
        <w:rPr>
          <w:sz w:val="22"/>
        </w:rPr>
        <w:t>After</w:t>
      </w:r>
      <w:r>
        <w:rPr>
          <w:spacing w:val="-3"/>
          <w:sz w:val="22"/>
        </w:rPr>
        <w:t> </w:t>
      </w:r>
      <w:r>
        <w:rPr>
          <w:sz w:val="22"/>
        </w:rPr>
        <w:t>receiving</w:t>
      </w:r>
      <w:r>
        <w:rPr>
          <w:spacing w:val="-3"/>
          <w:sz w:val="22"/>
        </w:rPr>
        <w:t> </w:t>
      </w:r>
      <w:r>
        <w:rPr>
          <w:sz w:val="22"/>
        </w:rPr>
        <w:t>notification</w:t>
      </w:r>
      <w:r>
        <w:rPr>
          <w:spacing w:val="-7"/>
          <w:sz w:val="22"/>
        </w:rPr>
        <w:t> </w:t>
      </w:r>
      <w:r>
        <w:rPr>
          <w:sz w:val="22"/>
        </w:rPr>
        <w:t>from</w:t>
      </w:r>
      <w:r>
        <w:rPr>
          <w:spacing w:val="-3"/>
          <w:sz w:val="22"/>
        </w:rPr>
        <w:t> </w:t>
      </w:r>
      <w:r>
        <w:rPr>
          <w:sz w:val="22"/>
        </w:rPr>
        <w:t>Residential</w:t>
      </w:r>
      <w:r>
        <w:rPr>
          <w:spacing w:val="-2"/>
          <w:sz w:val="22"/>
        </w:rPr>
        <w:t> </w:t>
      </w:r>
      <w:r>
        <w:rPr>
          <w:sz w:val="22"/>
        </w:rPr>
        <w:t>Care</w:t>
      </w:r>
      <w:r>
        <w:rPr>
          <w:spacing w:val="-1"/>
          <w:sz w:val="22"/>
        </w:rPr>
        <w:t> </w:t>
      </w:r>
      <w:r>
        <w:rPr>
          <w:sz w:val="22"/>
        </w:rPr>
        <w:t>Services</w:t>
      </w:r>
      <w:r>
        <w:rPr>
          <w:spacing w:val="-2"/>
          <w:sz w:val="22"/>
        </w:rPr>
        <w:t> </w:t>
      </w:r>
      <w:r>
        <w:rPr>
          <w:sz w:val="22"/>
        </w:rPr>
        <w:t>(RCS),</w:t>
      </w:r>
      <w:r>
        <w:rPr>
          <w:spacing w:val="-4"/>
          <w:sz w:val="22"/>
        </w:rPr>
        <w:t> </w:t>
      </w:r>
      <w:r>
        <w:rPr>
          <w:sz w:val="22"/>
        </w:rPr>
        <w:t>or</w:t>
      </w:r>
      <w:r>
        <w:rPr>
          <w:spacing w:val="-4"/>
          <w:sz w:val="22"/>
        </w:rPr>
        <w:t> </w:t>
      </w:r>
      <w:r>
        <w:rPr>
          <w:sz w:val="22"/>
        </w:rPr>
        <w:t>written</w:t>
      </w:r>
      <w:r>
        <w:rPr>
          <w:spacing w:val="-5"/>
          <w:sz w:val="22"/>
        </w:rPr>
        <w:t> </w:t>
      </w:r>
      <w:r>
        <w:rPr>
          <w:sz w:val="22"/>
        </w:rPr>
        <w:t>notification</w:t>
      </w:r>
      <w:r>
        <w:rPr>
          <w:spacing w:val="-3"/>
          <w:sz w:val="22"/>
        </w:rPr>
        <w:t> </w:t>
      </w:r>
      <w:r>
        <w:rPr>
          <w:sz w:val="22"/>
        </w:rPr>
        <w:t>from</w:t>
      </w:r>
      <w:r>
        <w:rPr>
          <w:spacing w:val="-1"/>
          <w:sz w:val="22"/>
        </w:rPr>
        <w:t> </w:t>
      </w:r>
      <w:r>
        <w:rPr>
          <w:sz w:val="22"/>
        </w:rPr>
        <w:t>a</w:t>
      </w:r>
      <w:r>
        <w:rPr>
          <w:spacing w:val="-3"/>
          <w:sz w:val="22"/>
        </w:rPr>
        <w:t> </w:t>
      </w:r>
      <w:r>
        <w:rPr>
          <w:sz w:val="22"/>
        </w:rPr>
        <w:t>facility,</w:t>
      </w:r>
      <w:r>
        <w:rPr>
          <w:spacing w:val="-4"/>
          <w:sz w:val="22"/>
        </w:rPr>
        <w:t> </w:t>
      </w:r>
      <w:r>
        <w:rPr>
          <w:sz w:val="22"/>
        </w:rPr>
        <w:t>the</w:t>
      </w:r>
      <w:r>
        <w:rPr>
          <w:spacing w:val="-1"/>
          <w:sz w:val="22"/>
        </w:rPr>
        <w:t> </w:t>
      </w:r>
      <w:r>
        <w:rPr>
          <w:sz w:val="22"/>
        </w:rPr>
        <w:t>Agency’s</w:t>
      </w:r>
      <w:r>
        <w:rPr>
          <w:spacing w:val="-1"/>
          <w:sz w:val="22"/>
        </w:rPr>
        <w:t> </w:t>
      </w:r>
      <w:r>
        <w:rPr>
          <w:sz w:val="22"/>
        </w:rPr>
        <w:t>Social</w:t>
      </w:r>
      <w:r>
        <w:rPr>
          <w:spacing w:val="-5"/>
          <w:sz w:val="22"/>
        </w:rPr>
        <w:t> </w:t>
      </w:r>
      <w:r>
        <w:rPr>
          <w:sz w:val="22"/>
        </w:rPr>
        <w:t>Services</w:t>
      </w:r>
      <w:r>
        <w:rPr>
          <w:spacing w:val="-4"/>
          <w:sz w:val="22"/>
        </w:rPr>
        <w:t> </w:t>
      </w:r>
      <w:r>
        <w:rPr>
          <w:sz w:val="22"/>
        </w:rPr>
        <w:t>Program Manager, Field Services Administrator (FSA) or their designee will notify the Social Services Supervisors of the</w:t>
      </w:r>
      <w:r>
        <w:rPr>
          <w:spacing w:val="-20"/>
          <w:sz w:val="22"/>
        </w:rPr>
        <w:t> </w:t>
      </w:r>
      <w:r>
        <w:rPr>
          <w:sz w:val="22"/>
        </w:rPr>
        <w:t>closure.</w:t>
      </w:r>
    </w:p>
    <w:p>
      <w:pPr>
        <w:pStyle w:val="ListParagraph"/>
        <w:numPr>
          <w:ilvl w:val="0"/>
          <w:numId w:val="3"/>
        </w:numPr>
        <w:tabs>
          <w:tab w:pos="1420" w:val="left" w:leader="none"/>
        </w:tabs>
        <w:spacing w:line="240" w:lineRule="auto" w:before="0" w:after="0"/>
        <w:ind w:left="1419" w:right="0" w:hanging="360"/>
        <w:jc w:val="left"/>
        <w:rPr>
          <w:sz w:val="22"/>
        </w:rPr>
      </w:pPr>
      <w:r>
        <w:rPr>
          <w:sz w:val="22"/>
        </w:rPr>
        <w:t>Clients are notified of the pending</w:t>
      </w:r>
      <w:r>
        <w:rPr>
          <w:spacing w:val="-9"/>
          <w:sz w:val="22"/>
        </w:rPr>
        <w:t> </w:t>
      </w:r>
      <w:r>
        <w:rPr>
          <w:sz w:val="22"/>
        </w:rPr>
        <w:t>closure.</w:t>
      </w:r>
    </w:p>
    <w:p>
      <w:pPr>
        <w:pStyle w:val="ListParagraph"/>
        <w:numPr>
          <w:ilvl w:val="1"/>
          <w:numId w:val="3"/>
        </w:numPr>
        <w:tabs>
          <w:tab w:pos="1781" w:val="left" w:leader="none"/>
        </w:tabs>
        <w:spacing w:line="240" w:lineRule="auto" w:before="0" w:after="0"/>
        <w:ind w:left="1780" w:right="0" w:hanging="362"/>
        <w:jc w:val="left"/>
        <w:rPr>
          <w:sz w:val="22"/>
        </w:rPr>
      </w:pPr>
      <w:r>
        <w:rPr>
          <w:sz w:val="22"/>
        </w:rPr>
        <w:t>Clients are provided a 30 day advance</w:t>
      </w:r>
      <w:r>
        <w:rPr>
          <w:spacing w:val="-3"/>
          <w:sz w:val="22"/>
        </w:rPr>
        <w:t> </w:t>
      </w:r>
      <w:r>
        <w:rPr>
          <w:sz w:val="22"/>
        </w:rPr>
        <w:t>notification.</w:t>
      </w:r>
    </w:p>
    <w:p>
      <w:pPr>
        <w:pStyle w:val="ListParagraph"/>
        <w:numPr>
          <w:ilvl w:val="1"/>
          <w:numId w:val="3"/>
        </w:numPr>
        <w:tabs>
          <w:tab w:pos="1781" w:val="left" w:leader="none"/>
        </w:tabs>
        <w:spacing w:line="240" w:lineRule="auto" w:before="0" w:after="0"/>
        <w:ind w:left="1780" w:right="0" w:hanging="361"/>
        <w:jc w:val="left"/>
        <w:rPr>
          <w:sz w:val="22"/>
        </w:rPr>
      </w:pPr>
      <w:r>
        <w:rPr>
          <w:sz w:val="22"/>
        </w:rPr>
        <w:t>When client safety is a significant concern or there is imminent risk of harm, shorter timeframes may be given to protect</w:t>
      </w:r>
      <w:r>
        <w:rPr>
          <w:spacing w:val="-27"/>
          <w:sz w:val="22"/>
        </w:rPr>
        <w:t> </w:t>
      </w:r>
      <w:r>
        <w:rPr>
          <w:sz w:val="22"/>
        </w:rPr>
        <w:t>residents.</w:t>
      </w:r>
    </w:p>
    <w:p>
      <w:pPr>
        <w:pStyle w:val="ListParagraph"/>
        <w:numPr>
          <w:ilvl w:val="1"/>
          <w:numId w:val="3"/>
        </w:numPr>
        <w:tabs>
          <w:tab w:pos="1780" w:val="left" w:leader="none"/>
        </w:tabs>
        <w:spacing w:line="240" w:lineRule="auto" w:before="0" w:after="0"/>
        <w:ind w:left="1779" w:right="0" w:hanging="361"/>
        <w:jc w:val="left"/>
        <w:rPr>
          <w:sz w:val="22"/>
        </w:rPr>
      </w:pPr>
      <w:r>
        <w:rPr>
          <w:sz w:val="22"/>
        </w:rPr>
        <w:t>All residents are provided the opportunity to a fair</w:t>
      </w:r>
      <w:r>
        <w:rPr>
          <w:spacing w:val="-5"/>
          <w:sz w:val="22"/>
        </w:rPr>
        <w:t> </w:t>
      </w:r>
      <w:r>
        <w:rPr>
          <w:sz w:val="22"/>
        </w:rPr>
        <w:t>hearing.</w:t>
      </w:r>
    </w:p>
    <w:p>
      <w:pPr>
        <w:pStyle w:val="ListParagraph"/>
        <w:numPr>
          <w:ilvl w:val="0"/>
          <w:numId w:val="3"/>
        </w:numPr>
        <w:tabs>
          <w:tab w:pos="1420" w:val="left" w:leader="none"/>
        </w:tabs>
        <w:spacing w:line="237" w:lineRule="auto" w:before="3" w:after="0"/>
        <w:ind w:left="1419" w:right="1161" w:hanging="360"/>
        <w:jc w:val="left"/>
        <w:rPr>
          <w:sz w:val="22"/>
        </w:rPr>
      </w:pPr>
      <w:r>
        <w:rPr>
          <w:sz w:val="22"/>
        </w:rPr>
        <w:t>The Program Manager, FSA, or designee and Supervisors, after obtaining the resident list, will determine the level of involvement needed by staff and response time needed to assist with relocating clients based on the facility census and closure</w:t>
      </w:r>
      <w:r>
        <w:rPr>
          <w:spacing w:val="-14"/>
          <w:sz w:val="22"/>
        </w:rPr>
        <w:t> </w:t>
      </w:r>
      <w:r>
        <w:rPr>
          <w:sz w:val="22"/>
        </w:rPr>
        <w:t>date.</w:t>
      </w:r>
    </w:p>
    <w:p>
      <w:pPr>
        <w:pStyle w:val="ListParagraph"/>
        <w:numPr>
          <w:ilvl w:val="1"/>
          <w:numId w:val="3"/>
        </w:numPr>
        <w:tabs>
          <w:tab w:pos="1781" w:val="left" w:leader="none"/>
        </w:tabs>
        <w:spacing w:line="240" w:lineRule="auto" w:before="1" w:after="0"/>
        <w:ind w:left="1780" w:right="0" w:hanging="362"/>
        <w:jc w:val="left"/>
        <w:rPr>
          <w:sz w:val="22"/>
        </w:rPr>
      </w:pPr>
      <w:r>
        <w:rPr>
          <w:sz w:val="22"/>
        </w:rPr>
        <w:t>Determine an Agency Point Person(s) and a Point Person(s) in the</w:t>
      </w:r>
      <w:r>
        <w:rPr>
          <w:spacing w:val="-12"/>
          <w:sz w:val="22"/>
        </w:rPr>
        <w:t> </w:t>
      </w:r>
      <w:r>
        <w:rPr>
          <w:sz w:val="22"/>
        </w:rPr>
        <w:t>facility.</w:t>
      </w:r>
    </w:p>
    <w:p>
      <w:pPr>
        <w:pStyle w:val="ListParagraph"/>
        <w:numPr>
          <w:ilvl w:val="1"/>
          <w:numId w:val="3"/>
        </w:numPr>
        <w:tabs>
          <w:tab w:pos="1780" w:val="left" w:leader="none"/>
        </w:tabs>
        <w:spacing w:line="240" w:lineRule="auto" w:before="0" w:after="0"/>
        <w:ind w:left="1779" w:right="1343" w:hanging="360"/>
        <w:jc w:val="left"/>
        <w:rPr>
          <w:sz w:val="22"/>
        </w:rPr>
      </w:pPr>
      <w:r>
        <w:rPr>
          <w:sz w:val="22"/>
        </w:rPr>
        <w:t>Identify HCS, DDA, VA and managed care (e.g. PACE) clients from the census list to enlist additional case management assistance by all appropriate agencies.</w:t>
      </w:r>
    </w:p>
    <w:p>
      <w:pPr>
        <w:pStyle w:val="ListParagraph"/>
        <w:numPr>
          <w:ilvl w:val="1"/>
          <w:numId w:val="3"/>
        </w:numPr>
        <w:tabs>
          <w:tab w:pos="1780" w:val="left" w:leader="none"/>
        </w:tabs>
        <w:spacing w:line="240" w:lineRule="auto" w:before="1" w:after="0"/>
        <w:ind w:left="1779" w:right="0" w:hanging="361"/>
        <w:jc w:val="left"/>
        <w:rPr>
          <w:sz w:val="22"/>
        </w:rPr>
      </w:pPr>
      <w:r>
        <w:rPr>
          <w:sz w:val="22"/>
        </w:rPr>
        <w:t>Assign Agency Case Managers to each</w:t>
      </w:r>
      <w:r>
        <w:rPr>
          <w:spacing w:val="-3"/>
          <w:sz w:val="22"/>
        </w:rPr>
        <w:t> </w:t>
      </w:r>
      <w:r>
        <w:rPr>
          <w:sz w:val="22"/>
        </w:rPr>
        <w:t>client.</w:t>
      </w:r>
    </w:p>
    <w:p>
      <w:pPr>
        <w:pStyle w:val="ListParagraph"/>
        <w:numPr>
          <w:ilvl w:val="1"/>
          <w:numId w:val="3"/>
        </w:numPr>
        <w:tabs>
          <w:tab w:pos="1780" w:val="left" w:leader="none"/>
        </w:tabs>
        <w:spacing w:line="240" w:lineRule="auto" w:before="0" w:after="0"/>
        <w:ind w:left="1779" w:right="1383" w:hanging="360"/>
        <w:jc w:val="left"/>
        <w:rPr>
          <w:sz w:val="22"/>
        </w:rPr>
      </w:pPr>
      <w:r>
        <w:rPr>
          <w:sz w:val="22"/>
        </w:rPr>
        <w:t>The Agency Point Person will notify facility staff of client assignments and the Program Manager, FSA, or designee and DDA Policy and Quality Improvement (PQI) Specialist of any issues that will need special</w:t>
      </w:r>
      <w:r>
        <w:rPr>
          <w:spacing w:val="-5"/>
          <w:sz w:val="22"/>
        </w:rPr>
        <w:t> </w:t>
      </w:r>
      <w:r>
        <w:rPr>
          <w:sz w:val="22"/>
        </w:rPr>
        <w:t>consideration.</w:t>
      </w:r>
    </w:p>
    <w:p>
      <w:pPr>
        <w:pStyle w:val="ListParagraph"/>
        <w:numPr>
          <w:ilvl w:val="1"/>
          <w:numId w:val="3"/>
        </w:numPr>
        <w:tabs>
          <w:tab w:pos="1780" w:val="left" w:leader="none"/>
        </w:tabs>
        <w:spacing w:line="240" w:lineRule="auto" w:before="0" w:after="0"/>
        <w:ind w:left="1779" w:right="0" w:hanging="361"/>
        <w:jc w:val="left"/>
        <w:rPr>
          <w:sz w:val="22"/>
        </w:rPr>
      </w:pPr>
      <w:r>
        <w:rPr>
          <w:sz w:val="22"/>
        </w:rPr>
        <w:t>Case management staff</w:t>
      </w:r>
      <w:r>
        <w:rPr>
          <w:spacing w:val="-7"/>
          <w:sz w:val="22"/>
        </w:rPr>
        <w:t> </w:t>
      </w:r>
      <w:r>
        <w:rPr>
          <w:sz w:val="22"/>
        </w:rPr>
        <w:t>will:</w:t>
      </w:r>
    </w:p>
    <w:p>
      <w:pPr>
        <w:pStyle w:val="ListParagraph"/>
        <w:numPr>
          <w:ilvl w:val="2"/>
          <w:numId w:val="3"/>
        </w:numPr>
        <w:tabs>
          <w:tab w:pos="2139" w:val="left" w:leader="none"/>
          <w:tab w:pos="2140" w:val="left" w:leader="none"/>
        </w:tabs>
        <w:spacing w:line="240" w:lineRule="auto" w:before="0" w:after="0"/>
        <w:ind w:left="2139" w:right="0" w:hanging="361"/>
        <w:jc w:val="left"/>
        <w:rPr>
          <w:sz w:val="22"/>
        </w:rPr>
      </w:pPr>
      <w:r>
        <w:rPr>
          <w:sz w:val="22"/>
        </w:rPr>
        <w:t>Complete a face-to-face visit to determine level of care, provide placement setting options, and evaluate the need for</w:t>
      </w:r>
      <w:r>
        <w:rPr>
          <w:spacing w:val="-27"/>
          <w:sz w:val="22"/>
        </w:rPr>
        <w:t> </w:t>
      </w:r>
      <w:r>
        <w:rPr>
          <w:sz w:val="22"/>
        </w:rPr>
        <w:t>assessment.</w:t>
      </w:r>
    </w:p>
    <w:p>
      <w:pPr>
        <w:pStyle w:val="ListParagraph"/>
        <w:numPr>
          <w:ilvl w:val="2"/>
          <w:numId w:val="3"/>
        </w:numPr>
        <w:tabs>
          <w:tab w:pos="2140" w:val="left" w:leader="none"/>
        </w:tabs>
        <w:spacing w:line="268" w:lineRule="exact" w:before="0" w:after="0"/>
        <w:ind w:left="2139" w:right="0" w:hanging="361"/>
        <w:jc w:val="left"/>
        <w:rPr>
          <w:sz w:val="22"/>
        </w:rPr>
      </w:pPr>
      <w:r>
        <w:rPr>
          <w:sz w:val="22"/>
        </w:rPr>
        <w:t>Complete comprehensive assessments as</w:t>
      </w:r>
      <w:r>
        <w:rPr>
          <w:spacing w:val="-4"/>
          <w:sz w:val="22"/>
        </w:rPr>
        <w:t> </w:t>
      </w:r>
      <w:r>
        <w:rPr>
          <w:sz w:val="22"/>
        </w:rPr>
        <w:t>required.</w:t>
      </w:r>
    </w:p>
    <w:p>
      <w:pPr>
        <w:pStyle w:val="ListParagraph"/>
        <w:numPr>
          <w:ilvl w:val="2"/>
          <w:numId w:val="3"/>
        </w:numPr>
        <w:tabs>
          <w:tab w:pos="2139" w:val="left" w:leader="none"/>
        </w:tabs>
        <w:spacing w:line="268" w:lineRule="exact" w:before="0" w:after="0"/>
        <w:ind w:left="2138" w:right="0" w:hanging="361"/>
        <w:jc w:val="left"/>
        <w:rPr>
          <w:sz w:val="22"/>
        </w:rPr>
      </w:pPr>
      <w:r>
        <w:rPr>
          <w:sz w:val="22"/>
        </w:rPr>
        <w:t>Identify placement options and</w:t>
      </w:r>
      <w:r>
        <w:rPr>
          <w:spacing w:val="-5"/>
          <w:sz w:val="22"/>
        </w:rPr>
        <w:t> </w:t>
      </w:r>
      <w:r>
        <w:rPr>
          <w:sz w:val="22"/>
        </w:rPr>
        <w:t>availability.</w:t>
      </w:r>
    </w:p>
    <w:p>
      <w:pPr>
        <w:pStyle w:val="ListParagraph"/>
        <w:numPr>
          <w:ilvl w:val="2"/>
          <w:numId w:val="3"/>
        </w:numPr>
        <w:tabs>
          <w:tab w:pos="2139" w:val="left" w:leader="none"/>
        </w:tabs>
        <w:spacing w:line="240" w:lineRule="auto" w:before="1" w:after="0"/>
        <w:ind w:left="2138" w:right="0" w:hanging="361"/>
        <w:jc w:val="left"/>
        <w:rPr>
          <w:sz w:val="22"/>
        </w:rPr>
      </w:pPr>
      <w:r>
        <w:rPr>
          <w:sz w:val="22"/>
        </w:rPr>
        <w:t>Review all placement options with the client, the client’s representative, and other parties chosen by the</w:t>
      </w:r>
      <w:r>
        <w:rPr>
          <w:spacing w:val="-20"/>
          <w:sz w:val="22"/>
        </w:rPr>
        <w:t> </w:t>
      </w:r>
      <w:r>
        <w:rPr>
          <w:sz w:val="22"/>
        </w:rPr>
        <w:t>client.</w:t>
      </w:r>
    </w:p>
    <w:p>
      <w:pPr>
        <w:pStyle w:val="ListParagraph"/>
        <w:numPr>
          <w:ilvl w:val="2"/>
          <w:numId w:val="3"/>
        </w:numPr>
        <w:tabs>
          <w:tab w:pos="2139" w:val="left" w:leader="none"/>
        </w:tabs>
        <w:spacing w:line="240" w:lineRule="auto" w:before="0" w:after="0"/>
        <w:ind w:left="2138" w:right="0" w:hanging="361"/>
        <w:jc w:val="left"/>
        <w:rPr>
          <w:sz w:val="22"/>
        </w:rPr>
      </w:pPr>
      <w:r>
        <w:rPr>
          <w:sz w:val="22"/>
        </w:rPr>
        <w:t>Once the client chooses a placement option, staff</w:t>
      </w:r>
      <w:r>
        <w:rPr>
          <w:spacing w:val="-5"/>
          <w:sz w:val="22"/>
        </w:rPr>
        <w:t> </w:t>
      </w:r>
      <w:r>
        <w:rPr>
          <w:sz w:val="22"/>
        </w:rPr>
        <w:t>will:</w:t>
      </w:r>
    </w:p>
    <w:p>
      <w:pPr>
        <w:pStyle w:val="ListParagraph"/>
        <w:numPr>
          <w:ilvl w:val="3"/>
          <w:numId w:val="3"/>
        </w:numPr>
        <w:tabs>
          <w:tab w:pos="2499" w:val="left" w:leader="none"/>
        </w:tabs>
        <w:spacing w:line="240" w:lineRule="auto" w:before="0" w:after="0"/>
        <w:ind w:left="2498" w:right="0" w:hanging="361"/>
        <w:jc w:val="left"/>
        <w:rPr>
          <w:sz w:val="22"/>
        </w:rPr>
      </w:pPr>
      <w:r>
        <w:rPr>
          <w:sz w:val="22"/>
        </w:rPr>
        <w:t>Arrange for</w:t>
      </w:r>
      <w:r>
        <w:rPr>
          <w:spacing w:val="-3"/>
          <w:sz w:val="22"/>
        </w:rPr>
        <w:t> </w:t>
      </w:r>
      <w:r>
        <w:rPr>
          <w:sz w:val="22"/>
        </w:rPr>
        <w:t>transportation.</w:t>
      </w:r>
    </w:p>
    <w:p>
      <w:pPr>
        <w:pStyle w:val="ListParagraph"/>
        <w:numPr>
          <w:ilvl w:val="3"/>
          <w:numId w:val="3"/>
        </w:numPr>
        <w:tabs>
          <w:tab w:pos="2499" w:val="left" w:leader="none"/>
        </w:tabs>
        <w:spacing w:line="240" w:lineRule="auto" w:before="0" w:after="0"/>
        <w:ind w:left="2498" w:right="0" w:hanging="361"/>
        <w:jc w:val="left"/>
        <w:rPr>
          <w:sz w:val="22"/>
        </w:rPr>
      </w:pPr>
      <w:r>
        <w:rPr>
          <w:sz w:val="22"/>
        </w:rPr>
        <w:t>Authorize placements.</w:t>
      </w:r>
    </w:p>
    <w:p>
      <w:pPr>
        <w:pStyle w:val="ListParagraph"/>
        <w:numPr>
          <w:ilvl w:val="3"/>
          <w:numId w:val="3"/>
        </w:numPr>
        <w:tabs>
          <w:tab w:pos="2499" w:val="left" w:leader="none"/>
        </w:tabs>
        <w:spacing w:line="240" w:lineRule="auto" w:before="0" w:after="0"/>
        <w:ind w:left="2498" w:right="0" w:hanging="361"/>
        <w:jc w:val="left"/>
        <w:rPr>
          <w:sz w:val="22"/>
        </w:rPr>
      </w:pPr>
      <w:r>
        <w:rPr>
          <w:sz w:val="22"/>
        </w:rPr>
        <w:t>Notify Financial Services of new</w:t>
      </w:r>
      <w:r>
        <w:rPr>
          <w:spacing w:val="-8"/>
          <w:sz w:val="22"/>
        </w:rPr>
        <w:t> </w:t>
      </w:r>
      <w:r>
        <w:rPr>
          <w:sz w:val="22"/>
        </w:rPr>
        <w:t>placement.</w:t>
      </w:r>
    </w:p>
    <w:p>
      <w:pPr>
        <w:pStyle w:val="ListParagraph"/>
        <w:numPr>
          <w:ilvl w:val="3"/>
          <w:numId w:val="3"/>
        </w:numPr>
        <w:tabs>
          <w:tab w:pos="2499" w:val="left" w:leader="none"/>
        </w:tabs>
        <w:spacing w:line="240" w:lineRule="auto" w:before="0" w:after="0"/>
        <w:ind w:left="2498" w:right="0" w:hanging="361"/>
        <w:jc w:val="left"/>
        <w:rPr>
          <w:sz w:val="22"/>
        </w:rPr>
      </w:pPr>
      <w:r>
        <w:rPr>
          <w:sz w:val="22"/>
        </w:rPr>
        <w:t>Follow-up with the client two weeks after</w:t>
      </w:r>
      <w:r>
        <w:rPr>
          <w:spacing w:val="-5"/>
          <w:sz w:val="22"/>
        </w:rPr>
        <w:t> </w:t>
      </w:r>
      <w:r>
        <w:rPr>
          <w:sz w:val="22"/>
        </w:rPr>
        <w:t>placement.</w:t>
      </w:r>
    </w:p>
    <w:p>
      <w:pPr>
        <w:pStyle w:val="ListParagraph"/>
        <w:numPr>
          <w:ilvl w:val="1"/>
          <w:numId w:val="3"/>
        </w:numPr>
        <w:tabs>
          <w:tab w:pos="1778" w:val="left" w:leader="none"/>
          <w:tab w:pos="1779" w:val="left" w:leader="none"/>
        </w:tabs>
        <w:spacing w:line="240" w:lineRule="auto" w:before="0" w:after="0"/>
        <w:ind w:left="1778" w:right="0" w:hanging="361"/>
        <w:jc w:val="left"/>
        <w:rPr>
          <w:sz w:val="22"/>
        </w:rPr>
      </w:pPr>
      <w:r>
        <w:rPr>
          <w:sz w:val="22"/>
        </w:rPr>
        <w:t>Staff will notify their supervisor as relocations are</w:t>
      </w:r>
      <w:r>
        <w:rPr>
          <w:spacing w:val="-12"/>
          <w:sz w:val="22"/>
        </w:rPr>
        <w:t> </w:t>
      </w:r>
      <w:r>
        <w:rPr>
          <w:sz w:val="22"/>
        </w:rPr>
        <w:t>completed.</w:t>
      </w:r>
    </w:p>
    <w:p>
      <w:pPr>
        <w:pStyle w:val="BodyText"/>
        <w:spacing w:before="2"/>
        <w:ind w:left="1420"/>
      </w:pPr>
      <w:r>
        <w:rPr/>
        <w:t>The Program Manager, FSA, or designee will coordinate with RCS as needed.</w:t>
      </w:r>
    </w:p>
    <w:p>
      <w:pPr>
        <w:pStyle w:val="BodyText"/>
        <w:rPr>
          <w:sz w:val="20"/>
        </w:rPr>
      </w:pPr>
    </w:p>
    <w:p>
      <w:pPr>
        <w:pStyle w:val="BodyText"/>
        <w:spacing w:before="7"/>
        <w:rPr>
          <w:sz w:val="18"/>
        </w:rPr>
      </w:pPr>
      <w:r>
        <w:rPr/>
        <w:pict>
          <v:shape style="position:absolute;margin-left:70.559998pt;margin-top:13.553534pt;width:650.9pt;height:.1pt;mso-position-horizontal-relative:page;mso-position-vertical-relative:paragraph;z-index:-251637760;mso-wrap-distance-left:0;mso-wrap-distance-right:0" coordorigin="1411,271" coordsize="13018,0" path="m1411,271l14429,271e" filled="false" stroked="true" strokeweight=".481pt" strokecolor="#d9d9d9">
            <v:path arrowok="t"/>
            <v:stroke dashstyle="solid"/>
            <w10:wrap type="topAndBottom"/>
          </v:shape>
        </w:pict>
      </w:r>
    </w:p>
    <w:p>
      <w:pPr>
        <w:spacing w:after="0"/>
        <w:rPr>
          <w:sz w:val="1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p>
      <w:pPr>
        <w:spacing w:before="0"/>
        <w:ind w:left="2916" w:right="2957" w:firstLine="0"/>
        <w:jc w:val="center"/>
        <w:rPr>
          <w:b/>
          <w:sz w:val="32"/>
        </w:rPr>
      </w:pPr>
      <w:bookmarkStart w:name="APPENDIX A:  Analysis by Setting" w:id="40"/>
      <w:bookmarkEnd w:id="40"/>
      <w:r>
        <w:rPr/>
      </w:r>
      <w:bookmarkStart w:name="_bookmark17" w:id="41"/>
      <w:bookmarkEnd w:id="41"/>
      <w:r>
        <w:rPr/>
      </w:r>
      <w:r>
        <w:rPr>
          <w:b/>
          <w:sz w:val="32"/>
        </w:rPr>
        <w:t>APPENDIX A:  Analysis by Setting</w:t>
      </w:r>
    </w:p>
    <w:p>
      <w:pPr>
        <w:spacing w:before="259"/>
        <w:ind w:left="2921" w:right="2957" w:firstLine="0"/>
        <w:jc w:val="center"/>
        <w:rPr>
          <w:b/>
          <w:sz w:val="28"/>
        </w:rPr>
      </w:pPr>
      <w:bookmarkStart w:name="Supported Living" w:id="42"/>
      <w:bookmarkEnd w:id="42"/>
      <w:r>
        <w:rPr/>
      </w:r>
      <w:bookmarkStart w:name="_bookmark18" w:id="43"/>
      <w:bookmarkEnd w:id="43"/>
      <w:r>
        <w:rPr/>
      </w:r>
      <w:r>
        <w:rPr>
          <w:b/>
          <w:sz w:val="28"/>
        </w:rPr>
        <w:t>Supported Living</w:t>
      </w:r>
    </w:p>
    <w:p>
      <w:pPr>
        <w:pStyle w:val="BodyText"/>
        <w:spacing w:before="9"/>
        <w:rPr>
          <w:b/>
          <w:sz w:val="31"/>
        </w:rPr>
      </w:pPr>
    </w:p>
    <w:p>
      <w:pPr>
        <w:pStyle w:val="BodyText"/>
        <w:spacing w:line="276" w:lineRule="auto"/>
        <w:ind w:left="1060" w:right="1371"/>
      </w:pPr>
      <w:r>
        <w:rPr/>
        <w:t>Setting Description: Supported Living, also called Certified Community Residential Services and Supports (CCRSS), provides instruction and support services to the participant to the degree the person-centered service plan identifies in the following categories: home living activities, community living activities, life-long learning activities, health and safety activities, social activities, employment, protection and advocacy activities, exceptional medical support needs and exceptional behavioral support needs. Services are provided in an individual’s own private home or apartment, typically shared with housemates. Settings are governed by a lease signed between the participant and the landlord.</w:t>
      </w:r>
    </w:p>
    <w:p>
      <w:pPr>
        <w:pStyle w:val="BodyText"/>
        <w:spacing w:before="5"/>
        <w:rPr>
          <w:sz w:val="27"/>
        </w:rPr>
      </w:pPr>
    </w:p>
    <w:p>
      <w:pPr>
        <w:pStyle w:val="BodyText"/>
        <w:spacing w:line="276" w:lineRule="auto" w:before="1"/>
        <w:ind w:left="1059" w:right="10097"/>
      </w:pPr>
      <w:r>
        <w:rPr/>
        <w:t>Number of Individuals Served: 3,726 Number of sites: 1,600</w:t>
      </w:r>
    </w:p>
    <w:p>
      <w:pPr>
        <w:pStyle w:val="BodyText"/>
        <w:spacing w:before="6"/>
        <w:rPr>
          <w:sz w:val="25"/>
        </w:rPr>
      </w:pPr>
    </w:p>
    <w:p>
      <w:pPr>
        <w:pStyle w:val="Heading5"/>
        <w:rPr>
          <w:i/>
        </w:rPr>
      </w:pPr>
      <w:r>
        <w:rPr>
          <w:i/>
        </w:rPr>
        <w:t>45 individuals are served in 19 provider owned/controlled homes; these homes are listed at the end of this section</w:t>
      </w:r>
    </w:p>
    <w:p>
      <w:pPr>
        <w:pStyle w:val="BodyText"/>
        <w:rPr>
          <w:i/>
          <w:sz w:val="31"/>
        </w:rPr>
      </w:pPr>
    </w:p>
    <w:p>
      <w:pPr>
        <w:pStyle w:val="BodyText"/>
        <w:ind w:left="1060"/>
      </w:pPr>
      <w:r>
        <w:rPr/>
        <w:t>This entire section was updated 7/26/16.</w:t>
      </w:r>
    </w:p>
    <w:p>
      <w:pPr>
        <w:pStyle w:val="BodyText"/>
        <w:spacing w:before="9"/>
        <w:rPr>
          <w:sz w:val="19"/>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9"/>
        <w:gridCol w:w="3420"/>
        <w:gridCol w:w="1382"/>
        <w:gridCol w:w="3026"/>
        <w:gridCol w:w="2520"/>
      </w:tblGrid>
      <w:tr>
        <w:trPr>
          <w:trHeight w:val="586" w:hRule="atLeast"/>
        </w:trPr>
        <w:tc>
          <w:tcPr>
            <w:tcW w:w="3439" w:type="dxa"/>
            <w:tcBorders>
              <w:bottom w:val="single" w:sz="18" w:space="0" w:color="4E8542"/>
            </w:tcBorders>
          </w:tcPr>
          <w:p>
            <w:pPr>
              <w:pStyle w:val="TableParagraph"/>
              <w:spacing w:before="1"/>
              <w:ind w:left="234"/>
              <w:rPr>
                <w:b/>
                <w:sz w:val="24"/>
              </w:rPr>
            </w:pPr>
            <w:r>
              <w:rPr>
                <w:b/>
                <w:sz w:val="24"/>
              </w:rPr>
              <w:t>Characteristics/Requirements</w:t>
            </w:r>
          </w:p>
        </w:tc>
        <w:tc>
          <w:tcPr>
            <w:tcW w:w="3420" w:type="dxa"/>
            <w:tcBorders>
              <w:bottom w:val="single" w:sz="18" w:space="0" w:color="4E8542"/>
            </w:tcBorders>
          </w:tcPr>
          <w:p>
            <w:pPr>
              <w:pStyle w:val="TableParagraph"/>
              <w:spacing w:line="290" w:lineRule="atLeast" w:before="1"/>
              <w:ind w:left="895" w:right="832" w:hanging="24"/>
              <w:rPr>
                <w:b/>
                <w:sz w:val="24"/>
              </w:rPr>
            </w:pPr>
            <w:r>
              <w:rPr>
                <w:b/>
                <w:sz w:val="24"/>
              </w:rPr>
              <w:t>Supported Living State Evaluation</w:t>
            </w:r>
          </w:p>
        </w:tc>
        <w:tc>
          <w:tcPr>
            <w:tcW w:w="1382" w:type="dxa"/>
            <w:tcBorders>
              <w:bottom w:val="single" w:sz="18" w:space="0" w:color="4E8542"/>
            </w:tcBorders>
          </w:tcPr>
          <w:p>
            <w:pPr>
              <w:pStyle w:val="TableParagraph"/>
              <w:spacing w:line="290" w:lineRule="atLeast" w:before="1"/>
              <w:ind w:left="434" w:right="68" w:hanging="327"/>
              <w:rPr>
                <w:b/>
                <w:sz w:val="24"/>
              </w:rPr>
            </w:pPr>
            <w:r>
              <w:rPr>
                <w:b/>
                <w:sz w:val="24"/>
              </w:rPr>
              <w:t>Compliance Level</w:t>
            </w:r>
          </w:p>
        </w:tc>
        <w:tc>
          <w:tcPr>
            <w:tcW w:w="3026" w:type="dxa"/>
            <w:tcBorders>
              <w:bottom w:val="single" w:sz="18" w:space="0" w:color="4E8542"/>
            </w:tcBorders>
          </w:tcPr>
          <w:p>
            <w:pPr>
              <w:pStyle w:val="TableParagraph"/>
              <w:spacing w:before="1"/>
              <w:ind w:left="626"/>
              <w:rPr>
                <w:b/>
                <w:sz w:val="24"/>
              </w:rPr>
            </w:pPr>
            <w:r>
              <w:rPr>
                <w:b/>
                <w:sz w:val="24"/>
              </w:rPr>
              <w:t>Oversight Process</w:t>
            </w:r>
          </w:p>
        </w:tc>
        <w:tc>
          <w:tcPr>
            <w:tcW w:w="2520" w:type="dxa"/>
            <w:tcBorders>
              <w:bottom w:val="single" w:sz="18" w:space="0" w:color="4E8542"/>
            </w:tcBorders>
          </w:tcPr>
          <w:p>
            <w:pPr>
              <w:pStyle w:val="TableParagraph"/>
              <w:spacing w:before="1"/>
              <w:ind w:left="619"/>
              <w:rPr>
                <w:b/>
                <w:sz w:val="24"/>
              </w:rPr>
            </w:pPr>
            <w:r>
              <w:rPr>
                <w:b/>
                <w:sz w:val="24"/>
              </w:rPr>
              <w:t>Remediation</w:t>
            </w:r>
          </w:p>
        </w:tc>
      </w:tr>
      <w:tr>
        <w:trPr>
          <w:trHeight w:val="2955" w:hRule="atLeast"/>
        </w:trPr>
        <w:tc>
          <w:tcPr>
            <w:tcW w:w="3439" w:type="dxa"/>
            <w:tcBorders>
              <w:top w:val="single" w:sz="18" w:space="0" w:color="4E8542"/>
            </w:tcBorders>
            <w:shd w:val="clear" w:color="auto" w:fill="D0E4CA"/>
          </w:tcPr>
          <w:p>
            <w:pPr>
              <w:pStyle w:val="TableParagraph"/>
              <w:ind w:left="107" w:right="131"/>
              <w:rPr>
                <w:b/>
                <w:sz w:val="22"/>
              </w:rPr>
            </w:pPr>
            <w:r>
              <w:rPr>
                <w:b/>
                <w:sz w:val="22"/>
              </w:rPr>
              <w:t>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w:t>
            </w:r>
          </w:p>
        </w:tc>
        <w:tc>
          <w:tcPr>
            <w:tcW w:w="3420" w:type="dxa"/>
            <w:tcBorders>
              <w:top w:val="single" w:sz="18" w:space="0" w:color="4E8542"/>
            </w:tcBorders>
            <w:shd w:val="clear" w:color="auto" w:fill="D0E4CA"/>
          </w:tcPr>
          <w:p>
            <w:pPr>
              <w:pStyle w:val="TableParagraph"/>
              <w:ind w:left="107" w:right="359"/>
              <w:rPr>
                <w:sz w:val="22"/>
              </w:rPr>
            </w:pPr>
            <w:r>
              <w:rPr>
                <w:sz w:val="22"/>
              </w:rPr>
              <w:t>The Supported Living/Certified Community Residential Services and Supports (CCRSS) rule are in Chapters </w:t>
            </w:r>
            <w:hyperlink r:id="rId21">
              <w:r>
                <w:rPr>
                  <w:color w:val="6B9F24"/>
                  <w:sz w:val="22"/>
                  <w:u w:val="single" w:color="6B9F24"/>
                </w:rPr>
                <w:t>388-101 </w:t>
              </w:r>
            </w:hyperlink>
            <w:r>
              <w:rPr>
                <w:color w:val="6B9F24"/>
                <w:sz w:val="22"/>
                <w:u w:val="single" w:color="6B9F24"/>
              </w:rPr>
              <w:t>WAC and </w:t>
            </w:r>
            <w:hyperlink r:id="rId22">
              <w:r>
                <w:rPr>
                  <w:color w:val="6B9F24"/>
                  <w:sz w:val="22"/>
                  <w:u w:val="single" w:color="6B9F24"/>
                </w:rPr>
                <w:t>388-</w:t>
              </w:r>
            </w:hyperlink>
            <w:r>
              <w:rPr>
                <w:color w:val="6B9F24"/>
                <w:sz w:val="22"/>
              </w:rPr>
              <w:t> </w:t>
            </w:r>
            <w:hyperlink r:id="rId22">
              <w:r>
                <w:rPr>
                  <w:color w:val="6B9F24"/>
                  <w:sz w:val="22"/>
                  <w:u w:val="single" w:color="6B9F24"/>
                </w:rPr>
                <w:t>101D WAC</w:t>
              </w:r>
            </w:hyperlink>
            <w:r>
              <w:rPr>
                <w:sz w:val="22"/>
              </w:rPr>
              <w:t>.</w:t>
            </w:r>
          </w:p>
          <w:p>
            <w:pPr>
              <w:pStyle w:val="TableParagraph"/>
              <w:spacing w:before="11"/>
              <w:rPr>
                <w:sz w:val="21"/>
              </w:rPr>
            </w:pPr>
          </w:p>
          <w:p>
            <w:pPr>
              <w:pStyle w:val="TableParagraph"/>
              <w:spacing w:before="1"/>
              <w:ind w:left="107" w:right="209"/>
              <w:rPr>
                <w:sz w:val="22"/>
              </w:rPr>
            </w:pPr>
            <w:r>
              <w:rPr>
                <w:sz w:val="22"/>
              </w:rPr>
              <w:t>Participants reside in private homes located in the community and access services in their homes and in typical public community</w:t>
            </w:r>
          </w:p>
          <w:p>
            <w:pPr>
              <w:pStyle w:val="TableParagraph"/>
              <w:spacing w:line="250" w:lineRule="exact"/>
              <w:ind w:left="107"/>
              <w:rPr>
                <w:sz w:val="22"/>
              </w:rPr>
            </w:pPr>
            <w:r>
              <w:rPr>
                <w:sz w:val="22"/>
              </w:rPr>
              <w:t>settings.</w:t>
            </w:r>
          </w:p>
        </w:tc>
        <w:tc>
          <w:tcPr>
            <w:tcW w:w="1382" w:type="dxa"/>
            <w:tcBorders>
              <w:top w:val="single" w:sz="18" w:space="0" w:color="4E8542"/>
            </w:tcBorders>
            <w:shd w:val="clear" w:color="auto" w:fill="D0E4CA"/>
          </w:tcPr>
          <w:p>
            <w:pPr>
              <w:pStyle w:val="TableParagraph"/>
              <w:ind w:left="107" w:right="314"/>
              <w:rPr>
                <w:sz w:val="22"/>
              </w:rPr>
            </w:pPr>
            <w:r>
              <w:rPr>
                <w:sz w:val="22"/>
              </w:rPr>
              <w:t>Fully Compliant</w:t>
            </w:r>
          </w:p>
        </w:tc>
        <w:tc>
          <w:tcPr>
            <w:tcW w:w="3026" w:type="dxa"/>
            <w:tcBorders>
              <w:top w:val="single" w:sz="18" w:space="0" w:color="4E8542"/>
            </w:tcBorders>
            <w:shd w:val="clear" w:color="auto" w:fill="D0E4CA"/>
          </w:tcPr>
          <w:p>
            <w:pPr>
              <w:pStyle w:val="TableParagraph"/>
              <w:ind w:left="108" w:right="150"/>
              <w:rPr>
                <w:sz w:val="22"/>
              </w:rPr>
            </w:pPr>
            <w:r>
              <w:rPr>
                <w:sz w:val="22"/>
              </w:rPr>
              <w:t>As part of the certification and complaint investigation process described in the overview, Residential Care Services (RCS) Contracted Evaluators and RCS Investigators conduct client observations, client and collateral interviews, service provider and staff interviews.</w:t>
            </w:r>
          </w:p>
          <w:p>
            <w:pPr>
              <w:pStyle w:val="TableParagraph"/>
              <w:spacing w:line="251" w:lineRule="exact"/>
              <w:ind w:left="108"/>
              <w:rPr>
                <w:sz w:val="22"/>
              </w:rPr>
            </w:pPr>
            <w:r>
              <w:rPr>
                <w:sz w:val="22"/>
              </w:rPr>
              <w:t>RCS contracted evaluators and</w:t>
            </w:r>
          </w:p>
        </w:tc>
        <w:tc>
          <w:tcPr>
            <w:tcW w:w="2520" w:type="dxa"/>
            <w:tcBorders>
              <w:top w:val="single" w:sz="18" w:space="0" w:color="4E8542"/>
            </w:tcBorders>
            <w:shd w:val="clear" w:color="auto" w:fill="D0E4CA"/>
          </w:tcPr>
          <w:p>
            <w:pPr>
              <w:pStyle w:val="TableParagraph"/>
              <w:ind w:left="108" w:right="174"/>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spacing w:before="8"/>
        <w:rPr>
          <w:sz w:val="15"/>
        </w:rPr>
      </w:pPr>
      <w:r>
        <w:rPr/>
        <w:pict>
          <v:shape style="position:absolute;margin-left:70.559998pt;margin-top:11.75950pt;width:650.9pt;height:.1pt;mso-position-horizontal-relative:page;mso-position-vertical-relative:paragraph;z-index:-251636736;mso-wrap-distance-left:0;mso-wrap-distance-right:0" coordorigin="1411,235" coordsize="13018,0" path="m1411,235l14429,235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9"/>
        <w:gridCol w:w="3420"/>
        <w:gridCol w:w="1382"/>
        <w:gridCol w:w="3026"/>
        <w:gridCol w:w="2520"/>
      </w:tblGrid>
      <w:tr>
        <w:trPr>
          <w:trHeight w:val="584" w:hRule="atLeast"/>
        </w:trPr>
        <w:tc>
          <w:tcPr>
            <w:tcW w:w="3439" w:type="dxa"/>
            <w:tcBorders>
              <w:bottom w:val="single" w:sz="18" w:space="0" w:color="4E8542"/>
            </w:tcBorders>
          </w:tcPr>
          <w:p>
            <w:pPr>
              <w:pStyle w:val="TableParagraph"/>
              <w:spacing w:line="292" w:lineRule="exact"/>
              <w:ind w:left="234"/>
              <w:rPr>
                <w:b/>
                <w:sz w:val="24"/>
              </w:rPr>
            </w:pPr>
            <w:r>
              <w:rPr>
                <w:b/>
                <w:sz w:val="24"/>
              </w:rPr>
              <w:t>Characteristics/Requirements</w:t>
            </w:r>
          </w:p>
        </w:tc>
        <w:tc>
          <w:tcPr>
            <w:tcW w:w="3420" w:type="dxa"/>
            <w:tcBorders>
              <w:bottom w:val="single" w:sz="18" w:space="0" w:color="4E8542"/>
            </w:tcBorders>
          </w:tcPr>
          <w:p>
            <w:pPr>
              <w:pStyle w:val="TableParagraph"/>
              <w:spacing w:line="292" w:lineRule="exact"/>
              <w:ind w:left="871"/>
              <w:rPr>
                <w:b/>
                <w:sz w:val="24"/>
              </w:rPr>
            </w:pPr>
            <w:r>
              <w:rPr>
                <w:b/>
                <w:sz w:val="24"/>
              </w:rPr>
              <w:t>Supported</w:t>
            </w:r>
            <w:r>
              <w:rPr>
                <w:b/>
                <w:spacing w:val="-6"/>
                <w:sz w:val="24"/>
              </w:rPr>
              <w:t> </w:t>
            </w:r>
            <w:r>
              <w:rPr>
                <w:b/>
                <w:sz w:val="24"/>
              </w:rPr>
              <w:t>Living</w:t>
            </w:r>
          </w:p>
          <w:p>
            <w:pPr>
              <w:pStyle w:val="TableParagraph"/>
              <w:spacing w:line="272" w:lineRule="exact"/>
              <w:ind w:left="895"/>
              <w:rPr>
                <w:b/>
                <w:sz w:val="24"/>
              </w:rPr>
            </w:pPr>
            <w:r>
              <w:rPr>
                <w:b/>
                <w:sz w:val="24"/>
              </w:rPr>
              <w:t>State</w:t>
            </w:r>
            <w:r>
              <w:rPr>
                <w:b/>
                <w:spacing w:val="-3"/>
                <w:sz w:val="24"/>
              </w:rPr>
              <w:t> </w:t>
            </w:r>
            <w:r>
              <w:rPr>
                <w:b/>
                <w:sz w:val="24"/>
              </w:rPr>
              <w:t>Evaluation</w:t>
            </w:r>
          </w:p>
        </w:tc>
        <w:tc>
          <w:tcPr>
            <w:tcW w:w="1382" w:type="dxa"/>
            <w:tcBorders>
              <w:bottom w:val="single" w:sz="18" w:space="0" w:color="4E8542"/>
            </w:tcBorders>
          </w:tcPr>
          <w:p>
            <w:pPr>
              <w:pStyle w:val="TableParagraph"/>
              <w:spacing w:line="292" w:lineRule="exact"/>
              <w:ind w:left="89" w:right="66"/>
              <w:jc w:val="center"/>
              <w:rPr>
                <w:b/>
                <w:sz w:val="24"/>
              </w:rPr>
            </w:pPr>
            <w:r>
              <w:rPr>
                <w:b/>
                <w:sz w:val="24"/>
              </w:rPr>
              <w:t>Compliance</w:t>
            </w:r>
          </w:p>
          <w:p>
            <w:pPr>
              <w:pStyle w:val="TableParagraph"/>
              <w:spacing w:line="272" w:lineRule="exact"/>
              <w:ind w:left="84" w:right="66"/>
              <w:jc w:val="center"/>
              <w:rPr>
                <w:b/>
                <w:sz w:val="24"/>
              </w:rPr>
            </w:pPr>
            <w:r>
              <w:rPr>
                <w:b/>
                <w:sz w:val="24"/>
              </w:rPr>
              <w:t>Level</w:t>
            </w:r>
          </w:p>
        </w:tc>
        <w:tc>
          <w:tcPr>
            <w:tcW w:w="3026" w:type="dxa"/>
            <w:tcBorders>
              <w:bottom w:val="single" w:sz="18" w:space="0" w:color="4E8542"/>
            </w:tcBorders>
          </w:tcPr>
          <w:p>
            <w:pPr>
              <w:pStyle w:val="TableParagraph"/>
              <w:spacing w:line="292" w:lineRule="exact"/>
              <w:ind w:left="626"/>
              <w:rPr>
                <w:b/>
                <w:sz w:val="24"/>
              </w:rPr>
            </w:pPr>
            <w:r>
              <w:rPr>
                <w:b/>
                <w:sz w:val="24"/>
              </w:rPr>
              <w:t>Oversight Process</w:t>
            </w:r>
          </w:p>
        </w:tc>
        <w:tc>
          <w:tcPr>
            <w:tcW w:w="2520" w:type="dxa"/>
            <w:tcBorders>
              <w:bottom w:val="single" w:sz="18" w:space="0" w:color="4E8542"/>
            </w:tcBorders>
          </w:tcPr>
          <w:p>
            <w:pPr>
              <w:pStyle w:val="TableParagraph"/>
              <w:spacing w:line="292" w:lineRule="exact"/>
              <w:ind w:left="619"/>
              <w:rPr>
                <w:b/>
                <w:sz w:val="24"/>
              </w:rPr>
            </w:pPr>
            <w:r>
              <w:rPr>
                <w:b/>
                <w:sz w:val="24"/>
              </w:rPr>
              <w:t>Remediation</w:t>
            </w:r>
          </w:p>
        </w:tc>
      </w:tr>
      <w:tr>
        <w:trPr>
          <w:trHeight w:val="8302" w:hRule="atLeast"/>
        </w:trPr>
        <w:tc>
          <w:tcPr>
            <w:tcW w:w="3439" w:type="dxa"/>
            <w:tcBorders>
              <w:top w:val="single" w:sz="18" w:space="0" w:color="4E8542"/>
            </w:tcBorders>
            <w:shd w:val="clear" w:color="auto" w:fill="D0E4CA"/>
          </w:tcPr>
          <w:p>
            <w:pPr>
              <w:pStyle w:val="TableParagraph"/>
              <w:spacing w:line="245" w:lineRule="exact"/>
              <w:ind w:left="107"/>
              <w:rPr>
                <w:b/>
                <w:sz w:val="22"/>
              </w:rPr>
            </w:pPr>
            <w:r>
              <w:rPr>
                <w:b/>
                <w:sz w:val="22"/>
              </w:rPr>
              <w:t>degree of access as individuals not</w:t>
            </w:r>
          </w:p>
          <w:p>
            <w:pPr>
              <w:pStyle w:val="TableParagraph"/>
              <w:ind w:left="107"/>
              <w:rPr>
                <w:b/>
                <w:sz w:val="22"/>
              </w:rPr>
            </w:pPr>
            <w:r>
              <w:rPr>
                <w:b/>
                <w:sz w:val="22"/>
              </w:rPr>
              <w:t>receiving Medicaid HCBS.</w:t>
            </w:r>
          </w:p>
        </w:tc>
        <w:tc>
          <w:tcPr>
            <w:tcW w:w="3420" w:type="dxa"/>
            <w:tcBorders>
              <w:top w:val="single" w:sz="18" w:space="0" w:color="4E8542"/>
            </w:tcBorders>
            <w:shd w:val="clear" w:color="auto" w:fill="D0E4CA"/>
          </w:tcPr>
          <w:p>
            <w:pPr>
              <w:pStyle w:val="TableParagraph"/>
              <w:spacing w:before="1"/>
              <w:rPr>
                <w:b/>
                <w:sz w:val="20"/>
              </w:rPr>
            </w:pPr>
          </w:p>
          <w:p>
            <w:pPr>
              <w:pStyle w:val="TableParagraph"/>
              <w:ind w:left="107" w:right="91"/>
              <w:rPr>
                <w:sz w:val="22"/>
              </w:rPr>
            </w:pPr>
            <w:r>
              <w:rPr>
                <w:sz w:val="22"/>
              </w:rPr>
              <w:t>The State has completed a review of state statutes and regulations regarding supported living (CCRSS) and determined that those laws are in alignment with the HCBS setting requirements.</w:t>
            </w:r>
          </w:p>
        </w:tc>
        <w:tc>
          <w:tcPr>
            <w:tcW w:w="1382" w:type="dxa"/>
            <w:tcBorders>
              <w:top w:val="single" w:sz="18" w:space="0" w:color="4E8542"/>
            </w:tcBorders>
            <w:shd w:val="clear" w:color="auto" w:fill="D0E4CA"/>
          </w:tcPr>
          <w:p>
            <w:pPr>
              <w:pStyle w:val="TableParagraph"/>
              <w:rPr>
                <w:rFonts w:ascii="Times New Roman"/>
                <w:sz w:val="22"/>
              </w:rPr>
            </w:pPr>
          </w:p>
        </w:tc>
        <w:tc>
          <w:tcPr>
            <w:tcW w:w="3026" w:type="dxa"/>
            <w:tcBorders>
              <w:top w:val="single" w:sz="18" w:space="0" w:color="4E8542"/>
            </w:tcBorders>
            <w:shd w:val="clear" w:color="auto" w:fill="D0E4CA"/>
          </w:tcPr>
          <w:p>
            <w:pPr>
              <w:pStyle w:val="TableParagraph"/>
              <w:spacing w:line="245" w:lineRule="exact"/>
              <w:ind w:left="108"/>
              <w:rPr>
                <w:sz w:val="22"/>
              </w:rPr>
            </w:pPr>
            <w:r>
              <w:rPr>
                <w:sz w:val="22"/>
              </w:rPr>
              <w:t>RCS Investigators also review</w:t>
            </w:r>
          </w:p>
          <w:p>
            <w:pPr>
              <w:pStyle w:val="TableParagraph"/>
              <w:ind w:left="108" w:right="107"/>
              <w:rPr>
                <w:sz w:val="22"/>
              </w:rPr>
            </w:pPr>
            <w:r>
              <w:rPr>
                <w:sz w:val="22"/>
              </w:rPr>
              <w:t>clients’ finances and conducts client record reviews to ensure service providers’ compliance.</w:t>
            </w:r>
          </w:p>
          <w:p>
            <w:pPr>
              <w:pStyle w:val="TableParagraph"/>
              <w:spacing w:before="11"/>
              <w:rPr>
                <w:b/>
                <w:sz w:val="21"/>
              </w:rPr>
            </w:pPr>
          </w:p>
          <w:p>
            <w:pPr>
              <w:pStyle w:val="TableParagraph"/>
              <w:ind w:left="108" w:right="190"/>
              <w:rPr>
                <w:sz w:val="22"/>
              </w:rPr>
            </w:pPr>
            <w:r>
              <w:rPr>
                <w:sz w:val="22"/>
              </w:rPr>
              <w:t>The state certification process includes a determination of whether providers are adhering to the Individual Instruction &amp; Support Plan (IISP).</w:t>
            </w:r>
          </w:p>
          <w:p>
            <w:pPr>
              <w:pStyle w:val="TableParagraph"/>
              <w:spacing w:before="11"/>
              <w:rPr>
                <w:b/>
                <w:sz w:val="21"/>
              </w:rPr>
            </w:pPr>
          </w:p>
          <w:p>
            <w:pPr>
              <w:pStyle w:val="TableParagraph"/>
              <w:ind w:left="108" w:right="150"/>
              <w:rPr>
                <w:sz w:val="22"/>
              </w:rPr>
            </w:pPr>
            <w:r>
              <w:rPr>
                <w:sz w:val="22"/>
              </w:rPr>
              <w:t>While completing regular certification evaluations and complaint investigations, the CCRSS provider is evaluated to ensure quality of supports and services and client rights are being protected.</w:t>
            </w:r>
          </w:p>
          <w:p>
            <w:pPr>
              <w:pStyle w:val="TableParagraph"/>
              <w:spacing w:before="2"/>
              <w:rPr>
                <w:b/>
                <w:sz w:val="22"/>
              </w:rPr>
            </w:pPr>
          </w:p>
          <w:p>
            <w:pPr>
              <w:pStyle w:val="TableParagraph"/>
              <w:ind w:left="108" w:right="282"/>
              <w:rPr>
                <w:sz w:val="22"/>
              </w:rPr>
            </w:pPr>
            <w:r>
              <w:rPr>
                <w:sz w:val="22"/>
              </w:rPr>
              <w:t>In addition to the monitoring activities overseen by RCS, DDA has taken the following steps:</w:t>
            </w:r>
          </w:p>
          <w:p>
            <w:pPr>
              <w:pStyle w:val="TableParagraph"/>
              <w:ind w:left="506" w:right="181" w:hanging="360"/>
              <w:rPr>
                <w:sz w:val="22"/>
              </w:rPr>
            </w:pPr>
            <w:r>
              <w:rPr>
                <w:sz w:val="22"/>
              </w:rPr>
              <w:t>1. Increasing DDA’s QA system with the addition of a Residential Quality Assurance Unit which includes three Residential Specialists to develop</w:t>
            </w:r>
            <w:r>
              <w:rPr>
                <w:spacing w:val="-9"/>
                <w:sz w:val="22"/>
              </w:rPr>
              <w:t> </w:t>
            </w:r>
            <w:r>
              <w:rPr>
                <w:sz w:val="22"/>
              </w:rPr>
              <w:t>and</w:t>
            </w:r>
          </w:p>
          <w:p>
            <w:pPr>
              <w:pStyle w:val="TableParagraph"/>
              <w:spacing w:line="249" w:lineRule="exact"/>
              <w:ind w:left="506"/>
              <w:rPr>
                <w:sz w:val="22"/>
              </w:rPr>
            </w:pPr>
            <w:r>
              <w:rPr>
                <w:sz w:val="22"/>
              </w:rPr>
              <w:t>share best practices;</w:t>
            </w:r>
          </w:p>
        </w:tc>
        <w:tc>
          <w:tcPr>
            <w:tcW w:w="2520" w:type="dxa"/>
            <w:tcBorders>
              <w:top w:val="single" w:sz="18" w:space="0" w:color="4E8542"/>
            </w:tcBorders>
            <w:shd w:val="clear" w:color="auto" w:fill="D0E4CA"/>
          </w:tcPr>
          <w:p>
            <w:pPr>
              <w:pStyle w:val="TableParagraph"/>
              <w:rPr>
                <w:rFonts w:ascii="Times New Roman"/>
                <w:sz w:val="22"/>
              </w:rPr>
            </w:pPr>
          </w:p>
        </w:tc>
      </w:tr>
    </w:tbl>
    <w:p>
      <w:pPr>
        <w:pStyle w:val="BodyText"/>
        <w:spacing w:before="7"/>
        <w:rPr>
          <w:b/>
          <w:sz w:val="17"/>
        </w:rPr>
      </w:pPr>
      <w:r>
        <w:rPr/>
        <w:pict>
          <v:shape style="position:absolute;margin-left:70.559998pt;margin-top:12.9595pt;width:650.9pt;height:.1pt;mso-position-horizontal-relative:page;mso-position-vertical-relative:paragraph;z-index:-251635712;mso-wrap-distance-left:0;mso-wrap-distance-right:0" coordorigin="1411,259" coordsize="13018,0" path="m1411,259l14429,259e" filled="false" stroked="true" strokeweight=".481pt" strokecolor="#d9d9d9">
            <v:path arrowok="t"/>
            <v:stroke dashstyle="solid"/>
            <w10:wrap type="topAndBottom"/>
          </v:shape>
        </w:pict>
      </w:r>
    </w:p>
    <w:p>
      <w:pPr>
        <w:spacing w:after="0"/>
        <w:rPr>
          <w:sz w:val="17"/>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9"/>
        <w:gridCol w:w="3420"/>
        <w:gridCol w:w="1382"/>
        <w:gridCol w:w="3026"/>
        <w:gridCol w:w="2520"/>
      </w:tblGrid>
      <w:tr>
        <w:trPr>
          <w:trHeight w:val="584" w:hRule="atLeast"/>
        </w:trPr>
        <w:tc>
          <w:tcPr>
            <w:tcW w:w="3439" w:type="dxa"/>
            <w:tcBorders>
              <w:bottom w:val="single" w:sz="18" w:space="0" w:color="4E8542"/>
            </w:tcBorders>
          </w:tcPr>
          <w:p>
            <w:pPr>
              <w:pStyle w:val="TableParagraph"/>
              <w:spacing w:line="292" w:lineRule="exact"/>
              <w:ind w:left="234"/>
              <w:rPr>
                <w:b/>
                <w:sz w:val="24"/>
              </w:rPr>
            </w:pPr>
            <w:r>
              <w:rPr>
                <w:b/>
                <w:sz w:val="24"/>
              </w:rPr>
              <w:t>Characteristics/Requirements</w:t>
            </w:r>
          </w:p>
        </w:tc>
        <w:tc>
          <w:tcPr>
            <w:tcW w:w="3420" w:type="dxa"/>
            <w:tcBorders>
              <w:bottom w:val="single" w:sz="18" w:space="0" w:color="4E8542"/>
            </w:tcBorders>
          </w:tcPr>
          <w:p>
            <w:pPr>
              <w:pStyle w:val="TableParagraph"/>
              <w:spacing w:line="292" w:lineRule="exact"/>
              <w:ind w:left="871"/>
              <w:rPr>
                <w:b/>
                <w:sz w:val="24"/>
              </w:rPr>
            </w:pPr>
            <w:r>
              <w:rPr>
                <w:b/>
                <w:sz w:val="24"/>
              </w:rPr>
              <w:t>Supported</w:t>
            </w:r>
            <w:r>
              <w:rPr>
                <w:b/>
                <w:spacing w:val="-6"/>
                <w:sz w:val="24"/>
              </w:rPr>
              <w:t> </w:t>
            </w:r>
            <w:r>
              <w:rPr>
                <w:b/>
                <w:sz w:val="24"/>
              </w:rPr>
              <w:t>Living</w:t>
            </w:r>
          </w:p>
          <w:p>
            <w:pPr>
              <w:pStyle w:val="TableParagraph"/>
              <w:spacing w:line="272" w:lineRule="exact"/>
              <w:ind w:left="895"/>
              <w:rPr>
                <w:b/>
                <w:sz w:val="24"/>
              </w:rPr>
            </w:pPr>
            <w:r>
              <w:rPr>
                <w:b/>
                <w:sz w:val="24"/>
              </w:rPr>
              <w:t>State</w:t>
            </w:r>
            <w:r>
              <w:rPr>
                <w:b/>
                <w:spacing w:val="-3"/>
                <w:sz w:val="24"/>
              </w:rPr>
              <w:t> </w:t>
            </w:r>
            <w:r>
              <w:rPr>
                <w:b/>
                <w:sz w:val="24"/>
              </w:rPr>
              <w:t>Evaluation</w:t>
            </w:r>
          </w:p>
        </w:tc>
        <w:tc>
          <w:tcPr>
            <w:tcW w:w="1382" w:type="dxa"/>
            <w:tcBorders>
              <w:bottom w:val="single" w:sz="18" w:space="0" w:color="4E8542"/>
            </w:tcBorders>
          </w:tcPr>
          <w:p>
            <w:pPr>
              <w:pStyle w:val="TableParagraph"/>
              <w:spacing w:line="292" w:lineRule="exact"/>
              <w:ind w:left="89" w:right="66"/>
              <w:jc w:val="center"/>
              <w:rPr>
                <w:b/>
                <w:sz w:val="24"/>
              </w:rPr>
            </w:pPr>
            <w:r>
              <w:rPr>
                <w:b/>
                <w:sz w:val="24"/>
              </w:rPr>
              <w:t>Compliance</w:t>
            </w:r>
          </w:p>
          <w:p>
            <w:pPr>
              <w:pStyle w:val="TableParagraph"/>
              <w:spacing w:line="272" w:lineRule="exact"/>
              <w:ind w:left="84" w:right="66"/>
              <w:jc w:val="center"/>
              <w:rPr>
                <w:b/>
                <w:sz w:val="24"/>
              </w:rPr>
            </w:pPr>
            <w:r>
              <w:rPr>
                <w:b/>
                <w:sz w:val="24"/>
              </w:rPr>
              <w:t>Level</w:t>
            </w:r>
          </w:p>
        </w:tc>
        <w:tc>
          <w:tcPr>
            <w:tcW w:w="3026" w:type="dxa"/>
            <w:tcBorders>
              <w:bottom w:val="single" w:sz="18" w:space="0" w:color="4E8542"/>
            </w:tcBorders>
          </w:tcPr>
          <w:p>
            <w:pPr>
              <w:pStyle w:val="TableParagraph"/>
              <w:spacing w:line="292" w:lineRule="exact"/>
              <w:ind w:left="626"/>
              <w:rPr>
                <w:b/>
                <w:sz w:val="24"/>
              </w:rPr>
            </w:pPr>
            <w:r>
              <w:rPr>
                <w:b/>
                <w:sz w:val="24"/>
              </w:rPr>
              <w:t>Oversight Process</w:t>
            </w:r>
          </w:p>
        </w:tc>
        <w:tc>
          <w:tcPr>
            <w:tcW w:w="2520" w:type="dxa"/>
            <w:tcBorders>
              <w:bottom w:val="single" w:sz="18" w:space="0" w:color="4E8542"/>
            </w:tcBorders>
          </w:tcPr>
          <w:p>
            <w:pPr>
              <w:pStyle w:val="TableParagraph"/>
              <w:spacing w:line="292" w:lineRule="exact"/>
              <w:ind w:left="619"/>
              <w:rPr>
                <w:b/>
                <w:sz w:val="24"/>
              </w:rPr>
            </w:pPr>
            <w:r>
              <w:rPr>
                <w:b/>
                <w:sz w:val="24"/>
              </w:rPr>
              <w:t>Remediation</w:t>
            </w:r>
          </w:p>
        </w:tc>
      </w:tr>
      <w:tr>
        <w:trPr>
          <w:trHeight w:val="6958" w:hRule="atLeast"/>
        </w:trPr>
        <w:tc>
          <w:tcPr>
            <w:tcW w:w="3439" w:type="dxa"/>
            <w:tcBorders>
              <w:top w:val="single" w:sz="18" w:space="0" w:color="4E8542"/>
            </w:tcBorders>
            <w:shd w:val="clear" w:color="auto" w:fill="D0E4CA"/>
          </w:tcPr>
          <w:p>
            <w:pPr>
              <w:pStyle w:val="TableParagraph"/>
              <w:rPr>
                <w:rFonts w:ascii="Times New Roman"/>
                <w:sz w:val="22"/>
              </w:rPr>
            </w:pPr>
          </w:p>
        </w:tc>
        <w:tc>
          <w:tcPr>
            <w:tcW w:w="3420" w:type="dxa"/>
            <w:tcBorders>
              <w:top w:val="single" w:sz="18" w:space="0" w:color="4E8542"/>
            </w:tcBorders>
            <w:shd w:val="clear" w:color="auto" w:fill="D0E4CA"/>
          </w:tcPr>
          <w:p>
            <w:pPr>
              <w:pStyle w:val="TableParagraph"/>
              <w:rPr>
                <w:rFonts w:ascii="Times New Roman"/>
                <w:sz w:val="22"/>
              </w:rPr>
            </w:pPr>
          </w:p>
        </w:tc>
        <w:tc>
          <w:tcPr>
            <w:tcW w:w="1382" w:type="dxa"/>
            <w:tcBorders>
              <w:top w:val="single" w:sz="18" w:space="0" w:color="4E8542"/>
            </w:tcBorders>
            <w:shd w:val="clear" w:color="auto" w:fill="D0E4CA"/>
          </w:tcPr>
          <w:p>
            <w:pPr>
              <w:pStyle w:val="TableParagraph"/>
              <w:rPr>
                <w:rFonts w:ascii="Times New Roman"/>
                <w:sz w:val="22"/>
              </w:rPr>
            </w:pPr>
          </w:p>
        </w:tc>
        <w:tc>
          <w:tcPr>
            <w:tcW w:w="3026" w:type="dxa"/>
            <w:tcBorders>
              <w:top w:val="single" w:sz="18" w:space="0" w:color="4E8542"/>
            </w:tcBorders>
            <w:shd w:val="clear" w:color="auto" w:fill="D0E4CA"/>
          </w:tcPr>
          <w:p>
            <w:pPr>
              <w:pStyle w:val="TableParagraph"/>
              <w:numPr>
                <w:ilvl w:val="0"/>
                <w:numId w:val="4"/>
              </w:numPr>
              <w:tabs>
                <w:tab w:pos="507" w:val="left" w:leader="none"/>
              </w:tabs>
              <w:spacing w:line="245" w:lineRule="exact" w:before="0" w:after="0"/>
              <w:ind w:left="506" w:right="0" w:hanging="361"/>
              <w:jc w:val="left"/>
              <w:rPr>
                <w:sz w:val="22"/>
              </w:rPr>
            </w:pPr>
            <w:r>
              <w:rPr>
                <w:sz w:val="22"/>
              </w:rPr>
              <w:t>A training</w:t>
            </w:r>
            <w:r>
              <w:rPr>
                <w:spacing w:val="-2"/>
                <w:sz w:val="22"/>
              </w:rPr>
              <w:t> </w:t>
            </w:r>
            <w:r>
              <w:rPr>
                <w:sz w:val="22"/>
              </w:rPr>
              <w:t>Program</w:t>
            </w:r>
          </w:p>
          <w:p>
            <w:pPr>
              <w:pStyle w:val="TableParagraph"/>
              <w:ind w:left="506" w:right="157"/>
              <w:rPr>
                <w:sz w:val="22"/>
              </w:rPr>
            </w:pPr>
            <w:r>
              <w:rPr>
                <w:sz w:val="22"/>
              </w:rPr>
              <w:t>Manager has been hired to develop a 70 hour training program to be implemented for all residential staff beginning January 2016;</w:t>
            </w:r>
          </w:p>
          <w:p>
            <w:pPr>
              <w:pStyle w:val="TableParagraph"/>
              <w:numPr>
                <w:ilvl w:val="0"/>
                <w:numId w:val="4"/>
              </w:numPr>
              <w:tabs>
                <w:tab w:pos="507" w:val="left" w:leader="none"/>
              </w:tabs>
              <w:spacing w:line="240" w:lineRule="auto" w:before="0" w:after="0"/>
              <w:ind w:left="506" w:right="108" w:hanging="360"/>
              <w:jc w:val="left"/>
              <w:rPr>
                <w:sz w:val="22"/>
              </w:rPr>
            </w:pPr>
            <w:r>
              <w:rPr>
                <w:sz w:val="22"/>
              </w:rPr>
              <w:t>DDA has added a quality assurance researcher to review and analyze agency Individual Support Plans (ISPs) to assist agencies to increase quality of goal writing and data</w:t>
            </w:r>
            <w:r>
              <w:rPr>
                <w:spacing w:val="-7"/>
                <w:sz w:val="22"/>
              </w:rPr>
              <w:t> </w:t>
            </w:r>
            <w:r>
              <w:rPr>
                <w:sz w:val="22"/>
              </w:rPr>
              <w:t>tracking;</w:t>
            </w:r>
          </w:p>
          <w:p>
            <w:pPr>
              <w:pStyle w:val="TableParagraph"/>
              <w:numPr>
                <w:ilvl w:val="0"/>
                <w:numId w:val="4"/>
              </w:numPr>
              <w:tabs>
                <w:tab w:pos="507" w:val="left" w:leader="none"/>
              </w:tabs>
              <w:spacing w:line="240" w:lineRule="auto" w:before="0" w:after="0"/>
              <w:ind w:left="506" w:right="238" w:hanging="360"/>
              <w:jc w:val="left"/>
              <w:rPr>
                <w:sz w:val="22"/>
              </w:rPr>
            </w:pPr>
            <w:r>
              <w:rPr>
                <w:sz w:val="22"/>
              </w:rPr>
              <w:t>DDA has hired an auditor to ensure each client is receiving the ISS hours identified in their ISP and that client funds are expended</w:t>
            </w:r>
            <w:r>
              <w:rPr>
                <w:spacing w:val="-1"/>
                <w:sz w:val="22"/>
              </w:rPr>
              <w:t> </w:t>
            </w:r>
            <w:r>
              <w:rPr>
                <w:sz w:val="22"/>
              </w:rPr>
              <w:t>correctly.</w:t>
            </w:r>
          </w:p>
          <w:p>
            <w:pPr>
              <w:pStyle w:val="TableParagraph"/>
              <w:rPr>
                <w:b/>
                <w:sz w:val="22"/>
              </w:rPr>
            </w:pPr>
          </w:p>
          <w:p>
            <w:pPr>
              <w:pStyle w:val="TableParagraph"/>
              <w:ind w:left="146" w:right="126"/>
              <w:rPr>
                <w:sz w:val="22"/>
              </w:rPr>
            </w:pPr>
            <w:r>
              <w:rPr>
                <w:sz w:val="22"/>
              </w:rPr>
              <w:t>On-site inspections ensure homes meet all licensing and certification requirements in WAC and RCW, including WAC</w:t>
            </w:r>
          </w:p>
          <w:p>
            <w:pPr>
              <w:pStyle w:val="TableParagraph"/>
              <w:spacing w:line="248" w:lineRule="exact"/>
              <w:ind w:left="146"/>
              <w:rPr>
                <w:sz w:val="22"/>
              </w:rPr>
            </w:pPr>
            <w:r>
              <w:rPr>
                <w:sz w:val="22"/>
              </w:rPr>
              <w:t>388-823-1095.</w:t>
            </w:r>
          </w:p>
        </w:tc>
        <w:tc>
          <w:tcPr>
            <w:tcW w:w="2520" w:type="dxa"/>
            <w:tcBorders>
              <w:top w:val="single" w:sz="18" w:space="0" w:color="4E8542"/>
            </w:tcBorders>
            <w:shd w:val="clear" w:color="auto" w:fill="D0E4CA"/>
          </w:tcPr>
          <w:p>
            <w:pPr>
              <w:pStyle w:val="TableParagraph"/>
              <w:rPr>
                <w:rFonts w:ascii="Times New Roman"/>
                <w:sz w:val="22"/>
              </w:rPr>
            </w:pPr>
          </w:p>
        </w:tc>
      </w:tr>
      <w:tr>
        <w:trPr>
          <w:trHeight w:val="1343" w:hRule="atLeast"/>
        </w:trPr>
        <w:tc>
          <w:tcPr>
            <w:tcW w:w="3439" w:type="dxa"/>
          </w:tcPr>
          <w:p>
            <w:pPr>
              <w:pStyle w:val="TableParagraph"/>
              <w:ind w:left="107" w:right="209"/>
              <w:rPr>
                <w:b/>
                <w:sz w:val="22"/>
              </w:rPr>
            </w:pPr>
            <w:r>
              <w:rPr>
                <w:b/>
                <w:sz w:val="22"/>
              </w:rPr>
              <w:t>The setting is selected by the individual from among setting options including non-disability specific settings and an option for</w:t>
            </w:r>
          </w:p>
          <w:p>
            <w:pPr>
              <w:pStyle w:val="TableParagraph"/>
              <w:spacing w:line="249" w:lineRule="exact"/>
              <w:ind w:left="107"/>
              <w:rPr>
                <w:b/>
                <w:sz w:val="22"/>
              </w:rPr>
            </w:pPr>
            <w:r>
              <w:rPr>
                <w:b/>
                <w:sz w:val="22"/>
              </w:rPr>
              <w:t>a private unit in a residential</w:t>
            </w:r>
          </w:p>
        </w:tc>
        <w:tc>
          <w:tcPr>
            <w:tcW w:w="3420" w:type="dxa"/>
          </w:tcPr>
          <w:p>
            <w:pPr>
              <w:pStyle w:val="TableParagraph"/>
              <w:ind w:left="107" w:right="331"/>
              <w:rPr>
                <w:sz w:val="22"/>
              </w:rPr>
            </w:pPr>
            <w:r>
              <w:rPr>
                <w:sz w:val="22"/>
              </w:rPr>
              <w:t>Services are provided in person’s own private home or apartment.</w:t>
            </w:r>
          </w:p>
        </w:tc>
        <w:tc>
          <w:tcPr>
            <w:tcW w:w="1382" w:type="dxa"/>
          </w:tcPr>
          <w:p>
            <w:pPr>
              <w:pStyle w:val="TableParagraph"/>
              <w:ind w:left="107" w:right="314"/>
              <w:rPr>
                <w:sz w:val="22"/>
              </w:rPr>
            </w:pPr>
            <w:r>
              <w:rPr>
                <w:sz w:val="22"/>
              </w:rPr>
              <w:t>Partially Compliant</w:t>
            </w:r>
          </w:p>
        </w:tc>
        <w:tc>
          <w:tcPr>
            <w:tcW w:w="3026" w:type="dxa"/>
          </w:tcPr>
          <w:p>
            <w:pPr>
              <w:pStyle w:val="TableParagraph"/>
              <w:ind w:left="108" w:right="150"/>
              <w:rPr>
                <w:sz w:val="22"/>
              </w:rPr>
            </w:pPr>
            <w:r>
              <w:rPr>
                <w:sz w:val="22"/>
              </w:rPr>
              <w:t>As part of the certification and RCS complaint investigation process described in the overview, RCS Contracted</w:t>
            </w:r>
          </w:p>
          <w:p>
            <w:pPr>
              <w:pStyle w:val="TableParagraph"/>
              <w:spacing w:line="249" w:lineRule="exact"/>
              <w:ind w:left="108"/>
              <w:rPr>
                <w:sz w:val="22"/>
              </w:rPr>
            </w:pPr>
            <w:r>
              <w:rPr>
                <w:sz w:val="22"/>
              </w:rPr>
              <w:t>Evaluators and RCS</w:t>
            </w:r>
          </w:p>
        </w:tc>
        <w:tc>
          <w:tcPr>
            <w:tcW w:w="2520" w:type="dxa"/>
          </w:tcPr>
          <w:p>
            <w:pPr>
              <w:pStyle w:val="TableParagraph"/>
              <w:ind w:left="108" w:right="174"/>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w:t>
            </w:r>
          </w:p>
        </w:tc>
      </w:tr>
    </w:tbl>
    <w:p>
      <w:pPr>
        <w:pStyle w:val="BodyText"/>
        <w:rPr>
          <w:b/>
          <w:sz w:val="16"/>
        </w:rPr>
      </w:pPr>
      <w:r>
        <w:rPr/>
        <w:pict>
          <v:shape style="position:absolute;margin-left:70.559998pt;margin-top:11.9995pt;width:650.9pt;height:.1pt;mso-position-horizontal-relative:page;mso-position-vertical-relative:paragraph;z-index:-251634688;mso-wrap-distance-left:0;mso-wrap-distance-right:0" coordorigin="1411,240" coordsize="13018,0" path="m1411,240l14429,240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9"/>
        <w:gridCol w:w="3420"/>
        <w:gridCol w:w="1382"/>
        <w:gridCol w:w="3026"/>
        <w:gridCol w:w="2520"/>
      </w:tblGrid>
      <w:tr>
        <w:trPr>
          <w:trHeight w:val="584" w:hRule="atLeast"/>
        </w:trPr>
        <w:tc>
          <w:tcPr>
            <w:tcW w:w="3439" w:type="dxa"/>
            <w:tcBorders>
              <w:bottom w:val="single" w:sz="18" w:space="0" w:color="4E8542"/>
            </w:tcBorders>
          </w:tcPr>
          <w:p>
            <w:pPr>
              <w:pStyle w:val="TableParagraph"/>
              <w:spacing w:line="292" w:lineRule="exact"/>
              <w:ind w:left="234"/>
              <w:rPr>
                <w:b/>
                <w:sz w:val="24"/>
              </w:rPr>
            </w:pPr>
            <w:r>
              <w:rPr>
                <w:b/>
                <w:sz w:val="24"/>
              </w:rPr>
              <w:t>Characteristics/Requirements</w:t>
            </w:r>
          </w:p>
        </w:tc>
        <w:tc>
          <w:tcPr>
            <w:tcW w:w="3420" w:type="dxa"/>
            <w:tcBorders>
              <w:bottom w:val="single" w:sz="18" w:space="0" w:color="4E8542"/>
            </w:tcBorders>
          </w:tcPr>
          <w:p>
            <w:pPr>
              <w:pStyle w:val="TableParagraph"/>
              <w:spacing w:line="292" w:lineRule="exact"/>
              <w:ind w:left="871"/>
              <w:rPr>
                <w:b/>
                <w:sz w:val="24"/>
              </w:rPr>
            </w:pPr>
            <w:r>
              <w:rPr>
                <w:b/>
                <w:sz w:val="24"/>
              </w:rPr>
              <w:t>Supported</w:t>
            </w:r>
            <w:r>
              <w:rPr>
                <w:b/>
                <w:spacing w:val="-6"/>
                <w:sz w:val="24"/>
              </w:rPr>
              <w:t> </w:t>
            </w:r>
            <w:r>
              <w:rPr>
                <w:b/>
                <w:sz w:val="24"/>
              </w:rPr>
              <w:t>Living</w:t>
            </w:r>
          </w:p>
          <w:p>
            <w:pPr>
              <w:pStyle w:val="TableParagraph"/>
              <w:spacing w:line="272" w:lineRule="exact"/>
              <w:ind w:left="895"/>
              <w:rPr>
                <w:b/>
                <w:sz w:val="24"/>
              </w:rPr>
            </w:pPr>
            <w:r>
              <w:rPr>
                <w:b/>
                <w:sz w:val="24"/>
              </w:rPr>
              <w:t>State</w:t>
            </w:r>
            <w:r>
              <w:rPr>
                <w:b/>
                <w:spacing w:val="-3"/>
                <w:sz w:val="24"/>
              </w:rPr>
              <w:t> </w:t>
            </w:r>
            <w:r>
              <w:rPr>
                <w:b/>
                <w:sz w:val="24"/>
              </w:rPr>
              <w:t>Evaluation</w:t>
            </w:r>
          </w:p>
        </w:tc>
        <w:tc>
          <w:tcPr>
            <w:tcW w:w="1382" w:type="dxa"/>
            <w:tcBorders>
              <w:bottom w:val="single" w:sz="18" w:space="0" w:color="4E8542"/>
            </w:tcBorders>
          </w:tcPr>
          <w:p>
            <w:pPr>
              <w:pStyle w:val="TableParagraph"/>
              <w:spacing w:line="292" w:lineRule="exact"/>
              <w:ind w:left="89" w:right="66"/>
              <w:jc w:val="center"/>
              <w:rPr>
                <w:b/>
                <w:sz w:val="24"/>
              </w:rPr>
            </w:pPr>
            <w:r>
              <w:rPr>
                <w:b/>
                <w:sz w:val="24"/>
              </w:rPr>
              <w:t>Compliance</w:t>
            </w:r>
          </w:p>
          <w:p>
            <w:pPr>
              <w:pStyle w:val="TableParagraph"/>
              <w:spacing w:line="272" w:lineRule="exact"/>
              <w:ind w:left="84" w:right="66"/>
              <w:jc w:val="center"/>
              <w:rPr>
                <w:b/>
                <w:sz w:val="24"/>
              </w:rPr>
            </w:pPr>
            <w:r>
              <w:rPr>
                <w:b/>
                <w:sz w:val="24"/>
              </w:rPr>
              <w:t>Level</w:t>
            </w:r>
          </w:p>
        </w:tc>
        <w:tc>
          <w:tcPr>
            <w:tcW w:w="3026" w:type="dxa"/>
            <w:tcBorders>
              <w:bottom w:val="single" w:sz="18" w:space="0" w:color="4E8542"/>
            </w:tcBorders>
          </w:tcPr>
          <w:p>
            <w:pPr>
              <w:pStyle w:val="TableParagraph"/>
              <w:spacing w:line="292" w:lineRule="exact"/>
              <w:ind w:left="626"/>
              <w:rPr>
                <w:b/>
                <w:sz w:val="24"/>
              </w:rPr>
            </w:pPr>
            <w:r>
              <w:rPr>
                <w:b/>
                <w:sz w:val="24"/>
              </w:rPr>
              <w:t>Oversight Process</w:t>
            </w:r>
          </w:p>
        </w:tc>
        <w:tc>
          <w:tcPr>
            <w:tcW w:w="2520" w:type="dxa"/>
            <w:tcBorders>
              <w:bottom w:val="single" w:sz="18" w:space="0" w:color="4E8542"/>
            </w:tcBorders>
          </w:tcPr>
          <w:p>
            <w:pPr>
              <w:pStyle w:val="TableParagraph"/>
              <w:spacing w:line="292" w:lineRule="exact"/>
              <w:ind w:left="619"/>
              <w:rPr>
                <w:b/>
                <w:sz w:val="24"/>
              </w:rPr>
            </w:pPr>
            <w:r>
              <w:rPr>
                <w:b/>
                <w:sz w:val="24"/>
              </w:rPr>
              <w:t>Remediation</w:t>
            </w:r>
          </w:p>
        </w:tc>
      </w:tr>
      <w:tr>
        <w:trPr>
          <w:trHeight w:val="4273" w:hRule="atLeast"/>
        </w:trPr>
        <w:tc>
          <w:tcPr>
            <w:tcW w:w="3439" w:type="dxa"/>
            <w:tcBorders>
              <w:top w:val="single" w:sz="18" w:space="0" w:color="4E8542"/>
            </w:tcBorders>
          </w:tcPr>
          <w:p>
            <w:pPr>
              <w:pStyle w:val="TableParagraph"/>
              <w:spacing w:line="245" w:lineRule="exact"/>
              <w:ind w:left="107"/>
              <w:rPr>
                <w:b/>
                <w:sz w:val="22"/>
              </w:rPr>
            </w:pPr>
            <w:r>
              <w:rPr>
                <w:b/>
                <w:sz w:val="22"/>
              </w:rPr>
              <w:t>setting. The setting options are</w:t>
            </w:r>
          </w:p>
          <w:p>
            <w:pPr>
              <w:pStyle w:val="TableParagraph"/>
              <w:ind w:left="107" w:right="228"/>
              <w:rPr>
                <w:b/>
                <w:sz w:val="22"/>
              </w:rPr>
            </w:pPr>
            <w:r>
              <w:rPr>
                <w:b/>
                <w:sz w:val="22"/>
              </w:rPr>
              <w:t>identified and documented in the person-centered service plan and are based on the individual’s needs, preferences, and, for residential settings, the resources available for room and board.</w:t>
            </w:r>
          </w:p>
        </w:tc>
        <w:tc>
          <w:tcPr>
            <w:tcW w:w="3420" w:type="dxa"/>
            <w:tcBorders>
              <w:top w:val="single" w:sz="18" w:space="0" w:color="4E8542"/>
            </w:tcBorders>
          </w:tcPr>
          <w:p>
            <w:pPr>
              <w:pStyle w:val="TableParagraph"/>
              <w:spacing w:line="245" w:lineRule="exact"/>
              <w:ind w:left="107"/>
              <w:rPr>
                <w:sz w:val="22"/>
              </w:rPr>
            </w:pPr>
            <w:hyperlink r:id="rId23">
              <w:r>
                <w:rPr>
                  <w:color w:val="6B9F24"/>
                  <w:sz w:val="22"/>
                  <w:u w:val="single" w:color="6B9F24"/>
                </w:rPr>
                <w:t>WAC 388-823-1095 </w:t>
              </w:r>
            </w:hyperlink>
            <w:r>
              <w:rPr>
                <w:sz w:val="22"/>
              </w:rPr>
              <w:t>my rights as a</w:t>
            </w:r>
          </w:p>
          <w:p>
            <w:pPr>
              <w:pStyle w:val="TableParagraph"/>
              <w:spacing w:line="237" w:lineRule="auto" w:before="2"/>
              <w:ind w:left="107" w:right="467"/>
              <w:rPr>
                <w:sz w:val="22"/>
              </w:rPr>
            </w:pPr>
            <w:r>
              <w:rPr>
                <w:sz w:val="22"/>
              </w:rPr>
              <w:t>DDA client and </w:t>
            </w:r>
            <w:hyperlink r:id="rId24">
              <w:r>
                <w:rPr>
                  <w:color w:val="6B9F24"/>
                  <w:sz w:val="22"/>
                  <w:u w:val="single" w:color="6B9F24"/>
                </w:rPr>
                <w:t>WAC 388-101D-</w:t>
              </w:r>
            </w:hyperlink>
            <w:r>
              <w:rPr>
                <w:color w:val="6B9F24"/>
                <w:sz w:val="22"/>
              </w:rPr>
              <w:t> </w:t>
            </w:r>
            <w:hyperlink r:id="rId24">
              <w:r>
                <w:rPr>
                  <w:color w:val="6B9F24"/>
                  <w:sz w:val="22"/>
                  <w:u w:val="single" w:color="6B9F24"/>
                </w:rPr>
                <w:t>0125</w:t>
              </w:r>
              <w:r>
                <w:rPr>
                  <w:color w:val="6B9F24"/>
                  <w:sz w:val="22"/>
                </w:rPr>
                <w:t> </w:t>
              </w:r>
            </w:hyperlink>
            <w:r>
              <w:rPr>
                <w:sz w:val="22"/>
              </w:rPr>
              <w:t>Client rights.</w:t>
            </w:r>
          </w:p>
          <w:p>
            <w:pPr>
              <w:pStyle w:val="TableParagraph"/>
              <w:spacing w:before="1"/>
              <w:rPr>
                <w:b/>
                <w:sz w:val="22"/>
              </w:rPr>
            </w:pPr>
          </w:p>
          <w:p>
            <w:pPr>
              <w:pStyle w:val="TableParagraph"/>
              <w:spacing w:before="1"/>
              <w:ind w:left="107" w:right="105"/>
              <w:rPr>
                <w:sz w:val="22"/>
              </w:rPr>
            </w:pPr>
            <w:r>
              <w:rPr>
                <w:sz w:val="22"/>
              </w:rPr>
              <w:t>During the assessment and planning process, case managers inform participants of all options regarding services and providers, and ensure that this is documented either by client signature or in the client’s service episode record.</w:t>
            </w:r>
          </w:p>
          <w:p>
            <w:pPr>
              <w:pStyle w:val="TableParagraph"/>
              <w:spacing w:before="6"/>
              <w:rPr>
                <w:b/>
                <w:sz w:val="21"/>
              </w:rPr>
            </w:pPr>
          </w:p>
          <w:p>
            <w:pPr>
              <w:pStyle w:val="TableParagraph"/>
              <w:spacing w:line="268" w:lineRule="exact"/>
              <w:ind w:left="107" w:right="302"/>
              <w:rPr>
                <w:sz w:val="22"/>
              </w:rPr>
            </w:pPr>
            <w:r>
              <w:rPr>
                <w:sz w:val="22"/>
              </w:rPr>
              <w:t>Residential Guidelines and CCRSS provider contracts inform and guide the provision of CCRSS services.</w:t>
            </w:r>
          </w:p>
        </w:tc>
        <w:tc>
          <w:tcPr>
            <w:tcW w:w="1382" w:type="dxa"/>
            <w:tcBorders>
              <w:top w:val="single" w:sz="18" w:space="0" w:color="4E8542"/>
            </w:tcBorders>
          </w:tcPr>
          <w:p>
            <w:pPr>
              <w:pStyle w:val="TableParagraph"/>
              <w:rPr>
                <w:rFonts w:ascii="Times New Roman"/>
                <w:sz w:val="22"/>
              </w:rPr>
            </w:pPr>
          </w:p>
        </w:tc>
        <w:tc>
          <w:tcPr>
            <w:tcW w:w="3026" w:type="dxa"/>
            <w:tcBorders>
              <w:top w:val="single" w:sz="18" w:space="0" w:color="4E8542"/>
            </w:tcBorders>
          </w:tcPr>
          <w:p>
            <w:pPr>
              <w:pStyle w:val="TableParagraph"/>
              <w:spacing w:line="245" w:lineRule="exact"/>
              <w:ind w:left="108"/>
              <w:jc w:val="both"/>
              <w:rPr>
                <w:sz w:val="22"/>
              </w:rPr>
            </w:pPr>
            <w:r>
              <w:rPr>
                <w:sz w:val="22"/>
              </w:rPr>
              <w:t>Investigators conduct client</w:t>
            </w:r>
          </w:p>
          <w:p>
            <w:pPr>
              <w:pStyle w:val="TableParagraph"/>
              <w:ind w:left="108" w:right="744"/>
              <w:jc w:val="both"/>
              <w:rPr>
                <w:sz w:val="22"/>
              </w:rPr>
            </w:pPr>
            <w:r>
              <w:rPr>
                <w:sz w:val="22"/>
              </w:rPr>
              <w:t>record reviews ensuring Individual Instruction &amp; Support Plans are being followed.</w:t>
            </w:r>
          </w:p>
          <w:p>
            <w:pPr>
              <w:pStyle w:val="TableParagraph"/>
              <w:spacing w:before="11"/>
              <w:rPr>
                <w:b/>
                <w:sz w:val="21"/>
              </w:rPr>
            </w:pPr>
          </w:p>
          <w:p>
            <w:pPr>
              <w:pStyle w:val="TableParagraph"/>
              <w:ind w:left="108" w:right="181"/>
              <w:rPr>
                <w:sz w:val="22"/>
              </w:rPr>
            </w:pPr>
            <w:r>
              <w:rPr>
                <w:sz w:val="22"/>
              </w:rPr>
              <w:t>On-site inspections ensure homes meet all licensing and certification requirements in WAC and RCW, including WAC 388-823-1095.</w:t>
            </w:r>
          </w:p>
        </w:tc>
        <w:tc>
          <w:tcPr>
            <w:tcW w:w="2520" w:type="dxa"/>
            <w:tcBorders>
              <w:top w:val="single" w:sz="18" w:space="0" w:color="4E8542"/>
            </w:tcBorders>
          </w:tcPr>
          <w:p>
            <w:pPr>
              <w:pStyle w:val="TableParagraph"/>
              <w:spacing w:line="245" w:lineRule="exact"/>
              <w:ind w:left="108"/>
              <w:rPr>
                <w:sz w:val="22"/>
              </w:rPr>
            </w:pPr>
            <w:r>
              <w:rPr>
                <w:sz w:val="22"/>
              </w:rPr>
              <w:t>the contracts requiring</w:t>
            </w:r>
          </w:p>
          <w:p>
            <w:pPr>
              <w:pStyle w:val="TableParagraph"/>
              <w:spacing w:line="237" w:lineRule="auto" w:before="2"/>
              <w:ind w:left="108" w:right="288"/>
              <w:rPr>
                <w:sz w:val="22"/>
              </w:rPr>
            </w:pPr>
            <w:r>
              <w:rPr>
                <w:sz w:val="22"/>
              </w:rPr>
              <w:t>adherence to the WAC. See </w:t>
            </w:r>
            <w:r>
              <w:rPr>
                <w:color w:val="6B9F24"/>
                <w:sz w:val="22"/>
                <w:u w:val="single" w:color="6B9F24"/>
              </w:rPr>
              <w:t>Appendix C</w:t>
            </w:r>
            <w:r>
              <w:rPr>
                <w:sz w:val="22"/>
              </w:rPr>
              <w:t>.</w:t>
            </w:r>
          </w:p>
        </w:tc>
      </w:tr>
      <w:tr>
        <w:trPr>
          <w:trHeight w:val="3493" w:hRule="atLeast"/>
        </w:trPr>
        <w:tc>
          <w:tcPr>
            <w:tcW w:w="3439" w:type="dxa"/>
            <w:shd w:val="clear" w:color="auto" w:fill="D0E4CA"/>
          </w:tcPr>
          <w:p>
            <w:pPr>
              <w:pStyle w:val="TableParagraph"/>
              <w:ind w:left="107" w:right="244"/>
              <w:rPr>
                <w:b/>
                <w:sz w:val="22"/>
              </w:rPr>
            </w:pPr>
            <w:r>
              <w:rPr>
                <w:b/>
                <w:sz w:val="22"/>
              </w:rPr>
              <w:t>An individual’s essential personal rights of privacy, dignity and respect, and freedom from coercion and restraint are protected.</w:t>
            </w:r>
          </w:p>
        </w:tc>
        <w:tc>
          <w:tcPr>
            <w:tcW w:w="3420" w:type="dxa"/>
            <w:shd w:val="clear" w:color="auto" w:fill="D0E4CA"/>
          </w:tcPr>
          <w:p>
            <w:pPr>
              <w:pStyle w:val="TableParagraph"/>
              <w:ind w:left="107" w:right="507"/>
              <w:rPr>
                <w:sz w:val="22"/>
              </w:rPr>
            </w:pPr>
            <w:r>
              <w:rPr>
                <w:sz w:val="22"/>
              </w:rPr>
              <w:t>Protection of rights is enforced through </w:t>
            </w:r>
            <w:hyperlink r:id="rId25">
              <w:r>
                <w:rPr>
                  <w:color w:val="6B9F24"/>
                  <w:sz w:val="22"/>
                  <w:u w:val="single" w:color="6B9F24"/>
                </w:rPr>
                <w:t>WAC 388-101D-0125</w:t>
              </w:r>
            </w:hyperlink>
            <w:r>
              <w:rPr>
                <w:color w:val="6B9F24"/>
                <w:sz w:val="22"/>
              </w:rPr>
              <w:t> </w:t>
            </w:r>
            <w:r>
              <w:rPr>
                <w:sz w:val="22"/>
              </w:rPr>
              <w:t>through </w:t>
            </w:r>
            <w:hyperlink r:id="rId26">
              <w:r>
                <w:rPr>
                  <w:color w:val="6B9F24"/>
                  <w:sz w:val="22"/>
                  <w:u w:val="single" w:color="6B9F24"/>
                </w:rPr>
                <w:t>WAC 388-101D-0145</w:t>
              </w:r>
            </w:hyperlink>
            <w:r>
              <w:rPr>
                <w:sz w:val="22"/>
              </w:rPr>
              <w:t>.</w:t>
            </w:r>
          </w:p>
          <w:p>
            <w:pPr>
              <w:pStyle w:val="TableParagraph"/>
              <w:spacing w:before="12"/>
              <w:rPr>
                <w:b/>
                <w:sz w:val="21"/>
              </w:rPr>
            </w:pPr>
          </w:p>
          <w:p>
            <w:pPr>
              <w:pStyle w:val="TableParagraph"/>
              <w:ind w:left="107" w:right="181"/>
              <w:rPr>
                <w:sz w:val="22"/>
              </w:rPr>
            </w:pPr>
            <w:hyperlink r:id="rId27">
              <w:r>
                <w:rPr>
                  <w:color w:val="6B9F24"/>
                  <w:sz w:val="22"/>
                  <w:u w:val="single" w:color="6B9F24"/>
                </w:rPr>
                <w:t>WAC 388-101D-0140</w:t>
              </w:r>
              <w:r>
                <w:rPr>
                  <w:color w:val="6B9F24"/>
                  <w:sz w:val="22"/>
                </w:rPr>
                <w:t> </w:t>
              </w:r>
            </w:hyperlink>
            <w:r>
              <w:rPr>
                <w:sz w:val="22"/>
              </w:rPr>
              <w:t>requires that the service provider must adhere to individual goals identified in the participant’s person-centered service plan.</w:t>
            </w:r>
          </w:p>
        </w:tc>
        <w:tc>
          <w:tcPr>
            <w:tcW w:w="1382" w:type="dxa"/>
            <w:shd w:val="clear" w:color="auto" w:fill="D0E4CA"/>
          </w:tcPr>
          <w:p>
            <w:pPr>
              <w:pStyle w:val="TableParagraph"/>
              <w:ind w:left="107" w:right="314"/>
              <w:rPr>
                <w:sz w:val="22"/>
              </w:rPr>
            </w:pPr>
            <w:r>
              <w:rPr>
                <w:sz w:val="22"/>
              </w:rPr>
              <w:t>Fully Compliant</w:t>
            </w:r>
          </w:p>
        </w:tc>
        <w:tc>
          <w:tcPr>
            <w:tcW w:w="3026" w:type="dxa"/>
            <w:shd w:val="clear" w:color="auto" w:fill="D0E4CA"/>
          </w:tcPr>
          <w:p>
            <w:pPr>
              <w:pStyle w:val="TableParagraph"/>
              <w:ind w:left="108" w:right="150"/>
              <w:rPr>
                <w:sz w:val="22"/>
              </w:rPr>
            </w:pPr>
            <w:r>
              <w:rPr>
                <w:sz w:val="22"/>
              </w:rPr>
              <w:t>As part of the certification and RCS complaint investigation process described in the overview, RCS Contracted Evaluators and RCS Investigators conduct client observations, client and collateral interviews, service provider and staff interviews, and client record reviews to ensure service providers’ compliance.</w:t>
            </w:r>
          </w:p>
        </w:tc>
        <w:tc>
          <w:tcPr>
            <w:tcW w:w="2520" w:type="dxa"/>
            <w:shd w:val="clear" w:color="auto" w:fill="D0E4CA"/>
          </w:tcPr>
          <w:p>
            <w:pPr>
              <w:pStyle w:val="TableParagraph"/>
              <w:ind w:left="108" w:right="174"/>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rPr>
          <w:b/>
          <w:sz w:val="20"/>
        </w:rPr>
      </w:pPr>
    </w:p>
    <w:p>
      <w:pPr>
        <w:pStyle w:val="BodyText"/>
        <w:rPr>
          <w:b/>
          <w:sz w:val="20"/>
        </w:rPr>
      </w:pPr>
    </w:p>
    <w:p>
      <w:pPr>
        <w:pStyle w:val="BodyText"/>
        <w:spacing w:before="10"/>
        <w:rPr>
          <w:b/>
          <w:sz w:val="19"/>
        </w:rPr>
      </w:pPr>
      <w:r>
        <w:rPr/>
        <w:pict>
          <v:shape style="position:absolute;margin-left:70.559998pt;margin-top:14.345437pt;width:650.9pt;height:.1pt;mso-position-horizontal-relative:page;mso-position-vertical-relative:paragraph;z-index:-251633664;mso-wrap-distance-left:0;mso-wrap-distance-right:0" coordorigin="1411,287" coordsize="13018,0" path="m1411,287l14429,287e" filled="false" stroked="true" strokeweight=".481pt" strokecolor="#d9d9d9">
            <v:path arrowok="t"/>
            <v:stroke dashstyle="solid"/>
            <w10:wrap type="topAndBottom"/>
          </v:shape>
        </w:pict>
      </w:r>
    </w:p>
    <w:p>
      <w:pPr>
        <w:spacing w:after="0"/>
        <w:rPr>
          <w:sz w:val="1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9"/>
        <w:gridCol w:w="3420"/>
        <w:gridCol w:w="1382"/>
        <w:gridCol w:w="3026"/>
        <w:gridCol w:w="2520"/>
      </w:tblGrid>
      <w:tr>
        <w:trPr>
          <w:trHeight w:val="584" w:hRule="atLeast"/>
        </w:trPr>
        <w:tc>
          <w:tcPr>
            <w:tcW w:w="3439" w:type="dxa"/>
            <w:tcBorders>
              <w:bottom w:val="single" w:sz="18" w:space="0" w:color="4E8542"/>
            </w:tcBorders>
          </w:tcPr>
          <w:p>
            <w:pPr>
              <w:pStyle w:val="TableParagraph"/>
              <w:spacing w:line="292" w:lineRule="exact"/>
              <w:ind w:left="234"/>
              <w:rPr>
                <w:b/>
                <w:sz w:val="24"/>
              </w:rPr>
            </w:pPr>
            <w:r>
              <w:rPr>
                <w:b/>
                <w:sz w:val="24"/>
              </w:rPr>
              <w:t>Characteristics/Requirements</w:t>
            </w:r>
          </w:p>
        </w:tc>
        <w:tc>
          <w:tcPr>
            <w:tcW w:w="3420" w:type="dxa"/>
            <w:tcBorders>
              <w:bottom w:val="single" w:sz="18" w:space="0" w:color="4E8542"/>
            </w:tcBorders>
          </w:tcPr>
          <w:p>
            <w:pPr>
              <w:pStyle w:val="TableParagraph"/>
              <w:spacing w:line="292" w:lineRule="exact"/>
              <w:ind w:left="871"/>
              <w:rPr>
                <w:b/>
                <w:sz w:val="24"/>
              </w:rPr>
            </w:pPr>
            <w:r>
              <w:rPr>
                <w:b/>
                <w:sz w:val="24"/>
              </w:rPr>
              <w:t>Supported</w:t>
            </w:r>
            <w:r>
              <w:rPr>
                <w:b/>
                <w:spacing w:val="-6"/>
                <w:sz w:val="24"/>
              </w:rPr>
              <w:t> </w:t>
            </w:r>
            <w:r>
              <w:rPr>
                <w:b/>
                <w:sz w:val="24"/>
              </w:rPr>
              <w:t>Living</w:t>
            </w:r>
          </w:p>
          <w:p>
            <w:pPr>
              <w:pStyle w:val="TableParagraph"/>
              <w:spacing w:line="272" w:lineRule="exact"/>
              <w:ind w:left="895"/>
              <w:rPr>
                <w:b/>
                <w:sz w:val="24"/>
              </w:rPr>
            </w:pPr>
            <w:r>
              <w:rPr>
                <w:b/>
                <w:sz w:val="24"/>
              </w:rPr>
              <w:t>State</w:t>
            </w:r>
            <w:r>
              <w:rPr>
                <w:b/>
                <w:spacing w:val="-3"/>
                <w:sz w:val="24"/>
              </w:rPr>
              <w:t> </w:t>
            </w:r>
            <w:r>
              <w:rPr>
                <w:b/>
                <w:sz w:val="24"/>
              </w:rPr>
              <w:t>Evaluation</w:t>
            </w:r>
          </w:p>
        </w:tc>
        <w:tc>
          <w:tcPr>
            <w:tcW w:w="1382" w:type="dxa"/>
            <w:tcBorders>
              <w:bottom w:val="single" w:sz="18" w:space="0" w:color="4E8542"/>
            </w:tcBorders>
          </w:tcPr>
          <w:p>
            <w:pPr>
              <w:pStyle w:val="TableParagraph"/>
              <w:spacing w:line="292" w:lineRule="exact"/>
              <w:ind w:left="89" w:right="66"/>
              <w:jc w:val="center"/>
              <w:rPr>
                <w:b/>
                <w:sz w:val="24"/>
              </w:rPr>
            </w:pPr>
            <w:r>
              <w:rPr>
                <w:b/>
                <w:sz w:val="24"/>
              </w:rPr>
              <w:t>Compliance</w:t>
            </w:r>
          </w:p>
          <w:p>
            <w:pPr>
              <w:pStyle w:val="TableParagraph"/>
              <w:spacing w:line="272" w:lineRule="exact"/>
              <w:ind w:left="84" w:right="66"/>
              <w:jc w:val="center"/>
              <w:rPr>
                <w:b/>
                <w:sz w:val="24"/>
              </w:rPr>
            </w:pPr>
            <w:r>
              <w:rPr>
                <w:b/>
                <w:sz w:val="24"/>
              </w:rPr>
              <w:t>Level</w:t>
            </w:r>
          </w:p>
        </w:tc>
        <w:tc>
          <w:tcPr>
            <w:tcW w:w="3026" w:type="dxa"/>
            <w:tcBorders>
              <w:bottom w:val="single" w:sz="18" w:space="0" w:color="4E8542"/>
            </w:tcBorders>
          </w:tcPr>
          <w:p>
            <w:pPr>
              <w:pStyle w:val="TableParagraph"/>
              <w:spacing w:line="292" w:lineRule="exact"/>
              <w:ind w:left="626"/>
              <w:rPr>
                <w:b/>
                <w:sz w:val="24"/>
              </w:rPr>
            </w:pPr>
            <w:r>
              <w:rPr>
                <w:b/>
                <w:sz w:val="24"/>
              </w:rPr>
              <w:t>Oversight Process</w:t>
            </w:r>
          </w:p>
        </w:tc>
        <w:tc>
          <w:tcPr>
            <w:tcW w:w="2520" w:type="dxa"/>
            <w:tcBorders>
              <w:bottom w:val="single" w:sz="18" w:space="0" w:color="4E8542"/>
            </w:tcBorders>
          </w:tcPr>
          <w:p>
            <w:pPr>
              <w:pStyle w:val="TableParagraph"/>
              <w:spacing w:line="292" w:lineRule="exact"/>
              <w:ind w:left="619"/>
              <w:rPr>
                <w:b/>
                <w:sz w:val="24"/>
              </w:rPr>
            </w:pPr>
            <w:r>
              <w:rPr>
                <w:b/>
                <w:sz w:val="24"/>
              </w:rPr>
              <w:t>Remediation</w:t>
            </w:r>
          </w:p>
        </w:tc>
      </w:tr>
      <w:tr>
        <w:trPr>
          <w:trHeight w:val="2393" w:hRule="atLeast"/>
        </w:trPr>
        <w:tc>
          <w:tcPr>
            <w:tcW w:w="3439" w:type="dxa"/>
            <w:tcBorders>
              <w:top w:val="single" w:sz="18" w:space="0" w:color="4E8542"/>
            </w:tcBorders>
            <w:shd w:val="clear" w:color="auto" w:fill="D0E4CA"/>
          </w:tcPr>
          <w:p>
            <w:pPr>
              <w:pStyle w:val="TableParagraph"/>
              <w:rPr>
                <w:rFonts w:ascii="Times New Roman"/>
                <w:sz w:val="22"/>
              </w:rPr>
            </w:pPr>
          </w:p>
        </w:tc>
        <w:tc>
          <w:tcPr>
            <w:tcW w:w="3420" w:type="dxa"/>
            <w:tcBorders>
              <w:top w:val="single" w:sz="18" w:space="0" w:color="4E8542"/>
            </w:tcBorders>
            <w:shd w:val="clear" w:color="auto" w:fill="D0E4CA"/>
          </w:tcPr>
          <w:p>
            <w:pPr>
              <w:pStyle w:val="TableParagraph"/>
              <w:rPr>
                <w:rFonts w:ascii="Times New Roman"/>
                <w:sz w:val="22"/>
              </w:rPr>
            </w:pPr>
          </w:p>
        </w:tc>
        <w:tc>
          <w:tcPr>
            <w:tcW w:w="1382" w:type="dxa"/>
            <w:tcBorders>
              <w:top w:val="single" w:sz="18" w:space="0" w:color="4E8542"/>
            </w:tcBorders>
            <w:shd w:val="clear" w:color="auto" w:fill="D0E4CA"/>
          </w:tcPr>
          <w:p>
            <w:pPr>
              <w:pStyle w:val="TableParagraph"/>
              <w:rPr>
                <w:rFonts w:ascii="Times New Roman"/>
                <w:sz w:val="22"/>
              </w:rPr>
            </w:pPr>
          </w:p>
        </w:tc>
        <w:tc>
          <w:tcPr>
            <w:tcW w:w="3026" w:type="dxa"/>
            <w:tcBorders>
              <w:top w:val="single" w:sz="18" w:space="0" w:color="4E8542"/>
            </w:tcBorders>
            <w:shd w:val="clear" w:color="auto" w:fill="D0E4CA"/>
          </w:tcPr>
          <w:p>
            <w:pPr>
              <w:pStyle w:val="TableParagraph"/>
              <w:spacing w:line="245" w:lineRule="exact"/>
              <w:ind w:left="108"/>
              <w:rPr>
                <w:sz w:val="22"/>
              </w:rPr>
            </w:pPr>
            <w:r>
              <w:rPr>
                <w:sz w:val="22"/>
              </w:rPr>
              <w:t>The DDA Residential Quality</w:t>
            </w:r>
          </w:p>
          <w:p>
            <w:pPr>
              <w:pStyle w:val="TableParagraph"/>
              <w:spacing w:line="237" w:lineRule="auto" w:before="2"/>
              <w:ind w:left="108" w:right="302"/>
              <w:rPr>
                <w:sz w:val="22"/>
              </w:rPr>
            </w:pPr>
            <w:r>
              <w:rPr>
                <w:sz w:val="22"/>
              </w:rPr>
              <w:t>Assurance Unit is monitoring to </w:t>
            </w:r>
            <w:hyperlink r:id="rId27">
              <w:r>
                <w:rPr>
                  <w:color w:val="6B9F24"/>
                  <w:sz w:val="22"/>
                  <w:u w:val="single" w:color="6B9F24"/>
                </w:rPr>
                <w:t>WAC 388-101D-0140</w:t>
              </w:r>
              <w:r>
                <w:rPr>
                  <w:sz w:val="22"/>
                </w:rPr>
                <w:t>.</w:t>
              </w:r>
            </w:hyperlink>
          </w:p>
          <w:p>
            <w:pPr>
              <w:pStyle w:val="TableParagraph"/>
              <w:rPr>
                <w:b/>
                <w:sz w:val="22"/>
              </w:rPr>
            </w:pPr>
          </w:p>
          <w:p>
            <w:pPr>
              <w:pStyle w:val="TableParagraph"/>
              <w:spacing w:line="270" w:lineRule="atLeast"/>
              <w:ind w:left="108" w:right="181"/>
              <w:rPr>
                <w:sz w:val="22"/>
              </w:rPr>
            </w:pPr>
            <w:r>
              <w:rPr>
                <w:sz w:val="22"/>
              </w:rPr>
              <w:t>On-site inspections to ensure homes meet all licensing and certification requirements in WAC and RCW, including WAC 388-823-1095.</w:t>
            </w:r>
          </w:p>
        </w:tc>
        <w:tc>
          <w:tcPr>
            <w:tcW w:w="2520" w:type="dxa"/>
            <w:tcBorders>
              <w:top w:val="single" w:sz="18" w:space="0" w:color="4E8542"/>
            </w:tcBorders>
            <w:shd w:val="clear" w:color="auto" w:fill="D0E4CA"/>
          </w:tcPr>
          <w:p>
            <w:pPr>
              <w:pStyle w:val="TableParagraph"/>
              <w:rPr>
                <w:rFonts w:ascii="Times New Roman"/>
                <w:sz w:val="22"/>
              </w:rPr>
            </w:pPr>
          </w:p>
        </w:tc>
      </w:tr>
      <w:tr>
        <w:trPr>
          <w:trHeight w:val="5903" w:hRule="atLeast"/>
        </w:trPr>
        <w:tc>
          <w:tcPr>
            <w:tcW w:w="3439" w:type="dxa"/>
          </w:tcPr>
          <w:p>
            <w:pPr>
              <w:pStyle w:val="TableParagraph"/>
              <w:ind w:left="107" w:right="261"/>
              <w:rPr>
                <w:b/>
                <w:sz w:val="22"/>
              </w:rPr>
            </w:pPr>
            <w:r>
              <w:rPr>
                <w:b/>
                <w:sz w:val="22"/>
              </w:rPr>
              <w:t>Individual initiative, autonomy, and independence in making life choices, including but not limited to, daily activities, physical environment, and with whom to interact are optimized and not regimented.</w:t>
            </w:r>
          </w:p>
        </w:tc>
        <w:tc>
          <w:tcPr>
            <w:tcW w:w="3420" w:type="dxa"/>
          </w:tcPr>
          <w:p>
            <w:pPr>
              <w:pStyle w:val="TableParagraph"/>
              <w:ind w:left="107" w:right="507"/>
              <w:rPr>
                <w:sz w:val="22"/>
              </w:rPr>
            </w:pPr>
            <w:r>
              <w:rPr>
                <w:sz w:val="22"/>
              </w:rPr>
              <w:t>Protection of rights is enforced through </w:t>
            </w:r>
            <w:hyperlink r:id="rId25">
              <w:r>
                <w:rPr>
                  <w:color w:val="6B9F24"/>
                  <w:sz w:val="22"/>
                  <w:u w:val="single" w:color="6B9F24"/>
                </w:rPr>
                <w:t>WAC 388-101D-0125</w:t>
              </w:r>
            </w:hyperlink>
            <w:r>
              <w:rPr>
                <w:color w:val="6B9F24"/>
                <w:sz w:val="22"/>
              </w:rPr>
              <w:t> </w:t>
            </w:r>
            <w:r>
              <w:rPr>
                <w:sz w:val="22"/>
              </w:rPr>
              <w:t>through </w:t>
            </w:r>
            <w:hyperlink r:id="rId26">
              <w:r>
                <w:rPr>
                  <w:color w:val="6B9F24"/>
                  <w:sz w:val="22"/>
                  <w:u w:val="single" w:color="6B9F24"/>
                </w:rPr>
                <w:t>WAC 388-101D-0145</w:t>
              </w:r>
            </w:hyperlink>
            <w:r>
              <w:rPr>
                <w:sz w:val="22"/>
              </w:rPr>
              <w:t>.</w:t>
            </w:r>
          </w:p>
          <w:p>
            <w:pPr>
              <w:pStyle w:val="TableParagraph"/>
              <w:spacing w:before="8"/>
              <w:rPr>
                <w:b/>
                <w:sz w:val="21"/>
              </w:rPr>
            </w:pPr>
          </w:p>
          <w:p>
            <w:pPr>
              <w:pStyle w:val="TableParagraph"/>
              <w:ind w:left="107" w:right="181"/>
              <w:rPr>
                <w:sz w:val="22"/>
              </w:rPr>
            </w:pPr>
            <w:hyperlink r:id="rId27">
              <w:r>
                <w:rPr>
                  <w:color w:val="6B9F24"/>
                  <w:sz w:val="22"/>
                  <w:u w:val="single" w:color="6B9F24"/>
                </w:rPr>
                <w:t>WAC 388-101D-0140</w:t>
              </w:r>
              <w:r>
                <w:rPr>
                  <w:color w:val="6B9F24"/>
                  <w:sz w:val="22"/>
                </w:rPr>
                <w:t> </w:t>
              </w:r>
            </w:hyperlink>
            <w:r>
              <w:rPr>
                <w:sz w:val="22"/>
              </w:rPr>
              <w:t>requires that the service provider must adhere to individual goals identified in the participant’s person-centered service plan.</w:t>
            </w:r>
          </w:p>
        </w:tc>
        <w:tc>
          <w:tcPr>
            <w:tcW w:w="1382" w:type="dxa"/>
          </w:tcPr>
          <w:p>
            <w:pPr>
              <w:pStyle w:val="TableParagraph"/>
              <w:ind w:left="107" w:right="314"/>
              <w:rPr>
                <w:sz w:val="22"/>
              </w:rPr>
            </w:pPr>
            <w:r>
              <w:rPr>
                <w:sz w:val="22"/>
              </w:rPr>
              <w:t>Fully Compliant</w:t>
            </w:r>
          </w:p>
        </w:tc>
        <w:tc>
          <w:tcPr>
            <w:tcW w:w="3026" w:type="dxa"/>
          </w:tcPr>
          <w:p>
            <w:pPr>
              <w:pStyle w:val="TableParagraph"/>
              <w:ind w:left="108" w:right="150"/>
              <w:rPr>
                <w:sz w:val="22"/>
              </w:rPr>
            </w:pPr>
            <w:r>
              <w:rPr>
                <w:sz w:val="22"/>
              </w:rPr>
              <w:t>As part of the certification and RCS complaint investigation process described in the overview, RCS Contracted Evaluators and RCS Investigators conduct client observations, client and collateral interviews, service provider and staff interviews and client record reviews to ensure service providers’ compliance.</w:t>
            </w:r>
          </w:p>
          <w:p>
            <w:pPr>
              <w:pStyle w:val="TableParagraph"/>
              <w:spacing w:before="8"/>
              <w:rPr>
                <w:b/>
                <w:sz w:val="21"/>
              </w:rPr>
            </w:pPr>
          </w:p>
          <w:p>
            <w:pPr>
              <w:pStyle w:val="TableParagraph"/>
              <w:ind w:left="108" w:right="319"/>
              <w:jc w:val="both"/>
              <w:rPr>
                <w:sz w:val="22"/>
              </w:rPr>
            </w:pPr>
            <w:r>
              <w:rPr>
                <w:sz w:val="22"/>
              </w:rPr>
              <w:t>The DDA Residential Quality Assurance Unit is monitoring to </w:t>
            </w:r>
            <w:hyperlink r:id="rId28">
              <w:r>
                <w:rPr>
                  <w:color w:val="6B9F24"/>
                  <w:sz w:val="22"/>
                  <w:u w:val="single" w:color="6B9F24"/>
                </w:rPr>
                <w:t>WAC 388-101D-0140</w:t>
              </w:r>
              <w:r>
                <w:rPr>
                  <w:sz w:val="22"/>
                </w:rPr>
                <w:t>.</w:t>
              </w:r>
            </w:hyperlink>
          </w:p>
          <w:p>
            <w:pPr>
              <w:pStyle w:val="TableParagraph"/>
              <w:spacing w:before="10"/>
              <w:rPr>
                <w:b/>
                <w:sz w:val="21"/>
              </w:rPr>
            </w:pPr>
          </w:p>
          <w:p>
            <w:pPr>
              <w:pStyle w:val="TableParagraph"/>
              <w:spacing w:before="1"/>
              <w:ind w:left="108" w:right="103"/>
              <w:rPr>
                <w:sz w:val="22"/>
              </w:rPr>
            </w:pPr>
            <w:r>
              <w:rPr>
                <w:sz w:val="22"/>
              </w:rPr>
              <w:t>On-site inspections ensure homes meet all licensing and certification requirements in WAC and RCW, including those</w:t>
            </w:r>
          </w:p>
          <w:p>
            <w:pPr>
              <w:pStyle w:val="TableParagraph"/>
              <w:spacing w:line="249" w:lineRule="exact" w:before="1"/>
              <w:ind w:left="108"/>
              <w:rPr>
                <w:sz w:val="22"/>
              </w:rPr>
            </w:pPr>
            <w:r>
              <w:rPr>
                <w:sz w:val="22"/>
              </w:rPr>
              <w:t>regarding resident rights.</w:t>
            </w:r>
          </w:p>
        </w:tc>
        <w:tc>
          <w:tcPr>
            <w:tcW w:w="2520" w:type="dxa"/>
          </w:tcPr>
          <w:p>
            <w:pPr>
              <w:pStyle w:val="TableParagraph"/>
              <w:ind w:left="108" w:right="15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 and adding language to the contracts requiring adherence to the WAC s. See </w:t>
            </w:r>
            <w:r>
              <w:rPr>
                <w:color w:val="6B9F24"/>
                <w:sz w:val="22"/>
                <w:u w:val="single" w:color="6B9F24"/>
              </w:rPr>
              <w:t>Appendix C</w:t>
            </w:r>
            <w:r>
              <w:rPr>
                <w:sz w:val="22"/>
              </w:rPr>
              <w:t>.</w:t>
            </w:r>
          </w:p>
        </w:tc>
      </w:tr>
    </w:tbl>
    <w:p>
      <w:pPr>
        <w:pStyle w:val="BodyText"/>
        <w:rPr>
          <w:b/>
          <w:sz w:val="16"/>
        </w:rPr>
      </w:pPr>
      <w:r>
        <w:rPr/>
        <w:pict>
          <v:shape style="position:absolute;margin-left:70.559998pt;margin-top:11.9995pt;width:650.9pt;height:.1pt;mso-position-horizontal-relative:page;mso-position-vertical-relative:paragraph;z-index:-251632640;mso-wrap-distance-left:0;mso-wrap-distance-right:0" coordorigin="1411,240" coordsize="13018,0" path="m1411,240l14429,240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9"/>
        <w:gridCol w:w="3420"/>
        <w:gridCol w:w="1382"/>
        <w:gridCol w:w="3026"/>
        <w:gridCol w:w="2520"/>
      </w:tblGrid>
      <w:tr>
        <w:trPr>
          <w:trHeight w:val="584" w:hRule="atLeast"/>
        </w:trPr>
        <w:tc>
          <w:tcPr>
            <w:tcW w:w="3439" w:type="dxa"/>
            <w:tcBorders>
              <w:bottom w:val="single" w:sz="18" w:space="0" w:color="4E8542"/>
            </w:tcBorders>
          </w:tcPr>
          <w:p>
            <w:pPr>
              <w:pStyle w:val="TableParagraph"/>
              <w:spacing w:line="292" w:lineRule="exact"/>
              <w:ind w:left="234"/>
              <w:rPr>
                <w:b/>
                <w:sz w:val="24"/>
              </w:rPr>
            </w:pPr>
            <w:r>
              <w:rPr>
                <w:b/>
                <w:sz w:val="24"/>
              </w:rPr>
              <w:t>Characteristics/Requirements</w:t>
            </w:r>
          </w:p>
        </w:tc>
        <w:tc>
          <w:tcPr>
            <w:tcW w:w="3420" w:type="dxa"/>
            <w:tcBorders>
              <w:bottom w:val="single" w:sz="18" w:space="0" w:color="4E8542"/>
            </w:tcBorders>
          </w:tcPr>
          <w:p>
            <w:pPr>
              <w:pStyle w:val="TableParagraph"/>
              <w:spacing w:line="292" w:lineRule="exact"/>
              <w:ind w:left="871"/>
              <w:rPr>
                <w:b/>
                <w:sz w:val="24"/>
              </w:rPr>
            </w:pPr>
            <w:r>
              <w:rPr>
                <w:b/>
                <w:sz w:val="24"/>
              </w:rPr>
              <w:t>Supported</w:t>
            </w:r>
            <w:r>
              <w:rPr>
                <w:b/>
                <w:spacing w:val="-6"/>
                <w:sz w:val="24"/>
              </w:rPr>
              <w:t> </w:t>
            </w:r>
            <w:r>
              <w:rPr>
                <w:b/>
                <w:sz w:val="24"/>
              </w:rPr>
              <w:t>Living</w:t>
            </w:r>
          </w:p>
          <w:p>
            <w:pPr>
              <w:pStyle w:val="TableParagraph"/>
              <w:spacing w:line="272" w:lineRule="exact"/>
              <w:ind w:left="895"/>
              <w:rPr>
                <w:b/>
                <w:sz w:val="24"/>
              </w:rPr>
            </w:pPr>
            <w:r>
              <w:rPr>
                <w:b/>
                <w:sz w:val="24"/>
              </w:rPr>
              <w:t>State</w:t>
            </w:r>
            <w:r>
              <w:rPr>
                <w:b/>
                <w:spacing w:val="-3"/>
                <w:sz w:val="24"/>
              </w:rPr>
              <w:t> </w:t>
            </w:r>
            <w:r>
              <w:rPr>
                <w:b/>
                <w:sz w:val="24"/>
              </w:rPr>
              <w:t>Evaluation</w:t>
            </w:r>
          </w:p>
        </w:tc>
        <w:tc>
          <w:tcPr>
            <w:tcW w:w="1382" w:type="dxa"/>
            <w:tcBorders>
              <w:bottom w:val="single" w:sz="18" w:space="0" w:color="4E8542"/>
            </w:tcBorders>
          </w:tcPr>
          <w:p>
            <w:pPr>
              <w:pStyle w:val="TableParagraph"/>
              <w:spacing w:line="292" w:lineRule="exact"/>
              <w:ind w:left="89" w:right="66"/>
              <w:jc w:val="center"/>
              <w:rPr>
                <w:b/>
                <w:sz w:val="24"/>
              </w:rPr>
            </w:pPr>
            <w:r>
              <w:rPr>
                <w:b/>
                <w:sz w:val="24"/>
              </w:rPr>
              <w:t>Compliance</w:t>
            </w:r>
          </w:p>
          <w:p>
            <w:pPr>
              <w:pStyle w:val="TableParagraph"/>
              <w:spacing w:line="272" w:lineRule="exact"/>
              <w:ind w:left="84" w:right="66"/>
              <w:jc w:val="center"/>
              <w:rPr>
                <w:b/>
                <w:sz w:val="24"/>
              </w:rPr>
            </w:pPr>
            <w:r>
              <w:rPr>
                <w:b/>
                <w:sz w:val="24"/>
              </w:rPr>
              <w:t>Level</w:t>
            </w:r>
          </w:p>
        </w:tc>
        <w:tc>
          <w:tcPr>
            <w:tcW w:w="3026" w:type="dxa"/>
            <w:tcBorders>
              <w:bottom w:val="single" w:sz="18" w:space="0" w:color="4E8542"/>
            </w:tcBorders>
          </w:tcPr>
          <w:p>
            <w:pPr>
              <w:pStyle w:val="TableParagraph"/>
              <w:spacing w:line="292" w:lineRule="exact"/>
              <w:ind w:left="626"/>
              <w:rPr>
                <w:b/>
                <w:sz w:val="24"/>
              </w:rPr>
            </w:pPr>
            <w:r>
              <w:rPr>
                <w:b/>
                <w:sz w:val="24"/>
              </w:rPr>
              <w:t>Oversight Process</w:t>
            </w:r>
          </w:p>
        </w:tc>
        <w:tc>
          <w:tcPr>
            <w:tcW w:w="2520" w:type="dxa"/>
            <w:tcBorders>
              <w:bottom w:val="single" w:sz="18" w:space="0" w:color="4E8542"/>
            </w:tcBorders>
          </w:tcPr>
          <w:p>
            <w:pPr>
              <w:pStyle w:val="TableParagraph"/>
              <w:spacing w:line="292" w:lineRule="exact"/>
              <w:ind w:left="619"/>
              <w:rPr>
                <w:b/>
                <w:sz w:val="24"/>
              </w:rPr>
            </w:pPr>
            <w:r>
              <w:rPr>
                <w:b/>
                <w:sz w:val="24"/>
              </w:rPr>
              <w:t>Remediation</w:t>
            </w:r>
          </w:p>
        </w:tc>
      </w:tr>
      <w:tr>
        <w:trPr>
          <w:trHeight w:val="6958" w:hRule="atLeast"/>
        </w:trPr>
        <w:tc>
          <w:tcPr>
            <w:tcW w:w="3439" w:type="dxa"/>
            <w:tcBorders>
              <w:top w:val="single" w:sz="18" w:space="0" w:color="4E8542"/>
            </w:tcBorders>
            <w:shd w:val="clear" w:color="auto" w:fill="D0E4CA"/>
          </w:tcPr>
          <w:p>
            <w:pPr>
              <w:pStyle w:val="TableParagraph"/>
              <w:spacing w:line="245" w:lineRule="exact"/>
              <w:ind w:left="107"/>
              <w:rPr>
                <w:b/>
                <w:sz w:val="22"/>
              </w:rPr>
            </w:pPr>
            <w:r>
              <w:rPr>
                <w:b/>
                <w:sz w:val="22"/>
              </w:rPr>
              <w:t>Individual choice regarding</w:t>
            </w:r>
          </w:p>
          <w:p>
            <w:pPr>
              <w:pStyle w:val="TableParagraph"/>
              <w:spacing w:line="237" w:lineRule="auto" w:before="2"/>
              <w:ind w:left="107" w:right="418"/>
              <w:rPr>
                <w:b/>
                <w:sz w:val="22"/>
              </w:rPr>
            </w:pPr>
            <w:r>
              <w:rPr>
                <w:b/>
                <w:sz w:val="22"/>
              </w:rPr>
              <w:t>services and supports, and who provides them, is facilitated.</w:t>
            </w:r>
          </w:p>
        </w:tc>
        <w:tc>
          <w:tcPr>
            <w:tcW w:w="3420" w:type="dxa"/>
            <w:tcBorders>
              <w:top w:val="single" w:sz="18" w:space="0" w:color="4E8542"/>
            </w:tcBorders>
            <w:shd w:val="clear" w:color="auto" w:fill="D0E4CA"/>
          </w:tcPr>
          <w:p>
            <w:pPr>
              <w:pStyle w:val="TableParagraph"/>
              <w:spacing w:line="245" w:lineRule="exact"/>
              <w:ind w:left="107"/>
              <w:rPr>
                <w:sz w:val="22"/>
              </w:rPr>
            </w:pPr>
            <w:r>
              <w:rPr>
                <w:sz w:val="22"/>
              </w:rPr>
              <w:t>Protection of rights is enforced</w:t>
            </w:r>
          </w:p>
          <w:p>
            <w:pPr>
              <w:pStyle w:val="TableParagraph"/>
              <w:spacing w:line="237" w:lineRule="auto" w:before="2"/>
              <w:ind w:left="107" w:right="575"/>
              <w:rPr>
                <w:sz w:val="22"/>
              </w:rPr>
            </w:pPr>
            <w:r>
              <w:rPr>
                <w:sz w:val="22"/>
              </w:rPr>
              <w:t>through </w:t>
            </w:r>
            <w:hyperlink r:id="rId25">
              <w:r>
                <w:rPr>
                  <w:color w:val="6B9F24"/>
                  <w:sz w:val="22"/>
                  <w:u w:val="single" w:color="6B9F24"/>
                </w:rPr>
                <w:t>WAC 388-101D-0125</w:t>
              </w:r>
            </w:hyperlink>
            <w:r>
              <w:rPr>
                <w:color w:val="6B9F24"/>
                <w:sz w:val="22"/>
              </w:rPr>
              <w:t> </w:t>
            </w:r>
            <w:r>
              <w:rPr>
                <w:sz w:val="22"/>
              </w:rPr>
              <w:t>through </w:t>
            </w:r>
            <w:hyperlink r:id="rId29">
              <w:r>
                <w:rPr>
                  <w:color w:val="6B9F24"/>
                  <w:sz w:val="22"/>
                  <w:u w:val="single" w:color="6B9F24"/>
                </w:rPr>
                <w:t>WAC 388-101D-0145</w:t>
              </w:r>
            </w:hyperlink>
            <w:r>
              <w:rPr>
                <w:sz w:val="22"/>
              </w:rPr>
              <w:t>.</w:t>
            </w:r>
          </w:p>
          <w:p>
            <w:pPr>
              <w:pStyle w:val="TableParagraph"/>
              <w:spacing w:before="1"/>
              <w:rPr>
                <w:b/>
                <w:sz w:val="22"/>
              </w:rPr>
            </w:pPr>
          </w:p>
          <w:p>
            <w:pPr>
              <w:pStyle w:val="TableParagraph"/>
              <w:spacing w:before="1"/>
              <w:ind w:left="107" w:right="181"/>
              <w:rPr>
                <w:sz w:val="22"/>
              </w:rPr>
            </w:pPr>
            <w:hyperlink r:id="rId28">
              <w:r>
                <w:rPr>
                  <w:color w:val="6B9F24"/>
                  <w:sz w:val="22"/>
                  <w:u w:val="single" w:color="6B9F24"/>
                </w:rPr>
                <w:t>WAC 388-101D-0140</w:t>
              </w:r>
              <w:r>
                <w:rPr>
                  <w:color w:val="6B9F24"/>
                  <w:sz w:val="22"/>
                </w:rPr>
                <w:t> </w:t>
              </w:r>
            </w:hyperlink>
            <w:r>
              <w:rPr>
                <w:sz w:val="22"/>
              </w:rPr>
              <w:t>requires that the service provider must adhere to individual goals identified in the participant’s person-centered service plan.</w:t>
            </w:r>
          </w:p>
        </w:tc>
        <w:tc>
          <w:tcPr>
            <w:tcW w:w="1382" w:type="dxa"/>
            <w:tcBorders>
              <w:top w:val="single" w:sz="18" w:space="0" w:color="4E8542"/>
            </w:tcBorders>
            <w:shd w:val="clear" w:color="auto" w:fill="D0E4CA"/>
          </w:tcPr>
          <w:p>
            <w:pPr>
              <w:pStyle w:val="TableParagraph"/>
              <w:spacing w:line="245" w:lineRule="exact"/>
              <w:ind w:left="107"/>
              <w:rPr>
                <w:sz w:val="22"/>
              </w:rPr>
            </w:pPr>
            <w:r>
              <w:rPr>
                <w:sz w:val="22"/>
              </w:rPr>
              <w:t>Fully</w:t>
            </w:r>
          </w:p>
          <w:p>
            <w:pPr>
              <w:pStyle w:val="TableParagraph"/>
              <w:ind w:left="107"/>
              <w:rPr>
                <w:sz w:val="22"/>
              </w:rPr>
            </w:pPr>
            <w:r>
              <w:rPr>
                <w:sz w:val="22"/>
              </w:rPr>
              <w:t>Compliant</w:t>
            </w:r>
          </w:p>
        </w:tc>
        <w:tc>
          <w:tcPr>
            <w:tcW w:w="3026" w:type="dxa"/>
            <w:tcBorders>
              <w:top w:val="single" w:sz="18" w:space="0" w:color="4E8542"/>
            </w:tcBorders>
            <w:shd w:val="clear" w:color="auto" w:fill="D0E4CA"/>
          </w:tcPr>
          <w:p>
            <w:pPr>
              <w:pStyle w:val="TableParagraph"/>
              <w:spacing w:line="245" w:lineRule="exact"/>
              <w:ind w:left="108"/>
              <w:rPr>
                <w:sz w:val="22"/>
              </w:rPr>
            </w:pPr>
            <w:r>
              <w:rPr>
                <w:sz w:val="22"/>
              </w:rPr>
              <w:t>CMs offer the individual</w:t>
            </w:r>
          </w:p>
          <w:p>
            <w:pPr>
              <w:pStyle w:val="TableParagraph"/>
              <w:spacing w:line="237" w:lineRule="auto" w:before="2"/>
              <w:ind w:left="108" w:right="393"/>
              <w:rPr>
                <w:sz w:val="22"/>
              </w:rPr>
            </w:pPr>
            <w:r>
              <w:rPr>
                <w:sz w:val="22"/>
              </w:rPr>
              <w:t>choices of long-term care settings and provider types.</w:t>
            </w:r>
          </w:p>
          <w:p>
            <w:pPr>
              <w:pStyle w:val="TableParagraph"/>
              <w:spacing w:before="1"/>
              <w:rPr>
                <w:b/>
                <w:sz w:val="22"/>
              </w:rPr>
            </w:pPr>
          </w:p>
          <w:p>
            <w:pPr>
              <w:pStyle w:val="TableParagraph"/>
              <w:spacing w:before="1"/>
              <w:ind w:left="108" w:right="150"/>
              <w:rPr>
                <w:sz w:val="22"/>
              </w:rPr>
            </w:pPr>
            <w:r>
              <w:rPr>
                <w:sz w:val="22"/>
              </w:rPr>
              <w:t>As part of the certification and RCS complaint investigation process described in the overview, RCS Contracted Evaluators and RCS Investigators conduct client observations, client and collateral interviews, service provider and staff interviews, and client record reviews to ensure service providers’ compliance.</w:t>
            </w:r>
          </w:p>
          <w:p>
            <w:pPr>
              <w:pStyle w:val="TableParagraph"/>
              <w:rPr>
                <w:b/>
                <w:sz w:val="22"/>
              </w:rPr>
            </w:pPr>
          </w:p>
          <w:p>
            <w:pPr>
              <w:pStyle w:val="TableParagraph"/>
              <w:ind w:left="108" w:right="319"/>
              <w:jc w:val="both"/>
              <w:rPr>
                <w:sz w:val="22"/>
              </w:rPr>
            </w:pPr>
            <w:r>
              <w:rPr>
                <w:sz w:val="22"/>
              </w:rPr>
              <w:t>The DDA Residential Quality Assurance Unit is monitoring to </w:t>
            </w:r>
            <w:hyperlink r:id="rId30">
              <w:r>
                <w:rPr>
                  <w:color w:val="6B9F24"/>
                  <w:sz w:val="22"/>
                  <w:u w:val="single" w:color="6B9F24"/>
                </w:rPr>
                <w:t>WAC 388-101D-0140.</w:t>
              </w:r>
            </w:hyperlink>
          </w:p>
          <w:p>
            <w:pPr>
              <w:pStyle w:val="TableParagraph"/>
              <w:spacing w:before="1"/>
              <w:rPr>
                <w:b/>
                <w:sz w:val="22"/>
              </w:rPr>
            </w:pPr>
          </w:p>
          <w:p>
            <w:pPr>
              <w:pStyle w:val="TableParagraph"/>
              <w:ind w:left="108" w:right="164"/>
              <w:rPr>
                <w:sz w:val="22"/>
              </w:rPr>
            </w:pPr>
            <w:r>
              <w:rPr>
                <w:sz w:val="22"/>
              </w:rPr>
              <w:t>On-site inspections ensure homes meet all licensing and certification requirements in WAC and RCW, including WAC</w:t>
            </w:r>
          </w:p>
          <w:p>
            <w:pPr>
              <w:pStyle w:val="TableParagraph"/>
              <w:spacing w:line="248" w:lineRule="exact"/>
              <w:ind w:left="108"/>
              <w:rPr>
                <w:sz w:val="22"/>
              </w:rPr>
            </w:pPr>
            <w:r>
              <w:rPr>
                <w:sz w:val="22"/>
              </w:rPr>
              <w:t>388-823-1095.</w:t>
            </w:r>
          </w:p>
        </w:tc>
        <w:tc>
          <w:tcPr>
            <w:tcW w:w="2520" w:type="dxa"/>
            <w:tcBorders>
              <w:top w:val="single" w:sz="18" w:space="0" w:color="4E8542"/>
            </w:tcBorders>
            <w:shd w:val="clear" w:color="auto" w:fill="D0E4CA"/>
          </w:tcPr>
          <w:p>
            <w:pPr>
              <w:pStyle w:val="TableParagraph"/>
              <w:spacing w:line="245" w:lineRule="exact"/>
              <w:ind w:left="108"/>
              <w:rPr>
                <w:sz w:val="22"/>
              </w:rPr>
            </w:pPr>
            <w:r>
              <w:rPr>
                <w:sz w:val="22"/>
              </w:rPr>
              <w:t>Revising </w:t>
            </w:r>
            <w:hyperlink r:id="rId23">
              <w:r>
                <w:rPr>
                  <w:color w:val="6B9F24"/>
                  <w:sz w:val="22"/>
                  <w:u w:val="single" w:color="6B9F24"/>
                </w:rPr>
                <w:t>WAC 388-823-</w:t>
              </w:r>
            </w:hyperlink>
          </w:p>
          <w:p>
            <w:pPr>
              <w:pStyle w:val="TableParagraph"/>
              <w:ind w:left="108" w:right="174"/>
              <w:rPr>
                <w:sz w:val="22"/>
              </w:rPr>
            </w:pP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1343" w:hRule="atLeast"/>
        </w:trPr>
        <w:tc>
          <w:tcPr>
            <w:tcW w:w="3439" w:type="dxa"/>
          </w:tcPr>
          <w:p>
            <w:pPr>
              <w:pStyle w:val="TableParagraph"/>
              <w:ind w:left="107" w:right="776"/>
              <w:rPr>
                <w:b/>
                <w:sz w:val="22"/>
              </w:rPr>
            </w:pPr>
            <w:r>
              <w:rPr>
                <w:b/>
                <w:sz w:val="22"/>
              </w:rPr>
              <w:t>Individuals have a choice of roommates in the setting;</w:t>
            </w:r>
          </w:p>
        </w:tc>
        <w:tc>
          <w:tcPr>
            <w:tcW w:w="3420" w:type="dxa"/>
          </w:tcPr>
          <w:p>
            <w:pPr>
              <w:pStyle w:val="TableParagraph"/>
              <w:ind w:left="107" w:right="141"/>
              <w:rPr>
                <w:sz w:val="22"/>
              </w:rPr>
            </w:pPr>
            <w:r>
              <w:rPr>
                <w:sz w:val="22"/>
              </w:rPr>
              <w:t>All Supported Living residents have private bedrooms.</w:t>
            </w:r>
          </w:p>
          <w:p>
            <w:pPr>
              <w:pStyle w:val="TableParagraph"/>
              <w:spacing w:before="10"/>
              <w:rPr>
                <w:b/>
                <w:sz w:val="21"/>
              </w:rPr>
            </w:pPr>
          </w:p>
          <w:p>
            <w:pPr>
              <w:pStyle w:val="TableParagraph"/>
              <w:spacing w:line="270" w:lineRule="atLeast"/>
              <w:ind w:left="107" w:right="256"/>
              <w:rPr>
                <w:sz w:val="22"/>
              </w:rPr>
            </w:pPr>
            <w:hyperlink r:id="rId23">
              <w:r>
                <w:rPr>
                  <w:color w:val="6B9F24"/>
                  <w:sz w:val="22"/>
                  <w:u w:val="single" w:color="6B9F24"/>
                </w:rPr>
                <w:t>WAC 388-823-1095</w:t>
              </w:r>
              <w:r>
                <w:rPr>
                  <w:color w:val="6B9F24"/>
                  <w:sz w:val="22"/>
                </w:rPr>
                <w:t> </w:t>
              </w:r>
            </w:hyperlink>
            <w:r>
              <w:rPr>
                <w:sz w:val="22"/>
              </w:rPr>
              <w:t>my rights as a DDA client.</w:t>
            </w:r>
          </w:p>
        </w:tc>
        <w:tc>
          <w:tcPr>
            <w:tcW w:w="1382" w:type="dxa"/>
          </w:tcPr>
          <w:p>
            <w:pPr>
              <w:pStyle w:val="TableParagraph"/>
              <w:ind w:left="107" w:right="314"/>
              <w:rPr>
                <w:sz w:val="22"/>
              </w:rPr>
            </w:pPr>
            <w:r>
              <w:rPr>
                <w:sz w:val="22"/>
              </w:rPr>
              <w:t>Partially Compliant</w:t>
            </w:r>
          </w:p>
        </w:tc>
        <w:tc>
          <w:tcPr>
            <w:tcW w:w="3026" w:type="dxa"/>
          </w:tcPr>
          <w:p>
            <w:pPr>
              <w:pStyle w:val="TableParagraph"/>
              <w:ind w:left="108" w:right="150"/>
              <w:rPr>
                <w:sz w:val="22"/>
              </w:rPr>
            </w:pPr>
            <w:r>
              <w:rPr>
                <w:sz w:val="22"/>
              </w:rPr>
              <w:t>As part of the certification and RCS complaint investigation process described in the overview, RCS Contracted</w:t>
            </w:r>
          </w:p>
          <w:p>
            <w:pPr>
              <w:pStyle w:val="TableParagraph"/>
              <w:spacing w:line="249" w:lineRule="exact"/>
              <w:ind w:left="108"/>
              <w:rPr>
                <w:sz w:val="22"/>
              </w:rPr>
            </w:pPr>
            <w:r>
              <w:rPr>
                <w:sz w:val="22"/>
              </w:rPr>
              <w:t>Evaluators and RCS</w:t>
            </w:r>
          </w:p>
        </w:tc>
        <w:tc>
          <w:tcPr>
            <w:tcW w:w="2520" w:type="dxa"/>
          </w:tcPr>
          <w:p>
            <w:pPr>
              <w:pStyle w:val="TableParagraph"/>
              <w:ind w:left="108" w:right="174"/>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w:t>
            </w:r>
          </w:p>
        </w:tc>
      </w:tr>
    </w:tbl>
    <w:p>
      <w:pPr>
        <w:pStyle w:val="BodyText"/>
        <w:rPr>
          <w:b/>
          <w:sz w:val="16"/>
        </w:rPr>
      </w:pPr>
      <w:r>
        <w:rPr/>
        <w:pict>
          <v:shape style="position:absolute;margin-left:70.559998pt;margin-top:11.9995pt;width:650.9pt;height:.1pt;mso-position-horizontal-relative:page;mso-position-vertical-relative:paragraph;z-index:-251631616;mso-wrap-distance-left:0;mso-wrap-distance-right:0" coordorigin="1411,240" coordsize="13018,0" path="m1411,240l14429,240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9"/>
        <w:gridCol w:w="3420"/>
        <w:gridCol w:w="1382"/>
        <w:gridCol w:w="3026"/>
        <w:gridCol w:w="2520"/>
      </w:tblGrid>
      <w:tr>
        <w:trPr>
          <w:trHeight w:val="584" w:hRule="atLeast"/>
        </w:trPr>
        <w:tc>
          <w:tcPr>
            <w:tcW w:w="3439" w:type="dxa"/>
            <w:tcBorders>
              <w:bottom w:val="single" w:sz="18" w:space="0" w:color="4E8542"/>
            </w:tcBorders>
          </w:tcPr>
          <w:p>
            <w:pPr>
              <w:pStyle w:val="TableParagraph"/>
              <w:spacing w:line="292" w:lineRule="exact"/>
              <w:ind w:left="234"/>
              <w:rPr>
                <w:b/>
                <w:sz w:val="24"/>
              </w:rPr>
            </w:pPr>
            <w:r>
              <w:rPr>
                <w:b/>
                <w:sz w:val="24"/>
              </w:rPr>
              <w:t>Characteristics/Requirements</w:t>
            </w:r>
          </w:p>
        </w:tc>
        <w:tc>
          <w:tcPr>
            <w:tcW w:w="3420" w:type="dxa"/>
            <w:tcBorders>
              <w:bottom w:val="single" w:sz="18" w:space="0" w:color="4E8542"/>
            </w:tcBorders>
          </w:tcPr>
          <w:p>
            <w:pPr>
              <w:pStyle w:val="TableParagraph"/>
              <w:spacing w:line="292" w:lineRule="exact"/>
              <w:ind w:left="871"/>
              <w:rPr>
                <w:b/>
                <w:sz w:val="24"/>
              </w:rPr>
            </w:pPr>
            <w:r>
              <w:rPr>
                <w:b/>
                <w:sz w:val="24"/>
              </w:rPr>
              <w:t>Supported</w:t>
            </w:r>
            <w:r>
              <w:rPr>
                <w:b/>
                <w:spacing w:val="-6"/>
                <w:sz w:val="24"/>
              </w:rPr>
              <w:t> </w:t>
            </w:r>
            <w:r>
              <w:rPr>
                <w:b/>
                <w:sz w:val="24"/>
              </w:rPr>
              <w:t>Living</w:t>
            </w:r>
          </w:p>
          <w:p>
            <w:pPr>
              <w:pStyle w:val="TableParagraph"/>
              <w:spacing w:line="272" w:lineRule="exact"/>
              <w:ind w:left="895"/>
              <w:rPr>
                <w:b/>
                <w:sz w:val="24"/>
              </w:rPr>
            </w:pPr>
            <w:r>
              <w:rPr>
                <w:b/>
                <w:sz w:val="24"/>
              </w:rPr>
              <w:t>State</w:t>
            </w:r>
            <w:r>
              <w:rPr>
                <w:b/>
                <w:spacing w:val="-3"/>
                <w:sz w:val="24"/>
              </w:rPr>
              <w:t> </w:t>
            </w:r>
            <w:r>
              <w:rPr>
                <w:b/>
                <w:sz w:val="24"/>
              </w:rPr>
              <w:t>Evaluation</w:t>
            </w:r>
          </w:p>
        </w:tc>
        <w:tc>
          <w:tcPr>
            <w:tcW w:w="1382" w:type="dxa"/>
            <w:tcBorders>
              <w:bottom w:val="single" w:sz="18" w:space="0" w:color="4E8542"/>
            </w:tcBorders>
          </w:tcPr>
          <w:p>
            <w:pPr>
              <w:pStyle w:val="TableParagraph"/>
              <w:spacing w:line="292" w:lineRule="exact"/>
              <w:ind w:left="89" w:right="66"/>
              <w:jc w:val="center"/>
              <w:rPr>
                <w:b/>
                <w:sz w:val="24"/>
              </w:rPr>
            </w:pPr>
            <w:r>
              <w:rPr>
                <w:b/>
                <w:sz w:val="24"/>
              </w:rPr>
              <w:t>Compliance</w:t>
            </w:r>
          </w:p>
          <w:p>
            <w:pPr>
              <w:pStyle w:val="TableParagraph"/>
              <w:spacing w:line="272" w:lineRule="exact"/>
              <w:ind w:left="84" w:right="66"/>
              <w:jc w:val="center"/>
              <w:rPr>
                <w:b/>
                <w:sz w:val="24"/>
              </w:rPr>
            </w:pPr>
            <w:r>
              <w:rPr>
                <w:b/>
                <w:sz w:val="24"/>
              </w:rPr>
              <w:t>Level</w:t>
            </w:r>
          </w:p>
        </w:tc>
        <w:tc>
          <w:tcPr>
            <w:tcW w:w="3026" w:type="dxa"/>
            <w:tcBorders>
              <w:bottom w:val="single" w:sz="18" w:space="0" w:color="4E8542"/>
            </w:tcBorders>
          </w:tcPr>
          <w:p>
            <w:pPr>
              <w:pStyle w:val="TableParagraph"/>
              <w:spacing w:line="292" w:lineRule="exact"/>
              <w:ind w:left="626"/>
              <w:rPr>
                <w:b/>
                <w:sz w:val="24"/>
              </w:rPr>
            </w:pPr>
            <w:r>
              <w:rPr>
                <w:b/>
                <w:sz w:val="24"/>
              </w:rPr>
              <w:t>Oversight Process</w:t>
            </w:r>
          </w:p>
        </w:tc>
        <w:tc>
          <w:tcPr>
            <w:tcW w:w="2520" w:type="dxa"/>
            <w:tcBorders>
              <w:bottom w:val="single" w:sz="18" w:space="0" w:color="4E8542"/>
            </w:tcBorders>
          </w:tcPr>
          <w:p>
            <w:pPr>
              <w:pStyle w:val="TableParagraph"/>
              <w:spacing w:line="292" w:lineRule="exact"/>
              <w:ind w:left="619"/>
              <w:rPr>
                <w:b/>
                <w:sz w:val="24"/>
              </w:rPr>
            </w:pPr>
            <w:r>
              <w:rPr>
                <w:b/>
                <w:sz w:val="24"/>
              </w:rPr>
              <w:t>Remediation</w:t>
            </w:r>
          </w:p>
        </w:tc>
      </w:tr>
      <w:tr>
        <w:trPr>
          <w:trHeight w:val="4541" w:hRule="atLeast"/>
        </w:trPr>
        <w:tc>
          <w:tcPr>
            <w:tcW w:w="3439" w:type="dxa"/>
            <w:tcBorders>
              <w:top w:val="single" w:sz="18" w:space="0" w:color="4E8542"/>
            </w:tcBorders>
          </w:tcPr>
          <w:p>
            <w:pPr>
              <w:pStyle w:val="TableParagraph"/>
              <w:rPr>
                <w:rFonts w:ascii="Times New Roman"/>
                <w:sz w:val="22"/>
              </w:rPr>
            </w:pPr>
          </w:p>
        </w:tc>
        <w:tc>
          <w:tcPr>
            <w:tcW w:w="3420" w:type="dxa"/>
            <w:tcBorders>
              <w:top w:val="single" w:sz="18" w:space="0" w:color="4E8542"/>
            </w:tcBorders>
          </w:tcPr>
          <w:p>
            <w:pPr>
              <w:pStyle w:val="TableParagraph"/>
              <w:spacing w:before="1"/>
              <w:rPr>
                <w:b/>
                <w:sz w:val="20"/>
              </w:rPr>
            </w:pPr>
          </w:p>
          <w:p>
            <w:pPr>
              <w:pStyle w:val="TableParagraph"/>
              <w:ind w:left="107" w:right="507"/>
              <w:rPr>
                <w:sz w:val="22"/>
              </w:rPr>
            </w:pPr>
            <w:r>
              <w:rPr>
                <w:sz w:val="22"/>
              </w:rPr>
              <w:t>Protection of rights is enforced through </w:t>
            </w:r>
            <w:hyperlink r:id="rId25">
              <w:r>
                <w:rPr>
                  <w:color w:val="6B9F24"/>
                  <w:sz w:val="22"/>
                  <w:u w:val="single" w:color="6B9F24"/>
                </w:rPr>
                <w:t>WAC 388-101D-0125</w:t>
              </w:r>
            </w:hyperlink>
            <w:r>
              <w:rPr>
                <w:color w:val="6B9F24"/>
                <w:sz w:val="22"/>
              </w:rPr>
              <w:t> </w:t>
            </w:r>
            <w:r>
              <w:rPr>
                <w:sz w:val="22"/>
              </w:rPr>
              <w:t>through </w:t>
            </w:r>
            <w:hyperlink r:id="rId29">
              <w:r>
                <w:rPr>
                  <w:color w:val="6B9F24"/>
                  <w:sz w:val="22"/>
                  <w:u w:val="single" w:color="6B9F24"/>
                </w:rPr>
                <w:t>WAC 388-101D-0145</w:t>
              </w:r>
            </w:hyperlink>
            <w:r>
              <w:rPr>
                <w:sz w:val="22"/>
              </w:rPr>
              <w:t>.</w:t>
            </w:r>
          </w:p>
          <w:p>
            <w:pPr>
              <w:pStyle w:val="TableParagraph"/>
              <w:ind w:left="107" w:right="181"/>
              <w:rPr>
                <w:sz w:val="22"/>
              </w:rPr>
            </w:pPr>
            <w:hyperlink r:id="rId28">
              <w:r>
                <w:rPr>
                  <w:color w:val="6B9F24"/>
                  <w:sz w:val="22"/>
                  <w:u w:val="single" w:color="6B9F24"/>
                </w:rPr>
                <w:t>WAC 388-101D-0140</w:t>
              </w:r>
              <w:r>
                <w:rPr>
                  <w:color w:val="6B9F24"/>
                  <w:sz w:val="22"/>
                </w:rPr>
                <w:t> </w:t>
              </w:r>
            </w:hyperlink>
            <w:r>
              <w:rPr>
                <w:sz w:val="22"/>
              </w:rPr>
              <w:t>requires that the service provider must adhere to individual goals identified in the participant’s person-centered service plan.</w:t>
            </w:r>
          </w:p>
          <w:p>
            <w:pPr>
              <w:pStyle w:val="TableParagraph"/>
              <w:rPr>
                <w:b/>
                <w:sz w:val="22"/>
              </w:rPr>
            </w:pPr>
          </w:p>
          <w:p>
            <w:pPr>
              <w:pStyle w:val="TableParagraph"/>
              <w:ind w:left="107" w:right="302"/>
              <w:rPr>
                <w:sz w:val="22"/>
              </w:rPr>
            </w:pPr>
            <w:r>
              <w:rPr>
                <w:sz w:val="22"/>
              </w:rPr>
              <w:t>Residential Guidelines and CCRSS provider contracts inform and guide the provision of supported living services.</w:t>
            </w:r>
          </w:p>
        </w:tc>
        <w:tc>
          <w:tcPr>
            <w:tcW w:w="1382" w:type="dxa"/>
            <w:tcBorders>
              <w:top w:val="single" w:sz="18" w:space="0" w:color="4E8542"/>
            </w:tcBorders>
          </w:tcPr>
          <w:p>
            <w:pPr>
              <w:pStyle w:val="TableParagraph"/>
              <w:rPr>
                <w:rFonts w:ascii="Times New Roman"/>
                <w:sz w:val="22"/>
              </w:rPr>
            </w:pPr>
          </w:p>
        </w:tc>
        <w:tc>
          <w:tcPr>
            <w:tcW w:w="3026" w:type="dxa"/>
            <w:tcBorders>
              <w:top w:val="single" w:sz="18" w:space="0" w:color="4E8542"/>
            </w:tcBorders>
          </w:tcPr>
          <w:p>
            <w:pPr>
              <w:pStyle w:val="TableParagraph"/>
              <w:spacing w:line="245" w:lineRule="exact"/>
              <w:ind w:left="108"/>
              <w:rPr>
                <w:sz w:val="22"/>
              </w:rPr>
            </w:pPr>
            <w:r>
              <w:rPr>
                <w:sz w:val="22"/>
              </w:rPr>
              <w:t>Investigators conduct client</w:t>
            </w:r>
          </w:p>
          <w:p>
            <w:pPr>
              <w:pStyle w:val="TableParagraph"/>
              <w:ind w:left="108" w:right="249"/>
              <w:rPr>
                <w:sz w:val="22"/>
              </w:rPr>
            </w:pPr>
            <w:r>
              <w:rPr>
                <w:sz w:val="22"/>
              </w:rPr>
              <w:t>observations, client and collateral interviews, service provider and staff interviews, and client record reviews to ensure service providers’ compliance.</w:t>
            </w:r>
          </w:p>
          <w:p>
            <w:pPr>
              <w:pStyle w:val="TableParagraph"/>
              <w:spacing w:before="11"/>
              <w:rPr>
                <w:b/>
                <w:sz w:val="21"/>
              </w:rPr>
            </w:pPr>
          </w:p>
          <w:p>
            <w:pPr>
              <w:pStyle w:val="TableParagraph"/>
              <w:ind w:left="108" w:right="319"/>
              <w:jc w:val="both"/>
              <w:rPr>
                <w:sz w:val="22"/>
              </w:rPr>
            </w:pPr>
            <w:r>
              <w:rPr>
                <w:sz w:val="22"/>
              </w:rPr>
              <w:t>The DDA Residential Quality Assurance Unit is monitoring to </w:t>
            </w:r>
            <w:hyperlink r:id="rId28">
              <w:r>
                <w:rPr>
                  <w:color w:val="6B9F24"/>
                  <w:sz w:val="22"/>
                  <w:u w:val="single" w:color="6B9F24"/>
                </w:rPr>
                <w:t>WAC 388-101D-0140.</w:t>
              </w:r>
            </w:hyperlink>
          </w:p>
          <w:p>
            <w:pPr>
              <w:pStyle w:val="TableParagraph"/>
              <w:spacing w:before="11"/>
              <w:rPr>
                <w:b/>
                <w:sz w:val="21"/>
              </w:rPr>
            </w:pPr>
          </w:p>
          <w:p>
            <w:pPr>
              <w:pStyle w:val="TableParagraph"/>
              <w:ind w:left="108" w:right="164"/>
              <w:rPr>
                <w:sz w:val="22"/>
              </w:rPr>
            </w:pPr>
            <w:r>
              <w:rPr>
                <w:sz w:val="22"/>
              </w:rPr>
              <w:t>On-site inspections ensure homes meet all licensing and certification requirements in WAC and RCW, including WAC</w:t>
            </w:r>
          </w:p>
          <w:p>
            <w:pPr>
              <w:pStyle w:val="TableParagraph"/>
              <w:spacing w:line="249" w:lineRule="exact" w:before="1"/>
              <w:ind w:left="108"/>
              <w:rPr>
                <w:sz w:val="22"/>
              </w:rPr>
            </w:pPr>
            <w:r>
              <w:rPr>
                <w:sz w:val="22"/>
              </w:rPr>
              <w:t>388-823-1095.</w:t>
            </w:r>
          </w:p>
        </w:tc>
        <w:tc>
          <w:tcPr>
            <w:tcW w:w="2520" w:type="dxa"/>
            <w:tcBorders>
              <w:top w:val="single" w:sz="18" w:space="0" w:color="4E8542"/>
            </w:tcBorders>
          </w:tcPr>
          <w:p>
            <w:pPr>
              <w:pStyle w:val="TableParagraph"/>
              <w:spacing w:line="245" w:lineRule="exact"/>
              <w:ind w:left="108"/>
              <w:rPr>
                <w:sz w:val="22"/>
              </w:rPr>
            </w:pPr>
            <w:r>
              <w:rPr>
                <w:sz w:val="22"/>
              </w:rPr>
              <w:t>the contracts requiring</w:t>
            </w:r>
          </w:p>
          <w:p>
            <w:pPr>
              <w:pStyle w:val="TableParagraph"/>
              <w:spacing w:line="237" w:lineRule="auto" w:before="2"/>
              <w:ind w:left="108" w:right="288"/>
              <w:rPr>
                <w:sz w:val="22"/>
              </w:rPr>
            </w:pPr>
            <w:r>
              <w:rPr>
                <w:sz w:val="22"/>
              </w:rPr>
              <w:t>adherence to the WAC. See </w:t>
            </w:r>
            <w:r>
              <w:rPr>
                <w:color w:val="6B9F24"/>
                <w:sz w:val="22"/>
                <w:u w:val="single" w:color="6B9F24"/>
              </w:rPr>
              <w:t>Appendix C.</w:t>
            </w:r>
          </w:p>
          <w:p>
            <w:pPr>
              <w:pStyle w:val="TableParagraph"/>
              <w:spacing w:before="1"/>
              <w:rPr>
                <w:b/>
                <w:sz w:val="22"/>
              </w:rPr>
            </w:pPr>
          </w:p>
          <w:p>
            <w:pPr>
              <w:pStyle w:val="TableParagraph"/>
              <w:spacing w:before="1"/>
              <w:ind w:left="108" w:right="102"/>
              <w:rPr>
                <w:sz w:val="22"/>
              </w:rPr>
            </w:pPr>
            <w:r>
              <w:rPr>
                <w:sz w:val="22"/>
              </w:rPr>
              <w:t>Supported Living contracts are being also being modified to include language that providers will assist participants to select housing with private bedrooms or the bedroom configuration of the participant’s choice</w:t>
            </w:r>
          </w:p>
        </w:tc>
      </w:tr>
      <w:tr>
        <w:trPr>
          <w:trHeight w:val="3759" w:hRule="atLeast"/>
        </w:trPr>
        <w:tc>
          <w:tcPr>
            <w:tcW w:w="3439" w:type="dxa"/>
            <w:shd w:val="clear" w:color="auto" w:fill="D0E4CA"/>
          </w:tcPr>
          <w:p>
            <w:pPr>
              <w:pStyle w:val="TableParagraph"/>
              <w:ind w:left="107" w:right="96"/>
              <w:rPr>
                <w:b/>
                <w:sz w:val="22"/>
              </w:rPr>
            </w:pPr>
            <w:r>
              <w:rPr>
                <w:b/>
                <w:sz w:val="22"/>
              </w:rPr>
              <w:t>Individuals have the freedom to furnish and decorate their sleeping or living units</w:t>
            </w:r>
          </w:p>
        </w:tc>
        <w:tc>
          <w:tcPr>
            <w:tcW w:w="3420" w:type="dxa"/>
            <w:shd w:val="clear" w:color="auto" w:fill="D0E4CA"/>
          </w:tcPr>
          <w:p>
            <w:pPr>
              <w:pStyle w:val="TableParagraph"/>
              <w:ind w:left="107" w:right="256"/>
              <w:rPr>
                <w:sz w:val="22"/>
              </w:rPr>
            </w:pPr>
            <w:hyperlink r:id="rId23">
              <w:r>
                <w:rPr>
                  <w:color w:val="6B9F24"/>
                  <w:sz w:val="22"/>
                  <w:u w:val="single" w:color="6B9F24"/>
                </w:rPr>
                <w:t>WAC 388-823-1095</w:t>
              </w:r>
              <w:r>
                <w:rPr>
                  <w:color w:val="6B9F24"/>
                  <w:sz w:val="22"/>
                </w:rPr>
                <w:t> </w:t>
              </w:r>
            </w:hyperlink>
            <w:r>
              <w:rPr>
                <w:sz w:val="22"/>
              </w:rPr>
              <w:t>my rights as a DDA client.</w:t>
            </w:r>
          </w:p>
          <w:p>
            <w:pPr>
              <w:pStyle w:val="TableParagraph"/>
              <w:spacing w:before="11"/>
              <w:rPr>
                <w:b/>
                <w:sz w:val="21"/>
              </w:rPr>
            </w:pPr>
          </w:p>
          <w:p>
            <w:pPr>
              <w:pStyle w:val="TableParagraph"/>
              <w:spacing w:before="1"/>
              <w:ind w:left="107" w:right="507"/>
              <w:rPr>
                <w:sz w:val="22"/>
              </w:rPr>
            </w:pPr>
            <w:r>
              <w:rPr>
                <w:sz w:val="22"/>
              </w:rPr>
              <w:t>Protection of rights is enforced through </w:t>
            </w:r>
            <w:hyperlink r:id="rId24">
              <w:r>
                <w:rPr>
                  <w:color w:val="6B9F24"/>
                  <w:sz w:val="22"/>
                  <w:u w:val="single" w:color="6B9F24"/>
                </w:rPr>
                <w:t>WAC 388-101D-0125</w:t>
              </w:r>
            </w:hyperlink>
            <w:r>
              <w:rPr>
                <w:color w:val="6B9F24"/>
                <w:sz w:val="22"/>
              </w:rPr>
              <w:t> </w:t>
            </w:r>
            <w:r>
              <w:rPr>
                <w:sz w:val="22"/>
              </w:rPr>
              <w:t>through </w:t>
            </w:r>
            <w:hyperlink r:id="rId31">
              <w:r>
                <w:rPr>
                  <w:color w:val="6B9F24"/>
                  <w:sz w:val="22"/>
                  <w:u w:val="single" w:color="6B9F24"/>
                </w:rPr>
                <w:t>WAC 388-101D-0145</w:t>
              </w:r>
            </w:hyperlink>
            <w:r>
              <w:rPr>
                <w:sz w:val="22"/>
              </w:rPr>
              <w:t>. Chapter </w:t>
            </w:r>
            <w:hyperlink r:id="rId27">
              <w:r>
                <w:rPr>
                  <w:color w:val="6B9F24"/>
                  <w:sz w:val="22"/>
                  <w:u w:val="single" w:color="6B9F24"/>
                </w:rPr>
                <w:t>WAC</w:t>
              </w:r>
              <w:r>
                <w:rPr>
                  <w:color w:val="6B9F24"/>
                  <w:spacing w:val="-6"/>
                  <w:sz w:val="22"/>
                  <w:u w:val="single" w:color="6B9F24"/>
                </w:rPr>
                <w:t> </w:t>
              </w:r>
              <w:r>
                <w:rPr>
                  <w:color w:val="6B9F24"/>
                  <w:sz w:val="22"/>
                  <w:u w:val="single" w:color="6B9F24"/>
                </w:rPr>
                <w:t>388-101D-0140</w:t>
              </w:r>
            </w:hyperlink>
          </w:p>
          <w:p>
            <w:pPr>
              <w:pStyle w:val="TableParagraph"/>
              <w:spacing w:before="1"/>
              <w:ind w:left="107" w:right="295"/>
              <w:rPr>
                <w:sz w:val="22"/>
              </w:rPr>
            </w:pPr>
            <w:r>
              <w:rPr>
                <w:sz w:val="22"/>
              </w:rPr>
              <w:t>requires that the service provider must adhere to individual goals identified in the participant’s person-centered service</w:t>
            </w:r>
            <w:r>
              <w:rPr>
                <w:spacing w:val="-7"/>
                <w:sz w:val="22"/>
              </w:rPr>
              <w:t> </w:t>
            </w:r>
            <w:r>
              <w:rPr>
                <w:sz w:val="22"/>
              </w:rPr>
              <w:t>plan.</w:t>
            </w:r>
          </w:p>
          <w:p>
            <w:pPr>
              <w:pStyle w:val="TableParagraph"/>
              <w:spacing w:before="9"/>
              <w:rPr>
                <w:b/>
                <w:sz w:val="21"/>
              </w:rPr>
            </w:pPr>
          </w:p>
          <w:p>
            <w:pPr>
              <w:pStyle w:val="TableParagraph"/>
              <w:spacing w:line="270" w:lineRule="atLeast"/>
              <w:ind w:left="107" w:right="302"/>
              <w:rPr>
                <w:sz w:val="22"/>
              </w:rPr>
            </w:pPr>
            <w:r>
              <w:rPr>
                <w:sz w:val="22"/>
              </w:rPr>
              <w:t>Residential Guidelines and CCRSS provider contracts inform</w:t>
            </w:r>
            <w:r>
              <w:rPr>
                <w:spacing w:val="-6"/>
                <w:sz w:val="22"/>
              </w:rPr>
              <w:t> </w:t>
            </w:r>
            <w:r>
              <w:rPr>
                <w:sz w:val="22"/>
              </w:rPr>
              <w:t>and</w:t>
            </w:r>
          </w:p>
        </w:tc>
        <w:tc>
          <w:tcPr>
            <w:tcW w:w="1382" w:type="dxa"/>
            <w:shd w:val="clear" w:color="auto" w:fill="D0E4CA"/>
          </w:tcPr>
          <w:p>
            <w:pPr>
              <w:pStyle w:val="TableParagraph"/>
              <w:ind w:left="107" w:right="314"/>
              <w:rPr>
                <w:sz w:val="22"/>
              </w:rPr>
            </w:pPr>
            <w:r>
              <w:rPr>
                <w:sz w:val="22"/>
              </w:rPr>
              <w:t>Partially Compliant</w:t>
            </w:r>
          </w:p>
        </w:tc>
        <w:tc>
          <w:tcPr>
            <w:tcW w:w="3026" w:type="dxa"/>
            <w:shd w:val="clear" w:color="auto" w:fill="D0E4CA"/>
          </w:tcPr>
          <w:p>
            <w:pPr>
              <w:pStyle w:val="TableParagraph"/>
              <w:ind w:left="108" w:right="150"/>
              <w:rPr>
                <w:sz w:val="22"/>
              </w:rPr>
            </w:pPr>
            <w:r>
              <w:rPr>
                <w:sz w:val="22"/>
              </w:rPr>
              <w:t>As part of the certification and RCS complaint investigation process described in the overview, RCS Contracted Evaluators and RCS Investigators conduct client observations, client and collateral interviews, service provider and staff interviews, and client record reviews to ensure service providers’ compliance.</w:t>
            </w:r>
          </w:p>
        </w:tc>
        <w:tc>
          <w:tcPr>
            <w:tcW w:w="2520" w:type="dxa"/>
            <w:shd w:val="clear" w:color="auto" w:fill="D0E4CA"/>
          </w:tcPr>
          <w:p>
            <w:pPr>
              <w:pStyle w:val="TableParagraph"/>
              <w:ind w:left="108" w:right="174"/>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rPr>
          <w:b/>
          <w:sz w:val="16"/>
        </w:rPr>
      </w:pPr>
      <w:r>
        <w:rPr/>
        <w:pict>
          <v:shape style="position:absolute;margin-left:70.559998pt;margin-top:11.9995pt;width:650.9pt;height:.1pt;mso-position-horizontal-relative:page;mso-position-vertical-relative:paragraph;z-index:-251630592;mso-wrap-distance-left:0;mso-wrap-distance-right:0" coordorigin="1411,240" coordsize="13018,0" path="m1411,240l14429,240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9"/>
        <w:gridCol w:w="3420"/>
        <w:gridCol w:w="1382"/>
        <w:gridCol w:w="3026"/>
        <w:gridCol w:w="2520"/>
      </w:tblGrid>
      <w:tr>
        <w:trPr>
          <w:trHeight w:val="584" w:hRule="atLeast"/>
        </w:trPr>
        <w:tc>
          <w:tcPr>
            <w:tcW w:w="3439" w:type="dxa"/>
            <w:tcBorders>
              <w:bottom w:val="single" w:sz="18" w:space="0" w:color="4E8542"/>
            </w:tcBorders>
          </w:tcPr>
          <w:p>
            <w:pPr>
              <w:pStyle w:val="TableParagraph"/>
              <w:spacing w:line="292" w:lineRule="exact"/>
              <w:ind w:left="234"/>
              <w:rPr>
                <w:b/>
                <w:sz w:val="24"/>
              </w:rPr>
            </w:pPr>
            <w:r>
              <w:rPr>
                <w:b/>
                <w:sz w:val="24"/>
              </w:rPr>
              <w:t>Characteristics/Requirements</w:t>
            </w:r>
          </w:p>
        </w:tc>
        <w:tc>
          <w:tcPr>
            <w:tcW w:w="3420" w:type="dxa"/>
            <w:tcBorders>
              <w:bottom w:val="single" w:sz="18" w:space="0" w:color="4E8542"/>
            </w:tcBorders>
          </w:tcPr>
          <w:p>
            <w:pPr>
              <w:pStyle w:val="TableParagraph"/>
              <w:spacing w:line="292" w:lineRule="exact"/>
              <w:ind w:left="871"/>
              <w:rPr>
                <w:b/>
                <w:sz w:val="24"/>
              </w:rPr>
            </w:pPr>
            <w:r>
              <w:rPr>
                <w:b/>
                <w:sz w:val="24"/>
              </w:rPr>
              <w:t>Supported</w:t>
            </w:r>
            <w:r>
              <w:rPr>
                <w:b/>
                <w:spacing w:val="-6"/>
                <w:sz w:val="24"/>
              </w:rPr>
              <w:t> </w:t>
            </w:r>
            <w:r>
              <w:rPr>
                <w:b/>
                <w:sz w:val="24"/>
              </w:rPr>
              <w:t>Living</w:t>
            </w:r>
          </w:p>
          <w:p>
            <w:pPr>
              <w:pStyle w:val="TableParagraph"/>
              <w:spacing w:line="272" w:lineRule="exact"/>
              <w:ind w:left="895"/>
              <w:rPr>
                <w:b/>
                <w:sz w:val="24"/>
              </w:rPr>
            </w:pPr>
            <w:r>
              <w:rPr>
                <w:b/>
                <w:sz w:val="24"/>
              </w:rPr>
              <w:t>State</w:t>
            </w:r>
            <w:r>
              <w:rPr>
                <w:b/>
                <w:spacing w:val="-3"/>
                <w:sz w:val="24"/>
              </w:rPr>
              <w:t> </w:t>
            </w:r>
            <w:r>
              <w:rPr>
                <w:b/>
                <w:sz w:val="24"/>
              </w:rPr>
              <w:t>Evaluation</w:t>
            </w:r>
          </w:p>
        </w:tc>
        <w:tc>
          <w:tcPr>
            <w:tcW w:w="1382" w:type="dxa"/>
            <w:tcBorders>
              <w:bottom w:val="single" w:sz="18" w:space="0" w:color="4E8542"/>
            </w:tcBorders>
          </w:tcPr>
          <w:p>
            <w:pPr>
              <w:pStyle w:val="TableParagraph"/>
              <w:spacing w:line="292" w:lineRule="exact"/>
              <w:ind w:left="89" w:right="66"/>
              <w:jc w:val="center"/>
              <w:rPr>
                <w:b/>
                <w:sz w:val="24"/>
              </w:rPr>
            </w:pPr>
            <w:r>
              <w:rPr>
                <w:b/>
                <w:sz w:val="24"/>
              </w:rPr>
              <w:t>Compliance</w:t>
            </w:r>
          </w:p>
          <w:p>
            <w:pPr>
              <w:pStyle w:val="TableParagraph"/>
              <w:spacing w:line="272" w:lineRule="exact"/>
              <w:ind w:left="84" w:right="66"/>
              <w:jc w:val="center"/>
              <w:rPr>
                <w:b/>
                <w:sz w:val="24"/>
              </w:rPr>
            </w:pPr>
            <w:r>
              <w:rPr>
                <w:b/>
                <w:sz w:val="24"/>
              </w:rPr>
              <w:t>Level</w:t>
            </w:r>
          </w:p>
        </w:tc>
        <w:tc>
          <w:tcPr>
            <w:tcW w:w="3026" w:type="dxa"/>
            <w:tcBorders>
              <w:bottom w:val="single" w:sz="18" w:space="0" w:color="4E8542"/>
            </w:tcBorders>
          </w:tcPr>
          <w:p>
            <w:pPr>
              <w:pStyle w:val="TableParagraph"/>
              <w:spacing w:line="292" w:lineRule="exact"/>
              <w:ind w:left="626"/>
              <w:rPr>
                <w:b/>
                <w:sz w:val="24"/>
              </w:rPr>
            </w:pPr>
            <w:r>
              <w:rPr>
                <w:b/>
                <w:sz w:val="24"/>
              </w:rPr>
              <w:t>Oversight Process</w:t>
            </w:r>
          </w:p>
        </w:tc>
        <w:tc>
          <w:tcPr>
            <w:tcW w:w="2520" w:type="dxa"/>
            <w:tcBorders>
              <w:bottom w:val="single" w:sz="18" w:space="0" w:color="4E8542"/>
            </w:tcBorders>
          </w:tcPr>
          <w:p>
            <w:pPr>
              <w:pStyle w:val="TableParagraph"/>
              <w:spacing w:line="292" w:lineRule="exact"/>
              <w:ind w:left="619"/>
              <w:rPr>
                <w:b/>
                <w:sz w:val="24"/>
              </w:rPr>
            </w:pPr>
            <w:r>
              <w:rPr>
                <w:b/>
                <w:sz w:val="24"/>
              </w:rPr>
              <w:t>Remediation</w:t>
            </w:r>
          </w:p>
        </w:tc>
      </w:tr>
      <w:tr>
        <w:trPr>
          <w:trHeight w:val="2393" w:hRule="atLeast"/>
        </w:trPr>
        <w:tc>
          <w:tcPr>
            <w:tcW w:w="3439" w:type="dxa"/>
            <w:tcBorders>
              <w:top w:val="single" w:sz="18" w:space="0" w:color="4E8542"/>
            </w:tcBorders>
            <w:shd w:val="clear" w:color="auto" w:fill="D0E4CA"/>
          </w:tcPr>
          <w:p>
            <w:pPr>
              <w:pStyle w:val="TableParagraph"/>
              <w:rPr>
                <w:rFonts w:ascii="Times New Roman"/>
                <w:sz w:val="22"/>
              </w:rPr>
            </w:pPr>
          </w:p>
        </w:tc>
        <w:tc>
          <w:tcPr>
            <w:tcW w:w="3420" w:type="dxa"/>
            <w:tcBorders>
              <w:top w:val="single" w:sz="18" w:space="0" w:color="4E8542"/>
            </w:tcBorders>
            <w:shd w:val="clear" w:color="auto" w:fill="D0E4CA"/>
          </w:tcPr>
          <w:p>
            <w:pPr>
              <w:pStyle w:val="TableParagraph"/>
              <w:spacing w:line="245" w:lineRule="exact"/>
              <w:ind w:left="107"/>
              <w:rPr>
                <w:sz w:val="22"/>
              </w:rPr>
            </w:pPr>
            <w:r>
              <w:rPr>
                <w:sz w:val="22"/>
              </w:rPr>
              <w:t>guide the provision of CCRSS</w:t>
            </w:r>
          </w:p>
          <w:p>
            <w:pPr>
              <w:pStyle w:val="TableParagraph"/>
              <w:ind w:left="107"/>
              <w:rPr>
                <w:sz w:val="22"/>
              </w:rPr>
            </w:pPr>
            <w:r>
              <w:rPr>
                <w:sz w:val="22"/>
              </w:rPr>
              <w:t>services.</w:t>
            </w:r>
          </w:p>
        </w:tc>
        <w:tc>
          <w:tcPr>
            <w:tcW w:w="1382" w:type="dxa"/>
            <w:tcBorders>
              <w:top w:val="single" w:sz="18" w:space="0" w:color="4E8542"/>
            </w:tcBorders>
            <w:shd w:val="clear" w:color="auto" w:fill="D0E4CA"/>
          </w:tcPr>
          <w:p>
            <w:pPr>
              <w:pStyle w:val="TableParagraph"/>
              <w:rPr>
                <w:rFonts w:ascii="Times New Roman"/>
                <w:sz w:val="22"/>
              </w:rPr>
            </w:pPr>
          </w:p>
        </w:tc>
        <w:tc>
          <w:tcPr>
            <w:tcW w:w="3026" w:type="dxa"/>
            <w:tcBorders>
              <w:top w:val="single" w:sz="18" w:space="0" w:color="4E8542"/>
            </w:tcBorders>
            <w:shd w:val="clear" w:color="auto" w:fill="D0E4CA"/>
          </w:tcPr>
          <w:p>
            <w:pPr>
              <w:pStyle w:val="TableParagraph"/>
              <w:spacing w:line="245" w:lineRule="exact"/>
              <w:ind w:left="108"/>
              <w:rPr>
                <w:sz w:val="22"/>
              </w:rPr>
            </w:pPr>
            <w:r>
              <w:rPr>
                <w:sz w:val="22"/>
              </w:rPr>
              <w:t>The DDA Residential Quality</w:t>
            </w:r>
          </w:p>
          <w:p>
            <w:pPr>
              <w:pStyle w:val="TableParagraph"/>
              <w:spacing w:line="237" w:lineRule="auto" w:before="2"/>
              <w:ind w:left="108" w:right="302"/>
              <w:rPr>
                <w:sz w:val="22"/>
              </w:rPr>
            </w:pPr>
            <w:r>
              <w:rPr>
                <w:sz w:val="22"/>
              </w:rPr>
              <w:t>Assurance Unit is monitoring to </w:t>
            </w:r>
            <w:hyperlink r:id="rId30">
              <w:r>
                <w:rPr>
                  <w:color w:val="6B9F24"/>
                  <w:sz w:val="22"/>
                  <w:u w:val="single" w:color="6B9F24"/>
                </w:rPr>
                <w:t>WAC 388-101D-0140.</w:t>
              </w:r>
            </w:hyperlink>
          </w:p>
          <w:p>
            <w:pPr>
              <w:pStyle w:val="TableParagraph"/>
              <w:rPr>
                <w:b/>
                <w:sz w:val="22"/>
              </w:rPr>
            </w:pPr>
          </w:p>
          <w:p>
            <w:pPr>
              <w:pStyle w:val="TableParagraph"/>
              <w:spacing w:line="270" w:lineRule="atLeast"/>
              <w:ind w:left="108" w:right="181"/>
              <w:rPr>
                <w:sz w:val="22"/>
              </w:rPr>
            </w:pPr>
            <w:r>
              <w:rPr>
                <w:sz w:val="22"/>
              </w:rPr>
              <w:t>On-site inspections ensure homes meet all licensing and certification requirements in WAC and RCW, including WAC 388-823-1095.</w:t>
            </w:r>
          </w:p>
        </w:tc>
        <w:tc>
          <w:tcPr>
            <w:tcW w:w="2520" w:type="dxa"/>
            <w:tcBorders>
              <w:top w:val="single" w:sz="18" w:space="0" w:color="4E8542"/>
            </w:tcBorders>
            <w:shd w:val="clear" w:color="auto" w:fill="D0E4CA"/>
          </w:tcPr>
          <w:p>
            <w:pPr>
              <w:pStyle w:val="TableParagraph"/>
              <w:rPr>
                <w:rFonts w:ascii="Times New Roman"/>
                <w:sz w:val="22"/>
              </w:rPr>
            </w:pPr>
          </w:p>
        </w:tc>
      </w:tr>
      <w:tr>
        <w:trPr>
          <w:trHeight w:val="5903" w:hRule="atLeast"/>
        </w:trPr>
        <w:tc>
          <w:tcPr>
            <w:tcW w:w="3439" w:type="dxa"/>
          </w:tcPr>
          <w:p>
            <w:pPr>
              <w:pStyle w:val="TableParagraph"/>
              <w:ind w:left="107" w:right="190"/>
              <w:rPr>
                <w:b/>
                <w:sz w:val="22"/>
              </w:rPr>
            </w:pPr>
            <w:r>
              <w:rPr>
                <w:b/>
                <w:sz w:val="22"/>
              </w:rPr>
              <w:t>Individuals have the freedom and support to control their own schedules and activities, and have access to food at any time</w:t>
            </w:r>
          </w:p>
        </w:tc>
        <w:tc>
          <w:tcPr>
            <w:tcW w:w="3420" w:type="dxa"/>
          </w:tcPr>
          <w:p>
            <w:pPr>
              <w:pStyle w:val="TableParagraph"/>
              <w:ind w:left="107" w:right="256"/>
              <w:rPr>
                <w:sz w:val="22"/>
              </w:rPr>
            </w:pPr>
            <w:hyperlink r:id="rId23">
              <w:r>
                <w:rPr>
                  <w:color w:val="6B9F24"/>
                  <w:sz w:val="22"/>
                  <w:u w:val="single" w:color="6B9F24"/>
                </w:rPr>
                <w:t>WAC 388-823-1095</w:t>
              </w:r>
              <w:r>
                <w:rPr>
                  <w:color w:val="6B9F24"/>
                  <w:sz w:val="22"/>
                </w:rPr>
                <w:t> </w:t>
              </w:r>
            </w:hyperlink>
            <w:r>
              <w:rPr>
                <w:sz w:val="22"/>
              </w:rPr>
              <w:t>my rights as a DDA client.</w:t>
            </w:r>
          </w:p>
          <w:p>
            <w:pPr>
              <w:pStyle w:val="TableParagraph"/>
              <w:spacing w:before="8"/>
              <w:rPr>
                <w:b/>
                <w:sz w:val="21"/>
              </w:rPr>
            </w:pPr>
          </w:p>
          <w:p>
            <w:pPr>
              <w:pStyle w:val="TableParagraph"/>
              <w:ind w:left="107" w:right="507"/>
              <w:rPr>
                <w:sz w:val="22"/>
              </w:rPr>
            </w:pPr>
            <w:r>
              <w:rPr>
                <w:sz w:val="22"/>
              </w:rPr>
              <w:t>Protection of rights is enforced through </w:t>
            </w:r>
            <w:hyperlink r:id="rId25">
              <w:r>
                <w:rPr>
                  <w:color w:val="6B9F24"/>
                  <w:sz w:val="22"/>
                  <w:u w:val="single" w:color="6B9F24"/>
                </w:rPr>
                <w:t>WAC 388-101D-0125</w:t>
              </w:r>
            </w:hyperlink>
            <w:r>
              <w:rPr>
                <w:color w:val="6B9F24"/>
                <w:sz w:val="22"/>
              </w:rPr>
              <w:t> </w:t>
            </w:r>
            <w:r>
              <w:rPr>
                <w:sz w:val="22"/>
              </w:rPr>
              <w:t>through </w:t>
            </w:r>
            <w:hyperlink r:id="rId29">
              <w:r>
                <w:rPr>
                  <w:color w:val="6B9F24"/>
                  <w:sz w:val="22"/>
                  <w:u w:val="single" w:color="6B9F24"/>
                </w:rPr>
                <w:t>WAC 388-101D-0145</w:t>
              </w:r>
            </w:hyperlink>
            <w:r>
              <w:rPr>
                <w:sz w:val="22"/>
              </w:rPr>
              <w:t>.</w:t>
            </w:r>
          </w:p>
          <w:p>
            <w:pPr>
              <w:pStyle w:val="TableParagraph"/>
              <w:spacing w:before="1"/>
              <w:ind w:left="107" w:right="181"/>
              <w:rPr>
                <w:sz w:val="22"/>
              </w:rPr>
            </w:pPr>
            <w:hyperlink r:id="rId28">
              <w:r>
                <w:rPr>
                  <w:color w:val="6B9F24"/>
                  <w:sz w:val="22"/>
                  <w:u w:val="single" w:color="6B9F24"/>
                </w:rPr>
                <w:t>WAC 388-101D-0140</w:t>
              </w:r>
              <w:r>
                <w:rPr>
                  <w:color w:val="6B9F24"/>
                  <w:sz w:val="22"/>
                </w:rPr>
                <w:t> </w:t>
              </w:r>
            </w:hyperlink>
            <w:r>
              <w:rPr>
                <w:sz w:val="22"/>
              </w:rPr>
              <w:t>requires that the service provider must adhere to individual goals identified in the participant’s person-centered service plan.</w:t>
            </w:r>
          </w:p>
          <w:p>
            <w:pPr>
              <w:pStyle w:val="TableParagraph"/>
              <w:spacing w:before="11"/>
              <w:rPr>
                <w:b/>
                <w:sz w:val="21"/>
              </w:rPr>
            </w:pPr>
          </w:p>
          <w:p>
            <w:pPr>
              <w:pStyle w:val="TableParagraph"/>
              <w:ind w:left="107" w:right="302"/>
              <w:rPr>
                <w:sz w:val="22"/>
              </w:rPr>
            </w:pPr>
            <w:r>
              <w:rPr>
                <w:sz w:val="22"/>
              </w:rPr>
              <w:t>Residential Guidelines and CCRSS provider contracts inform and guide the provision of CCRSS services.</w:t>
            </w:r>
          </w:p>
        </w:tc>
        <w:tc>
          <w:tcPr>
            <w:tcW w:w="1382" w:type="dxa"/>
          </w:tcPr>
          <w:p>
            <w:pPr>
              <w:pStyle w:val="TableParagraph"/>
              <w:ind w:left="107" w:right="314"/>
              <w:rPr>
                <w:sz w:val="22"/>
              </w:rPr>
            </w:pPr>
            <w:r>
              <w:rPr>
                <w:sz w:val="22"/>
              </w:rPr>
              <w:t>Partially Compliant</w:t>
            </w:r>
          </w:p>
        </w:tc>
        <w:tc>
          <w:tcPr>
            <w:tcW w:w="3026" w:type="dxa"/>
          </w:tcPr>
          <w:p>
            <w:pPr>
              <w:pStyle w:val="TableParagraph"/>
              <w:ind w:left="108" w:right="150"/>
              <w:rPr>
                <w:sz w:val="22"/>
              </w:rPr>
            </w:pPr>
            <w:r>
              <w:rPr>
                <w:sz w:val="22"/>
              </w:rPr>
              <w:t>As part of the certification and RCS complaint investigation process described in the overview, RCS Contracted Evaluators and RCS Investigators conduct client observations, client and collateral interviews, service provider and staff interviews and client record reviews to ensure service providers’ compliance.</w:t>
            </w:r>
          </w:p>
          <w:p>
            <w:pPr>
              <w:pStyle w:val="TableParagraph"/>
              <w:spacing w:before="8"/>
              <w:rPr>
                <w:b/>
                <w:sz w:val="21"/>
              </w:rPr>
            </w:pPr>
          </w:p>
          <w:p>
            <w:pPr>
              <w:pStyle w:val="TableParagraph"/>
              <w:ind w:left="108" w:right="319"/>
              <w:jc w:val="both"/>
              <w:rPr>
                <w:sz w:val="22"/>
              </w:rPr>
            </w:pPr>
            <w:r>
              <w:rPr>
                <w:sz w:val="22"/>
              </w:rPr>
              <w:t>The DDA Residential Quality Assurance Unit is monitoring to </w:t>
            </w:r>
            <w:hyperlink r:id="rId28">
              <w:r>
                <w:rPr>
                  <w:color w:val="6B9F24"/>
                  <w:sz w:val="22"/>
                  <w:u w:val="single" w:color="6B9F24"/>
                </w:rPr>
                <w:t>WAC 388-101D-0140.</w:t>
              </w:r>
            </w:hyperlink>
          </w:p>
          <w:p>
            <w:pPr>
              <w:pStyle w:val="TableParagraph"/>
              <w:spacing w:before="10"/>
              <w:rPr>
                <w:b/>
                <w:sz w:val="21"/>
              </w:rPr>
            </w:pPr>
          </w:p>
          <w:p>
            <w:pPr>
              <w:pStyle w:val="TableParagraph"/>
              <w:spacing w:before="1"/>
              <w:ind w:left="108" w:right="164"/>
              <w:rPr>
                <w:sz w:val="22"/>
              </w:rPr>
            </w:pPr>
            <w:r>
              <w:rPr>
                <w:sz w:val="22"/>
              </w:rPr>
              <w:t>On-site inspections ensure homes meet all licensing and certification requirements in WAC and RCW, including WAC</w:t>
            </w:r>
          </w:p>
          <w:p>
            <w:pPr>
              <w:pStyle w:val="TableParagraph"/>
              <w:spacing w:line="249" w:lineRule="exact" w:before="1"/>
              <w:ind w:left="108"/>
              <w:rPr>
                <w:sz w:val="22"/>
              </w:rPr>
            </w:pPr>
            <w:r>
              <w:rPr>
                <w:sz w:val="22"/>
              </w:rPr>
              <w:t>388-823-1095.</w:t>
            </w:r>
          </w:p>
        </w:tc>
        <w:tc>
          <w:tcPr>
            <w:tcW w:w="2520" w:type="dxa"/>
          </w:tcPr>
          <w:p>
            <w:pPr>
              <w:pStyle w:val="TableParagraph"/>
              <w:ind w:left="108" w:right="174"/>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rPr>
          <w:b/>
          <w:sz w:val="16"/>
        </w:rPr>
      </w:pPr>
      <w:r>
        <w:rPr/>
        <w:pict>
          <v:shape style="position:absolute;margin-left:70.559998pt;margin-top:11.9995pt;width:650.9pt;height:.1pt;mso-position-horizontal-relative:page;mso-position-vertical-relative:paragraph;z-index:-251629568;mso-wrap-distance-left:0;mso-wrap-distance-right:0" coordorigin="1411,240" coordsize="13018,0" path="m1411,240l14429,240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9"/>
        <w:gridCol w:w="3420"/>
        <w:gridCol w:w="1382"/>
        <w:gridCol w:w="3026"/>
        <w:gridCol w:w="2520"/>
      </w:tblGrid>
      <w:tr>
        <w:trPr>
          <w:trHeight w:val="584" w:hRule="atLeast"/>
        </w:trPr>
        <w:tc>
          <w:tcPr>
            <w:tcW w:w="3439" w:type="dxa"/>
            <w:tcBorders>
              <w:bottom w:val="single" w:sz="18" w:space="0" w:color="4E8542"/>
            </w:tcBorders>
          </w:tcPr>
          <w:p>
            <w:pPr>
              <w:pStyle w:val="TableParagraph"/>
              <w:spacing w:line="292" w:lineRule="exact"/>
              <w:ind w:left="234"/>
              <w:rPr>
                <w:b/>
                <w:sz w:val="24"/>
              </w:rPr>
            </w:pPr>
            <w:r>
              <w:rPr>
                <w:b/>
                <w:sz w:val="24"/>
              </w:rPr>
              <w:t>Characteristics/Requirements</w:t>
            </w:r>
          </w:p>
        </w:tc>
        <w:tc>
          <w:tcPr>
            <w:tcW w:w="3420" w:type="dxa"/>
            <w:tcBorders>
              <w:bottom w:val="single" w:sz="18" w:space="0" w:color="4E8542"/>
            </w:tcBorders>
          </w:tcPr>
          <w:p>
            <w:pPr>
              <w:pStyle w:val="TableParagraph"/>
              <w:spacing w:line="292" w:lineRule="exact"/>
              <w:ind w:left="871"/>
              <w:rPr>
                <w:b/>
                <w:sz w:val="24"/>
              </w:rPr>
            </w:pPr>
            <w:r>
              <w:rPr>
                <w:b/>
                <w:sz w:val="24"/>
              </w:rPr>
              <w:t>Supported</w:t>
            </w:r>
            <w:r>
              <w:rPr>
                <w:b/>
                <w:spacing w:val="-6"/>
                <w:sz w:val="24"/>
              </w:rPr>
              <w:t> </w:t>
            </w:r>
            <w:r>
              <w:rPr>
                <w:b/>
                <w:sz w:val="24"/>
              </w:rPr>
              <w:t>Living</w:t>
            </w:r>
          </w:p>
          <w:p>
            <w:pPr>
              <w:pStyle w:val="TableParagraph"/>
              <w:spacing w:line="272" w:lineRule="exact"/>
              <w:ind w:left="895"/>
              <w:rPr>
                <w:b/>
                <w:sz w:val="24"/>
              </w:rPr>
            </w:pPr>
            <w:r>
              <w:rPr>
                <w:b/>
                <w:sz w:val="24"/>
              </w:rPr>
              <w:t>State</w:t>
            </w:r>
            <w:r>
              <w:rPr>
                <w:b/>
                <w:spacing w:val="-3"/>
                <w:sz w:val="24"/>
              </w:rPr>
              <w:t> </w:t>
            </w:r>
            <w:r>
              <w:rPr>
                <w:b/>
                <w:sz w:val="24"/>
              </w:rPr>
              <w:t>Evaluation</w:t>
            </w:r>
          </w:p>
        </w:tc>
        <w:tc>
          <w:tcPr>
            <w:tcW w:w="1382" w:type="dxa"/>
            <w:tcBorders>
              <w:bottom w:val="single" w:sz="18" w:space="0" w:color="4E8542"/>
            </w:tcBorders>
          </w:tcPr>
          <w:p>
            <w:pPr>
              <w:pStyle w:val="TableParagraph"/>
              <w:spacing w:line="292" w:lineRule="exact"/>
              <w:ind w:left="89" w:right="66"/>
              <w:jc w:val="center"/>
              <w:rPr>
                <w:b/>
                <w:sz w:val="24"/>
              </w:rPr>
            </w:pPr>
            <w:r>
              <w:rPr>
                <w:b/>
                <w:sz w:val="24"/>
              </w:rPr>
              <w:t>Compliance</w:t>
            </w:r>
          </w:p>
          <w:p>
            <w:pPr>
              <w:pStyle w:val="TableParagraph"/>
              <w:spacing w:line="272" w:lineRule="exact"/>
              <w:ind w:left="84" w:right="66"/>
              <w:jc w:val="center"/>
              <w:rPr>
                <w:b/>
                <w:sz w:val="24"/>
              </w:rPr>
            </w:pPr>
            <w:r>
              <w:rPr>
                <w:b/>
                <w:sz w:val="24"/>
              </w:rPr>
              <w:t>Level</w:t>
            </w:r>
          </w:p>
        </w:tc>
        <w:tc>
          <w:tcPr>
            <w:tcW w:w="3026" w:type="dxa"/>
            <w:tcBorders>
              <w:bottom w:val="single" w:sz="18" w:space="0" w:color="4E8542"/>
            </w:tcBorders>
          </w:tcPr>
          <w:p>
            <w:pPr>
              <w:pStyle w:val="TableParagraph"/>
              <w:spacing w:line="292" w:lineRule="exact"/>
              <w:ind w:left="626"/>
              <w:rPr>
                <w:b/>
                <w:sz w:val="24"/>
              </w:rPr>
            </w:pPr>
            <w:r>
              <w:rPr>
                <w:b/>
                <w:sz w:val="24"/>
              </w:rPr>
              <w:t>Oversight Process</w:t>
            </w:r>
          </w:p>
        </w:tc>
        <w:tc>
          <w:tcPr>
            <w:tcW w:w="2520" w:type="dxa"/>
            <w:tcBorders>
              <w:bottom w:val="single" w:sz="18" w:space="0" w:color="4E8542"/>
            </w:tcBorders>
          </w:tcPr>
          <w:p>
            <w:pPr>
              <w:pStyle w:val="TableParagraph"/>
              <w:spacing w:line="292" w:lineRule="exact"/>
              <w:ind w:left="619"/>
              <w:rPr>
                <w:b/>
                <w:sz w:val="24"/>
              </w:rPr>
            </w:pPr>
            <w:r>
              <w:rPr>
                <w:b/>
                <w:sz w:val="24"/>
              </w:rPr>
              <w:t>Remediation</w:t>
            </w:r>
          </w:p>
        </w:tc>
      </w:tr>
      <w:tr>
        <w:trPr>
          <w:trHeight w:val="5885" w:hRule="atLeast"/>
        </w:trPr>
        <w:tc>
          <w:tcPr>
            <w:tcW w:w="3439" w:type="dxa"/>
            <w:tcBorders>
              <w:top w:val="single" w:sz="18" w:space="0" w:color="4E8542"/>
            </w:tcBorders>
            <w:shd w:val="clear" w:color="auto" w:fill="D0E4CA"/>
          </w:tcPr>
          <w:p>
            <w:pPr>
              <w:pStyle w:val="TableParagraph"/>
              <w:spacing w:line="245" w:lineRule="exact"/>
              <w:ind w:left="107"/>
              <w:rPr>
                <w:b/>
                <w:sz w:val="22"/>
              </w:rPr>
            </w:pPr>
            <w:r>
              <w:rPr>
                <w:b/>
                <w:sz w:val="22"/>
              </w:rPr>
              <w:t>Individuals are able to have</w:t>
            </w:r>
          </w:p>
          <w:p>
            <w:pPr>
              <w:pStyle w:val="TableParagraph"/>
              <w:spacing w:line="237" w:lineRule="auto" w:before="2"/>
              <w:ind w:left="107" w:right="431"/>
              <w:rPr>
                <w:b/>
                <w:sz w:val="22"/>
              </w:rPr>
            </w:pPr>
            <w:r>
              <w:rPr>
                <w:b/>
                <w:sz w:val="22"/>
              </w:rPr>
              <w:t>visitors of their choosing at any time</w:t>
            </w:r>
          </w:p>
        </w:tc>
        <w:tc>
          <w:tcPr>
            <w:tcW w:w="3420" w:type="dxa"/>
            <w:tcBorders>
              <w:top w:val="single" w:sz="18" w:space="0" w:color="4E8542"/>
            </w:tcBorders>
            <w:shd w:val="clear" w:color="auto" w:fill="D0E4CA"/>
          </w:tcPr>
          <w:p>
            <w:pPr>
              <w:pStyle w:val="TableParagraph"/>
              <w:spacing w:line="245" w:lineRule="exact"/>
              <w:ind w:left="158"/>
              <w:rPr>
                <w:sz w:val="22"/>
              </w:rPr>
            </w:pPr>
            <w:hyperlink r:id="rId23">
              <w:r>
                <w:rPr>
                  <w:color w:val="6B9F24"/>
                  <w:sz w:val="22"/>
                  <w:u w:val="single" w:color="6B9F24"/>
                </w:rPr>
                <w:t>WAC 388-823-1095</w:t>
              </w:r>
              <w:r>
                <w:rPr>
                  <w:color w:val="6B9F24"/>
                  <w:sz w:val="22"/>
                </w:rPr>
                <w:t> </w:t>
              </w:r>
            </w:hyperlink>
            <w:r>
              <w:rPr>
                <w:sz w:val="22"/>
              </w:rPr>
              <w:t>my rights as a</w:t>
            </w:r>
          </w:p>
          <w:p>
            <w:pPr>
              <w:pStyle w:val="TableParagraph"/>
              <w:ind w:left="107"/>
              <w:rPr>
                <w:sz w:val="22"/>
              </w:rPr>
            </w:pPr>
            <w:r>
              <w:rPr>
                <w:sz w:val="22"/>
              </w:rPr>
              <w:t>DDA client.</w:t>
            </w:r>
          </w:p>
          <w:p>
            <w:pPr>
              <w:pStyle w:val="TableParagraph"/>
              <w:spacing w:before="10"/>
              <w:rPr>
                <w:b/>
                <w:sz w:val="21"/>
              </w:rPr>
            </w:pPr>
          </w:p>
          <w:p>
            <w:pPr>
              <w:pStyle w:val="TableParagraph"/>
              <w:ind w:left="107" w:right="507"/>
              <w:rPr>
                <w:sz w:val="22"/>
              </w:rPr>
            </w:pPr>
            <w:r>
              <w:rPr>
                <w:sz w:val="22"/>
              </w:rPr>
              <w:t>Protection of rights is enforced through </w:t>
            </w:r>
            <w:hyperlink r:id="rId25">
              <w:r>
                <w:rPr>
                  <w:color w:val="6B9F24"/>
                  <w:sz w:val="22"/>
                  <w:u w:val="single" w:color="6B9F24"/>
                </w:rPr>
                <w:t>WAC 388-101D-0125</w:t>
              </w:r>
            </w:hyperlink>
            <w:r>
              <w:rPr>
                <w:color w:val="6B9F24"/>
                <w:sz w:val="22"/>
              </w:rPr>
              <w:t> </w:t>
            </w:r>
            <w:r>
              <w:rPr>
                <w:sz w:val="22"/>
              </w:rPr>
              <w:t>through </w:t>
            </w:r>
            <w:hyperlink r:id="rId29">
              <w:r>
                <w:rPr>
                  <w:color w:val="6B9F24"/>
                  <w:sz w:val="22"/>
                  <w:u w:val="single" w:color="6B9F24"/>
                </w:rPr>
                <w:t>WAC 388-101D-0145</w:t>
              </w:r>
            </w:hyperlink>
            <w:r>
              <w:rPr>
                <w:sz w:val="22"/>
              </w:rPr>
              <w:t>.</w:t>
            </w:r>
          </w:p>
          <w:p>
            <w:pPr>
              <w:pStyle w:val="TableParagraph"/>
              <w:spacing w:before="1"/>
              <w:rPr>
                <w:b/>
                <w:sz w:val="22"/>
              </w:rPr>
            </w:pPr>
          </w:p>
          <w:p>
            <w:pPr>
              <w:pStyle w:val="TableParagraph"/>
              <w:ind w:left="107" w:right="181"/>
              <w:rPr>
                <w:sz w:val="22"/>
              </w:rPr>
            </w:pPr>
            <w:hyperlink r:id="rId28">
              <w:r>
                <w:rPr>
                  <w:color w:val="6B9F24"/>
                  <w:sz w:val="22"/>
                  <w:u w:val="single" w:color="6B9F24"/>
                </w:rPr>
                <w:t>WAC 388-101D-0140</w:t>
              </w:r>
              <w:r>
                <w:rPr>
                  <w:color w:val="6B9F24"/>
                  <w:sz w:val="22"/>
                </w:rPr>
                <w:t> </w:t>
              </w:r>
            </w:hyperlink>
            <w:r>
              <w:rPr>
                <w:sz w:val="22"/>
              </w:rPr>
              <w:t>requires that the service provider must adhere to individual goals identified in the participant’s person-centered service plan.</w:t>
            </w:r>
          </w:p>
          <w:p>
            <w:pPr>
              <w:pStyle w:val="TableParagraph"/>
              <w:spacing w:before="11"/>
              <w:rPr>
                <w:b/>
                <w:sz w:val="21"/>
              </w:rPr>
            </w:pPr>
          </w:p>
          <w:p>
            <w:pPr>
              <w:pStyle w:val="TableParagraph"/>
              <w:spacing w:before="1"/>
              <w:ind w:left="107" w:right="302"/>
              <w:rPr>
                <w:sz w:val="22"/>
              </w:rPr>
            </w:pPr>
            <w:r>
              <w:rPr>
                <w:sz w:val="22"/>
              </w:rPr>
              <w:t>Residential Guidelines and CCRSS provider contracts inform and guide the provision of CCRSS services.</w:t>
            </w:r>
          </w:p>
        </w:tc>
        <w:tc>
          <w:tcPr>
            <w:tcW w:w="1382" w:type="dxa"/>
            <w:tcBorders>
              <w:top w:val="single" w:sz="18" w:space="0" w:color="4E8542"/>
            </w:tcBorders>
            <w:shd w:val="clear" w:color="auto" w:fill="D0E4CA"/>
          </w:tcPr>
          <w:p>
            <w:pPr>
              <w:pStyle w:val="TableParagraph"/>
              <w:spacing w:line="245" w:lineRule="exact"/>
              <w:ind w:left="107"/>
              <w:rPr>
                <w:sz w:val="22"/>
              </w:rPr>
            </w:pPr>
            <w:r>
              <w:rPr>
                <w:sz w:val="22"/>
              </w:rPr>
              <w:t>Partially</w:t>
            </w:r>
          </w:p>
          <w:p>
            <w:pPr>
              <w:pStyle w:val="TableParagraph"/>
              <w:ind w:left="107"/>
              <w:rPr>
                <w:sz w:val="22"/>
              </w:rPr>
            </w:pPr>
            <w:r>
              <w:rPr>
                <w:sz w:val="22"/>
              </w:rPr>
              <w:t>Compliant</w:t>
            </w:r>
          </w:p>
        </w:tc>
        <w:tc>
          <w:tcPr>
            <w:tcW w:w="3026" w:type="dxa"/>
            <w:tcBorders>
              <w:top w:val="single" w:sz="18" w:space="0" w:color="4E8542"/>
            </w:tcBorders>
            <w:shd w:val="clear" w:color="auto" w:fill="D0E4CA"/>
          </w:tcPr>
          <w:p>
            <w:pPr>
              <w:pStyle w:val="TableParagraph"/>
              <w:spacing w:line="245" w:lineRule="exact"/>
              <w:ind w:left="108"/>
              <w:rPr>
                <w:sz w:val="22"/>
              </w:rPr>
            </w:pPr>
            <w:r>
              <w:rPr>
                <w:sz w:val="22"/>
              </w:rPr>
              <w:t>As part of the certification and</w:t>
            </w:r>
          </w:p>
          <w:p>
            <w:pPr>
              <w:pStyle w:val="TableParagraph"/>
              <w:ind w:left="108" w:right="249"/>
              <w:rPr>
                <w:sz w:val="22"/>
              </w:rPr>
            </w:pPr>
            <w:r>
              <w:rPr>
                <w:sz w:val="22"/>
              </w:rPr>
              <w:t>RCS complaint investigation process described in the overview, RCS Contracted Evaluators and RCS Investigators conduct client observations, client and collateral interviews, service provider and staff interviews, and client record reviews to ensure service providers’ compliance.</w:t>
            </w:r>
          </w:p>
          <w:p>
            <w:pPr>
              <w:pStyle w:val="TableParagraph"/>
              <w:spacing w:before="10"/>
              <w:rPr>
                <w:b/>
                <w:sz w:val="21"/>
              </w:rPr>
            </w:pPr>
          </w:p>
          <w:p>
            <w:pPr>
              <w:pStyle w:val="TableParagraph"/>
              <w:ind w:left="108" w:right="319"/>
              <w:jc w:val="both"/>
              <w:rPr>
                <w:sz w:val="22"/>
              </w:rPr>
            </w:pPr>
            <w:r>
              <w:rPr>
                <w:sz w:val="22"/>
              </w:rPr>
              <w:t>The DDA Residential Quality Assurance Unit is monitoring to </w:t>
            </w:r>
            <w:hyperlink r:id="rId28">
              <w:r>
                <w:rPr>
                  <w:color w:val="6B9F24"/>
                  <w:sz w:val="22"/>
                  <w:u w:val="single" w:color="6B9F24"/>
                </w:rPr>
                <w:t>WAC 388-101D-0140.</w:t>
              </w:r>
            </w:hyperlink>
          </w:p>
          <w:p>
            <w:pPr>
              <w:pStyle w:val="TableParagraph"/>
              <w:rPr>
                <w:b/>
                <w:sz w:val="22"/>
              </w:rPr>
            </w:pPr>
          </w:p>
          <w:p>
            <w:pPr>
              <w:pStyle w:val="TableParagraph"/>
              <w:spacing w:line="270" w:lineRule="atLeast"/>
              <w:ind w:left="108" w:right="181"/>
              <w:rPr>
                <w:sz w:val="22"/>
              </w:rPr>
            </w:pPr>
            <w:r>
              <w:rPr>
                <w:sz w:val="22"/>
              </w:rPr>
              <w:t>On-site inspections ensure homes meet all licensing and certification requirements in WAC and RCW, including WAC 388-823-1095.</w:t>
            </w:r>
          </w:p>
        </w:tc>
        <w:tc>
          <w:tcPr>
            <w:tcW w:w="2520" w:type="dxa"/>
            <w:tcBorders>
              <w:top w:val="single" w:sz="18" w:space="0" w:color="4E8542"/>
            </w:tcBorders>
            <w:shd w:val="clear" w:color="auto" w:fill="D0E4CA"/>
          </w:tcPr>
          <w:p>
            <w:pPr>
              <w:pStyle w:val="TableParagraph"/>
              <w:spacing w:line="245" w:lineRule="exact"/>
              <w:ind w:left="108"/>
              <w:rPr>
                <w:sz w:val="22"/>
              </w:rPr>
            </w:pPr>
            <w:r>
              <w:rPr>
                <w:sz w:val="22"/>
              </w:rPr>
              <w:t>Revising </w:t>
            </w:r>
            <w:hyperlink r:id="rId23">
              <w:r>
                <w:rPr>
                  <w:color w:val="6B9F24"/>
                  <w:sz w:val="22"/>
                  <w:u w:val="single" w:color="6B9F24"/>
                </w:rPr>
                <w:t>WAC 388-823-</w:t>
              </w:r>
            </w:hyperlink>
          </w:p>
          <w:p>
            <w:pPr>
              <w:pStyle w:val="TableParagraph"/>
              <w:ind w:left="108" w:right="174"/>
              <w:rPr>
                <w:sz w:val="22"/>
              </w:rPr>
            </w:pP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2411" w:hRule="atLeast"/>
        </w:trPr>
        <w:tc>
          <w:tcPr>
            <w:tcW w:w="3439" w:type="dxa"/>
          </w:tcPr>
          <w:p>
            <w:pPr>
              <w:pStyle w:val="TableParagraph"/>
              <w:ind w:left="107" w:right="175"/>
              <w:rPr>
                <w:b/>
                <w:sz w:val="22"/>
              </w:rPr>
            </w:pPr>
            <w:r>
              <w:rPr>
                <w:b/>
                <w:sz w:val="22"/>
              </w:rPr>
              <w:t>The setting is physically accessible to the individual</w:t>
            </w:r>
          </w:p>
        </w:tc>
        <w:tc>
          <w:tcPr>
            <w:tcW w:w="3420" w:type="dxa"/>
          </w:tcPr>
          <w:p>
            <w:pPr>
              <w:pStyle w:val="TableParagraph"/>
              <w:ind w:left="107" w:right="256"/>
              <w:rPr>
                <w:sz w:val="22"/>
              </w:rPr>
            </w:pPr>
            <w:r>
              <w:rPr>
                <w:sz w:val="22"/>
              </w:rPr>
              <w:t>This setting type is primarily not a provider owned or controlled setting.</w:t>
            </w:r>
          </w:p>
          <w:p>
            <w:pPr>
              <w:pStyle w:val="TableParagraph"/>
              <w:spacing w:before="5"/>
              <w:rPr>
                <w:b/>
                <w:sz w:val="21"/>
              </w:rPr>
            </w:pPr>
          </w:p>
          <w:p>
            <w:pPr>
              <w:pStyle w:val="TableParagraph"/>
              <w:ind w:left="107" w:right="507"/>
              <w:rPr>
                <w:sz w:val="22"/>
              </w:rPr>
            </w:pPr>
            <w:r>
              <w:rPr>
                <w:sz w:val="22"/>
              </w:rPr>
              <w:t>Protection of rights is enforced through </w:t>
            </w:r>
            <w:hyperlink r:id="rId25">
              <w:r>
                <w:rPr>
                  <w:color w:val="6B9F24"/>
                  <w:sz w:val="22"/>
                  <w:u w:val="single" w:color="6B9F24"/>
                </w:rPr>
                <w:t>WAC 388-101D-0125</w:t>
              </w:r>
            </w:hyperlink>
            <w:r>
              <w:rPr>
                <w:color w:val="6B9F24"/>
                <w:sz w:val="22"/>
              </w:rPr>
              <w:t> </w:t>
            </w:r>
            <w:r>
              <w:rPr>
                <w:sz w:val="22"/>
              </w:rPr>
              <w:t>through </w:t>
            </w:r>
            <w:hyperlink r:id="rId29">
              <w:r>
                <w:rPr>
                  <w:color w:val="6B9F24"/>
                  <w:sz w:val="22"/>
                  <w:u w:val="single" w:color="6B9F24"/>
                </w:rPr>
                <w:t>WAC 388-101D-0145</w:t>
              </w:r>
            </w:hyperlink>
            <w:r>
              <w:rPr>
                <w:sz w:val="22"/>
              </w:rPr>
              <w:t>.</w:t>
            </w:r>
          </w:p>
        </w:tc>
        <w:tc>
          <w:tcPr>
            <w:tcW w:w="1382" w:type="dxa"/>
          </w:tcPr>
          <w:p>
            <w:pPr>
              <w:pStyle w:val="TableParagraph"/>
              <w:ind w:left="107" w:right="314"/>
              <w:rPr>
                <w:sz w:val="22"/>
              </w:rPr>
            </w:pPr>
            <w:r>
              <w:rPr>
                <w:sz w:val="22"/>
              </w:rPr>
              <w:t>Partially Compliant</w:t>
            </w:r>
          </w:p>
        </w:tc>
        <w:tc>
          <w:tcPr>
            <w:tcW w:w="3026" w:type="dxa"/>
          </w:tcPr>
          <w:p>
            <w:pPr>
              <w:pStyle w:val="TableParagraph"/>
              <w:ind w:left="108" w:right="150"/>
              <w:rPr>
                <w:sz w:val="22"/>
              </w:rPr>
            </w:pPr>
            <w:r>
              <w:rPr>
                <w:sz w:val="22"/>
              </w:rPr>
              <w:t>As part of the certification and RCS complaint investigation process described in the overview, RCS Contracted Evaluators and RCS Investigators conduct client observations, client and collateral interviews, service</w:t>
            </w:r>
          </w:p>
          <w:p>
            <w:pPr>
              <w:pStyle w:val="TableParagraph"/>
              <w:spacing w:line="249" w:lineRule="exact"/>
              <w:ind w:left="108"/>
              <w:rPr>
                <w:sz w:val="22"/>
              </w:rPr>
            </w:pPr>
            <w:r>
              <w:rPr>
                <w:sz w:val="22"/>
              </w:rPr>
              <w:t>provider and staff interviews,</w:t>
            </w:r>
          </w:p>
        </w:tc>
        <w:tc>
          <w:tcPr>
            <w:tcW w:w="2520" w:type="dxa"/>
          </w:tcPr>
          <w:p>
            <w:pPr>
              <w:pStyle w:val="TableParagraph"/>
              <w:ind w:left="108" w:right="174"/>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rPr>
          <w:b/>
          <w:sz w:val="16"/>
        </w:rPr>
      </w:pPr>
      <w:r>
        <w:rPr/>
        <w:pict>
          <v:shape style="position:absolute;margin-left:70.559998pt;margin-top:11.9995pt;width:650.9pt;height:.1pt;mso-position-horizontal-relative:page;mso-position-vertical-relative:paragraph;z-index:-251628544;mso-wrap-distance-left:0;mso-wrap-distance-right:0" coordorigin="1411,240" coordsize="13018,0" path="m1411,240l14429,240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9"/>
        <w:gridCol w:w="3420"/>
        <w:gridCol w:w="1382"/>
        <w:gridCol w:w="3026"/>
        <w:gridCol w:w="2520"/>
      </w:tblGrid>
      <w:tr>
        <w:trPr>
          <w:trHeight w:val="584" w:hRule="atLeast"/>
        </w:trPr>
        <w:tc>
          <w:tcPr>
            <w:tcW w:w="3439" w:type="dxa"/>
            <w:tcBorders>
              <w:bottom w:val="single" w:sz="18" w:space="0" w:color="4E8542"/>
            </w:tcBorders>
          </w:tcPr>
          <w:p>
            <w:pPr>
              <w:pStyle w:val="TableParagraph"/>
              <w:spacing w:line="292" w:lineRule="exact"/>
              <w:ind w:left="234"/>
              <w:rPr>
                <w:b/>
                <w:sz w:val="24"/>
              </w:rPr>
            </w:pPr>
            <w:r>
              <w:rPr>
                <w:b/>
                <w:sz w:val="24"/>
              </w:rPr>
              <w:t>Characteristics/Requirements</w:t>
            </w:r>
          </w:p>
        </w:tc>
        <w:tc>
          <w:tcPr>
            <w:tcW w:w="3420" w:type="dxa"/>
            <w:tcBorders>
              <w:bottom w:val="single" w:sz="18" w:space="0" w:color="4E8542"/>
            </w:tcBorders>
          </w:tcPr>
          <w:p>
            <w:pPr>
              <w:pStyle w:val="TableParagraph"/>
              <w:spacing w:line="292" w:lineRule="exact"/>
              <w:ind w:left="871"/>
              <w:rPr>
                <w:b/>
                <w:sz w:val="24"/>
              </w:rPr>
            </w:pPr>
            <w:r>
              <w:rPr>
                <w:b/>
                <w:sz w:val="24"/>
              </w:rPr>
              <w:t>Supported</w:t>
            </w:r>
            <w:r>
              <w:rPr>
                <w:b/>
                <w:spacing w:val="-6"/>
                <w:sz w:val="24"/>
              </w:rPr>
              <w:t> </w:t>
            </w:r>
            <w:r>
              <w:rPr>
                <w:b/>
                <w:sz w:val="24"/>
              </w:rPr>
              <w:t>Living</w:t>
            </w:r>
          </w:p>
          <w:p>
            <w:pPr>
              <w:pStyle w:val="TableParagraph"/>
              <w:spacing w:line="272" w:lineRule="exact"/>
              <w:ind w:left="895"/>
              <w:rPr>
                <w:b/>
                <w:sz w:val="24"/>
              </w:rPr>
            </w:pPr>
            <w:r>
              <w:rPr>
                <w:b/>
                <w:sz w:val="24"/>
              </w:rPr>
              <w:t>State</w:t>
            </w:r>
            <w:r>
              <w:rPr>
                <w:b/>
                <w:spacing w:val="-3"/>
                <w:sz w:val="24"/>
              </w:rPr>
              <w:t> </w:t>
            </w:r>
            <w:r>
              <w:rPr>
                <w:b/>
                <w:sz w:val="24"/>
              </w:rPr>
              <w:t>Evaluation</w:t>
            </w:r>
          </w:p>
        </w:tc>
        <w:tc>
          <w:tcPr>
            <w:tcW w:w="1382" w:type="dxa"/>
            <w:tcBorders>
              <w:bottom w:val="single" w:sz="18" w:space="0" w:color="4E8542"/>
            </w:tcBorders>
          </w:tcPr>
          <w:p>
            <w:pPr>
              <w:pStyle w:val="TableParagraph"/>
              <w:spacing w:line="292" w:lineRule="exact"/>
              <w:ind w:left="89" w:right="66"/>
              <w:jc w:val="center"/>
              <w:rPr>
                <w:b/>
                <w:sz w:val="24"/>
              </w:rPr>
            </w:pPr>
            <w:r>
              <w:rPr>
                <w:b/>
                <w:sz w:val="24"/>
              </w:rPr>
              <w:t>Compliance</w:t>
            </w:r>
          </w:p>
          <w:p>
            <w:pPr>
              <w:pStyle w:val="TableParagraph"/>
              <w:spacing w:line="272" w:lineRule="exact"/>
              <w:ind w:left="84" w:right="66"/>
              <w:jc w:val="center"/>
              <w:rPr>
                <w:b/>
                <w:sz w:val="24"/>
              </w:rPr>
            </w:pPr>
            <w:r>
              <w:rPr>
                <w:b/>
                <w:sz w:val="24"/>
              </w:rPr>
              <w:t>Level</w:t>
            </w:r>
          </w:p>
        </w:tc>
        <w:tc>
          <w:tcPr>
            <w:tcW w:w="3026" w:type="dxa"/>
            <w:tcBorders>
              <w:bottom w:val="single" w:sz="18" w:space="0" w:color="4E8542"/>
            </w:tcBorders>
          </w:tcPr>
          <w:p>
            <w:pPr>
              <w:pStyle w:val="TableParagraph"/>
              <w:spacing w:line="292" w:lineRule="exact"/>
              <w:ind w:left="626"/>
              <w:rPr>
                <w:b/>
                <w:sz w:val="24"/>
              </w:rPr>
            </w:pPr>
            <w:r>
              <w:rPr>
                <w:b/>
                <w:sz w:val="24"/>
              </w:rPr>
              <w:t>Oversight Process</w:t>
            </w:r>
          </w:p>
        </w:tc>
        <w:tc>
          <w:tcPr>
            <w:tcW w:w="2520" w:type="dxa"/>
            <w:tcBorders>
              <w:bottom w:val="single" w:sz="18" w:space="0" w:color="4E8542"/>
            </w:tcBorders>
          </w:tcPr>
          <w:p>
            <w:pPr>
              <w:pStyle w:val="TableParagraph"/>
              <w:spacing w:line="292" w:lineRule="exact"/>
              <w:ind w:left="619"/>
              <w:rPr>
                <w:b/>
                <w:sz w:val="24"/>
              </w:rPr>
            </w:pPr>
            <w:r>
              <w:rPr>
                <w:b/>
                <w:sz w:val="24"/>
              </w:rPr>
              <w:t>Remediation</w:t>
            </w:r>
          </w:p>
        </w:tc>
      </w:tr>
      <w:tr>
        <w:trPr>
          <w:trHeight w:val="8302" w:hRule="atLeast"/>
        </w:trPr>
        <w:tc>
          <w:tcPr>
            <w:tcW w:w="3439" w:type="dxa"/>
            <w:tcBorders>
              <w:top w:val="single" w:sz="18" w:space="0" w:color="4E8542"/>
            </w:tcBorders>
          </w:tcPr>
          <w:p>
            <w:pPr>
              <w:pStyle w:val="TableParagraph"/>
              <w:rPr>
                <w:rFonts w:ascii="Times New Roman"/>
                <w:sz w:val="22"/>
              </w:rPr>
            </w:pPr>
          </w:p>
        </w:tc>
        <w:tc>
          <w:tcPr>
            <w:tcW w:w="3420" w:type="dxa"/>
            <w:tcBorders>
              <w:top w:val="single" w:sz="18" w:space="0" w:color="4E8542"/>
            </w:tcBorders>
          </w:tcPr>
          <w:p>
            <w:pPr>
              <w:pStyle w:val="TableParagraph"/>
              <w:spacing w:line="245" w:lineRule="exact"/>
              <w:ind w:left="107"/>
              <w:rPr>
                <w:sz w:val="22"/>
              </w:rPr>
            </w:pPr>
            <w:hyperlink r:id="rId28">
              <w:r>
                <w:rPr>
                  <w:color w:val="6B9F24"/>
                  <w:sz w:val="22"/>
                  <w:u w:val="single" w:color="6B9F24"/>
                </w:rPr>
                <w:t>WAC 388-101D-0140</w:t>
              </w:r>
              <w:r>
                <w:rPr>
                  <w:color w:val="6B9F24"/>
                  <w:sz w:val="22"/>
                </w:rPr>
                <w:t> </w:t>
              </w:r>
            </w:hyperlink>
            <w:r>
              <w:rPr>
                <w:sz w:val="22"/>
              </w:rPr>
              <w:t>requires that</w:t>
            </w:r>
          </w:p>
          <w:p>
            <w:pPr>
              <w:pStyle w:val="TableParagraph"/>
              <w:ind w:left="107" w:right="181"/>
              <w:rPr>
                <w:sz w:val="22"/>
              </w:rPr>
            </w:pPr>
            <w:r>
              <w:rPr>
                <w:sz w:val="22"/>
              </w:rPr>
              <w:t>the service provider must adhere to individual goals identified in the participant’s person-centered service plan.</w:t>
            </w:r>
          </w:p>
          <w:p>
            <w:pPr>
              <w:pStyle w:val="TableParagraph"/>
              <w:spacing w:before="11"/>
              <w:rPr>
                <w:b/>
                <w:sz w:val="21"/>
              </w:rPr>
            </w:pPr>
          </w:p>
          <w:p>
            <w:pPr>
              <w:pStyle w:val="TableParagraph"/>
              <w:ind w:left="107" w:right="145"/>
              <w:rPr>
                <w:sz w:val="22"/>
              </w:rPr>
            </w:pPr>
            <w:r>
              <w:rPr>
                <w:sz w:val="22"/>
              </w:rPr>
              <w:t>Residential Guidelines and CCRSS provider contracts inform and guide the provision of CCRSS services. Expectations in the CCRSS provider contract:</w:t>
            </w:r>
          </w:p>
          <w:p>
            <w:pPr>
              <w:pStyle w:val="TableParagraph"/>
              <w:numPr>
                <w:ilvl w:val="0"/>
                <w:numId w:val="5"/>
              </w:numPr>
              <w:tabs>
                <w:tab w:pos="827" w:val="left" w:leader="none"/>
                <w:tab w:pos="828" w:val="left" w:leader="none"/>
              </w:tabs>
              <w:spacing w:line="240" w:lineRule="auto" w:before="0" w:after="0"/>
              <w:ind w:left="827" w:right="152" w:hanging="361"/>
              <w:jc w:val="left"/>
              <w:rPr>
                <w:sz w:val="22"/>
              </w:rPr>
            </w:pPr>
            <w:r>
              <w:rPr>
                <w:sz w:val="22"/>
              </w:rPr>
              <w:t>All services are to be provided in a person- centered approach with an intent to deliver services in an integrated setting and facilitate the Client’s full access to the greater community, including opportunities to seek employment and work in competitive, integrated settings, engage in community life, control personal resources and receive services in the community in the same manner as individuals without</w:t>
            </w:r>
            <w:r>
              <w:rPr>
                <w:spacing w:val="-3"/>
                <w:sz w:val="22"/>
              </w:rPr>
              <w:t> </w:t>
            </w:r>
            <w:r>
              <w:rPr>
                <w:sz w:val="22"/>
              </w:rPr>
              <w:t>disabilities.</w:t>
            </w:r>
          </w:p>
        </w:tc>
        <w:tc>
          <w:tcPr>
            <w:tcW w:w="1382" w:type="dxa"/>
            <w:tcBorders>
              <w:top w:val="single" w:sz="18" w:space="0" w:color="4E8542"/>
            </w:tcBorders>
          </w:tcPr>
          <w:p>
            <w:pPr>
              <w:pStyle w:val="TableParagraph"/>
              <w:rPr>
                <w:rFonts w:ascii="Times New Roman"/>
                <w:sz w:val="22"/>
              </w:rPr>
            </w:pPr>
          </w:p>
        </w:tc>
        <w:tc>
          <w:tcPr>
            <w:tcW w:w="3026" w:type="dxa"/>
            <w:tcBorders>
              <w:top w:val="single" w:sz="18" w:space="0" w:color="4E8542"/>
            </w:tcBorders>
          </w:tcPr>
          <w:p>
            <w:pPr>
              <w:pStyle w:val="TableParagraph"/>
              <w:spacing w:line="245" w:lineRule="exact"/>
              <w:ind w:left="108"/>
              <w:rPr>
                <w:sz w:val="22"/>
              </w:rPr>
            </w:pPr>
            <w:r>
              <w:rPr>
                <w:sz w:val="22"/>
              </w:rPr>
              <w:t>and client record reviews to</w:t>
            </w:r>
          </w:p>
          <w:p>
            <w:pPr>
              <w:pStyle w:val="TableParagraph"/>
              <w:spacing w:line="237" w:lineRule="auto" w:before="2"/>
              <w:ind w:left="108" w:right="640"/>
              <w:rPr>
                <w:sz w:val="22"/>
              </w:rPr>
            </w:pPr>
            <w:r>
              <w:rPr>
                <w:sz w:val="22"/>
              </w:rPr>
              <w:t>ensure service providers’ compliance.</w:t>
            </w:r>
          </w:p>
          <w:p>
            <w:pPr>
              <w:pStyle w:val="TableParagraph"/>
              <w:spacing w:before="1"/>
              <w:rPr>
                <w:b/>
                <w:sz w:val="22"/>
              </w:rPr>
            </w:pPr>
          </w:p>
          <w:p>
            <w:pPr>
              <w:pStyle w:val="TableParagraph"/>
              <w:spacing w:before="1"/>
              <w:ind w:left="108" w:right="319"/>
              <w:jc w:val="both"/>
              <w:rPr>
                <w:sz w:val="22"/>
              </w:rPr>
            </w:pPr>
            <w:r>
              <w:rPr>
                <w:sz w:val="22"/>
              </w:rPr>
              <w:t>The DDA Residential Quality Assurance Unit is monitoring to </w:t>
            </w:r>
            <w:hyperlink r:id="rId28">
              <w:r>
                <w:rPr>
                  <w:color w:val="6B9F24"/>
                  <w:sz w:val="22"/>
                  <w:u w:val="single" w:color="6B9F24"/>
                </w:rPr>
                <w:t>WAC 388-101D-0140.</w:t>
              </w:r>
            </w:hyperlink>
          </w:p>
          <w:p>
            <w:pPr>
              <w:pStyle w:val="TableParagraph"/>
              <w:rPr>
                <w:b/>
                <w:sz w:val="22"/>
              </w:rPr>
            </w:pPr>
          </w:p>
          <w:p>
            <w:pPr>
              <w:pStyle w:val="TableParagraph"/>
              <w:spacing w:before="1"/>
              <w:ind w:left="108" w:right="181"/>
              <w:rPr>
                <w:sz w:val="22"/>
              </w:rPr>
            </w:pPr>
            <w:r>
              <w:rPr>
                <w:sz w:val="22"/>
              </w:rPr>
              <w:t>On-site inspections ensure homes meet all licensing and certification requirements in WAC and RCW, including WAC 388-823-1095.</w:t>
            </w:r>
          </w:p>
        </w:tc>
        <w:tc>
          <w:tcPr>
            <w:tcW w:w="2520" w:type="dxa"/>
            <w:tcBorders>
              <w:top w:val="single" w:sz="18" w:space="0" w:color="4E8542"/>
            </w:tcBorders>
          </w:tcPr>
          <w:p>
            <w:pPr>
              <w:pStyle w:val="TableParagraph"/>
              <w:rPr>
                <w:rFonts w:ascii="Times New Roman"/>
                <w:sz w:val="22"/>
              </w:rPr>
            </w:pPr>
          </w:p>
        </w:tc>
      </w:tr>
    </w:tbl>
    <w:p>
      <w:pPr>
        <w:pStyle w:val="BodyText"/>
        <w:spacing w:before="7"/>
        <w:rPr>
          <w:b/>
          <w:sz w:val="17"/>
        </w:rPr>
      </w:pPr>
      <w:r>
        <w:rPr/>
        <w:pict>
          <v:shape style="position:absolute;margin-left:70.559998pt;margin-top:12.9595pt;width:650.9pt;height:.1pt;mso-position-horizontal-relative:page;mso-position-vertical-relative:paragraph;z-index:-251627520;mso-wrap-distance-left:0;mso-wrap-distance-right:0" coordorigin="1411,259" coordsize="13018,0" path="m1411,259l14429,259e" filled="false" stroked="true" strokeweight=".481pt" strokecolor="#d9d9d9">
            <v:path arrowok="t"/>
            <v:stroke dashstyle="solid"/>
            <w10:wrap type="topAndBottom"/>
          </v:shape>
        </w:pict>
      </w:r>
    </w:p>
    <w:p>
      <w:pPr>
        <w:spacing w:after="0"/>
        <w:rPr>
          <w:sz w:val="17"/>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9"/>
        <w:gridCol w:w="3420"/>
        <w:gridCol w:w="1382"/>
        <w:gridCol w:w="3026"/>
        <w:gridCol w:w="2520"/>
      </w:tblGrid>
      <w:tr>
        <w:trPr>
          <w:trHeight w:val="584" w:hRule="atLeast"/>
        </w:trPr>
        <w:tc>
          <w:tcPr>
            <w:tcW w:w="3439" w:type="dxa"/>
            <w:tcBorders>
              <w:bottom w:val="single" w:sz="18" w:space="0" w:color="4E8542"/>
            </w:tcBorders>
          </w:tcPr>
          <w:p>
            <w:pPr>
              <w:pStyle w:val="TableParagraph"/>
              <w:spacing w:line="292" w:lineRule="exact"/>
              <w:ind w:left="234"/>
              <w:rPr>
                <w:b/>
                <w:sz w:val="24"/>
              </w:rPr>
            </w:pPr>
            <w:r>
              <w:rPr>
                <w:b/>
                <w:sz w:val="24"/>
              </w:rPr>
              <w:t>Characteristics/Requirements</w:t>
            </w:r>
          </w:p>
        </w:tc>
        <w:tc>
          <w:tcPr>
            <w:tcW w:w="3420" w:type="dxa"/>
            <w:tcBorders>
              <w:bottom w:val="single" w:sz="18" w:space="0" w:color="4E8542"/>
            </w:tcBorders>
          </w:tcPr>
          <w:p>
            <w:pPr>
              <w:pStyle w:val="TableParagraph"/>
              <w:spacing w:line="292" w:lineRule="exact"/>
              <w:ind w:left="871"/>
              <w:rPr>
                <w:b/>
                <w:sz w:val="24"/>
              </w:rPr>
            </w:pPr>
            <w:r>
              <w:rPr>
                <w:b/>
                <w:sz w:val="24"/>
              </w:rPr>
              <w:t>Supported</w:t>
            </w:r>
            <w:r>
              <w:rPr>
                <w:b/>
                <w:spacing w:val="-6"/>
                <w:sz w:val="24"/>
              </w:rPr>
              <w:t> </w:t>
            </w:r>
            <w:r>
              <w:rPr>
                <w:b/>
                <w:sz w:val="24"/>
              </w:rPr>
              <w:t>Living</w:t>
            </w:r>
          </w:p>
          <w:p>
            <w:pPr>
              <w:pStyle w:val="TableParagraph"/>
              <w:spacing w:line="272" w:lineRule="exact"/>
              <w:ind w:left="895"/>
              <w:rPr>
                <w:b/>
                <w:sz w:val="24"/>
              </w:rPr>
            </w:pPr>
            <w:r>
              <w:rPr>
                <w:b/>
                <w:sz w:val="24"/>
              </w:rPr>
              <w:t>State</w:t>
            </w:r>
            <w:r>
              <w:rPr>
                <w:b/>
                <w:spacing w:val="-3"/>
                <w:sz w:val="24"/>
              </w:rPr>
              <w:t> </w:t>
            </w:r>
            <w:r>
              <w:rPr>
                <w:b/>
                <w:sz w:val="24"/>
              </w:rPr>
              <w:t>Evaluation</w:t>
            </w:r>
          </w:p>
        </w:tc>
        <w:tc>
          <w:tcPr>
            <w:tcW w:w="1382" w:type="dxa"/>
            <w:tcBorders>
              <w:bottom w:val="single" w:sz="18" w:space="0" w:color="4E8542"/>
            </w:tcBorders>
          </w:tcPr>
          <w:p>
            <w:pPr>
              <w:pStyle w:val="TableParagraph"/>
              <w:spacing w:line="292" w:lineRule="exact"/>
              <w:ind w:left="89" w:right="66"/>
              <w:jc w:val="center"/>
              <w:rPr>
                <w:b/>
                <w:sz w:val="24"/>
              </w:rPr>
            </w:pPr>
            <w:r>
              <w:rPr>
                <w:b/>
                <w:sz w:val="24"/>
              </w:rPr>
              <w:t>Compliance</w:t>
            </w:r>
          </w:p>
          <w:p>
            <w:pPr>
              <w:pStyle w:val="TableParagraph"/>
              <w:spacing w:line="272" w:lineRule="exact"/>
              <w:ind w:left="84" w:right="66"/>
              <w:jc w:val="center"/>
              <w:rPr>
                <w:b/>
                <w:sz w:val="24"/>
              </w:rPr>
            </w:pPr>
            <w:r>
              <w:rPr>
                <w:b/>
                <w:sz w:val="24"/>
              </w:rPr>
              <w:t>Level</w:t>
            </w:r>
          </w:p>
        </w:tc>
        <w:tc>
          <w:tcPr>
            <w:tcW w:w="3026" w:type="dxa"/>
            <w:tcBorders>
              <w:bottom w:val="single" w:sz="18" w:space="0" w:color="4E8542"/>
            </w:tcBorders>
          </w:tcPr>
          <w:p>
            <w:pPr>
              <w:pStyle w:val="TableParagraph"/>
              <w:spacing w:line="292" w:lineRule="exact"/>
              <w:ind w:left="626"/>
              <w:rPr>
                <w:b/>
                <w:sz w:val="24"/>
              </w:rPr>
            </w:pPr>
            <w:r>
              <w:rPr>
                <w:b/>
                <w:sz w:val="24"/>
              </w:rPr>
              <w:t>Oversight Process</w:t>
            </w:r>
          </w:p>
        </w:tc>
        <w:tc>
          <w:tcPr>
            <w:tcW w:w="2520" w:type="dxa"/>
            <w:tcBorders>
              <w:bottom w:val="single" w:sz="18" w:space="0" w:color="4E8542"/>
            </w:tcBorders>
          </w:tcPr>
          <w:p>
            <w:pPr>
              <w:pStyle w:val="TableParagraph"/>
              <w:spacing w:line="292" w:lineRule="exact"/>
              <w:ind w:left="619"/>
              <w:rPr>
                <w:b/>
                <w:sz w:val="24"/>
              </w:rPr>
            </w:pPr>
            <w:r>
              <w:rPr>
                <w:b/>
                <w:sz w:val="24"/>
              </w:rPr>
              <w:t>Remediation</w:t>
            </w:r>
          </w:p>
        </w:tc>
      </w:tr>
      <w:tr>
        <w:trPr>
          <w:trHeight w:val="4498" w:hRule="atLeast"/>
        </w:trPr>
        <w:tc>
          <w:tcPr>
            <w:tcW w:w="3439" w:type="dxa"/>
            <w:tcBorders>
              <w:top w:val="single" w:sz="18" w:space="0" w:color="4E8542"/>
            </w:tcBorders>
          </w:tcPr>
          <w:p>
            <w:pPr>
              <w:pStyle w:val="TableParagraph"/>
              <w:rPr>
                <w:rFonts w:ascii="Times New Roman"/>
                <w:sz w:val="22"/>
              </w:rPr>
            </w:pPr>
          </w:p>
        </w:tc>
        <w:tc>
          <w:tcPr>
            <w:tcW w:w="3420" w:type="dxa"/>
            <w:tcBorders>
              <w:top w:val="single" w:sz="18" w:space="0" w:color="4E8542"/>
            </w:tcBorders>
          </w:tcPr>
          <w:p>
            <w:pPr>
              <w:pStyle w:val="TableParagraph"/>
              <w:spacing w:before="51"/>
              <w:ind w:left="107" w:right="209"/>
              <w:rPr>
                <w:sz w:val="22"/>
              </w:rPr>
            </w:pPr>
            <w:r>
              <w:rPr>
                <w:sz w:val="22"/>
              </w:rPr>
              <w:t>As part of the person centered service planning process, participants are provided with options that meet their physical accessibility requirements. If a participant’s needs change regarding accessibility, the case manager works with the resident and facility to accommodate the resident’s needs. As a part of the inspection process, licensors also look at residents and their assessments to make sure the setting, including physical plant requirements, is meeting their needs.</w:t>
            </w:r>
          </w:p>
        </w:tc>
        <w:tc>
          <w:tcPr>
            <w:tcW w:w="1382" w:type="dxa"/>
            <w:tcBorders>
              <w:top w:val="single" w:sz="18" w:space="0" w:color="4E8542"/>
            </w:tcBorders>
          </w:tcPr>
          <w:p>
            <w:pPr>
              <w:pStyle w:val="TableParagraph"/>
              <w:rPr>
                <w:rFonts w:ascii="Times New Roman"/>
                <w:sz w:val="22"/>
              </w:rPr>
            </w:pPr>
          </w:p>
        </w:tc>
        <w:tc>
          <w:tcPr>
            <w:tcW w:w="3026" w:type="dxa"/>
            <w:tcBorders>
              <w:top w:val="single" w:sz="18" w:space="0" w:color="4E8542"/>
            </w:tcBorders>
          </w:tcPr>
          <w:p>
            <w:pPr>
              <w:pStyle w:val="TableParagraph"/>
              <w:rPr>
                <w:rFonts w:ascii="Times New Roman"/>
                <w:sz w:val="22"/>
              </w:rPr>
            </w:pPr>
          </w:p>
        </w:tc>
        <w:tc>
          <w:tcPr>
            <w:tcW w:w="2520" w:type="dxa"/>
            <w:tcBorders>
              <w:top w:val="single" w:sz="18" w:space="0" w:color="4E8542"/>
            </w:tcBorders>
          </w:tcPr>
          <w:p>
            <w:pPr>
              <w:pStyle w:val="TableParagraph"/>
              <w:rPr>
                <w:rFonts w:ascii="Times New Roman"/>
                <w:sz w:val="22"/>
              </w:rPr>
            </w:pPr>
          </w:p>
        </w:tc>
      </w:tr>
      <w:tr>
        <w:trPr>
          <w:trHeight w:val="3222" w:hRule="atLeast"/>
        </w:trPr>
        <w:tc>
          <w:tcPr>
            <w:tcW w:w="3439" w:type="dxa"/>
            <w:shd w:val="clear" w:color="auto" w:fill="D0E4CA"/>
          </w:tcPr>
          <w:p>
            <w:pPr>
              <w:pStyle w:val="TableParagraph"/>
              <w:ind w:left="107" w:right="136"/>
              <w:rPr>
                <w:b/>
                <w:sz w:val="22"/>
              </w:rPr>
            </w:pPr>
            <w:r>
              <w:rPr>
                <w:b/>
                <w:sz w:val="22"/>
              </w:rPr>
              <w:t>The setting that is located in a building that is also a publicly or privately operated facility that provides inpatient institutional treatment, or in a building on the grounds of, or immediately adjacent to, a public institution, or any other setting that has the effect of isolating individuals receiving Medicaid HCBS from the broader community of individuals</w:t>
            </w:r>
          </w:p>
          <w:p>
            <w:pPr>
              <w:pStyle w:val="TableParagraph"/>
              <w:spacing w:line="249" w:lineRule="exact"/>
              <w:ind w:left="107"/>
              <w:rPr>
                <w:b/>
                <w:sz w:val="22"/>
              </w:rPr>
            </w:pPr>
            <w:r>
              <w:rPr>
                <w:b/>
                <w:sz w:val="22"/>
              </w:rPr>
              <w:t>not receiving HCBS.</w:t>
            </w:r>
          </w:p>
        </w:tc>
        <w:tc>
          <w:tcPr>
            <w:tcW w:w="3420" w:type="dxa"/>
            <w:shd w:val="clear" w:color="auto" w:fill="D0E4CA"/>
          </w:tcPr>
          <w:p>
            <w:pPr>
              <w:pStyle w:val="TableParagraph"/>
              <w:ind w:left="107" w:right="317"/>
              <w:rPr>
                <w:sz w:val="22"/>
              </w:rPr>
            </w:pPr>
            <w:r>
              <w:rPr>
                <w:sz w:val="22"/>
              </w:rPr>
              <w:t>Not applicable none of these settings are located in a building that is also a publicly or privately operated facility that provides inpatient institutional treatment.</w:t>
            </w:r>
          </w:p>
        </w:tc>
        <w:tc>
          <w:tcPr>
            <w:tcW w:w="1382" w:type="dxa"/>
            <w:shd w:val="clear" w:color="auto" w:fill="D0E4CA"/>
          </w:tcPr>
          <w:p>
            <w:pPr>
              <w:pStyle w:val="TableParagraph"/>
              <w:ind w:left="107" w:right="314"/>
              <w:rPr>
                <w:sz w:val="22"/>
              </w:rPr>
            </w:pPr>
            <w:r>
              <w:rPr>
                <w:sz w:val="22"/>
              </w:rPr>
              <w:t>Fully Compliant</w:t>
            </w:r>
          </w:p>
        </w:tc>
        <w:tc>
          <w:tcPr>
            <w:tcW w:w="3026" w:type="dxa"/>
            <w:shd w:val="clear" w:color="auto" w:fill="D0E4CA"/>
          </w:tcPr>
          <w:p>
            <w:pPr>
              <w:pStyle w:val="TableParagraph"/>
              <w:rPr>
                <w:rFonts w:ascii="Times New Roman"/>
                <w:sz w:val="22"/>
              </w:rPr>
            </w:pPr>
          </w:p>
        </w:tc>
        <w:tc>
          <w:tcPr>
            <w:tcW w:w="2520" w:type="dxa"/>
            <w:shd w:val="clear" w:color="auto" w:fill="D0E4CA"/>
          </w:tcPr>
          <w:p>
            <w:pPr>
              <w:pStyle w:val="TableParagraph"/>
              <w:rPr>
                <w:rFonts w:ascii="Times New Roman"/>
                <w:sz w:val="22"/>
              </w:rPr>
            </w:pPr>
          </w:p>
        </w:tc>
      </w:tr>
      <w:tr>
        <w:trPr>
          <w:trHeight w:val="536" w:hRule="atLeast"/>
        </w:trPr>
        <w:tc>
          <w:tcPr>
            <w:tcW w:w="3439" w:type="dxa"/>
          </w:tcPr>
          <w:p>
            <w:pPr>
              <w:pStyle w:val="TableParagraph"/>
              <w:spacing w:line="267" w:lineRule="exact"/>
              <w:ind w:left="107"/>
              <w:rPr>
                <w:b/>
                <w:sz w:val="22"/>
              </w:rPr>
            </w:pPr>
            <w:r>
              <w:rPr>
                <w:b/>
                <w:sz w:val="22"/>
              </w:rPr>
              <w:t>The unit or room is a specific</w:t>
            </w:r>
          </w:p>
          <w:p>
            <w:pPr>
              <w:pStyle w:val="TableParagraph"/>
              <w:spacing w:line="249" w:lineRule="exact"/>
              <w:ind w:left="107"/>
              <w:rPr>
                <w:b/>
                <w:sz w:val="22"/>
              </w:rPr>
            </w:pPr>
            <w:r>
              <w:rPr>
                <w:b/>
                <w:sz w:val="22"/>
              </w:rPr>
              <w:t>physical place that can be owned,</w:t>
            </w:r>
          </w:p>
        </w:tc>
        <w:tc>
          <w:tcPr>
            <w:tcW w:w="3420" w:type="dxa"/>
          </w:tcPr>
          <w:p>
            <w:pPr>
              <w:pStyle w:val="TableParagraph"/>
              <w:spacing w:line="267" w:lineRule="exact"/>
              <w:ind w:left="107"/>
              <w:rPr>
                <w:sz w:val="22"/>
              </w:rPr>
            </w:pPr>
            <w:r>
              <w:rPr>
                <w:sz w:val="22"/>
              </w:rPr>
              <w:t>Services are provided in person’s</w:t>
            </w:r>
          </w:p>
          <w:p>
            <w:pPr>
              <w:pStyle w:val="TableParagraph"/>
              <w:spacing w:line="249" w:lineRule="exact"/>
              <w:ind w:left="107"/>
              <w:rPr>
                <w:sz w:val="22"/>
              </w:rPr>
            </w:pPr>
            <w:r>
              <w:rPr>
                <w:sz w:val="22"/>
              </w:rPr>
              <w:t>own private home or apartment</w:t>
            </w:r>
          </w:p>
        </w:tc>
        <w:tc>
          <w:tcPr>
            <w:tcW w:w="1382" w:type="dxa"/>
          </w:tcPr>
          <w:p>
            <w:pPr>
              <w:pStyle w:val="TableParagraph"/>
              <w:spacing w:line="267" w:lineRule="exact"/>
              <w:ind w:left="107"/>
              <w:rPr>
                <w:sz w:val="22"/>
              </w:rPr>
            </w:pPr>
            <w:r>
              <w:rPr>
                <w:sz w:val="22"/>
              </w:rPr>
              <w:t>Fully</w:t>
            </w:r>
          </w:p>
          <w:p>
            <w:pPr>
              <w:pStyle w:val="TableParagraph"/>
              <w:spacing w:line="249" w:lineRule="exact"/>
              <w:ind w:left="107"/>
              <w:rPr>
                <w:sz w:val="22"/>
              </w:rPr>
            </w:pPr>
            <w:r>
              <w:rPr>
                <w:sz w:val="22"/>
              </w:rPr>
              <w:t>Compliant</w:t>
            </w:r>
          </w:p>
        </w:tc>
        <w:tc>
          <w:tcPr>
            <w:tcW w:w="3026" w:type="dxa"/>
          </w:tcPr>
          <w:p>
            <w:pPr>
              <w:pStyle w:val="TableParagraph"/>
              <w:spacing w:line="267" w:lineRule="exact"/>
              <w:ind w:left="108"/>
              <w:rPr>
                <w:sz w:val="22"/>
              </w:rPr>
            </w:pPr>
            <w:r>
              <w:rPr>
                <w:sz w:val="22"/>
              </w:rPr>
              <w:t>As part of the certification and</w:t>
            </w:r>
          </w:p>
          <w:p>
            <w:pPr>
              <w:pStyle w:val="TableParagraph"/>
              <w:spacing w:line="249" w:lineRule="exact"/>
              <w:ind w:left="108"/>
              <w:rPr>
                <w:sz w:val="22"/>
              </w:rPr>
            </w:pPr>
            <w:r>
              <w:rPr>
                <w:sz w:val="22"/>
              </w:rPr>
              <w:t>RCS complaint investigation</w:t>
            </w:r>
          </w:p>
        </w:tc>
        <w:tc>
          <w:tcPr>
            <w:tcW w:w="2520" w:type="dxa"/>
          </w:tcPr>
          <w:p>
            <w:pPr>
              <w:pStyle w:val="TableParagraph"/>
              <w:spacing w:line="267" w:lineRule="exact"/>
              <w:ind w:left="108"/>
              <w:rPr>
                <w:sz w:val="22"/>
              </w:rPr>
            </w:pPr>
            <w:r>
              <w:rPr>
                <w:sz w:val="22"/>
              </w:rPr>
              <w:t>Revising </w:t>
            </w:r>
            <w:hyperlink r:id="rId23">
              <w:r>
                <w:rPr>
                  <w:color w:val="6B9F24"/>
                  <w:sz w:val="22"/>
                  <w:u w:val="single" w:color="6B9F24"/>
                </w:rPr>
                <w:t>WAC 388-823-</w:t>
              </w:r>
            </w:hyperlink>
          </w:p>
          <w:p>
            <w:pPr>
              <w:pStyle w:val="TableParagraph"/>
              <w:spacing w:line="249" w:lineRule="exact"/>
              <w:ind w:left="108"/>
              <w:rPr>
                <w:sz w:val="22"/>
              </w:rPr>
            </w:pPr>
            <w:hyperlink r:id="rId23">
              <w:r>
                <w:rPr>
                  <w:color w:val="6B9F24"/>
                  <w:sz w:val="22"/>
                  <w:u w:val="single" w:color="6B9F24"/>
                </w:rPr>
                <w:t>1095</w:t>
              </w:r>
              <w:r>
                <w:rPr>
                  <w:color w:val="6B9F24"/>
                  <w:sz w:val="22"/>
                </w:rPr>
                <w:t> </w:t>
              </w:r>
            </w:hyperlink>
            <w:r>
              <w:rPr>
                <w:sz w:val="22"/>
              </w:rPr>
              <w:t>to include all rights</w:t>
            </w:r>
          </w:p>
        </w:tc>
      </w:tr>
    </w:tbl>
    <w:p>
      <w:pPr>
        <w:pStyle w:val="BodyText"/>
        <w:rPr>
          <w:b/>
          <w:sz w:val="18"/>
        </w:rPr>
      </w:pPr>
      <w:r>
        <w:rPr/>
        <w:pict>
          <v:shape style="position:absolute;margin-left:70.559998pt;margin-top:13.1995pt;width:650.9pt;height:.1pt;mso-position-horizontal-relative:page;mso-position-vertical-relative:paragraph;z-index:-251626496;mso-wrap-distance-left:0;mso-wrap-distance-right:0" coordorigin="1411,264" coordsize="13018,0" path="m1411,264l14429,264e" filled="false" stroked="true" strokeweight=".481pt" strokecolor="#d9d9d9">
            <v:path arrowok="t"/>
            <v:stroke dashstyle="solid"/>
            <w10:wrap type="topAndBottom"/>
          </v:shape>
        </w:pict>
      </w:r>
    </w:p>
    <w:p>
      <w:pPr>
        <w:spacing w:after="0"/>
        <w:rPr>
          <w:sz w:val="1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9"/>
        <w:gridCol w:w="3420"/>
        <w:gridCol w:w="1382"/>
        <w:gridCol w:w="3026"/>
        <w:gridCol w:w="2520"/>
      </w:tblGrid>
      <w:tr>
        <w:trPr>
          <w:trHeight w:val="584" w:hRule="atLeast"/>
        </w:trPr>
        <w:tc>
          <w:tcPr>
            <w:tcW w:w="3439" w:type="dxa"/>
            <w:tcBorders>
              <w:bottom w:val="single" w:sz="18" w:space="0" w:color="4E8542"/>
            </w:tcBorders>
          </w:tcPr>
          <w:p>
            <w:pPr>
              <w:pStyle w:val="TableParagraph"/>
              <w:spacing w:line="292" w:lineRule="exact"/>
              <w:ind w:left="234"/>
              <w:rPr>
                <w:b/>
                <w:sz w:val="24"/>
              </w:rPr>
            </w:pPr>
            <w:r>
              <w:rPr>
                <w:b/>
                <w:sz w:val="24"/>
              </w:rPr>
              <w:t>Characteristics/Requirements</w:t>
            </w:r>
          </w:p>
        </w:tc>
        <w:tc>
          <w:tcPr>
            <w:tcW w:w="3420" w:type="dxa"/>
            <w:tcBorders>
              <w:bottom w:val="single" w:sz="18" w:space="0" w:color="4E8542"/>
            </w:tcBorders>
          </w:tcPr>
          <w:p>
            <w:pPr>
              <w:pStyle w:val="TableParagraph"/>
              <w:spacing w:line="292" w:lineRule="exact"/>
              <w:ind w:left="871"/>
              <w:rPr>
                <w:b/>
                <w:sz w:val="24"/>
              </w:rPr>
            </w:pPr>
            <w:r>
              <w:rPr>
                <w:b/>
                <w:sz w:val="24"/>
              </w:rPr>
              <w:t>Supported</w:t>
            </w:r>
            <w:r>
              <w:rPr>
                <w:b/>
                <w:spacing w:val="-6"/>
                <w:sz w:val="24"/>
              </w:rPr>
              <w:t> </w:t>
            </w:r>
            <w:r>
              <w:rPr>
                <w:b/>
                <w:sz w:val="24"/>
              </w:rPr>
              <w:t>Living</w:t>
            </w:r>
          </w:p>
          <w:p>
            <w:pPr>
              <w:pStyle w:val="TableParagraph"/>
              <w:spacing w:line="272" w:lineRule="exact"/>
              <w:ind w:left="895"/>
              <w:rPr>
                <w:b/>
                <w:sz w:val="24"/>
              </w:rPr>
            </w:pPr>
            <w:r>
              <w:rPr>
                <w:b/>
                <w:sz w:val="24"/>
              </w:rPr>
              <w:t>State</w:t>
            </w:r>
            <w:r>
              <w:rPr>
                <w:b/>
                <w:spacing w:val="-3"/>
                <w:sz w:val="24"/>
              </w:rPr>
              <w:t> </w:t>
            </w:r>
            <w:r>
              <w:rPr>
                <w:b/>
                <w:sz w:val="24"/>
              </w:rPr>
              <w:t>Evaluation</w:t>
            </w:r>
          </w:p>
        </w:tc>
        <w:tc>
          <w:tcPr>
            <w:tcW w:w="1382" w:type="dxa"/>
            <w:tcBorders>
              <w:bottom w:val="single" w:sz="18" w:space="0" w:color="4E8542"/>
            </w:tcBorders>
          </w:tcPr>
          <w:p>
            <w:pPr>
              <w:pStyle w:val="TableParagraph"/>
              <w:spacing w:line="292" w:lineRule="exact"/>
              <w:ind w:left="89" w:right="66"/>
              <w:jc w:val="center"/>
              <w:rPr>
                <w:b/>
                <w:sz w:val="24"/>
              </w:rPr>
            </w:pPr>
            <w:r>
              <w:rPr>
                <w:b/>
                <w:sz w:val="24"/>
              </w:rPr>
              <w:t>Compliance</w:t>
            </w:r>
          </w:p>
          <w:p>
            <w:pPr>
              <w:pStyle w:val="TableParagraph"/>
              <w:spacing w:line="272" w:lineRule="exact"/>
              <w:ind w:left="84" w:right="66"/>
              <w:jc w:val="center"/>
              <w:rPr>
                <w:b/>
                <w:sz w:val="24"/>
              </w:rPr>
            </w:pPr>
            <w:r>
              <w:rPr>
                <w:b/>
                <w:sz w:val="24"/>
              </w:rPr>
              <w:t>Level</w:t>
            </w:r>
          </w:p>
        </w:tc>
        <w:tc>
          <w:tcPr>
            <w:tcW w:w="3026" w:type="dxa"/>
            <w:tcBorders>
              <w:bottom w:val="single" w:sz="18" w:space="0" w:color="4E8542"/>
            </w:tcBorders>
          </w:tcPr>
          <w:p>
            <w:pPr>
              <w:pStyle w:val="TableParagraph"/>
              <w:spacing w:line="292" w:lineRule="exact"/>
              <w:ind w:left="626"/>
              <w:rPr>
                <w:b/>
                <w:sz w:val="24"/>
              </w:rPr>
            </w:pPr>
            <w:r>
              <w:rPr>
                <w:b/>
                <w:sz w:val="24"/>
              </w:rPr>
              <w:t>Oversight Process</w:t>
            </w:r>
          </w:p>
        </w:tc>
        <w:tc>
          <w:tcPr>
            <w:tcW w:w="2520" w:type="dxa"/>
            <w:tcBorders>
              <w:bottom w:val="single" w:sz="18" w:space="0" w:color="4E8542"/>
            </w:tcBorders>
          </w:tcPr>
          <w:p>
            <w:pPr>
              <w:pStyle w:val="TableParagraph"/>
              <w:spacing w:line="292" w:lineRule="exact"/>
              <w:ind w:left="619"/>
              <w:rPr>
                <w:b/>
                <w:sz w:val="24"/>
              </w:rPr>
            </w:pPr>
            <w:r>
              <w:rPr>
                <w:b/>
                <w:sz w:val="24"/>
              </w:rPr>
              <w:t>Remediation</w:t>
            </w:r>
          </w:p>
        </w:tc>
      </w:tr>
      <w:tr>
        <w:trPr>
          <w:trHeight w:val="5885" w:hRule="atLeast"/>
        </w:trPr>
        <w:tc>
          <w:tcPr>
            <w:tcW w:w="3439" w:type="dxa"/>
            <w:tcBorders>
              <w:top w:val="single" w:sz="18" w:space="0" w:color="4E8542"/>
            </w:tcBorders>
          </w:tcPr>
          <w:p>
            <w:pPr>
              <w:pStyle w:val="TableParagraph"/>
              <w:spacing w:line="245" w:lineRule="exact"/>
              <w:ind w:left="107"/>
              <w:rPr>
                <w:b/>
                <w:sz w:val="22"/>
              </w:rPr>
            </w:pPr>
            <w:r>
              <w:rPr>
                <w:b/>
                <w:sz w:val="22"/>
              </w:rPr>
              <w:t>rented or occupied under another</w:t>
            </w:r>
          </w:p>
          <w:p>
            <w:pPr>
              <w:pStyle w:val="TableParagraph"/>
              <w:ind w:left="107" w:right="244"/>
              <w:rPr>
                <w:b/>
                <w:sz w:val="22"/>
              </w:rPr>
            </w:pPr>
            <w:r>
              <w:rPr>
                <w:b/>
                <w:sz w:val="22"/>
              </w:rPr>
              <w:t>legally enforceable agreement by the individual receiving services, and the individual has, at a minimum, the same responsibilities and protections from eviction that tenants have under the landlord tenant law of the State, county, city or other designated entity.</w:t>
            </w:r>
          </w:p>
        </w:tc>
        <w:tc>
          <w:tcPr>
            <w:tcW w:w="3420" w:type="dxa"/>
            <w:tcBorders>
              <w:top w:val="single" w:sz="18" w:space="0" w:color="4E8542"/>
            </w:tcBorders>
          </w:tcPr>
          <w:p>
            <w:pPr>
              <w:pStyle w:val="TableParagraph"/>
              <w:spacing w:line="245" w:lineRule="exact"/>
              <w:ind w:left="107"/>
              <w:rPr>
                <w:sz w:val="22"/>
              </w:rPr>
            </w:pPr>
            <w:r>
              <w:rPr>
                <w:sz w:val="22"/>
              </w:rPr>
              <w:t>selected by the person and</w:t>
            </w:r>
          </w:p>
          <w:p>
            <w:pPr>
              <w:pStyle w:val="TableParagraph"/>
              <w:ind w:left="107" w:right="110"/>
              <w:rPr>
                <w:sz w:val="22"/>
              </w:rPr>
            </w:pPr>
            <w:r>
              <w:rPr>
                <w:sz w:val="22"/>
              </w:rPr>
              <w:t>controlled by a lease between the Client and the landlord under the protection of the Washington State Landlord Tenant Law.</w:t>
            </w:r>
          </w:p>
          <w:p>
            <w:pPr>
              <w:pStyle w:val="TableParagraph"/>
              <w:spacing w:before="11"/>
              <w:rPr>
                <w:b/>
                <w:sz w:val="21"/>
              </w:rPr>
            </w:pPr>
          </w:p>
          <w:p>
            <w:pPr>
              <w:pStyle w:val="TableParagraph"/>
              <w:ind w:left="107" w:right="206" w:firstLine="50"/>
              <w:rPr>
                <w:sz w:val="22"/>
              </w:rPr>
            </w:pPr>
            <w:hyperlink r:id="rId23">
              <w:r>
                <w:rPr>
                  <w:color w:val="6B9F24"/>
                  <w:sz w:val="22"/>
                  <w:u w:val="single" w:color="6B9F24"/>
                </w:rPr>
                <w:t>WAC 388-823-1095</w:t>
              </w:r>
              <w:r>
                <w:rPr>
                  <w:color w:val="6B9F24"/>
                  <w:sz w:val="22"/>
                </w:rPr>
                <w:t> </w:t>
              </w:r>
            </w:hyperlink>
            <w:r>
              <w:rPr>
                <w:sz w:val="22"/>
              </w:rPr>
              <w:t>my rights as a DDA client.</w:t>
            </w:r>
          </w:p>
          <w:p>
            <w:pPr>
              <w:pStyle w:val="TableParagraph"/>
              <w:rPr>
                <w:b/>
                <w:sz w:val="22"/>
              </w:rPr>
            </w:pPr>
          </w:p>
          <w:p>
            <w:pPr>
              <w:pStyle w:val="TableParagraph"/>
              <w:spacing w:before="1"/>
              <w:ind w:left="107" w:right="507"/>
              <w:rPr>
                <w:sz w:val="22"/>
              </w:rPr>
            </w:pPr>
            <w:r>
              <w:rPr>
                <w:sz w:val="22"/>
              </w:rPr>
              <w:t>Protection of rights is enforced through </w:t>
            </w:r>
            <w:hyperlink r:id="rId25">
              <w:r>
                <w:rPr>
                  <w:color w:val="6B9F24"/>
                  <w:sz w:val="22"/>
                  <w:u w:val="single" w:color="6B9F24"/>
                </w:rPr>
                <w:t>WAC 388-101D-0125</w:t>
              </w:r>
            </w:hyperlink>
            <w:r>
              <w:rPr>
                <w:color w:val="6B9F24"/>
                <w:sz w:val="22"/>
              </w:rPr>
              <w:t> </w:t>
            </w:r>
            <w:r>
              <w:rPr>
                <w:sz w:val="22"/>
              </w:rPr>
              <w:t>through </w:t>
            </w:r>
            <w:hyperlink r:id="rId29">
              <w:r>
                <w:rPr>
                  <w:color w:val="6B9F24"/>
                  <w:sz w:val="22"/>
                  <w:u w:val="single" w:color="6B9F24"/>
                </w:rPr>
                <w:t>WAC 388-101D-0145</w:t>
              </w:r>
            </w:hyperlink>
            <w:r>
              <w:rPr>
                <w:sz w:val="22"/>
              </w:rPr>
              <w:t>.</w:t>
            </w:r>
          </w:p>
          <w:p>
            <w:pPr>
              <w:pStyle w:val="TableParagraph"/>
              <w:ind w:left="107" w:right="181"/>
              <w:rPr>
                <w:sz w:val="22"/>
              </w:rPr>
            </w:pPr>
            <w:hyperlink r:id="rId28">
              <w:r>
                <w:rPr>
                  <w:color w:val="6B9F24"/>
                  <w:sz w:val="22"/>
                  <w:u w:val="single" w:color="6B9F24"/>
                </w:rPr>
                <w:t>WAC 388-101D-0140</w:t>
              </w:r>
              <w:r>
                <w:rPr>
                  <w:color w:val="6B9F24"/>
                  <w:sz w:val="22"/>
                </w:rPr>
                <w:t> </w:t>
              </w:r>
            </w:hyperlink>
            <w:r>
              <w:rPr>
                <w:sz w:val="22"/>
              </w:rPr>
              <w:t>requires that the service provider must adhere to individual goals identified in the participant’s person-centered service plan.</w:t>
            </w:r>
          </w:p>
          <w:p>
            <w:pPr>
              <w:pStyle w:val="TableParagraph"/>
              <w:spacing w:before="7"/>
              <w:rPr>
                <w:b/>
                <w:sz w:val="21"/>
              </w:rPr>
            </w:pPr>
          </w:p>
          <w:p>
            <w:pPr>
              <w:pStyle w:val="TableParagraph"/>
              <w:spacing w:line="268" w:lineRule="exact"/>
              <w:ind w:left="107" w:right="302"/>
              <w:rPr>
                <w:sz w:val="22"/>
              </w:rPr>
            </w:pPr>
            <w:r>
              <w:rPr>
                <w:sz w:val="22"/>
              </w:rPr>
              <w:t>Residential Guidelines and CCRSS provider contracts inform and guide the provision of CCRSS services.</w:t>
            </w:r>
          </w:p>
        </w:tc>
        <w:tc>
          <w:tcPr>
            <w:tcW w:w="1382" w:type="dxa"/>
            <w:tcBorders>
              <w:top w:val="single" w:sz="18" w:space="0" w:color="4E8542"/>
            </w:tcBorders>
          </w:tcPr>
          <w:p>
            <w:pPr>
              <w:pStyle w:val="TableParagraph"/>
              <w:rPr>
                <w:rFonts w:ascii="Times New Roman"/>
                <w:sz w:val="22"/>
              </w:rPr>
            </w:pPr>
          </w:p>
        </w:tc>
        <w:tc>
          <w:tcPr>
            <w:tcW w:w="3026" w:type="dxa"/>
            <w:tcBorders>
              <w:top w:val="single" w:sz="18" w:space="0" w:color="4E8542"/>
            </w:tcBorders>
          </w:tcPr>
          <w:p>
            <w:pPr>
              <w:pStyle w:val="TableParagraph"/>
              <w:spacing w:line="245" w:lineRule="exact"/>
              <w:ind w:left="108"/>
              <w:rPr>
                <w:sz w:val="22"/>
              </w:rPr>
            </w:pPr>
            <w:r>
              <w:rPr>
                <w:sz w:val="22"/>
              </w:rPr>
              <w:t>process described in the</w:t>
            </w:r>
          </w:p>
          <w:p>
            <w:pPr>
              <w:pStyle w:val="TableParagraph"/>
              <w:ind w:left="108" w:right="249"/>
              <w:rPr>
                <w:sz w:val="22"/>
              </w:rPr>
            </w:pPr>
            <w:r>
              <w:rPr>
                <w:sz w:val="22"/>
              </w:rPr>
              <w:t>overview, RCS Contracted Evaluators and RCS Investigators conduct client observations, client and collateral interviews, service provider and staff interviews, and client record reviews to ensure service providers’ compliance.</w:t>
            </w:r>
          </w:p>
          <w:p>
            <w:pPr>
              <w:pStyle w:val="TableParagraph"/>
              <w:rPr>
                <w:b/>
                <w:sz w:val="22"/>
              </w:rPr>
            </w:pPr>
          </w:p>
          <w:p>
            <w:pPr>
              <w:pStyle w:val="TableParagraph"/>
              <w:ind w:left="108" w:right="319"/>
              <w:jc w:val="both"/>
              <w:rPr>
                <w:sz w:val="22"/>
              </w:rPr>
            </w:pPr>
            <w:r>
              <w:rPr>
                <w:sz w:val="22"/>
              </w:rPr>
              <w:t>The DDA Residential Quality Assurance Unit is monitoring to </w:t>
            </w:r>
            <w:hyperlink r:id="rId28">
              <w:r>
                <w:rPr>
                  <w:color w:val="6B9F24"/>
                  <w:sz w:val="22"/>
                  <w:u w:val="single" w:color="6B9F24"/>
                </w:rPr>
                <w:t>WAC 388-101D-0140.</w:t>
              </w:r>
            </w:hyperlink>
          </w:p>
          <w:p>
            <w:pPr>
              <w:pStyle w:val="TableParagraph"/>
              <w:spacing w:before="11"/>
              <w:rPr>
                <w:b/>
                <w:sz w:val="21"/>
              </w:rPr>
            </w:pPr>
          </w:p>
          <w:p>
            <w:pPr>
              <w:pStyle w:val="TableParagraph"/>
              <w:ind w:left="108" w:right="181"/>
              <w:rPr>
                <w:sz w:val="22"/>
              </w:rPr>
            </w:pPr>
            <w:r>
              <w:rPr>
                <w:sz w:val="22"/>
              </w:rPr>
              <w:t>On-site inspections ensure homes meet all licensing and certification requirements in WAC and RCW, including WAC 388-823-1095.</w:t>
            </w:r>
          </w:p>
        </w:tc>
        <w:tc>
          <w:tcPr>
            <w:tcW w:w="2520" w:type="dxa"/>
            <w:tcBorders>
              <w:top w:val="single" w:sz="18" w:space="0" w:color="4E8542"/>
            </w:tcBorders>
          </w:tcPr>
          <w:p>
            <w:pPr>
              <w:pStyle w:val="TableParagraph"/>
              <w:spacing w:line="245" w:lineRule="exact"/>
              <w:ind w:left="108"/>
              <w:jc w:val="both"/>
              <w:rPr>
                <w:sz w:val="22"/>
              </w:rPr>
            </w:pPr>
            <w:r>
              <w:rPr>
                <w:sz w:val="22"/>
              </w:rPr>
              <w:t>listed in the HCBS rules</w:t>
            </w:r>
          </w:p>
          <w:p>
            <w:pPr>
              <w:pStyle w:val="TableParagraph"/>
              <w:ind w:left="108" w:right="298"/>
              <w:jc w:val="both"/>
              <w:rPr>
                <w:sz w:val="22"/>
              </w:rPr>
            </w:pPr>
            <w:r>
              <w:rPr>
                <w:sz w:val="22"/>
              </w:rPr>
              <w:t>and adding language to the contracts requiring adherence to the WAC. See </w:t>
            </w:r>
            <w:r>
              <w:rPr>
                <w:color w:val="6B9F24"/>
                <w:sz w:val="22"/>
                <w:u w:val="single" w:color="6B9F24"/>
              </w:rPr>
              <w:t>Appendix C</w:t>
            </w:r>
            <w:r>
              <w:rPr>
                <w:sz w:val="22"/>
              </w:rPr>
              <w:t>.</w:t>
            </w:r>
          </w:p>
        </w:tc>
      </w:tr>
      <w:tr>
        <w:trPr>
          <w:trHeight w:val="287" w:hRule="atLeast"/>
        </w:trPr>
        <w:tc>
          <w:tcPr>
            <w:tcW w:w="3439" w:type="dxa"/>
            <w:tcBorders>
              <w:bottom w:val="nil"/>
            </w:tcBorders>
            <w:shd w:val="clear" w:color="auto" w:fill="D0E4CA"/>
          </w:tcPr>
          <w:p>
            <w:pPr>
              <w:pStyle w:val="TableParagraph"/>
              <w:spacing w:line="267" w:lineRule="exact"/>
              <w:ind w:left="107"/>
              <w:rPr>
                <w:b/>
                <w:sz w:val="22"/>
              </w:rPr>
            </w:pPr>
            <w:r>
              <w:rPr>
                <w:b/>
                <w:sz w:val="22"/>
              </w:rPr>
              <w:t>For the small number of provider-</w:t>
            </w:r>
          </w:p>
        </w:tc>
        <w:tc>
          <w:tcPr>
            <w:tcW w:w="3420" w:type="dxa"/>
            <w:tcBorders>
              <w:bottom w:val="nil"/>
            </w:tcBorders>
            <w:shd w:val="clear" w:color="auto" w:fill="D0E4CA"/>
          </w:tcPr>
          <w:p>
            <w:pPr>
              <w:pStyle w:val="TableParagraph"/>
              <w:spacing w:line="267" w:lineRule="exact"/>
              <w:ind w:left="107"/>
              <w:rPr>
                <w:sz w:val="22"/>
              </w:rPr>
            </w:pPr>
            <w:r>
              <w:rPr>
                <w:sz w:val="22"/>
              </w:rPr>
              <w:t>DDA acknowledges that some</w:t>
            </w:r>
          </w:p>
        </w:tc>
        <w:tc>
          <w:tcPr>
            <w:tcW w:w="1382" w:type="dxa"/>
            <w:tcBorders>
              <w:bottom w:val="nil"/>
            </w:tcBorders>
            <w:shd w:val="clear" w:color="auto" w:fill="D0E4CA"/>
          </w:tcPr>
          <w:p>
            <w:pPr>
              <w:pStyle w:val="TableParagraph"/>
              <w:spacing w:line="267" w:lineRule="exact"/>
              <w:ind w:left="107"/>
              <w:rPr>
                <w:sz w:val="22"/>
              </w:rPr>
            </w:pPr>
            <w:r>
              <w:rPr>
                <w:sz w:val="22"/>
              </w:rPr>
              <w:t>Partially</w:t>
            </w:r>
          </w:p>
        </w:tc>
        <w:tc>
          <w:tcPr>
            <w:tcW w:w="3026" w:type="dxa"/>
            <w:tcBorders>
              <w:bottom w:val="nil"/>
            </w:tcBorders>
            <w:shd w:val="clear" w:color="auto" w:fill="D0E4CA"/>
          </w:tcPr>
          <w:p>
            <w:pPr>
              <w:pStyle w:val="TableParagraph"/>
              <w:spacing w:line="267" w:lineRule="exact"/>
              <w:ind w:left="108"/>
              <w:rPr>
                <w:sz w:val="22"/>
              </w:rPr>
            </w:pPr>
            <w:r>
              <w:rPr>
                <w:sz w:val="22"/>
              </w:rPr>
              <w:t>As part of the certification and</w:t>
            </w:r>
          </w:p>
        </w:tc>
        <w:tc>
          <w:tcPr>
            <w:tcW w:w="2520" w:type="dxa"/>
            <w:tcBorders>
              <w:bottom w:val="nil"/>
            </w:tcBorders>
            <w:shd w:val="clear" w:color="auto" w:fill="D0E4CA"/>
          </w:tcPr>
          <w:p>
            <w:pPr>
              <w:pStyle w:val="TableParagraph"/>
              <w:spacing w:line="267" w:lineRule="exact"/>
              <w:ind w:left="108"/>
              <w:rPr>
                <w:sz w:val="22"/>
              </w:rPr>
            </w:pPr>
            <w:r>
              <w:rPr>
                <w:sz w:val="22"/>
              </w:rPr>
              <w:t>Revising </w:t>
            </w:r>
            <w:hyperlink r:id="rId23">
              <w:r>
                <w:rPr>
                  <w:color w:val="6B9F24"/>
                  <w:sz w:val="22"/>
                  <w:u w:val="single" w:color="6B9F24"/>
                </w:rPr>
                <w:t>WAC 388-823-</w:t>
              </w:r>
            </w:hyperlink>
          </w:p>
        </w:tc>
      </w:tr>
      <w:tr>
        <w:trPr>
          <w:trHeight w:val="268" w:hRule="atLeast"/>
        </w:trPr>
        <w:tc>
          <w:tcPr>
            <w:tcW w:w="3439" w:type="dxa"/>
            <w:tcBorders>
              <w:top w:val="nil"/>
              <w:bottom w:val="nil"/>
            </w:tcBorders>
            <w:shd w:val="clear" w:color="auto" w:fill="D0E4CA"/>
          </w:tcPr>
          <w:p>
            <w:pPr>
              <w:pStyle w:val="TableParagraph"/>
              <w:spacing w:line="249" w:lineRule="exact"/>
              <w:ind w:left="107"/>
              <w:rPr>
                <w:b/>
                <w:sz w:val="22"/>
              </w:rPr>
            </w:pPr>
            <w:r>
              <w:rPr>
                <w:b/>
                <w:sz w:val="22"/>
              </w:rPr>
              <w:t>owned or controlled properties in</w:t>
            </w:r>
          </w:p>
        </w:tc>
        <w:tc>
          <w:tcPr>
            <w:tcW w:w="3420" w:type="dxa"/>
            <w:tcBorders>
              <w:top w:val="nil"/>
              <w:bottom w:val="nil"/>
            </w:tcBorders>
            <w:shd w:val="clear" w:color="auto" w:fill="D0E4CA"/>
          </w:tcPr>
          <w:p>
            <w:pPr>
              <w:pStyle w:val="TableParagraph"/>
              <w:spacing w:line="249" w:lineRule="exact"/>
              <w:ind w:left="107"/>
              <w:rPr>
                <w:sz w:val="22"/>
              </w:rPr>
            </w:pPr>
            <w:r>
              <w:rPr>
                <w:sz w:val="22"/>
              </w:rPr>
              <w:t>CCRSS residences are provider-</w:t>
            </w:r>
          </w:p>
        </w:tc>
        <w:tc>
          <w:tcPr>
            <w:tcW w:w="1382" w:type="dxa"/>
            <w:tcBorders>
              <w:top w:val="nil"/>
              <w:bottom w:val="nil"/>
            </w:tcBorders>
            <w:shd w:val="clear" w:color="auto" w:fill="D0E4CA"/>
          </w:tcPr>
          <w:p>
            <w:pPr>
              <w:pStyle w:val="TableParagraph"/>
              <w:spacing w:line="249" w:lineRule="exact"/>
              <w:ind w:left="107"/>
              <w:rPr>
                <w:sz w:val="22"/>
              </w:rPr>
            </w:pPr>
            <w:r>
              <w:rPr>
                <w:sz w:val="22"/>
              </w:rPr>
              <w:t>Compliant</w:t>
            </w:r>
          </w:p>
        </w:tc>
        <w:tc>
          <w:tcPr>
            <w:tcW w:w="3026" w:type="dxa"/>
            <w:tcBorders>
              <w:top w:val="nil"/>
              <w:bottom w:val="nil"/>
            </w:tcBorders>
            <w:shd w:val="clear" w:color="auto" w:fill="D0E4CA"/>
          </w:tcPr>
          <w:p>
            <w:pPr>
              <w:pStyle w:val="TableParagraph"/>
              <w:spacing w:line="249" w:lineRule="exact"/>
              <w:ind w:left="108"/>
              <w:rPr>
                <w:sz w:val="22"/>
              </w:rPr>
            </w:pPr>
            <w:r>
              <w:rPr>
                <w:sz w:val="22"/>
              </w:rPr>
              <w:t>RCS complaint investigation</w:t>
            </w:r>
          </w:p>
        </w:tc>
        <w:tc>
          <w:tcPr>
            <w:tcW w:w="2520" w:type="dxa"/>
            <w:tcBorders>
              <w:top w:val="nil"/>
              <w:bottom w:val="nil"/>
            </w:tcBorders>
            <w:shd w:val="clear" w:color="auto" w:fill="D0E4CA"/>
          </w:tcPr>
          <w:p>
            <w:pPr>
              <w:pStyle w:val="TableParagraph"/>
              <w:spacing w:line="249" w:lineRule="exact"/>
              <w:ind w:left="108"/>
              <w:rPr>
                <w:sz w:val="22"/>
              </w:rPr>
            </w:pPr>
            <w:hyperlink r:id="rId23">
              <w:r>
                <w:rPr>
                  <w:color w:val="6B9F24"/>
                  <w:sz w:val="22"/>
                  <w:u w:val="single" w:color="6B9F24"/>
                </w:rPr>
                <w:t>1095</w:t>
              </w:r>
              <w:r>
                <w:rPr>
                  <w:color w:val="6B9F24"/>
                  <w:sz w:val="22"/>
                </w:rPr>
                <w:t> </w:t>
              </w:r>
            </w:hyperlink>
            <w:r>
              <w:rPr>
                <w:sz w:val="22"/>
              </w:rPr>
              <w:t>to include all rights</w:t>
            </w:r>
          </w:p>
        </w:tc>
      </w:tr>
      <w:tr>
        <w:trPr>
          <w:trHeight w:val="267" w:hRule="atLeast"/>
        </w:trPr>
        <w:tc>
          <w:tcPr>
            <w:tcW w:w="3439" w:type="dxa"/>
            <w:tcBorders>
              <w:top w:val="nil"/>
              <w:bottom w:val="nil"/>
            </w:tcBorders>
            <w:shd w:val="clear" w:color="auto" w:fill="D0E4CA"/>
          </w:tcPr>
          <w:p>
            <w:pPr>
              <w:pStyle w:val="TableParagraph"/>
              <w:spacing w:line="248" w:lineRule="exact"/>
              <w:ind w:left="107"/>
              <w:rPr>
                <w:b/>
                <w:sz w:val="22"/>
              </w:rPr>
            </w:pPr>
            <w:r>
              <w:rPr>
                <w:b/>
                <w:sz w:val="22"/>
              </w:rPr>
              <w:t>this setting, safeguards are in place</w:t>
            </w:r>
          </w:p>
        </w:tc>
        <w:tc>
          <w:tcPr>
            <w:tcW w:w="3420" w:type="dxa"/>
            <w:tcBorders>
              <w:top w:val="nil"/>
              <w:bottom w:val="nil"/>
            </w:tcBorders>
            <w:shd w:val="clear" w:color="auto" w:fill="D0E4CA"/>
          </w:tcPr>
          <w:p>
            <w:pPr>
              <w:pStyle w:val="TableParagraph"/>
              <w:spacing w:line="248" w:lineRule="exact"/>
              <w:ind w:left="107"/>
              <w:rPr>
                <w:sz w:val="22"/>
              </w:rPr>
            </w:pPr>
            <w:r>
              <w:rPr>
                <w:sz w:val="22"/>
              </w:rPr>
              <w:t>owned or controlled but do meet</w:t>
            </w:r>
          </w:p>
        </w:tc>
        <w:tc>
          <w:tcPr>
            <w:tcW w:w="1382" w:type="dxa"/>
            <w:tcBorders>
              <w:top w:val="nil"/>
              <w:bottom w:val="nil"/>
            </w:tcBorders>
            <w:shd w:val="clear" w:color="auto" w:fill="D0E4CA"/>
          </w:tcPr>
          <w:p>
            <w:pPr>
              <w:pStyle w:val="TableParagraph"/>
              <w:rPr>
                <w:rFonts w:ascii="Times New Roman"/>
                <w:sz w:val="18"/>
              </w:rPr>
            </w:pPr>
          </w:p>
        </w:tc>
        <w:tc>
          <w:tcPr>
            <w:tcW w:w="3026" w:type="dxa"/>
            <w:tcBorders>
              <w:top w:val="nil"/>
              <w:bottom w:val="nil"/>
            </w:tcBorders>
            <w:shd w:val="clear" w:color="auto" w:fill="D0E4CA"/>
          </w:tcPr>
          <w:p>
            <w:pPr>
              <w:pStyle w:val="TableParagraph"/>
              <w:spacing w:line="248" w:lineRule="exact"/>
              <w:ind w:left="108"/>
              <w:rPr>
                <w:sz w:val="22"/>
              </w:rPr>
            </w:pPr>
            <w:r>
              <w:rPr>
                <w:sz w:val="22"/>
              </w:rPr>
              <w:t>process described in the</w:t>
            </w:r>
          </w:p>
        </w:tc>
        <w:tc>
          <w:tcPr>
            <w:tcW w:w="2520" w:type="dxa"/>
            <w:tcBorders>
              <w:top w:val="nil"/>
              <w:bottom w:val="nil"/>
            </w:tcBorders>
            <w:shd w:val="clear" w:color="auto" w:fill="D0E4CA"/>
          </w:tcPr>
          <w:p>
            <w:pPr>
              <w:pStyle w:val="TableParagraph"/>
              <w:spacing w:line="248" w:lineRule="exact"/>
              <w:ind w:left="108"/>
              <w:rPr>
                <w:sz w:val="22"/>
              </w:rPr>
            </w:pPr>
            <w:r>
              <w:rPr>
                <w:sz w:val="22"/>
              </w:rPr>
              <w:t>listed in the HCBS rules</w:t>
            </w:r>
          </w:p>
        </w:tc>
      </w:tr>
      <w:tr>
        <w:trPr>
          <w:trHeight w:val="267" w:hRule="atLeast"/>
        </w:trPr>
        <w:tc>
          <w:tcPr>
            <w:tcW w:w="3439" w:type="dxa"/>
            <w:tcBorders>
              <w:top w:val="nil"/>
              <w:bottom w:val="nil"/>
            </w:tcBorders>
            <w:shd w:val="clear" w:color="auto" w:fill="D0E4CA"/>
          </w:tcPr>
          <w:p>
            <w:pPr>
              <w:pStyle w:val="TableParagraph"/>
              <w:spacing w:line="247" w:lineRule="exact"/>
              <w:ind w:left="107"/>
              <w:rPr>
                <w:b/>
                <w:sz w:val="22"/>
              </w:rPr>
            </w:pPr>
            <w:r>
              <w:rPr>
                <w:b/>
                <w:sz w:val="22"/>
              </w:rPr>
              <w:t>to protect participants.</w:t>
            </w:r>
          </w:p>
        </w:tc>
        <w:tc>
          <w:tcPr>
            <w:tcW w:w="3420" w:type="dxa"/>
            <w:tcBorders>
              <w:top w:val="nil"/>
              <w:bottom w:val="nil"/>
            </w:tcBorders>
            <w:shd w:val="clear" w:color="auto" w:fill="D0E4CA"/>
          </w:tcPr>
          <w:p>
            <w:pPr>
              <w:pStyle w:val="TableParagraph"/>
              <w:spacing w:line="247" w:lineRule="exact"/>
              <w:ind w:left="107"/>
              <w:rPr>
                <w:sz w:val="22"/>
              </w:rPr>
            </w:pPr>
            <w:r>
              <w:rPr>
                <w:sz w:val="22"/>
              </w:rPr>
              <w:t>all HCBS standards.</w:t>
            </w:r>
          </w:p>
        </w:tc>
        <w:tc>
          <w:tcPr>
            <w:tcW w:w="1382" w:type="dxa"/>
            <w:tcBorders>
              <w:top w:val="nil"/>
              <w:bottom w:val="nil"/>
            </w:tcBorders>
            <w:shd w:val="clear" w:color="auto" w:fill="D0E4CA"/>
          </w:tcPr>
          <w:p>
            <w:pPr>
              <w:pStyle w:val="TableParagraph"/>
              <w:rPr>
                <w:rFonts w:ascii="Times New Roman"/>
                <w:sz w:val="18"/>
              </w:rPr>
            </w:pPr>
          </w:p>
        </w:tc>
        <w:tc>
          <w:tcPr>
            <w:tcW w:w="3026" w:type="dxa"/>
            <w:tcBorders>
              <w:top w:val="nil"/>
              <w:bottom w:val="nil"/>
            </w:tcBorders>
            <w:shd w:val="clear" w:color="auto" w:fill="D0E4CA"/>
          </w:tcPr>
          <w:p>
            <w:pPr>
              <w:pStyle w:val="TableParagraph"/>
              <w:spacing w:line="247" w:lineRule="exact"/>
              <w:ind w:left="108"/>
              <w:rPr>
                <w:sz w:val="22"/>
              </w:rPr>
            </w:pPr>
            <w:r>
              <w:rPr>
                <w:sz w:val="22"/>
              </w:rPr>
              <w:t>overview, RCS Contracted</w:t>
            </w:r>
          </w:p>
        </w:tc>
        <w:tc>
          <w:tcPr>
            <w:tcW w:w="2520" w:type="dxa"/>
            <w:tcBorders>
              <w:top w:val="nil"/>
              <w:bottom w:val="nil"/>
            </w:tcBorders>
            <w:shd w:val="clear" w:color="auto" w:fill="D0E4CA"/>
          </w:tcPr>
          <w:p>
            <w:pPr>
              <w:pStyle w:val="TableParagraph"/>
              <w:spacing w:line="247" w:lineRule="exact"/>
              <w:ind w:left="108"/>
              <w:rPr>
                <w:sz w:val="22"/>
              </w:rPr>
            </w:pPr>
            <w:r>
              <w:rPr>
                <w:sz w:val="22"/>
              </w:rPr>
              <w:t>and adding language to</w:t>
            </w:r>
          </w:p>
        </w:tc>
      </w:tr>
      <w:tr>
        <w:trPr>
          <w:trHeight w:val="268" w:hRule="atLeast"/>
        </w:trPr>
        <w:tc>
          <w:tcPr>
            <w:tcW w:w="3439" w:type="dxa"/>
            <w:tcBorders>
              <w:top w:val="nil"/>
              <w:bottom w:val="nil"/>
            </w:tcBorders>
            <w:shd w:val="clear" w:color="auto" w:fill="D0E4CA"/>
          </w:tcPr>
          <w:p>
            <w:pPr>
              <w:pStyle w:val="TableParagraph"/>
              <w:rPr>
                <w:rFonts w:ascii="Times New Roman"/>
                <w:sz w:val="18"/>
              </w:rPr>
            </w:pPr>
          </w:p>
        </w:tc>
        <w:tc>
          <w:tcPr>
            <w:tcW w:w="3420" w:type="dxa"/>
            <w:tcBorders>
              <w:top w:val="nil"/>
              <w:bottom w:val="nil"/>
            </w:tcBorders>
            <w:shd w:val="clear" w:color="auto" w:fill="D0E4CA"/>
          </w:tcPr>
          <w:p>
            <w:pPr>
              <w:pStyle w:val="TableParagraph"/>
              <w:rPr>
                <w:rFonts w:ascii="Times New Roman"/>
                <w:sz w:val="18"/>
              </w:rPr>
            </w:pPr>
          </w:p>
        </w:tc>
        <w:tc>
          <w:tcPr>
            <w:tcW w:w="1382" w:type="dxa"/>
            <w:tcBorders>
              <w:top w:val="nil"/>
              <w:bottom w:val="nil"/>
            </w:tcBorders>
            <w:shd w:val="clear" w:color="auto" w:fill="D0E4CA"/>
          </w:tcPr>
          <w:p>
            <w:pPr>
              <w:pStyle w:val="TableParagraph"/>
              <w:rPr>
                <w:rFonts w:ascii="Times New Roman"/>
                <w:sz w:val="18"/>
              </w:rPr>
            </w:pPr>
          </w:p>
        </w:tc>
        <w:tc>
          <w:tcPr>
            <w:tcW w:w="3026" w:type="dxa"/>
            <w:tcBorders>
              <w:top w:val="nil"/>
              <w:bottom w:val="nil"/>
            </w:tcBorders>
            <w:shd w:val="clear" w:color="auto" w:fill="D0E4CA"/>
          </w:tcPr>
          <w:p>
            <w:pPr>
              <w:pStyle w:val="TableParagraph"/>
              <w:spacing w:line="249" w:lineRule="exact"/>
              <w:ind w:left="108"/>
              <w:rPr>
                <w:sz w:val="22"/>
              </w:rPr>
            </w:pPr>
            <w:r>
              <w:rPr>
                <w:sz w:val="22"/>
              </w:rPr>
              <w:t>Evaluators and RCS</w:t>
            </w:r>
          </w:p>
        </w:tc>
        <w:tc>
          <w:tcPr>
            <w:tcW w:w="2520" w:type="dxa"/>
            <w:tcBorders>
              <w:top w:val="nil"/>
              <w:bottom w:val="nil"/>
            </w:tcBorders>
            <w:shd w:val="clear" w:color="auto" w:fill="D0E4CA"/>
          </w:tcPr>
          <w:p>
            <w:pPr>
              <w:pStyle w:val="TableParagraph"/>
              <w:spacing w:line="249" w:lineRule="exact"/>
              <w:ind w:left="108"/>
              <w:rPr>
                <w:sz w:val="22"/>
              </w:rPr>
            </w:pPr>
            <w:r>
              <w:rPr>
                <w:sz w:val="22"/>
              </w:rPr>
              <w:t>the contracts requiring</w:t>
            </w:r>
          </w:p>
        </w:tc>
      </w:tr>
      <w:tr>
        <w:trPr>
          <w:trHeight w:val="268" w:hRule="atLeast"/>
        </w:trPr>
        <w:tc>
          <w:tcPr>
            <w:tcW w:w="3439" w:type="dxa"/>
            <w:tcBorders>
              <w:top w:val="nil"/>
              <w:bottom w:val="nil"/>
            </w:tcBorders>
            <w:shd w:val="clear" w:color="auto" w:fill="D0E4CA"/>
          </w:tcPr>
          <w:p>
            <w:pPr>
              <w:pStyle w:val="TableParagraph"/>
              <w:rPr>
                <w:rFonts w:ascii="Times New Roman"/>
                <w:sz w:val="18"/>
              </w:rPr>
            </w:pPr>
          </w:p>
        </w:tc>
        <w:tc>
          <w:tcPr>
            <w:tcW w:w="3420" w:type="dxa"/>
            <w:tcBorders>
              <w:top w:val="nil"/>
              <w:bottom w:val="nil"/>
            </w:tcBorders>
            <w:shd w:val="clear" w:color="auto" w:fill="D0E4CA"/>
          </w:tcPr>
          <w:p>
            <w:pPr>
              <w:pStyle w:val="TableParagraph"/>
              <w:rPr>
                <w:rFonts w:ascii="Times New Roman"/>
                <w:sz w:val="18"/>
              </w:rPr>
            </w:pPr>
          </w:p>
        </w:tc>
        <w:tc>
          <w:tcPr>
            <w:tcW w:w="1382" w:type="dxa"/>
            <w:tcBorders>
              <w:top w:val="nil"/>
              <w:bottom w:val="nil"/>
            </w:tcBorders>
            <w:shd w:val="clear" w:color="auto" w:fill="D0E4CA"/>
          </w:tcPr>
          <w:p>
            <w:pPr>
              <w:pStyle w:val="TableParagraph"/>
              <w:rPr>
                <w:rFonts w:ascii="Times New Roman"/>
                <w:sz w:val="18"/>
              </w:rPr>
            </w:pPr>
          </w:p>
        </w:tc>
        <w:tc>
          <w:tcPr>
            <w:tcW w:w="3026" w:type="dxa"/>
            <w:tcBorders>
              <w:top w:val="nil"/>
              <w:bottom w:val="nil"/>
            </w:tcBorders>
            <w:shd w:val="clear" w:color="auto" w:fill="D0E4CA"/>
          </w:tcPr>
          <w:p>
            <w:pPr>
              <w:pStyle w:val="TableParagraph"/>
              <w:spacing w:line="249" w:lineRule="exact"/>
              <w:ind w:left="108"/>
              <w:rPr>
                <w:sz w:val="22"/>
              </w:rPr>
            </w:pPr>
            <w:r>
              <w:rPr>
                <w:sz w:val="22"/>
              </w:rPr>
              <w:t>Investigators conduct client</w:t>
            </w:r>
          </w:p>
        </w:tc>
        <w:tc>
          <w:tcPr>
            <w:tcW w:w="2520" w:type="dxa"/>
            <w:tcBorders>
              <w:top w:val="nil"/>
              <w:bottom w:val="nil"/>
            </w:tcBorders>
            <w:shd w:val="clear" w:color="auto" w:fill="D0E4CA"/>
          </w:tcPr>
          <w:p>
            <w:pPr>
              <w:pStyle w:val="TableParagraph"/>
              <w:spacing w:line="249" w:lineRule="exact"/>
              <w:ind w:left="108"/>
              <w:rPr>
                <w:sz w:val="22"/>
              </w:rPr>
            </w:pPr>
            <w:r>
              <w:rPr>
                <w:sz w:val="22"/>
              </w:rPr>
              <w:t>adherence to the WAC.</w:t>
            </w:r>
          </w:p>
        </w:tc>
      </w:tr>
      <w:tr>
        <w:trPr>
          <w:trHeight w:val="268" w:hRule="atLeast"/>
        </w:trPr>
        <w:tc>
          <w:tcPr>
            <w:tcW w:w="3439" w:type="dxa"/>
            <w:tcBorders>
              <w:top w:val="nil"/>
              <w:bottom w:val="nil"/>
            </w:tcBorders>
            <w:shd w:val="clear" w:color="auto" w:fill="D0E4CA"/>
          </w:tcPr>
          <w:p>
            <w:pPr>
              <w:pStyle w:val="TableParagraph"/>
              <w:rPr>
                <w:rFonts w:ascii="Times New Roman"/>
                <w:sz w:val="18"/>
              </w:rPr>
            </w:pPr>
          </w:p>
        </w:tc>
        <w:tc>
          <w:tcPr>
            <w:tcW w:w="3420" w:type="dxa"/>
            <w:tcBorders>
              <w:top w:val="nil"/>
              <w:bottom w:val="nil"/>
            </w:tcBorders>
            <w:shd w:val="clear" w:color="auto" w:fill="D0E4CA"/>
          </w:tcPr>
          <w:p>
            <w:pPr>
              <w:pStyle w:val="TableParagraph"/>
              <w:rPr>
                <w:rFonts w:ascii="Times New Roman"/>
                <w:sz w:val="18"/>
              </w:rPr>
            </w:pPr>
          </w:p>
        </w:tc>
        <w:tc>
          <w:tcPr>
            <w:tcW w:w="1382" w:type="dxa"/>
            <w:tcBorders>
              <w:top w:val="nil"/>
              <w:bottom w:val="nil"/>
            </w:tcBorders>
            <w:shd w:val="clear" w:color="auto" w:fill="D0E4CA"/>
          </w:tcPr>
          <w:p>
            <w:pPr>
              <w:pStyle w:val="TableParagraph"/>
              <w:rPr>
                <w:rFonts w:ascii="Times New Roman"/>
                <w:sz w:val="18"/>
              </w:rPr>
            </w:pPr>
          </w:p>
        </w:tc>
        <w:tc>
          <w:tcPr>
            <w:tcW w:w="3026" w:type="dxa"/>
            <w:tcBorders>
              <w:top w:val="nil"/>
              <w:bottom w:val="nil"/>
            </w:tcBorders>
            <w:shd w:val="clear" w:color="auto" w:fill="D0E4CA"/>
          </w:tcPr>
          <w:p>
            <w:pPr>
              <w:pStyle w:val="TableParagraph"/>
              <w:spacing w:line="249" w:lineRule="exact"/>
              <w:ind w:left="108"/>
              <w:rPr>
                <w:sz w:val="22"/>
              </w:rPr>
            </w:pPr>
            <w:r>
              <w:rPr>
                <w:sz w:val="22"/>
              </w:rPr>
              <w:t>observations, client and</w:t>
            </w:r>
          </w:p>
        </w:tc>
        <w:tc>
          <w:tcPr>
            <w:tcW w:w="2520" w:type="dxa"/>
            <w:tcBorders>
              <w:top w:val="nil"/>
              <w:bottom w:val="nil"/>
            </w:tcBorders>
            <w:shd w:val="clear" w:color="auto" w:fill="D0E4CA"/>
          </w:tcPr>
          <w:p>
            <w:pPr>
              <w:pStyle w:val="TableParagraph"/>
              <w:spacing w:line="249" w:lineRule="exact"/>
              <w:ind w:left="108"/>
              <w:rPr>
                <w:sz w:val="22"/>
              </w:rPr>
            </w:pPr>
            <w:r>
              <w:rPr>
                <w:sz w:val="22"/>
              </w:rPr>
              <w:t>See </w:t>
            </w:r>
            <w:r>
              <w:rPr>
                <w:color w:val="6B9F24"/>
                <w:sz w:val="22"/>
                <w:u w:val="single" w:color="6B9F24"/>
              </w:rPr>
              <w:t>Appendix C</w:t>
            </w:r>
            <w:r>
              <w:rPr>
                <w:sz w:val="22"/>
              </w:rPr>
              <w:t>.</w:t>
            </w:r>
          </w:p>
        </w:tc>
      </w:tr>
      <w:tr>
        <w:trPr>
          <w:trHeight w:val="268" w:hRule="atLeast"/>
        </w:trPr>
        <w:tc>
          <w:tcPr>
            <w:tcW w:w="3439" w:type="dxa"/>
            <w:tcBorders>
              <w:top w:val="nil"/>
              <w:bottom w:val="nil"/>
            </w:tcBorders>
            <w:shd w:val="clear" w:color="auto" w:fill="D0E4CA"/>
          </w:tcPr>
          <w:p>
            <w:pPr>
              <w:pStyle w:val="TableParagraph"/>
              <w:rPr>
                <w:rFonts w:ascii="Times New Roman"/>
                <w:sz w:val="18"/>
              </w:rPr>
            </w:pPr>
          </w:p>
        </w:tc>
        <w:tc>
          <w:tcPr>
            <w:tcW w:w="3420" w:type="dxa"/>
            <w:tcBorders>
              <w:top w:val="nil"/>
              <w:bottom w:val="nil"/>
            </w:tcBorders>
            <w:shd w:val="clear" w:color="auto" w:fill="D0E4CA"/>
          </w:tcPr>
          <w:p>
            <w:pPr>
              <w:pStyle w:val="TableParagraph"/>
              <w:rPr>
                <w:rFonts w:ascii="Times New Roman"/>
                <w:sz w:val="18"/>
              </w:rPr>
            </w:pPr>
          </w:p>
        </w:tc>
        <w:tc>
          <w:tcPr>
            <w:tcW w:w="1382" w:type="dxa"/>
            <w:tcBorders>
              <w:top w:val="nil"/>
              <w:bottom w:val="nil"/>
            </w:tcBorders>
            <w:shd w:val="clear" w:color="auto" w:fill="D0E4CA"/>
          </w:tcPr>
          <w:p>
            <w:pPr>
              <w:pStyle w:val="TableParagraph"/>
              <w:rPr>
                <w:rFonts w:ascii="Times New Roman"/>
                <w:sz w:val="18"/>
              </w:rPr>
            </w:pPr>
          </w:p>
        </w:tc>
        <w:tc>
          <w:tcPr>
            <w:tcW w:w="3026" w:type="dxa"/>
            <w:tcBorders>
              <w:top w:val="nil"/>
              <w:bottom w:val="nil"/>
            </w:tcBorders>
            <w:shd w:val="clear" w:color="auto" w:fill="D0E4CA"/>
          </w:tcPr>
          <w:p>
            <w:pPr>
              <w:pStyle w:val="TableParagraph"/>
              <w:spacing w:line="249" w:lineRule="exact"/>
              <w:ind w:left="108"/>
              <w:rPr>
                <w:sz w:val="22"/>
              </w:rPr>
            </w:pPr>
            <w:r>
              <w:rPr>
                <w:sz w:val="22"/>
              </w:rPr>
              <w:t>collateral interviews, service</w:t>
            </w:r>
          </w:p>
        </w:tc>
        <w:tc>
          <w:tcPr>
            <w:tcW w:w="2520" w:type="dxa"/>
            <w:tcBorders>
              <w:top w:val="nil"/>
              <w:bottom w:val="nil"/>
            </w:tcBorders>
            <w:shd w:val="clear" w:color="auto" w:fill="D0E4CA"/>
          </w:tcPr>
          <w:p>
            <w:pPr>
              <w:pStyle w:val="TableParagraph"/>
              <w:rPr>
                <w:rFonts w:ascii="Times New Roman"/>
                <w:sz w:val="18"/>
              </w:rPr>
            </w:pPr>
          </w:p>
        </w:tc>
      </w:tr>
      <w:tr>
        <w:trPr>
          <w:trHeight w:val="249" w:hRule="atLeast"/>
        </w:trPr>
        <w:tc>
          <w:tcPr>
            <w:tcW w:w="3439" w:type="dxa"/>
            <w:tcBorders>
              <w:top w:val="nil"/>
            </w:tcBorders>
            <w:shd w:val="clear" w:color="auto" w:fill="D0E4CA"/>
          </w:tcPr>
          <w:p>
            <w:pPr>
              <w:pStyle w:val="TableParagraph"/>
              <w:rPr>
                <w:rFonts w:ascii="Times New Roman"/>
                <w:sz w:val="18"/>
              </w:rPr>
            </w:pPr>
          </w:p>
        </w:tc>
        <w:tc>
          <w:tcPr>
            <w:tcW w:w="3420" w:type="dxa"/>
            <w:tcBorders>
              <w:top w:val="nil"/>
            </w:tcBorders>
            <w:shd w:val="clear" w:color="auto" w:fill="D0E4CA"/>
          </w:tcPr>
          <w:p>
            <w:pPr>
              <w:pStyle w:val="TableParagraph"/>
              <w:rPr>
                <w:rFonts w:ascii="Times New Roman"/>
                <w:sz w:val="18"/>
              </w:rPr>
            </w:pPr>
          </w:p>
        </w:tc>
        <w:tc>
          <w:tcPr>
            <w:tcW w:w="1382" w:type="dxa"/>
            <w:tcBorders>
              <w:top w:val="nil"/>
            </w:tcBorders>
            <w:shd w:val="clear" w:color="auto" w:fill="D0E4CA"/>
          </w:tcPr>
          <w:p>
            <w:pPr>
              <w:pStyle w:val="TableParagraph"/>
              <w:rPr>
                <w:rFonts w:ascii="Times New Roman"/>
                <w:sz w:val="18"/>
              </w:rPr>
            </w:pPr>
          </w:p>
        </w:tc>
        <w:tc>
          <w:tcPr>
            <w:tcW w:w="3026" w:type="dxa"/>
            <w:tcBorders>
              <w:top w:val="nil"/>
            </w:tcBorders>
            <w:shd w:val="clear" w:color="auto" w:fill="D0E4CA"/>
          </w:tcPr>
          <w:p>
            <w:pPr>
              <w:pStyle w:val="TableParagraph"/>
              <w:spacing w:line="229" w:lineRule="exact"/>
              <w:ind w:left="108"/>
              <w:rPr>
                <w:sz w:val="22"/>
              </w:rPr>
            </w:pPr>
            <w:r>
              <w:rPr>
                <w:sz w:val="22"/>
              </w:rPr>
              <w:t>provider and staff interviews,</w:t>
            </w:r>
          </w:p>
        </w:tc>
        <w:tc>
          <w:tcPr>
            <w:tcW w:w="2520" w:type="dxa"/>
            <w:tcBorders>
              <w:top w:val="nil"/>
            </w:tcBorders>
            <w:shd w:val="clear" w:color="auto" w:fill="D0E4CA"/>
          </w:tcPr>
          <w:p>
            <w:pPr>
              <w:pStyle w:val="TableParagraph"/>
              <w:rPr>
                <w:rFonts w:ascii="Times New Roman"/>
                <w:sz w:val="18"/>
              </w:rPr>
            </w:pPr>
          </w:p>
        </w:tc>
      </w:tr>
    </w:tbl>
    <w:p>
      <w:pPr>
        <w:pStyle w:val="BodyText"/>
        <w:rPr>
          <w:b/>
          <w:sz w:val="16"/>
        </w:rPr>
      </w:pPr>
      <w:r>
        <w:rPr/>
        <w:pict>
          <v:shape style="position:absolute;margin-left:70.559998pt;margin-top:11.9995pt;width:650.9pt;height:.1pt;mso-position-horizontal-relative:page;mso-position-vertical-relative:paragraph;z-index:-251625472;mso-wrap-distance-left:0;mso-wrap-distance-right:0" coordorigin="1411,240" coordsize="13018,0" path="m1411,240l14429,240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9"/>
        <w:gridCol w:w="3420"/>
        <w:gridCol w:w="1382"/>
        <w:gridCol w:w="3026"/>
        <w:gridCol w:w="2520"/>
      </w:tblGrid>
      <w:tr>
        <w:trPr>
          <w:trHeight w:val="584" w:hRule="atLeast"/>
        </w:trPr>
        <w:tc>
          <w:tcPr>
            <w:tcW w:w="3439" w:type="dxa"/>
            <w:tcBorders>
              <w:bottom w:val="single" w:sz="18" w:space="0" w:color="4E8542"/>
            </w:tcBorders>
          </w:tcPr>
          <w:p>
            <w:pPr>
              <w:pStyle w:val="TableParagraph"/>
              <w:spacing w:line="292" w:lineRule="exact"/>
              <w:ind w:left="234"/>
              <w:rPr>
                <w:b/>
                <w:sz w:val="24"/>
              </w:rPr>
            </w:pPr>
            <w:r>
              <w:rPr>
                <w:b/>
                <w:sz w:val="24"/>
              </w:rPr>
              <w:t>Characteristics/Requirements</w:t>
            </w:r>
          </w:p>
        </w:tc>
        <w:tc>
          <w:tcPr>
            <w:tcW w:w="3420" w:type="dxa"/>
            <w:tcBorders>
              <w:bottom w:val="single" w:sz="18" w:space="0" w:color="4E8542"/>
            </w:tcBorders>
          </w:tcPr>
          <w:p>
            <w:pPr>
              <w:pStyle w:val="TableParagraph"/>
              <w:spacing w:line="292" w:lineRule="exact"/>
              <w:ind w:left="871"/>
              <w:rPr>
                <w:b/>
                <w:sz w:val="24"/>
              </w:rPr>
            </w:pPr>
            <w:r>
              <w:rPr>
                <w:b/>
                <w:sz w:val="24"/>
              </w:rPr>
              <w:t>Supported</w:t>
            </w:r>
            <w:r>
              <w:rPr>
                <w:b/>
                <w:spacing w:val="-6"/>
                <w:sz w:val="24"/>
              </w:rPr>
              <w:t> </w:t>
            </w:r>
            <w:r>
              <w:rPr>
                <w:b/>
                <w:sz w:val="24"/>
              </w:rPr>
              <w:t>Living</w:t>
            </w:r>
          </w:p>
          <w:p>
            <w:pPr>
              <w:pStyle w:val="TableParagraph"/>
              <w:spacing w:line="272" w:lineRule="exact"/>
              <w:ind w:left="895"/>
              <w:rPr>
                <w:b/>
                <w:sz w:val="24"/>
              </w:rPr>
            </w:pPr>
            <w:r>
              <w:rPr>
                <w:b/>
                <w:sz w:val="24"/>
              </w:rPr>
              <w:t>State</w:t>
            </w:r>
            <w:r>
              <w:rPr>
                <w:b/>
                <w:spacing w:val="-3"/>
                <w:sz w:val="24"/>
              </w:rPr>
              <w:t> </w:t>
            </w:r>
            <w:r>
              <w:rPr>
                <w:b/>
                <w:sz w:val="24"/>
              </w:rPr>
              <w:t>Evaluation</w:t>
            </w:r>
          </w:p>
        </w:tc>
        <w:tc>
          <w:tcPr>
            <w:tcW w:w="1382" w:type="dxa"/>
            <w:tcBorders>
              <w:bottom w:val="single" w:sz="18" w:space="0" w:color="4E8542"/>
            </w:tcBorders>
          </w:tcPr>
          <w:p>
            <w:pPr>
              <w:pStyle w:val="TableParagraph"/>
              <w:spacing w:line="292" w:lineRule="exact"/>
              <w:ind w:left="89" w:right="66"/>
              <w:jc w:val="center"/>
              <w:rPr>
                <w:b/>
                <w:sz w:val="24"/>
              </w:rPr>
            </w:pPr>
            <w:r>
              <w:rPr>
                <w:b/>
                <w:sz w:val="24"/>
              </w:rPr>
              <w:t>Compliance</w:t>
            </w:r>
          </w:p>
          <w:p>
            <w:pPr>
              <w:pStyle w:val="TableParagraph"/>
              <w:spacing w:line="272" w:lineRule="exact"/>
              <w:ind w:left="84" w:right="66"/>
              <w:jc w:val="center"/>
              <w:rPr>
                <w:b/>
                <w:sz w:val="24"/>
              </w:rPr>
            </w:pPr>
            <w:r>
              <w:rPr>
                <w:b/>
                <w:sz w:val="24"/>
              </w:rPr>
              <w:t>Level</w:t>
            </w:r>
          </w:p>
        </w:tc>
        <w:tc>
          <w:tcPr>
            <w:tcW w:w="3026" w:type="dxa"/>
            <w:tcBorders>
              <w:bottom w:val="single" w:sz="18" w:space="0" w:color="4E8542"/>
            </w:tcBorders>
          </w:tcPr>
          <w:p>
            <w:pPr>
              <w:pStyle w:val="TableParagraph"/>
              <w:spacing w:line="292" w:lineRule="exact"/>
              <w:ind w:left="626"/>
              <w:rPr>
                <w:b/>
                <w:sz w:val="24"/>
              </w:rPr>
            </w:pPr>
            <w:r>
              <w:rPr>
                <w:b/>
                <w:sz w:val="24"/>
              </w:rPr>
              <w:t>Oversight Process</w:t>
            </w:r>
          </w:p>
        </w:tc>
        <w:tc>
          <w:tcPr>
            <w:tcW w:w="2520" w:type="dxa"/>
            <w:tcBorders>
              <w:bottom w:val="single" w:sz="18" w:space="0" w:color="4E8542"/>
            </w:tcBorders>
          </w:tcPr>
          <w:p>
            <w:pPr>
              <w:pStyle w:val="TableParagraph"/>
              <w:spacing w:line="292" w:lineRule="exact"/>
              <w:ind w:left="619"/>
              <w:rPr>
                <w:b/>
                <w:sz w:val="24"/>
              </w:rPr>
            </w:pPr>
            <w:r>
              <w:rPr>
                <w:b/>
                <w:sz w:val="24"/>
              </w:rPr>
              <w:t>Remediation</w:t>
            </w:r>
          </w:p>
        </w:tc>
      </w:tr>
      <w:tr>
        <w:trPr>
          <w:trHeight w:val="8069" w:hRule="atLeast"/>
        </w:trPr>
        <w:tc>
          <w:tcPr>
            <w:tcW w:w="3439" w:type="dxa"/>
            <w:tcBorders>
              <w:top w:val="single" w:sz="18" w:space="0" w:color="4E8542"/>
            </w:tcBorders>
            <w:shd w:val="clear" w:color="auto" w:fill="D0E4CA"/>
          </w:tcPr>
          <w:p>
            <w:pPr>
              <w:pStyle w:val="TableParagraph"/>
              <w:rPr>
                <w:rFonts w:ascii="Times New Roman"/>
                <w:sz w:val="22"/>
              </w:rPr>
            </w:pPr>
          </w:p>
        </w:tc>
        <w:tc>
          <w:tcPr>
            <w:tcW w:w="3420" w:type="dxa"/>
            <w:tcBorders>
              <w:top w:val="single" w:sz="18" w:space="0" w:color="4E8542"/>
            </w:tcBorders>
            <w:shd w:val="clear" w:color="auto" w:fill="D0E4CA"/>
          </w:tcPr>
          <w:p>
            <w:pPr>
              <w:pStyle w:val="TableParagraph"/>
              <w:rPr>
                <w:rFonts w:ascii="Times New Roman"/>
                <w:sz w:val="22"/>
              </w:rPr>
            </w:pPr>
          </w:p>
        </w:tc>
        <w:tc>
          <w:tcPr>
            <w:tcW w:w="1382" w:type="dxa"/>
            <w:tcBorders>
              <w:top w:val="single" w:sz="18" w:space="0" w:color="4E8542"/>
            </w:tcBorders>
            <w:shd w:val="clear" w:color="auto" w:fill="D0E4CA"/>
          </w:tcPr>
          <w:p>
            <w:pPr>
              <w:pStyle w:val="TableParagraph"/>
              <w:rPr>
                <w:rFonts w:ascii="Times New Roman"/>
                <w:sz w:val="22"/>
              </w:rPr>
            </w:pPr>
          </w:p>
        </w:tc>
        <w:tc>
          <w:tcPr>
            <w:tcW w:w="3026" w:type="dxa"/>
            <w:tcBorders>
              <w:top w:val="single" w:sz="18" w:space="0" w:color="4E8542"/>
            </w:tcBorders>
            <w:shd w:val="clear" w:color="auto" w:fill="D0E4CA"/>
          </w:tcPr>
          <w:p>
            <w:pPr>
              <w:pStyle w:val="TableParagraph"/>
              <w:spacing w:line="245" w:lineRule="exact"/>
              <w:ind w:left="108"/>
              <w:rPr>
                <w:sz w:val="22"/>
              </w:rPr>
            </w:pPr>
            <w:r>
              <w:rPr>
                <w:sz w:val="22"/>
              </w:rPr>
              <w:t>and client record reviews to</w:t>
            </w:r>
          </w:p>
          <w:p>
            <w:pPr>
              <w:pStyle w:val="TableParagraph"/>
              <w:spacing w:line="237" w:lineRule="auto" w:before="2"/>
              <w:ind w:left="108" w:right="640"/>
              <w:rPr>
                <w:sz w:val="22"/>
              </w:rPr>
            </w:pPr>
            <w:r>
              <w:rPr>
                <w:sz w:val="22"/>
              </w:rPr>
              <w:t>ensure service providers’ compliance.</w:t>
            </w:r>
          </w:p>
          <w:p>
            <w:pPr>
              <w:pStyle w:val="TableParagraph"/>
              <w:spacing w:before="1"/>
              <w:rPr>
                <w:b/>
                <w:sz w:val="22"/>
              </w:rPr>
            </w:pPr>
          </w:p>
          <w:p>
            <w:pPr>
              <w:pStyle w:val="TableParagraph"/>
              <w:spacing w:before="1"/>
              <w:ind w:left="108" w:right="302"/>
              <w:rPr>
                <w:sz w:val="22"/>
              </w:rPr>
            </w:pPr>
            <w:r>
              <w:rPr>
                <w:sz w:val="22"/>
              </w:rPr>
              <w:t>The DDA Residential Quality Assurance Unit is monitoring to Chapter </w:t>
            </w:r>
            <w:hyperlink r:id="rId28">
              <w:r>
                <w:rPr>
                  <w:color w:val="6B9F24"/>
                  <w:sz w:val="22"/>
                  <w:u w:val="single" w:color="6B9F24"/>
                </w:rPr>
                <w:t>WAC 388-101D-</w:t>
              </w:r>
            </w:hyperlink>
            <w:r>
              <w:rPr>
                <w:color w:val="6B9F24"/>
                <w:sz w:val="22"/>
              </w:rPr>
              <w:t> </w:t>
            </w:r>
            <w:hyperlink r:id="rId28">
              <w:r>
                <w:rPr>
                  <w:color w:val="6B9F24"/>
                  <w:sz w:val="22"/>
                  <w:u w:val="single" w:color="6B9F24"/>
                </w:rPr>
                <w:t>0140.</w:t>
              </w:r>
            </w:hyperlink>
          </w:p>
          <w:p>
            <w:pPr>
              <w:pStyle w:val="TableParagraph"/>
              <w:spacing w:before="1"/>
              <w:rPr>
                <w:b/>
                <w:sz w:val="22"/>
              </w:rPr>
            </w:pPr>
          </w:p>
          <w:p>
            <w:pPr>
              <w:pStyle w:val="TableParagraph"/>
              <w:ind w:left="108" w:right="109"/>
              <w:rPr>
                <w:sz w:val="22"/>
              </w:rPr>
            </w:pPr>
            <w:r>
              <w:rPr>
                <w:sz w:val="22"/>
              </w:rPr>
              <w:t>Safeguards for provider owned or controlled housing already in place include:</w:t>
            </w:r>
          </w:p>
          <w:p>
            <w:pPr>
              <w:pStyle w:val="TableParagraph"/>
              <w:ind w:left="108" w:right="124"/>
              <w:rPr>
                <w:sz w:val="22"/>
              </w:rPr>
            </w:pPr>
            <w:r>
              <w:rPr>
                <w:sz w:val="22"/>
              </w:rPr>
              <w:t>(1) A Provider-Owned Housing Memorandum of Understanding between the participant and provider which includes the following rights:</w:t>
            </w:r>
          </w:p>
          <w:p>
            <w:pPr>
              <w:pStyle w:val="TableParagraph"/>
              <w:numPr>
                <w:ilvl w:val="0"/>
                <w:numId w:val="6"/>
              </w:numPr>
              <w:tabs>
                <w:tab w:pos="468" w:val="left" w:leader="none"/>
                <w:tab w:pos="469" w:val="left" w:leader="none"/>
              </w:tabs>
              <w:spacing w:line="240" w:lineRule="auto" w:before="0" w:after="0"/>
              <w:ind w:left="468" w:right="242" w:hanging="360"/>
              <w:jc w:val="left"/>
              <w:rPr>
                <w:sz w:val="22"/>
              </w:rPr>
            </w:pPr>
            <w:r>
              <w:rPr>
                <w:sz w:val="22"/>
              </w:rPr>
              <w:t>Client has the right to live wherever they choose within the service</w:t>
            </w:r>
            <w:r>
              <w:rPr>
                <w:spacing w:val="-6"/>
                <w:sz w:val="22"/>
              </w:rPr>
              <w:t> </w:t>
            </w:r>
            <w:r>
              <w:rPr>
                <w:sz w:val="22"/>
              </w:rPr>
              <w:t>area</w:t>
            </w:r>
          </w:p>
          <w:p>
            <w:pPr>
              <w:pStyle w:val="TableParagraph"/>
              <w:numPr>
                <w:ilvl w:val="0"/>
                <w:numId w:val="6"/>
              </w:numPr>
              <w:tabs>
                <w:tab w:pos="468" w:val="left" w:leader="none"/>
                <w:tab w:pos="469" w:val="left" w:leader="none"/>
              </w:tabs>
              <w:spacing w:line="240" w:lineRule="auto" w:before="0" w:after="0"/>
              <w:ind w:left="468" w:right="126" w:hanging="360"/>
              <w:jc w:val="left"/>
              <w:rPr>
                <w:sz w:val="22"/>
              </w:rPr>
            </w:pPr>
            <w:r>
              <w:rPr>
                <w:sz w:val="22"/>
              </w:rPr>
              <w:t>Client has the right to move from a provider owned home and continue to receive SL services with the provider</w:t>
            </w:r>
          </w:p>
          <w:p>
            <w:pPr>
              <w:pStyle w:val="TableParagraph"/>
              <w:numPr>
                <w:ilvl w:val="0"/>
                <w:numId w:val="6"/>
              </w:numPr>
              <w:tabs>
                <w:tab w:pos="468" w:val="left" w:leader="none"/>
                <w:tab w:pos="469" w:val="left" w:leader="none"/>
              </w:tabs>
              <w:spacing w:line="240" w:lineRule="auto" w:before="0" w:after="0"/>
              <w:ind w:left="468" w:right="133" w:hanging="360"/>
              <w:jc w:val="left"/>
              <w:rPr>
                <w:sz w:val="22"/>
              </w:rPr>
            </w:pPr>
            <w:r>
              <w:rPr>
                <w:sz w:val="22"/>
              </w:rPr>
              <w:t>Client is aware that service provision with the SL provider is not contingent upon residing in a</w:t>
            </w:r>
            <w:r>
              <w:rPr>
                <w:spacing w:val="-8"/>
                <w:sz w:val="22"/>
              </w:rPr>
              <w:t> </w:t>
            </w:r>
            <w:r>
              <w:rPr>
                <w:sz w:val="22"/>
              </w:rPr>
              <w:t>provider</w:t>
            </w:r>
          </w:p>
          <w:p>
            <w:pPr>
              <w:pStyle w:val="TableParagraph"/>
              <w:spacing w:line="250" w:lineRule="exact"/>
              <w:ind w:left="468"/>
              <w:rPr>
                <w:sz w:val="22"/>
              </w:rPr>
            </w:pPr>
            <w:r>
              <w:rPr>
                <w:sz w:val="22"/>
              </w:rPr>
              <w:t>owned home</w:t>
            </w:r>
          </w:p>
        </w:tc>
        <w:tc>
          <w:tcPr>
            <w:tcW w:w="2520" w:type="dxa"/>
            <w:tcBorders>
              <w:top w:val="single" w:sz="18" w:space="0" w:color="4E8542"/>
            </w:tcBorders>
            <w:shd w:val="clear" w:color="auto" w:fill="D0E4CA"/>
          </w:tcPr>
          <w:p>
            <w:pPr>
              <w:pStyle w:val="TableParagraph"/>
              <w:rPr>
                <w:rFonts w:ascii="Times New Roman"/>
                <w:sz w:val="22"/>
              </w:rPr>
            </w:pPr>
          </w:p>
        </w:tc>
      </w:tr>
    </w:tbl>
    <w:p>
      <w:pPr>
        <w:pStyle w:val="BodyText"/>
        <w:rPr>
          <w:b/>
          <w:sz w:val="20"/>
        </w:rPr>
      </w:pPr>
    </w:p>
    <w:p>
      <w:pPr>
        <w:pStyle w:val="BodyText"/>
        <w:spacing w:before="8"/>
        <w:rPr>
          <w:b/>
          <w:sz w:val="16"/>
        </w:rPr>
      </w:pPr>
      <w:r>
        <w:rPr/>
        <w:pict>
          <v:shape style="position:absolute;margin-left:70.559998pt;margin-top:12.392468pt;width:650.9pt;height:.1pt;mso-position-horizontal-relative:page;mso-position-vertical-relative:paragraph;z-index:-251624448;mso-wrap-distance-left:0;mso-wrap-distance-right:0" coordorigin="1411,248" coordsize="13018,0" path="m1411,248l14429,248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9"/>
        <w:gridCol w:w="3420"/>
        <w:gridCol w:w="1382"/>
        <w:gridCol w:w="3026"/>
        <w:gridCol w:w="2520"/>
      </w:tblGrid>
      <w:tr>
        <w:trPr>
          <w:trHeight w:val="584" w:hRule="atLeast"/>
        </w:trPr>
        <w:tc>
          <w:tcPr>
            <w:tcW w:w="3439" w:type="dxa"/>
            <w:tcBorders>
              <w:bottom w:val="single" w:sz="18" w:space="0" w:color="4E8542"/>
            </w:tcBorders>
          </w:tcPr>
          <w:p>
            <w:pPr>
              <w:pStyle w:val="TableParagraph"/>
              <w:spacing w:line="292" w:lineRule="exact"/>
              <w:ind w:left="234"/>
              <w:rPr>
                <w:b/>
                <w:sz w:val="24"/>
              </w:rPr>
            </w:pPr>
            <w:r>
              <w:rPr>
                <w:b/>
                <w:sz w:val="24"/>
              </w:rPr>
              <w:t>Characteristics/Requirements</w:t>
            </w:r>
          </w:p>
        </w:tc>
        <w:tc>
          <w:tcPr>
            <w:tcW w:w="3420" w:type="dxa"/>
            <w:tcBorders>
              <w:bottom w:val="single" w:sz="18" w:space="0" w:color="4E8542"/>
            </w:tcBorders>
          </w:tcPr>
          <w:p>
            <w:pPr>
              <w:pStyle w:val="TableParagraph"/>
              <w:spacing w:line="292" w:lineRule="exact"/>
              <w:ind w:left="871"/>
              <w:rPr>
                <w:b/>
                <w:sz w:val="24"/>
              </w:rPr>
            </w:pPr>
            <w:r>
              <w:rPr>
                <w:b/>
                <w:sz w:val="24"/>
              </w:rPr>
              <w:t>Supported</w:t>
            </w:r>
            <w:r>
              <w:rPr>
                <w:b/>
                <w:spacing w:val="-6"/>
                <w:sz w:val="24"/>
              </w:rPr>
              <w:t> </w:t>
            </w:r>
            <w:r>
              <w:rPr>
                <w:b/>
                <w:sz w:val="24"/>
              </w:rPr>
              <w:t>Living</w:t>
            </w:r>
          </w:p>
          <w:p>
            <w:pPr>
              <w:pStyle w:val="TableParagraph"/>
              <w:spacing w:line="272" w:lineRule="exact"/>
              <w:ind w:left="895"/>
              <w:rPr>
                <w:b/>
                <w:sz w:val="24"/>
              </w:rPr>
            </w:pPr>
            <w:r>
              <w:rPr>
                <w:b/>
                <w:sz w:val="24"/>
              </w:rPr>
              <w:t>State</w:t>
            </w:r>
            <w:r>
              <w:rPr>
                <w:b/>
                <w:spacing w:val="-3"/>
                <w:sz w:val="24"/>
              </w:rPr>
              <w:t> </w:t>
            </w:r>
            <w:r>
              <w:rPr>
                <w:b/>
                <w:sz w:val="24"/>
              </w:rPr>
              <w:t>Evaluation</w:t>
            </w:r>
          </w:p>
        </w:tc>
        <w:tc>
          <w:tcPr>
            <w:tcW w:w="1382" w:type="dxa"/>
            <w:tcBorders>
              <w:bottom w:val="single" w:sz="18" w:space="0" w:color="4E8542"/>
            </w:tcBorders>
          </w:tcPr>
          <w:p>
            <w:pPr>
              <w:pStyle w:val="TableParagraph"/>
              <w:spacing w:line="292" w:lineRule="exact"/>
              <w:ind w:left="89" w:right="66"/>
              <w:jc w:val="center"/>
              <w:rPr>
                <w:b/>
                <w:sz w:val="24"/>
              </w:rPr>
            </w:pPr>
            <w:r>
              <w:rPr>
                <w:b/>
                <w:sz w:val="24"/>
              </w:rPr>
              <w:t>Compliance</w:t>
            </w:r>
          </w:p>
          <w:p>
            <w:pPr>
              <w:pStyle w:val="TableParagraph"/>
              <w:spacing w:line="272" w:lineRule="exact"/>
              <w:ind w:left="84" w:right="66"/>
              <w:jc w:val="center"/>
              <w:rPr>
                <w:b/>
                <w:sz w:val="24"/>
              </w:rPr>
            </w:pPr>
            <w:r>
              <w:rPr>
                <w:b/>
                <w:sz w:val="24"/>
              </w:rPr>
              <w:t>Level</w:t>
            </w:r>
          </w:p>
        </w:tc>
        <w:tc>
          <w:tcPr>
            <w:tcW w:w="3026" w:type="dxa"/>
            <w:tcBorders>
              <w:bottom w:val="single" w:sz="18" w:space="0" w:color="4E8542"/>
            </w:tcBorders>
          </w:tcPr>
          <w:p>
            <w:pPr>
              <w:pStyle w:val="TableParagraph"/>
              <w:spacing w:line="292" w:lineRule="exact"/>
              <w:ind w:left="626"/>
              <w:rPr>
                <w:b/>
                <w:sz w:val="24"/>
              </w:rPr>
            </w:pPr>
            <w:r>
              <w:rPr>
                <w:b/>
                <w:sz w:val="24"/>
              </w:rPr>
              <w:t>Oversight Process</w:t>
            </w:r>
          </w:p>
        </w:tc>
        <w:tc>
          <w:tcPr>
            <w:tcW w:w="2520" w:type="dxa"/>
            <w:tcBorders>
              <w:bottom w:val="single" w:sz="18" w:space="0" w:color="4E8542"/>
            </w:tcBorders>
          </w:tcPr>
          <w:p>
            <w:pPr>
              <w:pStyle w:val="TableParagraph"/>
              <w:spacing w:line="292" w:lineRule="exact"/>
              <w:ind w:left="619"/>
              <w:rPr>
                <w:b/>
                <w:sz w:val="24"/>
              </w:rPr>
            </w:pPr>
            <w:r>
              <w:rPr>
                <w:b/>
                <w:sz w:val="24"/>
              </w:rPr>
              <w:t>Remediation</w:t>
            </w:r>
          </w:p>
        </w:tc>
      </w:tr>
      <w:tr>
        <w:trPr>
          <w:trHeight w:val="3749" w:hRule="atLeast"/>
        </w:trPr>
        <w:tc>
          <w:tcPr>
            <w:tcW w:w="3439" w:type="dxa"/>
            <w:tcBorders>
              <w:top w:val="single" w:sz="18" w:space="0" w:color="4E8542"/>
            </w:tcBorders>
            <w:shd w:val="clear" w:color="auto" w:fill="D0E4CA"/>
          </w:tcPr>
          <w:p>
            <w:pPr>
              <w:pStyle w:val="TableParagraph"/>
              <w:rPr>
                <w:rFonts w:ascii="Times New Roman"/>
                <w:sz w:val="22"/>
              </w:rPr>
            </w:pPr>
          </w:p>
        </w:tc>
        <w:tc>
          <w:tcPr>
            <w:tcW w:w="3420" w:type="dxa"/>
            <w:tcBorders>
              <w:top w:val="single" w:sz="18" w:space="0" w:color="4E8542"/>
            </w:tcBorders>
            <w:shd w:val="clear" w:color="auto" w:fill="D0E4CA"/>
          </w:tcPr>
          <w:p>
            <w:pPr>
              <w:pStyle w:val="TableParagraph"/>
              <w:rPr>
                <w:rFonts w:ascii="Times New Roman"/>
                <w:sz w:val="22"/>
              </w:rPr>
            </w:pPr>
          </w:p>
        </w:tc>
        <w:tc>
          <w:tcPr>
            <w:tcW w:w="1382" w:type="dxa"/>
            <w:tcBorders>
              <w:top w:val="single" w:sz="18" w:space="0" w:color="4E8542"/>
            </w:tcBorders>
            <w:shd w:val="clear" w:color="auto" w:fill="D0E4CA"/>
          </w:tcPr>
          <w:p>
            <w:pPr>
              <w:pStyle w:val="TableParagraph"/>
              <w:rPr>
                <w:rFonts w:ascii="Times New Roman"/>
                <w:sz w:val="22"/>
              </w:rPr>
            </w:pPr>
          </w:p>
        </w:tc>
        <w:tc>
          <w:tcPr>
            <w:tcW w:w="3026" w:type="dxa"/>
            <w:tcBorders>
              <w:top w:val="single" w:sz="18" w:space="0" w:color="4E8542"/>
            </w:tcBorders>
            <w:shd w:val="clear" w:color="auto" w:fill="D0E4CA"/>
          </w:tcPr>
          <w:p>
            <w:pPr>
              <w:pStyle w:val="TableParagraph"/>
              <w:numPr>
                <w:ilvl w:val="0"/>
                <w:numId w:val="7"/>
              </w:numPr>
              <w:tabs>
                <w:tab w:pos="468" w:val="left" w:leader="none"/>
                <w:tab w:pos="469" w:val="left" w:leader="none"/>
              </w:tabs>
              <w:spacing w:line="256" w:lineRule="exact" w:before="0" w:after="0"/>
              <w:ind w:left="468" w:right="0" w:hanging="361"/>
              <w:jc w:val="left"/>
              <w:rPr>
                <w:sz w:val="22"/>
              </w:rPr>
            </w:pPr>
            <w:r>
              <w:rPr>
                <w:sz w:val="22"/>
              </w:rPr>
              <w:t>Client has the right, at</w:t>
            </w:r>
            <w:r>
              <w:rPr>
                <w:spacing w:val="-4"/>
                <w:sz w:val="22"/>
              </w:rPr>
              <w:t> </w:t>
            </w:r>
            <w:r>
              <w:rPr>
                <w:sz w:val="22"/>
              </w:rPr>
              <w:t>any</w:t>
            </w:r>
          </w:p>
          <w:p>
            <w:pPr>
              <w:pStyle w:val="TableParagraph"/>
              <w:ind w:left="468" w:right="288"/>
              <w:rPr>
                <w:sz w:val="22"/>
              </w:rPr>
            </w:pPr>
            <w:r>
              <w:rPr>
                <w:sz w:val="22"/>
              </w:rPr>
              <w:t>time, to request to move to another home within the service area.</w:t>
            </w:r>
          </w:p>
          <w:p>
            <w:pPr>
              <w:pStyle w:val="TableParagraph"/>
              <w:ind w:left="108" w:right="91"/>
              <w:rPr>
                <w:sz w:val="22"/>
              </w:rPr>
            </w:pPr>
            <w:r>
              <w:rPr>
                <w:sz w:val="22"/>
              </w:rPr>
              <w:t>(2) A written exception to policy (ETP) from the Deputy Assistant Secretary (</w:t>
            </w:r>
            <w:hyperlink w:history="true" w:anchor="_bookmark49">
              <w:r>
                <w:rPr>
                  <w:color w:val="6B9F24"/>
                  <w:sz w:val="22"/>
                  <w:u w:val="single" w:color="6B9F24"/>
                </w:rPr>
                <w:t>DDA Policy</w:t>
              </w:r>
            </w:hyperlink>
            <w:hyperlink w:history="true" w:anchor="_bookmark49">
              <w:r>
                <w:rPr>
                  <w:color w:val="6B9F24"/>
                  <w:sz w:val="22"/>
                  <w:u w:val="single" w:color="6B9F24"/>
                </w:rPr>
                <w:t> 4.02 D1</w:t>
              </w:r>
            </w:hyperlink>
            <w:r>
              <w:rPr>
                <w:sz w:val="22"/>
              </w:rPr>
              <w:t>) (see Appendix E).</w:t>
            </w:r>
          </w:p>
          <w:p>
            <w:pPr>
              <w:pStyle w:val="TableParagraph"/>
              <w:rPr>
                <w:b/>
                <w:sz w:val="22"/>
              </w:rPr>
            </w:pPr>
          </w:p>
          <w:p>
            <w:pPr>
              <w:pStyle w:val="TableParagraph"/>
              <w:spacing w:before="1"/>
              <w:ind w:left="108" w:right="164"/>
              <w:rPr>
                <w:sz w:val="22"/>
              </w:rPr>
            </w:pPr>
            <w:r>
              <w:rPr>
                <w:sz w:val="22"/>
              </w:rPr>
              <w:t>On-site inspections ensure homes meet all licensing and certification requirements in WAC and RCW, including WAC</w:t>
            </w:r>
          </w:p>
          <w:p>
            <w:pPr>
              <w:pStyle w:val="TableParagraph"/>
              <w:spacing w:line="250" w:lineRule="exact"/>
              <w:ind w:left="108"/>
              <w:rPr>
                <w:sz w:val="22"/>
              </w:rPr>
            </w:pPr>
            <w:r>
              <w:rPr>
                <w:sz w:val="22"/>
              </w:rPr>
              <w:t>388-823-1095.</w:t>
            </w:r>
          </w:p>
        </w:tc>
        <w:tc>
          <w:tcPr>
            <w:tcW w:w="2520" w:type="dxa"/>
            <w:tcBorders>
              <w:top w:val="single" w:sz="18" w:space="0" w:color="4E8542"/>
            </w:tcBorders>
            <w:shd w:val="clear" w:color="auto" w:fill="D0E4CA"/>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0"/>
        </w:rPr>
      </w:pPr>
      <w:r>
        <w:rPr/>
        <w:pict>
          <v:shape style="position:absolute;margin-left:70.559998pt;margin-top:8.665906pt;width:650.9pt;height:.1pt;mso-position-horizontal-relative:page;mso-position-vertical-relative:paragraph;z-index:-251623424;mso-wrap-distance-left:0;mso-wrap-distance-right:0" coordorigin="1411,173" coordsize="13018,0" path="m1411,173l14429,173e" filled="false" stroked="true" strokeweight=".481pt" strokecolor="#d9d9d9">
            <v:path arrowok="t"/>
            <v:stroke dashstyle="solid"/>
            <w10:wrap type="topAndBottom"/>
          </v:shape>
        </w:pict>
      </w:r>
    </w:p>
    <w:p>
      <w:pPr>
        <w:spacing w:after="0"/>
        <w:rPr>
          <w:sz w:val="10"/>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1060" w:right="0" w:firstLine="0"/>
        <w:jc w:val="left"/>
        <w:rPr>
          <w:sz w:val="28"/>
        </w:rPr>
      </w:pPr>
      <w:r>
        <w:rPr>
          <w:sz w:val="28"/>
        </w:rPr>
        <w:t>Provider-Owned or Controlled Supported Living Settings:</w:t>
      </w:r>
    </w:p>
    <w:p>
      <w:pPr>
        <w:pStyle w:val="BodyText"/>
        <w:spacing w:before="3"/>
        <w:rPr>
          <w:sz w:val="29"/>
        </w:rPr>
      </w:pPr>
    </w:p>
    <w:tbl>
      <w:tblPr>
        <w:tblW w:w="0" w:type="auto"/>
        <w:jc w:val="left"/>
        <w:tblInd w:w="1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5"/>
        <w:gridCol w:w="4993"/>
        <w:gridCol w:w="4187"/>
      </w:tblGrid>
      <w:tr>
        <w:trPr>
          <w:trHeight w:val="270" w:hRule="atLeast"/>
        </w:trPr>
        <w:tc>
          <w:tcPr>
            <w:tcW w:w="3785" w:type="dxa"/>
            <w:tcBorders>
              <w:top w:val="single" w:sz="8" w:space="0" w:color="4E8542"/>
              <w:bottom w:val="single" w:sz="8" w:space="0" w:color="4E8542"/>
            </w:tcBorders>
          </w:tcPr>
          <w:p>
            <w:pPr>
              <w:pStyle w:val="TableParagraph"/>
              <w:spacing w:line="249" w:lineRule="exact" w:before="1"/>
              <w:ind w:left="115"/>
              <w:rPr>
                <w:b/>
                <w:sz w:val="22"/>
              </w:rPr>
            </w:pPr>
            <w:r>
              <w:rPr>
                <w:b/>
                <w:sz w:val="22"/>
              </w:rPr>
              <w:t>Supported Living Agency Name</w:t>
            </w:r>
          </w:p>
        </w:tc>
        <w:tc>
          <w:tcPr>
            <w:tcW w:w="4993" w:type="dxa"/>
            <w:tcBorders>
              <w:top w:val="single" w:sz="8" w:space="0" w:color="4E8542"/>
              <w:bottom w:val="single" w:sz="8" w:space="0" w:color="4E8542"/>
            </w:tcBorders>
          </w:tcPr>
          <w:p>
            <w:pPr>
              <w:pStyle w:val="TableParagraph"/>
              <w:spacing w:line="249" w:lineRule="exact" w:before="1"/>
              <w:ind w:left="827"/>
              <w:rPr>
                <w:b/>
                <w:sz w:val="22"/>
              </w:rPr>
            </w:pPr>
            <w:r>
              <w:rPr>
                <w:b/>
                <w:sz w:val="22"/>
              </w:rPr>
              <w:t>Location*</w:t>
            </w:r>
          </w:p>
        </w:tc>
        <w:tc>
          <w:tcPr>
            <w:tcW w:w="4187" w:type="dxa"/>
            <w:tcBorders>
              <w:top w:val="single" w:sz="8" w:space="0" w:color="4E8542"/>
              <w:bottom w:val="single" w:sz="8" w:space="0" w:color="4E8542"/>
            </w:tcBorders>
          </w:tcPr>
          <w:p>
            <w:pPr>
              <w:pStyle w:val="TableParagraph"/>
              <w:spacing w:line="249" w:lineRule="exact" w:before="1"/>
              <w:ind w:left="330"/>
              <w:rPr>
                <w:b/>
                <w:sz w:val="22"/>
              </w:rPr>
            </w:pPr>
            <w:r>
              <w:rPr>
                <w:b/>
                <w:sz w:val="22"/>
              </w:rPr>
              <w:t>Individuals Residing at this location</w:t>
            </w:r>
          </w:p>
        </w:tc>
      </w:tr>
      <w:tr>
        <w:trPr>
          <w:trHeight w:val="268" w:hRule="atLeast"/>
        </w:trPr>
        <w:tc>
          <w:tcPr>
            <w:tcW w:w="3785" w:type="dxa"/>
            <w:tcBorders>
              <w:top w:val="single" w:sz="8" w:space="0" w:color="4E8542"/>
            </w:tcBorders>
            <w:shd w:val="clear" w:color="auto" w:fill="D0E4CA"/>
          </w:tcPr>
          <w:p>
            <w:pPr>
              <w:pStyle w:val="TableParagraph"/>
              <w:spacing w:line="248" w:lineRule="exact"/>
              <w:ind w:left="115"/>
              <w:rPr>
                <w:b/>
                <w:sz w:val="22"/>
              </w:rPr>
            </w:pPr>
            <w:r>
              <w:rPr>
                <w:b/>
                <w:sz w:val="22"/>
              </w:rPr>
              <w:t>Ambitions</w:t>
            </w:r>
          </w:p>
        </w:tc>
        <w:tc>
          <w:tcPr>
            <w:tcW w:w="4993" w:type="dxa"/>
            <w:tcBorders>
              <w:top w:val="single" w:sz="8" w:space="0" w:color="4E8542"/>
            </w:tcBorders>
            <w:shd w:val="clear" w:color="auto" w:fill="D0E4CA"/>
          </w:tcPr>
          <w:p>
            <w:pPr>
              <w:pStyle w:val="TableParagraph"/>
              <w:spacing w:line="248" w:lineRule="exact"/>
              <w:ind w:left="827"/>
              <w:rPr>
                <w:sz w:val="22"/>
              </w:rPr>
            </w:pPr>
            <w:r>
              <w:rPr>
                <w:sz w:val="22"/>
              </w:rPr>
              <w:t>Xxxx South Waverly Place, Kennewick WA</w:t>
            </w:r>
          </w:p>
        </w:tc>
        <w:tc>
          <w:tcPr>
            <w:tcW w:w="4187" w:type="dxa"/>
            <w:tcBorders>
              <w:top w:val="single" w:sz="8" w:space="0" w:color="4E8542"/>
            </w:tcBorders>
            <w:shd w:val="clear" w:color="auto" w:fill="D0E4CA"/>
          </w:tcPr>
          <w:p>
            <w:pPr>
              <w:pStyle w:val="TableParagraph"/>
              <w:spacing w:line="248" w:lineRule="exact"/>
              <w:ind w:left="223"/>
              <w:jc w:val="center"/>
              <w:rPr>
                <w:sz w:val="22"/>
              </w:rPr>
            </w:pPr>
            <w:r>
              <w:rPr>
                <w:w w:val="100"/>
                <w:sz w:val="22"/>
              </w:rPr>
              <w:t>3</w:t>
            </w:r>
          </w:p>
        </w:tc>
      </w:tr>
      <w:tr>
        <w:trPr>
          <w:trHeight w:val="268" w:hRule="atLeast"/>
        </w:trPr>
        <w:tc>
          <w:tcPr>
            <w:tcW w:w="3785" w:type="dxa"/>
          </w:tcPr>
          <w:p>
            <w:pPr>
              <w:pStyle w:val="TableParagraph"/>
              <w:spacing w:line="249" w:lineRule="exact"/>
              <w:ind w:left="115"/>
              <w:rPr>
                <w:b/>
                <w:sz w:val="22"/>
              </w:rPr>
            </w:pPr>
            <w:r>
              <w:rPr>
                <w:b/>
                <w:sz w:val="22"/>
              </w:rPr>
              <w:t>Ambitions</w:t>
            </w:r>
          </w:p>
        </w:tc>
        <w:tc>
          <w:tcPr>
            <w:tcW w:w="4993" w:type="dxa"/>
          </w:tcPr>
          <w:p>
            <w:pPr>
              <w:pStyle w:val="TableParagraph"/>
              <w:spacing w:line="249" w:lineRule="exact"/>
              <w:ind w:left="827"/>
              <w:rPr>
                <w:sz w:val="22"/>
              </w:rPr>
            </w:pPr>
            <w:r>
              <w:rPr>
                <w:sz w:val="22"/>
              </w:rPr>
              <w:t>Xxxx Ray Road, Moses Lake WA</w:t>
            </w:r>
          </w:p>
        </w:tc>
        <w:tc>
          <w:tcPr>
            <w:tcW w:w="4187" w:type="dxa"/>
          </w:tcPr>
          <w:p>
            <w:pPr>
              <w:pStyle w:val="TableParagraph"/>
              <w:spacing w:line="249" w:lineRule="exact"/>
              <w:ind w:left="223"/>
              <w:jc w:val="center"/>
              <w:rPr>
                <w:sz w:val="22"/>
              </w:rPr>
            </w:pPr>
            <w:r>
              <w:rPr>
                <w:w w:val="100"/>
                <w:sz w:val="22"/>
              </w:rPr>
              <w:t>4</w:t>
            </w:r>
          </w:p>
        </w:tc>
      </w:tr>
      <w:tr>
        <w:trPr>
          <w:trHeight w:val="268" w:hRule="atLeast"/>
        </w:trPr>
        <w:tc>
          <w:tcPr>
            <w:tcW w:w="3785" w:type="dxa"/>
            <w:shd w:val="clear" w:color="auto" w:fill="D0E4CA"/>
          </w:tcPr>
          <w:p>
            <w:pPr>
              <w:pStyle w:val="TableParagraph"/>
              <w:spacing w:line="249" w:lineRule="exact"/>
              <w:ind w:left="115"/>
              <w:rPr>
                <w:b/>
                <w:sz w:val="22"/>
              </w:rPr>
            </w:pPr>
            <w:r>
              <w:rPr>
                <w:b/>
                <w:sz w:val="22"/>
              </w:rPr>
              <w:t>Ambitions</w:t>
            </w:r>
          </w:p>
        </w:tc>
        <w:tc>
          <w:tcPr>
            <w:tcW w:w="4993" w:type="dxa"/>
            <w:shd w:val="clear" w:color="auto" w:fill="D0E4CA"/>
          </w:tcPr>
          <w:p>
            <w:pPr>
              <w:pStyle w:val="TableParagraph"/>
              <w:spacing w:line="249" w:lineRule="exact"/>
              <w:ind w:left="827"/>
              <w:rPr>
                <w:sz w:val="22"/>
              </w:rPr>
            </w:pPr>
            <w:r>
              <w:rPr>
                <w:sz w:val="22"/>
              </w:rPr>
              <w:t>Xxxx Lynn Road, Moses Lake WA</w:t>
            </w:r>
          </w:p>
        </w:tc>
        <w:tc>
          <w:tcPr>
            <w:tcW w:w="4187" w:type="dxa"/>
            <w:shd w:val="clear" w:color="auto" w:fill="D0E4CA"/>
          </w:tcPr>
          <w:p>
            <w:pPr>
              <w:pStyle w:val="TableParagraph"/>
              <w:spacing w:line="249" w:lineRule="exact"/>
              <w:ind w:left="223"/>
              <w:jc w:val="center"/>
              <w:rPr>
                <w:sz w:val="22"/>
              </w:rPr>
            </w:pPr>
            <w:r>
              <w:rPr>
                <w:w w:val="100"/>
                <w:sz w:val="22"/>
              </w:rPr>
              <w:t>4</w:t>
            </w:r>
          </w:p>
        </w:tc>
      </w:tr>
      <w:tr>
        <w:trPr>
          <w:trHeight w:val="268" w:hRule="atLeast"/>
        </w:trPr>
        <w:tc>
          <w:tcPr>
            <w:tcW w:w="3785" w:type="dxa"/>
          </w:tcPr>
          <w:p>
            <w:pPr>
              <w:pStyle w:val="TableParagraph"/>
              <w:spacing w:line="249" w:lineRule="exact"/>
              <w:ind w:left="115"/>
              <w:rPr>
                <w:b/>
                <w:sz w:val="22"/>
              </w:rPr>
            </w:pPr>
            <w:r>
              <w:rPr>
                <w:b/>
                <w:sz w:val="22"/>
              </w:rPr>
              <w:t>Haven Homes, Inc.</w:t>
            </w:r>
          </w:p>
        </w:tc>
        <w:tc>
          <w:tcPr>
            <w:tcW w:w="4993" w:type="dxa"/>
          </w:tcPr>
          <w:p>
            <w:pPr>
              <w:pStyle w:val="TableParagraph"/>
              <w:spacing w:line="249" w:lineRule="exact"/>
              <w:ind w:left="827"/>
              <w:rPr>
                <w:sz w:val="22"/>
              </w:rPr>
            </w:pPr>
            <w:r>
              <w:rPr>
                <w:sz w:val="22"/>
              </w:rPr>
              <w:t>Washington Apartments, Medical Lake WA</w:t>
            </w:r>
          </w:p>
        </w:tc>
        <w:tc>
          <w:tcPr>
            <w:tcW w:w="4187" w:type="dxa"/>
          </w:tcPr>
          <w:p>
            <w:pPr>
              <w:pStyle w:val="TableParagraph"/>
              <w:spacing w:line="249" w:lineRule="exact"/>
              <w:ind w:left="223"/>
              <w:jc w:val="center"/>
              <w:rPr>
                <w:sz w:val="22"/>
              </w:rPr>
            </w:pPr>
            <w:r>
              <w:rPr>
                <w:w w:val="100"/>
                <w:sz w:val="22"/>
              </w:rPr>
              <w:t>3</w:t>
            </w:r>
          </w:p>
        </w:tc>
      </w:tr>
      <w:tr>
        <w:trPr>
          <w:trHeight w:val="268" w:hRule="atLeast"/>
        </w:trPr>
        <w:tc>
          <w:tcPr>
            <w:tcW w:w="3785" w:type="dxa"/>
            <w:shd w:val="clear" w:color="auto" w:fill="D0E4CA"/>
          </w:tcPr>
          <w:p>
            <w:pPr>
              <w:pStyle w:val="TableParagraph"/>
              <w:spacing w:line="249" w:lineRule="exact"/>
              <w:ind w:left="115"/>
              <w:rPr>
                <w:b/>
                <w:sz w:val="22"/>
              </w:rPr>
            </w:pPr>
            <w:r>
              <w:rPr>
                <w:b/>
                <w:sz w:val="22"/>
              </w:rPr>
              <w:t>Haven Homes, Inc.</w:t>
            </w:r>
          </w:p>
        </w:tc>
        <w:tc>
          <w:tcPr>
            <w:tcW w:w="4993" w:type="dxa"/>
            <w:shd w:val="clear" w:color="auto" w:fill="D0E4CA"/>
          </w:tcPr>
          <w:p>
            <w:pPr>
              <w:pStyle w:val="TableParagraph"/>
              <w:spacing w:line="249" w:lineRule="exact"/>
              <w:ind w:left="827"/>
              <w:rPr>
                <w:sz w:val="22"/>
              </w:rPr>
            </w:pPr>
            <w:r>
              <w:rPr>
                <w:sz w:val="22"/>
              </w:rPr>
              <w:t>Lower Mobile, Medical Lake WA</w:t>
            </w:r>
          </w:p>
        </w:tc>
        <w:tc>
          <w:tcPr>
            <w:tcW w:w="4187" w:type="dxa"/>
            <w:shd w:val="clear" w:color="auto" w:fill="D0E4CA"/>
          </w:tcPr>
          <w:p>
            <w:pPr>
              <w:pStyle w:val="TableParagraph"/>
              <w:spacing w:line="249" w:lineRule="exact"/>
              <w:ind w:left="223"/>
              <w:jc w:val="center"/>
              <w:rPr>
                <w:sz w:val="22"/>
              </w:rPr>
            </w:pPr>
            <w:r>
              <w:rPr>
                <w:w w:val="100"/>
                <w:sz w:val="22"/>
              </w:rPr>
              <w:t>3</w:t>
            </w:r>
          </w:p>
        </w:tc>
      </w:tr>
      <w:tr>
        <w:trPr>
          <w:trHeight w:val="266" w:hRule="atLeast"/>
        </w:trPr>
        <w:tc>
          <w:tcPr>
            <w:tcW w:w="3785" w:type="dxa"/>
          </w:tcPr>
          <w:p>
            <w:pPr>
              <w:pStyle w:val="TableParagraph"/>
              <w:spacing w:line="246" w:lineRule="exact"/>
              <w:ind w:left="115"/>
              <w:rPr>
                <w:b/>
                <w:sz w:val="22"/>
              </w:rPr>
            </w:pPr>
            <w:r>
              <w:rPr>
                <w:b/>
                <w:sz w:val="22"/>
              </w:rPr>
              <w:t>Mission Vista</w:t>
            </w:r>
          </w:p>
        </w:tc>
        <w:tc>
          <w:tcPr>
            <w:tcW w:w="4993" w:type="dxa"/>
          </w:tcPr>
          <w:p>
            <w:pPr>
              <w:pStyle w:val="TableParagraph"/>
              <w:spacing w:line="246" w:lineRule="exact"/>
              <w:ind w:left="827"/>
              <w:rPr>
                <w:sz w:val="22"/>
              </w:rPr>
            </w:pPr>
            <w:r>
              <w:rPr>
                <w:sz w:val="22"/>
              </w:rPr>
              <w:t>Xxxx N. Emerson, Wenatchee WA</w:t>
            </w:r>
          </w:p>
        </w:tc>
        <w:tc>
          <w:tcPr>
            <w:tcW w:w="4187" w:type="dxa"/>
          </w:tcPr>
          <w:p>
            <w:pPr>
              <w:pStyle w:val="TableParagraph"/>
              <w:spacing w:line="246" w:lineRule="exact"/>
              <w:ind w:left="223"/>
              <w:jc w:val="center"/>
              <w:rPr>
                <w:sz w:val="22"/>
              </w:rPr>
            </w:pPr>
            <w:r>
              <w:rPr>
                <w:w w:val="100"/>
                <w:sz w:val="22"/>
              </w:rPr>
              <w:t>1</w:t>
            </w:r>
          </w:p>
        </w:tc>
      </w:tr>
      <w:tr>
        <w:trPr>
          <w:trHeight w:val="268" w:hRule="atLeast"/>
        </w:trPr>
        <w:tc>
          <w:tcPr>
            <w:tcW w:w="3785" w:type="dxa"/>
            <w:shd w:val="clear" w:color="auto" w:fill="D0E4CA"/>
          </w:tcPr>
          <w:p>
            <w:pPr>
              <w:pStyle w:val="TableParagraph"/>
              <w:spacing w:line="249" w:lineRule="exact"/>
              <w:ind w:left="115"/>
              <w:rPr>
                <w:b/>
                <w:sz w:val="22"/>
              </w:rPr>
            </w:pPr>
            <w:r>
              <w:rPr>
                <w:b/>
                <w:sz w:val="22"/>
              </w:rPr>
              <w:t>Integrated Living Services</w:t>
            </w:r>
          </w:p>
        </w:tc>
        <w:tc>
          <w:tcPr>
            <w:tcW w:w="4993" w:type="dxa"/>
            <w:shd w:val="clear" w:color="auto" w:fill="D0E4CA"/>
          </w:tcPr>
          <w:p>
            <w:pPr>
              <w:pStyle w:val="TableParagraph"/>
              <w:spacing w:line="249" w:lineRule="exact"/>
              <w:ind w:left="827"/>
              <w:rPr>
                <w:sz w:val="22"/>
              </w:rPr>
            </w:pPr>
            <w:r>
              <w:rPr>
                <w:sz w:val="22"/>
              </w:rPr>
              <w:t>Xxxx S. 172</w:t>
            </w:r>
            <w:r>
              <w:rPr>
                <w:sz w:val="22"/>
                <w:vertAlign w:val="superscript"/>
              </w:rPr>
              <w:t>nd</w:t>
            </w:r>
            <w:r>
              <w:rPr>
                <w:sz w:val="22"/>
                <w:vertAlign w:val="baseline"/>
              </w:rPr>
              <w:t> St., SeaTac WA</w:t>
            </w:r>
          </w:p>
        </w:tc>
        <w:tc>
          <w:tcPr>
            <w:tcW w:w="4187" w:type="dxa"/>
            <w:shd w:val="clear" w:color="auto" w:fill="D0E4CA"/>
          </w:tcPr>
          <w:p>
            <w:pPr>
              <w:pStyle w:val="TableParagraph"/>
              <w:spacing w:line="249" w:lineRule="exact"/>
              <w:ind w:left="223"/>
              <w:jc w:val="center"/>
              <w:rPr>
                <w:sz w:val="22"/>
              </w:rPr>
            </w:pPr>
            <w:r>
              <w:rPr>
                <w:w w:val="100"/>
                <w:sz w:val="22"/>
              </w:rPr>
              <w:t>3</w:t>
            </w:r>
          </w:p>
        </w:tc>
      </w:tr>
      <w:tr>
        <w:trPr>
          <w:trHeight w:val="268" w:hRule="atLeast"/>
        </w:trPr>
        <w:tc>
          <w:tcPr>
            <w:tcW w:w="3785" w:type="dxa"/>
          </w:tcPr>
          <w:p>
            <w:pPr>
              <w:pStyle w:val="TableParagraph"/>
              <w:spacing w:line="249" w:lineRule="exact"/>
              <w:ind w:left="115"/>
              <w:rPr>
                <w:b/>
                <w:sz w:val="22"/>
              </w:rPr>
            </w:pPr>
            <w:r>
              <w:rPr>
                <w:b/>
                <w:sz w:val="22"/>
              </w:rPr>
              <w:t>Cascade Connections</w:t>
            </w:r>
          </w:p>
        </w:tc>
        <w:tc>
          <w:tcPr>
            <w:tcW w:w="4993" w:type="dxa"/>
          </w:tcPr>
          <w:p>
            <w:pPr>
              <w:pStyle w:val="TableParagraph"/>
              <w:spacing w:line="249" w:lineRule="exact"/>
              <w:ind w:left="827"/>
              <w:rPr>
                <w:sz w:val="22"/>
              </w:rPr>
            </w:pPr>
            <w:r>
              <w:rPr>
                <w:sz w:val="22"/>
              </w:rPr>
              <w:t>Xxxx Martin Place, Lynden WA</w:t>
            </w:r>
          </w:p>
        </w:tc>
        <w:tc>
          <w:tcPr>
            <w:tcW w:w="4187" w:type="dxa"/>
          </w:tcPr>
          <w:p>
            <w:pPr>
              <w:pStyle w:val="TableParagraph"/>
              <w:spacing w:line="249" w:lineRule="exact"/>
              <w:ind w:left="223"/>
              <w:jc w:val="center"/>
              <w:rPr>
                <w:sz w:val="22"/>
              </w:rPr>
            </w:pPr>
            <w:r>
              <w:rPr>
                <w:w w:val="100"/>
                <w:sz w:val="22"/>
              </w:rPr>
              <w:t>2</w:t>
            </w:r>
          </w:p>
        </w:tc>
      </w:tr>
      <w:tr>
        <w:trPr>
          <w:trHeight w:val="268" w:hRule="atLeast"/>
        </w:trPr>
        <w:tc>
          <w:tcPr>
            <w:tcW w:w="3785" w:type="dxa"/>
            <w:shd w:val="clear" w:color="auto" w:fill="D0E4CA"/>
          </w:tcPr>
          <w:p>
            <w:pPr>
              <w:pStyle w:val="TableParagraph"/>
              <w:spacing w:line="249" w:lineRule="exact"/>
              <w:ind w:left="115"/>
              <w:rPr>
                <w:b/>
                <w:sz w:val="22"/>
              </w:rPr>
            </w:pPr>
            <w:r>
              <w:rPr>
                <w:b/>
                <w:sz w:val="22"/>
              </w:rPr>
              <w:t>Holly Community Services</w:t>
            </w:r>
          </w:p>
        </w:tc>
        <w:tc>
          <w:tcPr>
            <w:tcW w:w="4993" w:type="dxa"/>
            <w:shd w:val="clear" w:color="auto" w:fill="D0E4CA"/>
          </w:tcPr>
          <w:p>
            <w:pPr>
              <w:pStyle w:val="TableParagraph"/>
              <w:spacing w:line="249" w:lineRule="exact"/>
              <w:ind w:left="827"/>
              <w:rPr>
                <w:sz w:val="22"/>
              </w:rPr>
            </w:pPr>
            <w:r>
              <w:rPr>
                <w:sz w:val="22"/>
              </w:rPr>
              <w:t>Xxxx W. Racine St., Bellingham WA</w:t>
            </w:r>
          </w:p>
        </w:tc>
        <w:tc>
          <w:tcPr>
            <w:tcW w:w="4187" w:type="dxa"/>
            <w:shd w:val="clear" w:color="auto" w:fill="D0E4CA"/>
          </w:tcPr>
          <w:p>
            <w:pPr>
              <w:pStyle w:val="TableParagraph"/>
              <w:spacing w:line="249" w:lineRule="exact"/>
              <w:ind w:left="223"/>
              <w:jc w:val="center"/>
              <w:rPr>
                <w:sz w:val="22"/>
              </w:rPr>
            </w:pPr>
            <w:r>
              <w:rPr>
                <w:w w:val="100"/>
                <w:sz w:val="22"/>
              </w:rPr>
              <w:t>4</w:t>
            </w:r>
          </w:p>
        </w:tc>
      </w:tr>
      <w:tr>
        <w:trPr>
          <w:trHeight w:val="268" w:hRule="atLeast"/>
        </w:trPr>
        <w:tc>
          <w:tcPr>
            <w:tcW w:w="3785" w:type="dxa"/>
          </w:tcPr>
          <w:p>
            <w:pPr>
              <w:pStyle w:val="TableParagraph"/>
              <w:spacing w:line="249" w:lineRule="exact"/>
              <w:ind w:left="115"/>
              <w:rPr>
                <w:b/>
                <w:sz w:val="22"/>
              </w:rPr>
            </w:pPr>
            <w:r>
              <w:rPr>
                <w:b/>
                <w:sz w:val="22"/>
              </w:rPr>
              <w:t>Communitas Supported Living</w:t>
            </w:r>
          </w:p>
        </w:tc>
        <w:tc>
          <w:tcPr>
            <w:tcW w:w="4993" w:type="dxa"/>
          </w:tcPr>
          <w:p>
            <w:pPr>
              <w:pStyle w:val="TableParagraph"/>
              <w:spacing w:line="249" w:lineRule="exact"/>
              <w:ind w:left="827"/>
              <w:rPr>
                <w:sz w:val="22"/>
              </w:rPr>
            </w:pPr>
            <w:r>
              <w:rPr>
                <w:sz w:val="22"/>
              </w:rPr>
              <w:t>Xxxx West Ave., Port Orchard WA</w:t>
            </w:r>
          </w:p>
        </w:tc>
        <w:tc>
          <w:tcPr>
            <w:tcW w:w="4187" w:type="dxa"/>
          </w:tcPr>
          <w:p>
            <w:pPr>
              <w:pStyle w:val="TableParagraph"/>
              <w:spacing w:line="249" w:lineRule="exact"/>
              <w:ind w:left="223"/>
              <w:jc w:val="center"/>
              <w:rPr>
                <w:sz w:val="22"/>
              </w:rPr>
            </w:pPr>
            <w:r>
              <w:rPr>
                <w:w w:val="100"/>
                <w:sz w:val="22"/>
              </w:rPr>
              <w:t>2</w:t>
            </w:r>
          </w:p>
        </w:tc>
      </w:tr>
      <w:tr>
        <w:trPr>
          <w:trHeight w:val="268" w:hRule="atLeast"/>
        </w:trPr>
        <w:tc>
          <w:tcPr>
            <w:tcW w:w="3785" w:type="dxa"/>
            <w:shd w:val="clear" w:color="auto" w:fill="D0E4CA"/>
          </w:tcPr>
          <w:p>
            <w:pPr>
              <w:pStyle w:val="TableParagraph"/>
              <w:spacing w:line="249" w:lineRule="exact"/>
              <w:ind w:left="115"/>
              <w:rPr>
                <w:b/>
                <w:sz w:val="22"/>
              </w:rPr>
            </w:pPr>
            <w:r>
              <w:rPr>
                <w:b/>
                <w:sz w:val="22"/>
              </w:rPr>
              <w:t>Communitas Supported Living</w:t>
            </w:r>
          </w:p>
        </w:tc>
        <w:tc>
          <w:tcPr>
            <w:tcW w:w="4993" w:type="dxa"/>
            <w:shd w:val="clear" w:color="auto" w:fill="D0E4CA"/>
          </w:tcPr>
          <w:p>
            <w:pPr>
              <w:pStyle w:val="TableParagraph"/>
              <w:spacing w:line="249" w:lineRule="exact"/>
              <w:ind w:left="827"/>
              <w:rPr>
                <w:sz w:val="22"/>
              </w:rPr>
            </w:pPr>
            <w:r>
              <w:rPr>
                <w:sz w:val="22"/>
              </w:rPr>
              <w:t>Xxxx Arsenal Way, Bremerton</w:t>
            </w:r>
          </w:p>
        </w:tc>
        <w:tc>
          <w:tcPr>
            <w:tcW w:w="4187" w:type="dxa"/>
            <w:shd w:val="clear" w:color="auto" w:fill="D0E4CA"/>
          </w:tcPr>
          <w:p>
            <w:pPr>
              <w:pStyle w:val="TableParagraph"/>
              <w:spacing w:line="249" w:lineRule="exact"/>
              <w:ind w:left="223"/>
              <w:jc w:val="center"/>
              <w:rPr>
                <w:sz w:val="22"/>
              </w:rPr>
            </w:pPr>
            <w:r>
              <w:rPr>
                <w:w w:val="100"/>
                <w:sz w:val="22"/>
              </w:rPr>
              <w:t>2</w:t>
            </w:r>
          </w:p>
        </w:tc>
      </w:tr>
      <w:tr>
        <w:trPr>
          <w:trHeight w:val="268" w:hRule="atLeast"/>
        </w:trPr>
        <w:tc>
          <w:tcPr>
            <w:tcW w:w="3785" w:type="dxa"/>
          </w:tcPr>
          <w:p>
            <w:pPr>
              <w:pStyle w:val="TableParagraph"/>
              <w:spacing w:line="249" w:lineRule="exact"/>
              <w:ind w:left="115"/>
              <w:rPr>
                <w:b/>
                <w:sz w:val="22"/>
              </w:rPr>
            </w:pPr>
            <w:r>
              <w:rPr>
                <w:b/>
                <w:sz w:val="22"/>
              </w:rPr>
              <w:t>CAPA - Two Sites (Duplex)</w:t>
            </w:r>
          </w:p>
        </w:tc>
        <w:tc>
          <w:tcPr>
            <w:tcW w:w="4993" w:type="dxa"/>
          </w:tcPr>
          <w:p>
            <w:pPr>
              <w:pStyle w:val="TableParagraph"/>
              <w:spacing w:line="249" w:lineRule="exact"/>
              <w:ind w:left="827"/>
              <w:rPr>
                <w:sz w:val="22"/>
              </w:rPr>
            </w:pPr>
            <w:r>
              <w:rPr>
                <w:sz w:val="22"/>
              </w:rPr>
              <w:t>Xxxx 120</w:t>
            </w:r>
            <w:r>
              <w:rPr>
                <w:sz w:val="22"/>
                <w:vertAlign w:val="superscript"/>
              </w:rPr>
              <w:t>th</w:t>
            </w:r>
            <w:r>
              <w:rPr>
                <w:sz w:val="22"/>
                <w:vertAlign w:val="baseline"/>
              </w:rPr>
              <w:t> St. S., Tacoma</w:t>
            </w:r>
          </w:p>
        </w:tc>
        <w:tc>
          <w:tcPr>
            <w:tcW w:w="4187" w:type="dxa"/>
          </w:tcPr>
          <w:p>
            <w:pPr>
              <w:pStyle w:val="TableParagraph"/>
              <w:spacing w:line="249" w:lineRule="exact"/>
              <w:ind w:left="223"/>
              <w:jc w:val="center"/>
              <w:rPr>
                <w:sz w:val="22"/>
              </w:rPr>
            </w:pPr>
            <w:r>
              <w:rPr>
                <w:w w:val="100"/>
                <w:sz w:val="22"/>
              </w:rPr>
              <w:t>3</w:t>
            </w:r>
          </w:p>
        </w:tc>
      </w:tr>
      <w:tr>
        <w:trPr>
          <w:trHeight w:val="268" w:hRule="atLeast"/>
        </w:trPr>
        <w:tc>
          <w:tcPr>
            <w:tcW w:w="3785" w:type="dxa"/>
            <w:shd w:val="clear" w:color="auto" w:fill="D0E4CA"/>
          </w:tcPr>
          <w:p>
            <w:pPr>
              <w:pStyle w:val="TableParagraph"/>
              <w:spacing w:line="249" w:lineRule="exact"/>
              <w:ind w:left="115"/>
              <w:rPr>
                <w:b/>
                <w:sz w:val="22"/>
              </w:rPr>
            </w:pPr>
            <w:r>
              <w:rPr>
                <w:b/>
                <w:sz w:val="22"/>
              </w:rPr>
              <w:t>CAPA - Two Sites (Duplex)</w:t>
            </w:r>
          </w:p>
        </w:tc>
        <w:tc>
          <w:tcPr>
            <w:tcW w:w="4993" w:type="dxa"/>
            <w:shd w:val="clear" w:color="auto" w:fill="D0E4CA"/>
          </w:tcPr>
          <w:p>
            <w:pPr>
              <w:pStyle w:val="TableParagraph"/>
              <w:spacing w:line="249" w:lineRule="exact"/>
              <w:ind w:left="827"/>
              <w:rPr>
                <w:sz w:val="22"/>
              </w:rPr>
            </w:pPr>
            <w:r>
              <w:rPr>
                <w:sz w:val="22"/>
              </w:rPr>
              <w:t>Xxxx Alaska St. S., Tacoma</w:t>
            </w:r>
          </w:p>
        </w:tc>
        <w:tc>
          <w:tcPr>
            <w:tcW w:w="4187" w:type="dxa"/>
            <w:shd w:val="clear" w:color="auto" w:fill="D0E4CA"/>
          </w:tcPr>
          <w:p>
            <w:pPr>
              <w:pStyle w:val="TableParagraph"/>
              <w:spacing w:line="249" w:lineRule="exact"/>
              <w:ind w:left="223"/>
              <w:jc w:val="center"/>
              <w:rPr>
                <w:sz w:val="22"/>
              </w:rPr>
            </w:pPr>
            <w:r>
              <w:rPr>
                <w:w w:val="100"/>
                <w:sz w:val="22"/>
              </w:rPr>
              <w:t>3</w:t>
            </w:r>
          </w:p>
        </w:tc>
      </w:tr>
      <w:tr>
        <w:trPr>
          <w:trHeight w:val="268" w:hRule="atLeast"/>
        </w:trPr>
        <w:tc>
          <w:tcPr>
            <w:tcW w:w="3785" w:type="dxa"/>
          </w:tcPr>
          <w:p>
            <w:pPr>
              <w:pStyle w:val="TableParagraph"/>
              <w:spacing w:line="249" w:lineRule="exact"/>
              <w:ind w:left="115"/>
              <w:rPr>
                <w:b/>
                <w:sz w:val="22"/>
              </w:rPr>
            </w:pPr>
            <w:r>
              <w:rPr>
                <w:b/>
                <w:sz w:val="22"/>
              </w:rPr>
              <w:t>CAPA - Two Sites (Duplex)</w:t>
            </w:r>
          </w:p>
        </w:tc>
        <w:tc>
          <w:tcPr>
            <w:tcW w:w="4993" w:type="dxa"/>
          </w:tcPr>
          <w:p>
            <w:pPr>
              <w:pStyle w:val="TableParagraph"/>
              <w:spacing w:line="249" w:lineRule="exact"/>
              <w:ind w:left="827"/>
              <w:rPr>
                <w:sz w:val="22"/>
              </w:rPr>
            </w:pPr>
            <w:r>
              <w:rPr>
                <w:sz w:val="22"/>
              </w:rPr>
              <w:t>Xxxx 140</w:t>
            </w:r>
            <w:r>
              <w:rPr>
                <w:sz w:val="22"/>
                <w:vertAlign w:val="superscript"/>
              </w:rPr>
              <w:t>th</w:t>
            </w:r>
            <w:r>
              <w:rPr>
                <w:sz w:val="22"/>
                <w:vertAlign w:val="baseline"/>
              </w:rPr>
              <w:t> St. E., Tacoma WA</w:t>
            </w:r>
          </w:p>
        </w:tc>
        <w:tc>
          <w:tcPr>
            <w:tcW w:w="4187" w:type="dxa"/>
          </w:tcPr>
          <w:p>
            <w:pPr>
              <w:pStyle w:val="TableParagraph"/>
              <w:spacing w:line="249" w:lineRule="exact"/>
              <w:ind w:left="223"/>
              <w:jc w:val="center"/>
              <w:rPr>
                <w:sz w:val="22"/>
              </w:rPr>
            </w:pPr>
            <w:r>
              <w:rPr>
                <w:w w:val="100"/>
                <w:sz w:val="22"/>
              </w:rPr>
              <w:t>3</w:t>
            </w:r>
          </w:p>
        </w:tc>
      </w:tr>
      <w:tr>
        <w:trPr>
          <w:trHeight w:val="266" w:hRule="atLeast"/>
        </w:trPr>
        <w:tc>
          <w:tcPr>
            <w:tcW w:w="3785" w:type="dxa"/>
            <w:shd w:val="clear" w:color="auto" w:fill="D0E4CA"/>
          </w:tcPr>
          <w:p>
            <w:pPr>
              <w:pStyle w:val="TableParagraph"/>
              <w:spacing w:line="246" w:lineRule="exact"/>
              <w:ind w:left="115"/>
              <w:rPr>
                <w:b/>
                <w:sz w:val="22"/>
              </w:rPr>
            </w:pPr>
            <w:r>
              <w:rPr>
                <w:b/>
                <w:sz w:val="22"/>
              </w:rPr>
              <w:t>Soundview Associates</w:t>
            </w:r>
          </w:p>
        </w:tc>
        <w:tc>
          <w:tcPr>
            <w:tcW w:w="4993" w:type="dxa"/>
            <w:shd w:val="clear" w:color="auto" w:fill="D0E4CA"/>
          </w:tcPr>
          <w:p>
            <w:pPr>
              <w:pStyle w:val="TableParagraph"/>
              <w:spacing w:line="246" w:lineRule="exact"/>
              <w:ind w:left="827"/>
              <w:rPr>
                <w:sz w:val="22"/>
              </w:rPr>
            </w:pPr>
            <w:r>
              <w:rPr>
                <w:sz w:val="22"/>
              </w:rPr>
              <w:t>Xxxx Digby Rd., Mt Vernon, WA</w:t>
            </w:r>
          </w:p>
        </w:tc>
        <w:tc>
          <w:tcPr>
            <w:tcW w:w="4187" w:type="dxa"/>
            <w:shd w:val="clear" w:color="auto" w:fill="D0E4CA"/>
          </w:tcPr>
          <w:p>
            <w:pPr>
              <w:pStyle w:val="TableParagraph"/>
              <w:spacing w:line="246" w:lineRule="exact"/>
              <w:ind w:left="223"/>
              <w:jc w:val="center"/>
              <w:rPr>
                <w:sz w:val="22"/>
              </w:rPr>
            </w:pPr>
            <w:r>
              <w:rPr>
                <w:w w:val="100"/>
                <w:sz w:val="22"/>
              </w:rPr>
              <w:t>4</w:t>
            </w:r>
          </w:p>
        </w:tc>
      </w:tr>
      <w:tr>
        <w:trPr>
          <w:trHeight w:val="270" w:hRule="atLeast"/>
        </w:trPr>
        <w:tc>
          <w:tcPr>
            <w:tcW w:w="3785" w:type="dxa"/>
            <w:tcBorders>
              <w:bottom w:val="single" w:sz="8" w:space="0" w:color="4E8542"/>
            </w:tcBorders>
          </w:tcPr>
          <w:p>
            <w:pPr>
              <w:pStyle w:val="TableParagraph"/>
              <w:spacing w:line="251" w:lineRule="exact"/>
              <w:ind w:left="115"/>
              <w:rPr>
                <w:b/>
                <w:sz w:val="22"/>
              </w:rPr>
            </w:pPr>
            <w:r>
              <w:rPr>
                <w:b/>
                <w:sz w:val="22"/>
              </w:rPr>
              <w:t>Mission Vista</w:t>
            </w:r>
          </w:p>
        </w:tc>
        <w:tc>
          <w:tcPr>
            <w:tcW w:w="4993" w:type="dxa"/>
            <w:tcBorders>
              <w:bottom w:val="single" w:sz="8" w:space="0" w:color="4E8542"/>
            </w:tcBorders>
          </w:tcPr>
          <w:p>
            <w:pPr>
              <w:pStyle w:val="TableParagraph"/>
              <w:spacing w:line="251" w:lineRule="exact"/>
              <w:ind w:left="827"/>
              <w:rPr>
                <w:sz w:val="22"/>
              </w:rPr>
            </w:pPr>
            <w:r>
              <w:rPr>
                <w:sz w:val="22"/>
              </w:rPr>
              <w:t>Xxxx N. Emerson, Wenatchee, WA</w:t>
            </w:r>
          </w:p>
        </w:tc>
        <w:tc>
          <w:tcPr>
            <w:tcW w:w="4187" w:type="dxa"/>
            <w:tcBorders>
              <w:bottom w:val="single" w:sz="8" w:space="0" w:color="4E8542"/>
            </w:tcBorders>
          </w:tcPr>
          <w:p>
            <w:pPr>
              <w:pStyle w:val="TableParagraph"/>
              <w:spacing w:line="251" w:lineRule="exact"/>
              <w:ind w:left="223"/>
              <w:jc w:val="center"/>
              <w:rPr>
                <w:sz w:val="22"/>
              </w:rPr>
            </w:pPr>
            <w:r>
              <w:rPr>
                <w:w w:val="100"/>
                <w:sz w:val="22"/>
              </w:rPr>
              <w:t>1</w:t>
            </w:r>
          </w:p>
        </w:tc>
      </w:tr>
    </w:tbl>
    <w:p>
      <w:pPr>
        <w:spacing w:before="119"/>
        <w:ind w:left="1060" w:right="0" w:firstLine="0"/>
        <w:jc w:val="left"/>
        <w:rPr>
          <w:i/>
          <w:sz w:val="22"/>
        </w:rPr>
      </w:pPr>
      <w:r>
        <w:rPr>
          <w:i/>
          <w:sz w:val="22"/>
        </w:rPr>
        <w:t>* Note: To protect participant privacy, the specific home address is not included.</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4"/>
        </w:rPr>
      </w:pPr>
      <w:r>
        <w:rPr/>
        <w:pict>
          <v:shape style="position:absolute;margin-left:70.559998pt;margin-top:17.050360pt;width:650.9pt;height:.1pt;mso-position-horizontal-relative:page;mso-position-vertical-relative:paragraph;z-index:-251622400;mso-wrap-distance-left:0;mso-wrap-distance-right:0" coordorigin="1411,341" coordsize="13018,0" path="m1411,341l14429,341e" filled="false" stroked="true" strokeweight=".481pt" strokecolor="#d9d9d9">
            <v:path arrowok="t"/>
            <v:stroke dashstyle="solid"/>
            <w10:wrap type="topAndBottom"/>
          </v:shape>
        </w:pict>
      </w:r>
    </w:p>
    <w:p>
      <w:pPr>
        <w:spacing w:after="0"/>
        <w:rPr>
          <w:sz w:val="2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group style="position:absolute;margin-left:24pt;margin-top:24pt;width:744pt;height:564pt;mso-position-horizontal-relative:page;mso-position-vertical-relative:page;z-index:-271241216" coordorigin="480,480" coordsize="14880,11280">
            <v:shape style="position:absolute;left:1000;top:7219;width:14290;height:3492" coordorigin="1001,7219" coordsize="14290,3492" path="m5009,7219l4910,7219,1097,7219,1001,7219,1001,10711,5009,10711,5009,7219m8179,7219l8081,7219,5126,7219,5028,7219,5028,10711,5126,10711,8081,10711,8179,10711,8179,7219m9734,7219l9636,7219,8297,7219,8201,7219,8201,10711,9734,10711,9734,7219m13006,7219l12907,7219,9852,7219,9754,7219,9754,10711,13006,10711,13006,7219m15290,7219l15192,7219,13123,7219,13027,7219,13027,10711,13123,10711,15192,10711,15290,10711,15290,7219e" filled="true" fillcolor="#d0e4ca" stroked="false">
              <v:path arrowok="t"/>
              <v:fill type="solid"/>
            </v:shape>
            <v:line style="position:absolute" from="998,7218" to="5009,7218" stroked="true" strokeweight=".121pt" strokecolor="#d0e4ca">
              <v:stroke dashstyle="solid"/>
            </v:line>
            <v:rect style="position:absolute;left:5028;top:7216;width:25;height:3" filled="true" fillcolor="#d0e4ca" stroked="false">
              <v:fill type="solid"/>
            </v:rect>
            <v:line style="position:absolute" from="5052,7218" to="8182,7218" stroked="true" strokeweight=".121pt" strokecolor="#d0e4ca">
              <v:stroke dashstyle="solid"/>
            </v:line>
            <v:rect style="position:absolute;left:8200;top:7216;width:24;height:3" filled="true" fillcolor="#d0e4ca" stroked="false">
              <v:fill type="solid"/>
            </v:rect>
            <v:line style="position:absolute" from="8225,7218" to="9734,7218" stroked="true" strokeweight=".121pt" strokecolor="#d0e4ca">
              <v:stroke dashstyle="solid"/>
            </v:line>
            <v:rect style="position:absolute;left:9753;top:7216;width:24;height:3" filled="true" fillcolor="#d0e4ca" stroked="false">
              <v:fill type="solid"/>
            </v:rect>
            <v:line style="position:absolute" from="9778,7218" to="13006,7218" stroked="true" strokeweight=".121pt" strokecolor="#d0e4ca">
              <v:stroke dashstyle="solid"/>
            </v:line>
            <v:rect style="position:absolute;left:13024;top:7216;width:24;height:3" filled="true" fillcolor="#d0e4ca" stroked="false">
              <v:fill type="solid"/>
            </v:rect>
            <v:line style="position:absolute" from="13049,7218" to="15290,7218" stroked="true" strokeweight=".121pt" strokecolor="#d0e4ca">
              <v:stroke dashstyle="solid"/>
            </v:line>
            <v:line style="position:absolute" from="15300,6569" to="15300,10730" stroked="true" strokeweight=".959pt" strokecolor="#4e8542">
              <v:stroke dashstyle="solid"/>
            </v:line>
            <v:line style="position:absolute" from="509,494" to="15331,494" stroked="true" strokeweight="1.44pt" strokecolor="#000000">
              <v:stroke dashstyle="solid"/>
            </v:line>
            <v:line style="position:absolute" from="494,480" to="494,11731" stroked="true" strokeweight="1.44pt" strokecolor="#000000">
              <v:stroke dashstyle="solid"/>
            </v:line>
            <v:line style="position:absolute" from="15346,480" to="15346,11731" stroked="true" strokeweight="1.44pt" strokecolor="#000000">
              <v:stroke dashstyle="solid"/>
            </v:line>
            <v:rect style="position:absolute;left:480;top:11731;width:29;height:29" filled="true" fillcolor="#000000" stroked="false">
              <v:fill type="solid"/>
            </v:rect>
            <v:line style="position:absolute" from="509,11746" to="15331,11746" stroked="true" strokeweight="1.44pt" strokecolor="#000000">
              <v:stroke dashstyle="solid"/>
            </v:line>
            <v:rect style="position:absolute;left:15331;top:11731;width:29;height:29" filled="true" fillcolor="#000000" stroked="false">
              <v:fill type="solid"/>
            </v:rect>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19" w:right="2957" w:firstLine="0"/>
        <w:jc w:val="center"/>
        <w:rPr>
          <w:b/>
          <w:sz w:val="28"/>
        </w:rPr>
      </w:pPr>
      <w:bookmarkStart w:name="Adult Day Care Services" w:id="44"/>
      <w:bookmarkEnd w:id="44"/>
      <w:r>
        <w:rPr/>
      </w:r>
      <w:bookmarkStart w:name="_bookmark19" w:id="45"/>
      <w:bookmarkEnd w:id="45"/>
      <w:r>
        <w:rPr/>
      </w:r>
      <w:r>
        <w:rPr>
          <w:b/>
          <w:sz w:val="28"/>
        </w:rPr>
        <w:t>Adult Day Care Services</w:t>
      </w:r>
    </w:p>
    <w:p>
      <w:pPr>
        <w:pStyle w:val="BodyText"/>
        <w:spacing w:before="49"/>
        <w:ind w:left="1060"/>
      </w:pPr>
      <w:r>
        <w:rPr/>
        <w:t>Setting Description:</w:t>
      </w:r>
    </w:p>
    <w:p>
      <w:pPr>
        <w:pStyle w:val="BodyText"/>
        <w:spacing w:line="276" w:lineRule="auto" w:before="38"/>
        <w:ind w:left="1059" w:right="1243"/>
      </w:pPr>
      <w:r>
        <w:rPr/>
        <w:t>Adult day care service programs are community-based programs with the goal of meeting the needs of adults with impairments through individualized plans of care. Adult Day Care (ADC) is a supervised daytime program providing core services for adults with medical or disabling conditions that do not require the intervention or services of a registered nurse or licensed rehabilitative therapist acting under the supervision of the client’s authorizing practitioner. All community members have free access to these services and settings including both Medicaid and non-Medicaid funded participants.</w:t>
      </w:r>
    </w:p>
    <w:p>
      <w:pPr>
        <w:pStyle w:val="BodyText"/>
        <w:spacing w:before="3"/>
        <w:rPr>
          <w:sz w:val="25"/>
        </w:rPr>
      </w:pPr>
    </w:p>
    <w:p>
      <w:pPr>
        <w:pStyle w:val="BodyText"/>
        <w:spacing w:before="1"/>
        <w:ind w:left="1059" w:right="1135"/>
        <w:rPr>
          <w:i/>
        </w:rPr>
      </w:pPr>
      <w:bookmarkStart w:name="New WAC was promulgated since the initia" w:id="46"/>
      <w:bookmarkEnd w:id="46"/>
      <w:r>
        <w:rPr/>
      </w:r>
      <w:r>
        <w:rPr/>
        <w:t>New WAC was promulgated since the initial statewide transition plan was submitted. The WAC references below were revised to show these new rules. (</w:t>
      </w:r>
      <w:r>
        <w:rPr>
          <w:i/>
        </w:rPr>
        <w:t>Updated 1/15/16).</w:t>
      </w:r>
    </w:p>
    <w:p>
      <w:pPr>
        <w:pStyle w:val="BodyText"/>
        <w:rPr>
          <w:i/>
        </w:rPr>
      </w:pPr>
    </w:p>
    <w:p>
      <w:pPr>
        <w:pStyle w:val="BodyText"/>
        <w:ind w:left="1059" w:right="7431"/>
      </w:pPr>
      <w:r>
        <w:rPr/>
        <w:t>Number of Medicaid contracted providers for ADC services only: 6 Number of Medicaid participants: 16</w:t>
      </w:r>
    </w:p>
    <w:p>
      <w:pPr>
        <w:pStyle w:val="BodyText"/>
        <w:spacing w:before="1"/>
      </w:pPr>
    </w:p>
    <w:p>
      <w:pPr>
        <w:spacing w:before="1"/>
        <w:ind w:left="2915" w:right="2957" w:firstLine="0"/>
        <w:jc w:val="center"/>
        <w:rPr>
          <w:b/>
          <w:sz w:val="24"/>
        </w:rPr>
      </w:pPr>
      <w:r>
        <w:rPr>
          <w:b/>
          <w:sz w:val="24"/>
        </w:rPr>
        <w:t>Characteristics/Requirements Met</w:t>
      </w:r>
    </w:p>
    <w:p>
      <w:pPr>
        <w:pStyle w:val="BodyText"/>
        <w:rPr>
          <w:b/>
          <w:sz w:val="20"/>
        </w:rPr>
      </w:pPr>
    </w:p>
    <w:p>
      <w:pPr>
        <w:pStyle w:val="BodyText"/>
        <w:spacing w:before="3"/>
        <w:rPr>
          <w:b/>
          <w:sz w:val="11"/>
        </w:rPr>
      </w:pPr>
    </w:p>
    <w:tbl>
      <w:tblPr>
        <w:tblW w:w="0" w:type="auto"/>
        <w:jc w:val="left"/>
        <w:tblInd w:w="619"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4030"/>
        <w:gridCol w:w="3173"/>
        <w:gridCol w:w="1553"/>
        <w:gridCol w:w="3271"/>
        <w:gridCol w:w="2275"/>
      </w:tblGrid>
      <w:tr>
        <w:trPr>
          <w:trHeight w:val="584" w:hRule="atLeast"/>
        </w:trPr>
        <w:tc>
          <w:tcPr>
            <w:tcW w:w="4030" w:type="dxa"/>
            <w:tcBorders>
              <w:bottom w:val="single" w:sz="18" w:space="0" w:color="4E8542"/>
            </w:tcBorders>
          </w:tcPr>
          <w:p>
            <w:pPr>
              <w:pStyle w:val="TableParagraph"/>
              <w:spacing w:line="292" w:lineRule="exact"/>
              <w:ind w:left="530"/>
              <w:rPr>
                <w:b/>
                <w:sz w:val="24"/>
              </w:rPr>
            </w:pPr>
            <w:r>
              <w:rPr>
                <w:b/>
                <w:sz w:val="24"/>
              </w:rPr>
              <w:t>Characteristics/Requirements</w:t>
            </w:r>
          </w:p>
        </w:tc>
        <w:tc>
          <w:tcPr>
            <w:tcW w:w="3173" w:type="dxa"/>
            <w:tcBorders>
              <w:bottom w:val="single" w:sz="18" w:space="0" w:color="4E8542"/>
            </w:tcBorders>
          </w:tcPr>
          <w:p>
            <w:pPr>
              <w:pStyle w:val="TableParagraph"/>
              <w:spacing w:line="292" w:lineRule="exact"/>
              <w:ind w:left="661"/>
              <w:rPr>
                <w:b/>
                <w:sz w:val="24"/>
              </w:rPr>
            </w:pPr>
            <w:r>
              <w:rPr>
                <w:b/>
                <w:sz w:val="24"/>
              </w:rPr>
              <w:t>Adult Day Services</w:t>
            </w:r>
          </w:p>
          <w:p>
            <w:pPr>
              <w:pStyle w:val="TableParagraph"/>
              <w:spacing w:line="272" w:lineRule="exact"/>
              <w:ind w:left="769"/>
              <w:rPr>
                <w:b/>
                <w:sz w:val="24"/>
              </w:rPr>
            </w:pPr>
            <w:r>
              <w:rPr>
                <w:b/>
                <w:sz w:val="24"/>
              </w:rPr>
              <w:t>State Evaluation</w:t>
            </w:r>
          </w:p>
        </w:tc>
        <w:tc>
          <w:tcPr>
            <w:tcW w:w="1553" w:type="dxa"/>
            <w:tcBorders>
              <w:bottom w:val="single" w:sz="18" w:space="0" w:color="4E8542"/>
            </w:tcBorders>
          </w:tcPr>
          <w:p>
            <w:pPr>
              <w:pStyle w:val="TableParagraph"/>
              <w:spacing w:line="292" w:lineRule="exact"/>
              <w:ind w:left="169" w:right="156"/>
              <w:jc w:val="center"/>
              <w:rPr>
                <w:b/>
                <w:sz w:val="24"/>
              </w:rPr>
            </w:pPr>
            <w:r>
              <w:rPr>
                <w:b/>
                <w:sz w:val="24"/>
              </w:rPr>
              <w:t>Compliance</w:t>
            </w:r>
          </w:p>
          <w:p>
            <w:pPr>
              <w:pStyle w:val="TableParagraph"/>
              <w:spacing w:line="272" w:lineRule="exact"/>
              <w:ind w:left="165" w:right="156"/>
              <w:jc w:val="center"/>
              <w:rPr>
                <w:b/>
                <w:sz w:val="24"/>
              </w:rPr>
            </w:pPr>
            <w:r>
              <w:rPr>
                <w:b/>
                <w:sz w:val="24"/>
              </w:rPr>
              <w:t>Level</w:t>
            </w:r>
          </w:p>
        </w:tc>
        <w:tc>
          <w:tcPr>
            <w:tcW w:w="3271" w:type="dxa"/>
            <w:tcBorders>
              <w:bottom w:val="single" w:sz="18" w:space="0" w:color="4E8542"/>
            </w:tcBorders>
          </w:tcPr>
          <w:p>
            <w:pPr>
              <w:pStyle w:val="TableParagraph"/>
              <w:spacing w:line="292" w:lineRule="exact"/>
              <w:ind w:left="747"/>
              <w:rPr>
                <w:b/>
                <w:sz w:val="24"/>
              </w:rPr>
            </w:pPr>
            <w:r>
              <w:rPr>
                <w:b/>
                <w:sz w:val="24"/>
              </w:rPr>
              <w:t>Oversight Process</w:t>
            </w:r>
          </w:p>
        </w:tc>
        <w:tc>
          <w:tcPr>
            <w:tcW w:w="2275" w:type="dxa"/>
            <w:tcBorders>
              <w:bottom w:val="single" w:sz="18" w:space="0" w:color="4E8542"/>
              <w:right w:val="nil"/>
            </w:tcBorders>
          </w:tcPr>
          <w:p>
            <w:pPr>
              <w:pStyle w:val="TableParagraph"/>
              <w:spacing w:line="292" w:lineRule="exact"/>
              <w:ind w:left="500"/>
              <w:rPr>
                <w:b/>
                <w:sz w:val="24"/>
              </w:rPr>
            </w:pPr>
            <w:r>
              <w:rPr>
                <w:b/>
                <w:sz w:val="24"/>
              </w:rPr>
              <w:t>Remediation</w:t>
            </w:r>
          </w:p>
        </w:tc>
      </w:tr>
      <w:tr>
        <w:trPr>
          <w:trHeight w:val="3493" w:hRule="atLeast"/>
        </w:trPr>
        <w:tc>
          <w:tcPr>
            <w:tcW w:w="4030" w:type="dxa"/>
            <w:tcBorders>
              <w:top w:val="single" w:sz="18" w:space="0" w:color="4E8542"/>
            </w:tcBorders>
            <w:shd w:val="clear" w:color="auto" w:fill="D0E4CA"/>
          </w:tcPr>
          <w:p>
            <w:pPr>
              <w:pStyle w:val="TableParagraph"/>
              <w:spacing w:before="1"/>
              <w:ind w:left="107" w:right="104"/>
              <w:rPr>
                <w:b/>
                <w:sz w:val="22"/>
              </w:rPr>
            </w:pPr>
            <w:r>
              <w:rPr>
                <w:b/>
                <w:sz w:val="22"/>
              </w:rPr>
              <w:t>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 degree of access as individuals not receiving Medicaid HCBS.</w:t>
            </w:r>
          </w:p>
        </w:tc>
        <w:tc>
          <w:tcPr>
            <w:tcW w:w="3173" w:type="dxa"/>
            <w:tcBorders>
              <w:top w:val="single" w:sz="18" w:space="0" w:color="4E8542"/>
            </w:tcBorders>
            <w:shd w:val="clear" w:color="auto" w:fill="D0E4CA"/>
          </w:tcPr>
          <w:p>
            <w:pPr>
              <w:pStyle w:val="TableParagraph"/>
              <w:spacing w:before="1"/>
              <w:ind w:left="107" w:right="159"/>
              <w:rPr>
                <w:sz w:val="22"/>
              </w:rPr>
            </w:pPr>
            <w:r>
              <w:rPr>
                <w:sz w:val="22"/>
              </w:rPr>
              <w:t>Adult day care service programs provide opportunities for community integration for people living alone.</w:t>
            </w:r>
          </w:p>
          <w:p>
            <w:pPr>
              <w:pStyle w:val="TableParagraph"/>
              <w:spacing w:before="10"/>
              <w:rPr>
                <w:b/>
                <w:sz w:val="21"/>
              </w:rPr>
            </w:pPr>
          </w:p>
          <w:p>
            <w:pPr>
              <w:pStyle w:val="TableParagraph"/>
              <w:spacing w:before="1"/>
              <w:ind w:left="107"/>
              <w:rPr>
                <w:sz w:val="22"/>
              </w:rPr>
            </w:pPr>
            <w:r>
              <w:rPr>
                <w:sz w:val="22"/>
              </w:rPr>
              <w:t>WAC </w:t>
            </w:r>
            <w:hyperlink r:id="rId32">
              <w:r>
                <w:rPr>
                  <w:color w:val="6B9F24"/>
                  <w:sz w:val="22"/>
                  <w:u w:val="single" w:color="6B9F24"/>
                </w:rPr>
                <w:t>388-71-0738(2)</w:t>
              </w:r>
              <w:r>
                <w:rPr>
                  <w:color w:val="6B9F24"/>
                  <w:sz w:val="22"/>
                </w:rPr>
                <w:t> </w:t>
              </w:r>
            </w:hyperlink>
            <w:r>
              <w:rPr>
                <w:sz w:val="22"/>
              </w:rPr>
              <w:t>Center</w:t>
            </w:r>
          </w:p>
          <w:p>
            <w:pPr>
              <w:pStyle w:val="TableParagraph"/>
              <w:ind w:left="107"/>
              <w:rPr>
                <w:sz w:val="22"/>
              </w:rPr>
            </w:pPr>
            <w:r>
              <w:rPr>
                <w:sz w:val="22"/>
              </w:rPr>
              <w:t>policies must include</w:t>
            </w:r>
          </w:p>
          <w:p>
            <w:pPr>
              <w:pStyle w:val="TableParagraph"/>
              <w:spacing w:line="270" w:lineRule="atLeast"/>
              <w:ind w:left="107" w:right="127"/>
              <w:rPr>
                <w:sz w:val="22"/>
              </w:rPr>
            </w:pPr>
            <w:r>
              <w:rPr>
                <w:sz w:val="22"/>
              </w:rPr>
              <w:t>(0) A participant bill of rights describing the client’s rights and responsibilities must be developed, posted, distributed to and explained to participants, families, staff and volunteers.</w:t>
            </w:r>
          </w:p>
        </w:tc>
        <w:tc>
          <w:tcPr>
            <w:tcW w:w="1553" w:type="dxa"/>
            <w:tcBorders>
              <w:top w:val="single" w:sz="18" w:space="0" w:color="4E8542"/>
            </w:tcBorders>
            <w:shd w:val="clear" w:color="auto" w:fill="D0E4CA"/>
          </w:tcPr>
          <w:p>
            <w:pPr>
              <w:pStyle w:val="TableParagraph"/>
              <w:spacing w:before="1"/>
              <w:ind w:left="104" w:right="488"/>
              <w:rPr>
                <w:sz w:val="22"/>
              </w:rPr>
            </w:pPr>
            <w:r>
              <w:rPr>
                <w:sz w:val="22"/>
              </w:rPr>
              <w:t>Fully Compliant</w:t>
            </w:r>
          </w:p>
        </w:tc>
        <w:tc>
          <w:tcPr>
            <w:tcW w:w="3271" w:type="dxa"/>
            <w:tcBorders>
              <w:top w:val="single" w:sz="18" w:space="0" w:color="4E8542"/>
            </w:tcBorders>
            <w:shd w:val="clear" w:color="auto" w:fill="D0E4CA"/>
          </w:tcPr>
          <w:p>
            <w:pPr>
              <w:pStyle w:val="TableParagraph"/>
              <w:spacing w:before="1"/>
              <w:ind w:left="106" w:right="87"/>
              <w:rPr>
                <w:sz w:val="22"/>
              </w:rPr>
            </w:pPr>
            <w:r>
              <w:rPr>
                <w:sz w:val="22"/>
              </w:rPr>
              <w:t>The Area Agency on Aging (AAA) monitors adult day centers at least annually to determine compliance with adult day care and/or adult day health requirements and the requirements for contracting with the Department or the AAA, including compliance with this requirement.</w:t>
            </w:r>
          </w:p>
        </w:tc>
        <w:tc>
          <w:tcPr>
            <w:tcW w:w="2275" w:type="dxa"/>
            <w:tcBorders>
              <w:top w:val="single" w:sz="18" w:space="0" w:color="4E8542"/>
              <w:right w:val="nil"/>
            </w:tcBorders>
            <w:shd w:val="clear" w:color="auto" w:fill="D0E4CA"/>
          </w:tcPr>
          <w:p>
            <w:pPr>
              <w:pStyle w:val="TableParagraph"/>
              <w:spacing w:before="1"/>
              <w:ind w:left="107" w:right="153"/>
              <w:rPr>
                <w:sz w:val="22"/>
              </w:rPr>
            </w:pPr>
            <w:r>
              <w:rPr>
                <w:sz w:val="22"/>
              </w:rPr>
              <w:t>The State will amend chapter 388-71 WAC to assure that Adult Day Services will adhere to all aspects of the federal Home Community Based Settings requirements for non-residential settings. This includes ensuring that</w:t>
            </w:r>
          </w:p>
          <w:p>
            <w:pPr>
              <w:pStyle w:val="TableParagraph"/>
              <w:spacing w:line="270" w:lineRule="atLeast"/>
              <w:ind w:left="107" w:right="325"/>
              <w:rPr>
                <w:sz w:val="22"/>
              </w:rPr>
            </w:pPr>
            <w:r>
              <w:rPr>
                <w:sz w:val="22"/>
              </w:rPr>
              <w:t>individuals receiving HCBS Adult Day</w:t>
            </w:r>
          </w:p>
        </w:tc>
      </w:tr>
    </w:tbl>
    <w:p>
      <w:pPr>
        <w:pStyle w:val="BodyText"/>
        <w:rPr>
          <w:b/>
          <w:sz w:val="15"/>
        </w:rPr>
      </w:pPr>
      <w:r>
        <w:rPr/>
        <w:pict>
          <v:shape style="position:absolute;margin-left:70.559998pt;margin-top:11.3995pt;width:650.9pt;height:.1pt;mso-position-horizontal-relative:page;mso-position-vertical-relative:paragraph;z-index:-251621376;mso-wrap-distance-left:0;mso-wrap-distance-right:0" coordorigin="1411,228" coordsize="13018,0" path="m1411,228l14429,228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sectPr>
      </w:pPr>
    </w:p>
    <w:p>
      <w:pPr>
        <w:pStyle w:val="Heading8"/>
        <w:spacing w:before="39"/>
        <w:ind w:left="1060"/>
      </w:pPr>
      <w:r>
        <w:rPr/>
        <w:pict>
          <v:group style="position:absolute;margin-left:24pt;margin-top:24pt;width:744pt;height:564pt;mso-position-horizontal-relative:page;mso-position-vertical-relative:page;z-index:-271239168" coordorigin="480,480" coordsize="14880,11280">
            <v:shape style="position:absolute;left:1000;top:2354;width:14290;height:2686" coordorigin="1001,2354" coordsize="14290,2686" path="m5009,2354l1001,2354,1001,5040,5009,5040,5009,2354m8179,2354l8081,2354,5126,2354,5028,2354,5028,5040,8179,5040,8179,2354m9734,2354l8201,2354,8201,5040,9734,5040,9734,2354m13006,2354l9754,2354,9754,5040,13006,5040,13006,2354m15290,2354l15192,2354,13123,2354,13027,2354,13027,5040,13123,5040,15192,5040,15290,5040,15290,2354e" filled="true" fillcolor="#d0e4ca" stroked="false">
              <v:path arrowok="t"/>
              <v:fill type="solid"/>
            </v:shape>
            <v:line style="position:absolute" from="998,2377" to="5009,2377" stroked="true" strokeweight=".12pt" strokecolor="#d0e4ca">
              <v:stroke dashstyle="solid"/>
            </v:line>
            <v:rect style="position:absolute;left:5028;top:2376;width:25;height:3" filled="true" fillcolor="#d0e4ca" stroked="false">
              <v:fill type="solid"/>
            </v:rect>
            <v:line style="position:absolute" from="5052,2377" to="8182,2377" stroked="true" strokeweight=".12pt" strokecolor="#d0e4ca">
              <v:stroke dashstyle="solid"/>
            </v:line>
            <v:rect style="position:absolute;left:8200;top:2376;width:24;height:3" filled="true" fillcolor="#d0e4ca" stroked="false">
              <v:fill type="solid"/>
            </v:rect>
            <v:line style="position:absolute" from="8225,2377" to="9734,2377" stroked="true" strokeweight=".12pt" strokecolor="#d0e4ca">
              <v:stroke dashstyle="solid"/>
            </v:line>
            <v:rect style="position:absolute;left:9753;top:2376;width:24;height:3" filled="true" fillcolor="#d0e4ca" stroked="false">
              <v:fill type="solid"/>
            </v:rect>
            <v:line style="position:absolute" from="9778,2377" to="13006,2377" stroked="true" strokeweight=".12pt" strokecolor="#d0e4ca">
              <v:stroke dashstyle="solid"/>
            </v:line>
            <v:rect style="position:absolute;left:13024;top:2376;width:24;height:3" filled="true" fillcolor="#d0e4ca" stroked="false">
              <v:fill type="solid"/>
            </v:rect>
            <v:line style="position:absolute" from="13049,2377" to="15290,2377" stroked="true" strokeweight=".12pt" strokecolor="#d0e4ca">
              <v:stroke dashstyle="solid"/>
            </v:line>
            <v:shape style="position:absolute;left:1000;top:9376;width:14290;height:1342" coordorigin="1001,9377" coordsize="14290,1342" path="m5009,9377l4910,9377,4910,9377,1097,9377,1097,9377,1001,9377,1001,10718,5009,10718,5009,9377m8179,9377l8081,9377,8081,9377,5126,9377,5126,9377,5028,9377,5028,10718,5126,10718,8081,10718,8179,10718,8179,9377m9734,9377l9636,9377,9636,9377,8297,9377,8297,9377,8201,9377,8201,10718,8297,10718,9636,10718,9734,10718,9734,9377m13006,9377l12907,9377,12907,9377,9852,9377,9852,9377,9754,9377,9754,10718,9852,10718,12907,10718,13006,10718,13006,9377m15290,9377l15192,9377,15192,9377,13123,9377,13123,9377,13027,9377,13027,10718,15290,10718,15290,9377e" filled="true" fillcolor="#d0e4ca" stroked="false">
              <v:path arrowok="t"/>
              <v:fill type="solid"/>
            </v:shape>
            <v:line style="position:absolute" from="15300,1728" to="15300,10740" stroked="true" strokeweight=".959pt" strokecolor="#4e8542">
              <v:stroke dashstyle="solid"/>
            </v:line>
            <v:line style="position:absolute" from="509,494" to="15331,494" stroked="true" strokeweight="1.44pt" strokecolor="#000000">
              <v:stroke dashstyle="solid"/>
            </v:line>
            <v:line style="position:absolute" from="494,480" to="494,11731" stroked="true" strokeweight="1.44pt" strokecolor="#000000">
              <v:stroke dashstyle="solid"/>
            </v:line>
            <v:line style="position:absolute" from="15346,480" to="15346,11731" stroked="true" strokeweight="1.44pt" strokecolor="#000000">
              <v:stroke dashstyle="solid"/>
            </v:line>
            <v:rect style="position:absolute;left:480;top:11731;width:29;height:29" filled="true" fillcolor="#000000" stroked="false">
              <v:fill type="solid"/>
            </v:rect>
            <v:line style="position:absolute" from="509,11746" to="15331,11746" stroked="true" strokeweight="1.44pt" strokecolor="#000000">
              <v:stroke dashstyle="solid"/>
            </v:line>
            <v:rect style="position:absolute;left:15331;top:11731;width:29;height:29" filled="true" fillcolor="#000000" stroked="false">
              <v:fill type="solid"/>
            </v:rect>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619"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4030"/>
        <w:gridCol w:w="3173"/>
        <w:gridCol w:w="1553"/>
        <w:gridCol w:w="3271"/>
        <w:gridCol w:w="2275"/>
      </w:tblGrid>
      <w:tr>
        <w:trPr>
          <w:trHeight w:val="584" w:hRule="atLeast"/>
        </w:trPr>
        <w:tc>
          <w:tcPr>
            <w:tcW w:w="4030" w:type="dxa"/>
            <w:tcBorders>
              <w:bottom w:val="single" w:sz="18" w:space="0" w:color="4E8542"/>
            </w:tcBorders>
          </w:tcPr>
          <w:p>
            <w:pPr>
              <w:pStyle w:val="TableParagraph"/>
              <w:spacing w:line="292" w:lineRule="exact"/>
              <w:ind w:left="530"/>
              <w:rPr>
                <w:b/>
                <w:sz w:val="24"/>
              </w:rPr>
            </w:pPr>
            <w:r>
              <w:rPr>
                <w:b/>
                <w:sz w:val="24"/>
              </w:rPr>
              <w:t>Characteristics/Requirements</w:t>
            </w:r>
          </w:p>
        </w:tc>
        <w:tc>
          <w:tcPr>
            <w:tcW w:w="3173" w:type="dxa"/>
            <w:tcBorders>
              <w:bottom w:val="single" w:sz="18" w:space="0" w:color="4E8542"/>
            </w:tcBorders>
          </w:tcPr>
          <w:p>
            <w:pPr>
              <w:pStyle w:val="TableParagraph"/>
              <w:spacing w:line="292" w:lineRule="exact"/>
              <w:ind w:left="661"/>
              <w:rPr>
                <w:b/>
                <w:sz w:val="24"/>
              </w:rPr>
            </w:pPr>
            <w:r>
              <w:rPr>
                <w:b/>
                <w:sz w:val="24"/>
              </w:rPr>
              <w:t>Adult Day Services</w:t>
            </w:r>
          </w:p>
          <w:p>
            <w:pPr>
              <w:pStyle w:val="TableParagraph"/>
              <w:spacing w:line="272" w:lineRule="exact"/>
              <w:ind w:left="769"/>
              <w:rPr>
                <w:b/>
                <w:sz w:val="24"/>
              </w:rPr>
            </w:pPr>
            <w:r>
              <w:rPr>
                <w:b/>
                <w:sz w:val="24"/>
              </w:rPr>
              <w:t>State Evaluation</w:t>
            </w:r>
          </w:p>
        </w:tc>
        <w:tc>
          <w:tcPr>
            <w:tcW w:w="1553" w:type="dxa"/>
            <w:tcBorders>
              <w:bottom w:val="single" w:sz="18" w:space="0" w:color="4E8542"/>
            </w:tcBorders>
          </w:tcPr>
          <w:p>
            <w:pPr>
              <w:pStyle w:val="TableParagraph"/>
              <w:spacing w:line="292" w:lineRule="exact"/>
              <w:ind w:left="169" w:right="156"/>
              <w:jc w:val="center"/>
              <w:rPr>
                <w:b/>
                <w:sz w:val="24"/>
              </w:rPr>
            </w:pPr>
            <w:r>
              <w:rPr>
                <w:b/>
                <w:sz w:val="24"/>
              </w:rPr>
              <w:t>Compliance</w:t>
            </w:r>
          </w:p>
          <w:p>
            <w:pPr>
              <w:pStyle w:val="TableParagraph"/>
              <w:spacing w:line="272" w:lineRule="exact"/>
              <w:ind w:left="165" w:right="156"/>
              <w:jc w:val="center"/>
              <w:rPr>
                <w:b/>
                <w:sz w:val="24"/>
              </w:rPr>
            </w:pPr>
            <w:r>
              <w:rPr>
                <w:b/>
                <w:sz w:val="24"/>
              </w:rPr>
              <w:t>Level</w:t>
            </w:r>
          </w:p>
        </w:tc>
        <w:tc>
          <w:tcPr>
            <w:tcW w:w="3271" w:type="dxa"/>
            <w:tcBorders>
              <w:bottom w:val="single" w:sz="18" w:space="0" w:color="4E8542"/>
            </w:tcBorders>
          </w:tcPr>
          <w:p>
            <w:pPr>
              <w:pStyle w:val="TableParagraph"/>
              <w:spacing w:line="292" w:lineRule="exact"/>
              <w:ind w:left="747"/>
              <w:rPr>
                <w:b/>
                <w:sz w:val="24"/>
              </w:rPr>
            </w:pPr>
            <w:r>
              <w:rPr>
                <w:b/>
                <w:sz w:val="24"/>
              </w:rPr>
              <w:t>Oversight Process</w:t>
            </w:r>
          </w:p>
        </w:tc>
        <w:tc>
          <w:tcPr>
            <w:tcW w:w="2275" w:type="dxa"/>
            <w:tcBorders>
              <w:bottom w:val="single" w:sz="18" w:space="0" w:color="4E8542"/>
              <w:right w:val="nil"/>
            </w:tcBorders>
          </w:tcPr>
          <w:p>
            <w:pPr>
              <w:pStyle w:val="TableParagraph"/>
              <w:spacing w:line="292" w:lineRule="exact"/>
              <w:ind w:left="500"/>
              <w:rPr>
                <w:b/>
                <w:sz w:val="24"/>
              </w:rPr>
            </w:pPr>
            <w:r>
              <w:rPr>
                <w:b/>
                <w:sz w:val="24"/>
              </w:rPr>
              <w:t>Remediation</w:t>
            </w:r>
          </w:p>
        </w:tc>
      </w:tr>
      <w:tr>
        <w:trPr>
          <w:trHeight w:val="2662" w:hRule="atLeast"/>
        </w:trPr>
        <w:tc>
          <w:tcPr>
            <w:tcW w:w="4030" w:type="dxa"/>
            <w:tcBorders>
              <w:top w:val="single" w:sz="18" w:space="0" w:color="4E8542"/>
            </w:tcBorders>
            <w:shd w:val="clear" w:color="auto" w:fill="D0E4CA"/>
          </w:tcPr>
          <w:p>
            <w:pPr>
              <w:pStyle w:val="TableParagraph"/>
              <w:rPr>
                <w:rFonts w:ascii="Times New Roman"/>
                <w:sz w:val="22"/>
              </w:rPr>
            </w:pPr>
          </w:p>
        </w:tc>
        <w:tc>
          <w:tcPr>
            <w:tcW w:w="3173" w:type="dxa"/>
            <w:tcBorders>
              <w:top w:val="single" w:sz="18" w:space="0" w:color="4E8542"/>
            </w:tcBorders>
            <w:shd w:val="clear" w:color="auto" w:fill="D0E4CA"/>
          </w:tcPr>
          <w:p>
            <w:pPr>
              <w:pStyle w:val="TableParagraph"/>
              <w:rPr>
                <w:rFonts w:ascii="Times New Roman"/>
                <w:sz w:val="22"/>
              </w:rPr>
            </w:pPr>
          </w:p>
        </w:tc>
        <w:tc>
          <w:tcPr>
            <w:tcW w:w="1553" w:type="dxa"/>
            <w:tcBorders>
              <w:top w:val="single" w:sz="18" w:space="0" w:color="4E8542"/>
            </w:tcBorders>
            <w:shd w:val="clear" w:color="auto" w:fill="D0E4CA"/>
          </w:tcPr>
          <w:p>
            <w:pPr>
              <w:pStyle w:val="TableParagraph"/>
              <w:rPr>
                <w:rFonts w:ascii="Times New Roman"/>
                <w:sz w:val="22"/>
              </w:rPr>
            </w:pPr>
          </w:p>
        </w:tc>
        <w:tc>
          <w:tcPr>
            <w:tcW w:w="3271" w:type="dxa"/>
            <w:tcBorders>
              <w:top w:val="single" w:sz="18" w:space="0" w:color="4E8542"/>
            </w:tcBorders>
            <w:shd w:val="clear" w:color="auto" w:fill="D0E4CA"/>
          </w:tcPr>
          <w:p>
            <w:pPr>
              <w:pStyle w:val="TableParagraph"/>
              <w:rPr>
                <w:rFonts w:ascii="Times New Roman"/>
                <w:sz w:val="22"/>
              </w:rPr>
            </w:pPr>
          </w:p>
        </w:tc>
        <w:tc>
          <w:tcPr>
            <w:tcW w:w="2275" w:type="dxa"/>
            <w:tcBorders>
              <w:top w:val="single" w:sz="18" w:space="0" w:color="4E8542"/>
              <w:right w:val="nil"/>
            </w:tcBorders>
            <w:shd w:val="clear" w:color="auto" w:fill="D0E4CA"/>
          </w:tcPr>
          <w:p>
            <w:pPr>
              <w:pStyle w:val="TableParagraph"/>
              <w:spacing w:line="245" w:lineRule="exact"/>
              <w:ind w:left="107"/>
              <w:rPr>
                <w:sz w:val="22"/>
              </w:rPr>
            </w:pPr>
            <w:r>
              <w:rPr>
                <w:sz w:val="22"/>
              </w:rPr>
              <w:t>Services have the</w:t>
            </w:r>
          </w:p>
          <w:p>
            <w:pPr>
              <w:pStyle w:val="TableParagraph"/>
              <w:ind w:left="107" w:right="131"/>
              <w:rPr>
                <w:sz w:val="22"/>
              </w:rPr>
            </w:pPr>
            <w:r>
              <w:rPr>
                <w:sz w:val="22"/>
              </w:rPr>
              <w:t>opportunity to receive services in the community with the same degree of access as individuals not receiving Medicaid HCBS.</w:t>
            </w:r>
          </w:p>
          <w:p>
            <w:pPr>
              <w:pStyle w:val="TableParagraph"/>
              <w:spacing w:line="268" w:lineRule="exact"/>
              <w:ind w:left="107"/>
              <w:rPr>
                <w:sz w:val="22"/>
              </w:rPr>
            </w:pPr>
            <w:r>
              <w:rPr>
                <w:sz w:val="22"/>
              </w:rPr>
              <w:t>See </w:t>
            </w:r>
            <w:hyperlink w:history="true" w:anchor="_bookmark43">
              <w:r>
                <w:rPr>
                  <w:color w:val="6B9F24"/>
                  <w:sz w:val="22"/>
                  <w:u w:val="single" w:color="6B9F24"/>
                </w:rPr>
                <w:t>Appendix C</w:t>
              </w:r>
              <w:r>
                <w:rPr>
                  <w:sz w:val="22"/>
                </w:rPr>
                <w:t>.</w:t>
              </w:r>
            </w:hyperlink>
          </w:p>
        </w:tc>
      </w:tr>
      <w:tr>
        <w:trPr>
          <w:trHeight w:val="4295" w:hRule="atLeast"/>
        </w:trPr>
        <w:tc>
          <w:tcPr>
            <w:tcW w:w="4030" w:type="dxa"/>
          </w:tcPr>
          <w:p>
            <w:pPr>
              <w:pStyle w:val="TableParagraph"/>
              <w:ind w:left="107" w:right="123"/>
              <w:rPr>
                <w:b/>
                <w:sz w:val="22"/>
              </w:rPr>
            </w:pPr>
            <w:r>
              <w:rPr>
                <w:b/>
                <w:sz w:val="22"/>
              </w:rPr>
              <w:t>The setting is selected by the individual from among setting options including non-disability specific settings and an option for a private unit in a residential setting. The setting options are identified and documented in the person-centered service plan and are based on the individual’s needs, preferences, and, for residential settings, the resources available for room and board.</w:t>
            </w:r>
          </w:p>
        </w:tc>
        <w:tc>
          <w:tcPr>
            <w:tcW w:w="3173" w:type="dxa"/>
          </w:tcPr>
          <w:p>
            <w:pPr>
              <w:pStyle w:val="TableParagraph"/>
              <w:ind w:left="107" w:right="96"/>
              <w:rPr>
                <w:sz w:val="22"/>
              </w:rPr>
            </w:pPr>
            <w:r>
              <w:rPr>
                <w:sz w:val="22"/>
              </w:rPr>
              <w:t>During the assessment process, it is a CM responsibility to inform individuals of their options regarding settings and providers.  The settings discussed include all of our residential care options, institutional care, and non- disability specific home settings that include apartments, houses, temporary housing, and other settings that the client may consider a home or</w:t>
            </w:r>
            <w:r>
              <w:rPr>
                <w:spacing w:val="-7"/>
                <w:sz w:val="22"/>
              </w:rPr>
              <w:t> </w:t>
            </w:r>
            <w:r>
              <w:rPr>
                <w:sz w:val="22"/>
              </w:rPr>
              <w:t>residence.</w:t>
            </w:r>
          </w:p>
          <w:p>
            <w:pPr>
              <w:pStyle w:val="TableParagraph"/>
              <w:ind w:left="107" w:right="374"/>
              <w:rPr>
                <w:sz w:val="22"/>
              </w:rPr>
            </w:pPr>
            <w:r>
              <w:rPr>
                <w:sz w:val="22"/>
              </w:rPr>
              <w:t>This is documented in the Service Episode Record of the</w:t>
            </w:r>
          </w:p>
          <w:p>
            <w:pPr>
              <w:pStyle w:val="TableParagraph"/>
              <w:spacing w:line="248" w:lineRule="exact"/>
              <w:ind w:left="107"/>
              <w:rPr>
                <w:sz w:val="22"/>
              </w:rPr>
            </w:pPr>
            <w:r>
              <w:rPr>
                <w:sz w:val="22"/>
              </w:rPr>
              <w:t>CARE assessment tool.</w:t>
            </w:r>
          </w:p>
        </w:tc>
        <w:tc>
          <w:tcPr>
            <w:tcW w:w="1553" w:type="dxa"/>
          </w:tcPr>
          <w:p>
            <w:pPr>
              <w:pStyle w:val="TableParagraph"/>
              <w:ind w:left="104" w:right="488"/>
              <w:rPr>
                <w:sz w:val="22"/>
              </w:rPr>
            </w:pPr>
            <w:r>
              <w:rPr>
                <w:sz w:val="22"/>
              </w:rPr>
              <w:t>Fully Compliant</w:t>
            </w:r>
          </w:p>
        </w:tc>
        <w:tc>
          <w:tcPr>
            <w:tcW w:w="3271" w:type="dxa"/>
          </w:tcPr>
          <w:p>
            <w:pPr>
              <w:pStyle w:val="TableParagraph"/>
              <w:ind w:left="106" w:right="87"/>
              <w:rPr>
                <w:sz w:val="22"/>
              </w:rPr>
            </w:pPr>
            <w:r>
              <w:rPr>
                <w:sz w:val="22"/>
              </w:rPr>
              <w:t>The Area Agency on Aging (AAA) monitors adult day centers at least annually to determine compliance with adult day care and/or adult day health requirements and the requirements for contracting with the Department or the AAA, including compliance with this requirement.</w:t>
            </w:r>
          </w:p>
        </w:tc>
        <w:tc>
          <w:tcPr>
            <w:tcW w:w="2275" w:type="dxa"/>
            <w:tcBorders>
              <w:right w:val="nil"/>
            </w:tcBorders>
          </w:tcPr>
          <w:p>
            <w:pPr>
              <w:pStyle w:val="TableParagraph"/>
              <w:rPr>
                <w:rFonts w:ascii="Times New Roman"/>
                <w:sz w:val="22"/>
              </w:rPr>
            </w:pPr>
          </w:p>
        </w:tc>
      </w:tr>
      <w:tr>
        <w:trPr>
          <w:trHeight w:val="1345" w:hRule="atLeast"/>
        </w:trPr>
        <w:tc>
          <w:tcPr>
            <w:tcW w:w="4030" w:type="dxa"/>
            <w:shd w:val="clear" w:color="auto" w:fill="D0E4CA"/>
          </w:tcPr>
          <w:p>
            <w:pPr>
              <w:pStyle w:val="TableParagraph"/>
              <w:spacing w:before="1"/>
              <w:ind w:left="107" w:right="192"/>
              <w:rPr>
                <w:b/>
                <w:sz w:val="22"/>
              </w:rPr>
            </w:pPr>
            <w:r>
              <w:rPr>
                <w:b/>
                <w:sz w:val="22"/>
              </w:rPr>
              <w:t>An individual’s essential personal rights of privacy, dignity and respect, and freedom from coercion and restraint are protected.</w:t>
            </w:r>
          </w:p>
        </w:tc>
        <w:tc>
          <w:tcPr>
            <w:tcW w:w="3173" w:type="dxa"/>
            <w:shd w:val="clear" w:color="auto" w:fill="D0E4CA"/>
          </w:tcPr>
          <w:p>
            <w:pPr>
              <w:pStyle w:val="TableParagraph"/>
              <w:spacing w:before="1"/>
              <w:ind w:left="107"/>
              <w:rPr>
                <w:sz w:val="22"/>
              </w:rPr>
            </w:pPr>
            <w:hyperlink r:id="rId33">
              <w:r>
                <w:rPr>
                  <w:color w:val="6B9F24"/>
                  <w:sz w:val="22"/>
                  <w:u w:val="single" w:color="6B9F24"/>
                </w:rPr>
                <w:t>WAC 388-71-0766 (1) and (12):</w:t>
              </w:r>
            </w:hyperlink>
          </w:p>
          <w:p>
            <w:pPr>
              <w:pStyle w:val="TableParagraph"/>
              <w:ind w:left="107" w:right="202"/>
              <w:rPr>
                <w:sz w:val="22"/>
              </w:rPr>
            </w:pPr>
            <w:hyperlink r:id="rId33">
              <w:r>
                <w:rPr>
                  <w:color w:val="6B9F24"/>
                  <w:sz w:val="22"/>
                  <w:u w:val="single" w:color="6B9F24"/>
                </w:rPr>
                <w:t>What are the adult day centers'</w:t>
              </w:r>
            </w:hyperlink>
            <w:r>
              <w:rPr>
                <w:color w:val="6B9F24"/>
                <w:sz w:val="22"/>
              </w:rPr>
              <w:t> </w:t>
            </w:r>
            <w:hyperlink r:id="rId33">
              <w:r>
                <w:rPr>
                  <w:color w:val="6B9F24"/>
                  <w:sz w:val="22"/>
                  <w:u w:val="single" w:color="6B9F24"/>
                </w:rPr>
                <w:t>facility requirements? </w:t>
              </w:r>
            </w:hyperlink>
            <w:r>
              <w:rPr>
                <w:sz w:val="22"/>
              </w:rPr>
              <w:t>The facility must have sufficient</w:t>
            </w:r>
          </w:p>
          <w:p>
            <w:pPr>
              <w:pStyle w:val="TableParagraph"/>
              <w:spacing w:line="250" w:lineRule="exact"/>
              <w:ind w:left="107"/>
              <w:rPr>
                <w:sz w:val="22"/>
              </w:rPr>
            </w:pPr>
            <w:r>
              <w:rPr>
                <w:sz w:val="22"/>
              </w:rPr>
              <w:t>space….The program must</w:t>
            </w:r>
          </w:p>
        </w:tc>
        <w:tc>
          <w:tcPr>
            <w:tcW w:w="1553" w:type="dxa"/>
            <w:shd w:val="clear" w:color="auto" w:fill="D0E4CA"/>
          </w:tcPr>
          <w:p>
            <w:pPr>
              <w:pStyle w:val="TableParagraph"/>
              <w:spacing w:before="1"/>
              <w:ind w:left="104"/>
              <w:rPr>
                <w:sz w:val="22"/>
              </w:rPr>
            </w:pPr>
            <w:r>
              <w:rPr>
                <w:sz w:val="22"/>
              </w:rPr>
              <w:t>Silent</w:t>
            </w:r>
          </w:p>
          <w:p>
            <w:pPr>
              <w:pStyle w:val="TableParagraph"/>
              <w:ind w:left="104" w:right="92"/>
              <w:rPr>
                <w:sz w:val="22"/>
              </w:rPr>
            </w:pPr>
            <w:r>
              <w:rPr>
                <w:sz w:val="22"/>
              </w:rPr>
              <w:t>When the new rules are enacted, the</w:t>
            </w:r>
          </w:p>
          <w:p>
            <w:pPr>
              <w:pStyle w:val="TableParagraph"/>
              <w:spacing w:line="250" w:lineRule="exact"/>
              <w:ind w:left="104"/>
              <w:rPr>
                <w:sz w:val="22"/>
              </w:rPr>
            </w:pPr>
            <w:r>
              <w:rPr>
                <w:sz w:val="22"/>
              </w:rPr>
              <w:t>new</w:t>
            </w:r>
          </w:p>
        </w:tc>
        <w:tc>
          <w:tcPr>
            <w:tcW w:w="3271" w:type="dxa"/>
            <w:shd w:val="clear" w:color="auto" w:fill="D0E4CA"/>
          </w:tcPr>
          <w:p>
            <w:pPr>
              <w:pStyle w:val="TableParagraph"/>
              <w:spacing w:before="1"/>
              <w:ind w:left="106" w:right="229"/>
              <w:rPr>
                <w:sz w:val="22"/>
              </w:rPr>
            </w:pPr>
            <w:r>
              <w:rPr>
                <w:sz w:val="22"/>
              </w:rPr>
              <w:t>The Area Agency on Aging (AAA) monitors adult day centers at least annually to determine compliance with adult day care</w:t>
            </w:r>
          </w:p>
          <w:p>
            <w:pPr>
              <w:pStyle w:val="TableParagraph"/>
              <w:spacing w:line="250" w:lineRule="exact"/>
              <w:ind w:left="106"/>
              <w:rPr>
                <w:sz w:val="22"/>
              </w:rPr>
            </w:pPr>
            <w:r>
              <w:rPr>
                <w:sz w:val="22"/>
              </w:rPr>
              <w:t>and/or adult day health</w:t>
            </w:r>
          </w:p>
        </w:tc>
        <w:tc>
          <w:tcPr>
            <w:tcW w:w="2275" w:type="dxa"/>
            <w:tcBorders>
              <w:right w:val="nil"/>
            </w:tcBorders>
            <w:shd w:val="clear" w:color="auto" w:fill="D0E4CA"/>
          </w:tcPr>
          <w:p>
            <w:pPr>
              <w:pStyle w:val="TableParagraph"/>
              <w:spacing w:before="1"/>
              <w:ind w:left="107" w:right="153"/>
              <w:rPr>
                <w:sz w:val="22"/>
              </w:rPr>
            </w:pPr>
            <w:r>
              <w:rPr>
                <w:sz w:val="22"/>
              </w:rPr>
              <w:t>The State is currently promulgating rules to mandate that restraints must not be</w:t>
            </w:r>
          </w:p>
        </w:tc>
      </w:tr>
    </w:tbl>
    <w:p>
      <w:pPr>
        <w:pStyle w:val="BodyText"/>
        <w:spacing w:before="3"/>
        <w:rPr>
          <w:b/>
          <w:sz w:val="14"/>
        </w:rPr>
      </w:pPr>
      <w:r>
        <w:rPr/>
        <w:pict>
          <v:shape style="position:absolute;margin-left:70.559998pt;margin-top:10.9195pt;width:650.9pt;height:.1pt;mso-position-horizontal-relative:page;mso-position-vertical-relative:paragraph;z-index:-251619328;mso-wrap-distance-left:0;mso-wrap-distance-right:0" coordorigin="1411,218" coordsize="13018,0" path="m1411,218l14429,218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sectPr>
      </w:pPr>
    </w:p>
    <w:p>
      <w:pPr>
        <w:pStyle w:val="Heading8"/>
        <w:spacing w:before="39"/>
        <w:ind w:left="1060"/>
      </w:pPr>
      <w:r>
        <w:rPr/>
        <w:pict>
          <v:group style="position:absolute;margin-left:24pt;margin-top:24pt;width:744pt;height:564pt;mso-position-horizontal-relative:page;mso-position-vertical-relative:page;z-index:-271237120" coordorigin="480,480" coordsize="14880,11280">
            <v:shape style="position:absolute;left:1000;top:2354;width:14290;height:3224" coordorigin="1001,2354" coordsize="14290,3224" path="m5009,2354l1001,2354,1001,5578,5009,5578,5009,2354m8179,2354l8081,2354,5126,2354,5028,2354,5028,5578,5126,5578,8081,5578,8179,5578,8179,2354m9734,2354l9636,2354,8297,2354,8201,2354,8201,5578,9734,5578,9734,2354m13006,2354l12907,2354,9852,2354,9754,2354,9754,5578,13006,5578,13006,2354m15290,2354l15192,2354,13123,2354,13027,2354,13027,5578,15290,5578,15290,2354e" filled="true" fillcolor="#d0e4ca" stroked="false">
              <v:path arrowok="t"/>
              <v:fill type="solid"/>
            </v:shape>
            <v:line style="position:absolute" from="998,2377" to="5009,2377" stroked="true" strokeweight=".12pt" strokecolor="#d0e4ca">
              <v:stroke dashstyle="solid"/>
            </v:line>
            <v:rect style="position:absolute;left:5028;top:2376;width:25;height:3" filled="true" fillcolor="#d0e4ca" stroked="false">
              <v:fill type="solid"/>
            </v:rect>
            <v:line style="position:absolute" from="5052,2377" to="8182,2377" stroked="true" strokeweight=".12pt" strokecolor="#d0e4ca">
              <v:stroke dashstyle="solid"/>
            </v:line>
            <v:rect style="position:absolute;left:8200;top:2376;width:24;height:3" filled="true" fillcolor="#d0e4ca" stroked="false">
              <v:fill type="solid"/>
            </v:rect>
            <v:line style="position:absolute" from="8225,2377" to="9734,2377" stroked="true" strokeweight=".12pt" strokecolor="#d0e4ca">
              <v:stroke dashstyle="solid"/>
            </v:line>
            <v:rect style="position:absolute;left:9753;top:2376;width:24;height:3" filled="true" fillcolor="#d0e4ca" stroked="false">
              <v:fill type="solid"/>
            </v:rect>
            <v:line style="position:absolute" from="9778,2377" to="13006,2377" stroked="true" strokeweight=".12pt" strokecolor="#d0e4ca">
              <v:stroke dashstyle="solid"/>
            </v:line>
            <v:rect style="position:absolute;left:13024;top:2376;width:24;height:3" filled="true" fillcolor="#d0e4ca" stroked="false">
              <v:fill type="solid"/>
            </v:rect>
            <v:line style="position:absolute" from="13049,2377" to="15290,2377" stroked="true" strokeweight=".12pt" strokecolor="#d0e4ca">
              <v:stroke dashstyle="solid"/>
            </v:line>
            <v:line style="position:absolute" from="15300,1728" to="15300,10718" stroked="true" strokeweight=".959pt" strokecolor="#4e8542">
              <v:stroke dashstyle="solid"/>
            </v:line>
            <v:line style="position:absolute" from="509,494" to="15331,494" stroked="true" strokeweight="1.44pt" strokecolor="#000000">
              <v:stroke dashstyle="solid"/>
            </v:line>
            <v:line style="position:absolute" from="494,480" to="494,11731" stroked="true" strokeweight="1.44pt" strokecolor="#000000">
              <v:stroke dashstyle="solid"/>
            </v:line>
            <v:line style="position:absolute" from="15346,480" to="15346,11731" stroked="true" strokeweight="1.44pt" strokecolor="#000000">
              <v:stroke dashstyle="solid"/>
            </v:line>
            <v:rect style="position:absolute;left:480;top:11731;width:29;height:29" filled="true" fillcolor="#000000" stroked="false">
              <v:fill type="solid"/>
            </v:rect>
            <v:line style="position:absolute" from="509,11746" to="15331,11746" stroked="true" strokeweight="1.44pt" strokecolor="#000000">
              <v:stroke dashstyle="solid"/>
            </v:line>
            <v:rect style="position:absolute;left:15331;top:11731;width:29;height:29" filled="true" fillcolor="#000000" stroked="false">
              <v:fill type="solid"/>
            </v:rect>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619"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4030"/>
        <w:gridCol w:w="3173"/>
        <w:gridCol w:w="1553"/>
        <w:gridCol w:w="3271"/>
        <w:gridCol w:w="2275"/>
      </w:tblGrid>
      <w:tr>
        <w:trPr>
          <w:trHeight w:val="584" w:hRule="atLeast"/>
        </w:trPr>
        <w:tc>
          <w:tcPr>
            <w:tcW w:w="4030" w:type="dxa"/>
            <w:tcBorders>
              <w:bottom w:val="single" w:sz="18" w:space="0" w:color="4E8542"/>
            </w:tcBorders>
          </w:tcPr>
          <w:p>
            <w:pPr>
              <w:pStyle w:val="TableParagraph"/>
              <w:spacing w:line="292" w:lineRule="exact"/>
              <w:ind w:left="530"/>
              <w:rPr>
                <w:b/>
                <w:sz w:val="24"/>
              </w:rPr>
            </w:pPr>
            <w:r>
              <w:rPr>
                <w:b/>
                <w:sz w:val="24"/>
              </w:rPr>
              <w:t>Characteristics/Requirements</w:t>
            </w:r>
          </w:p>
        </w:tc>
        <w:tc>
          <w:tcPr>
            <w:tcW w:w="3173" w:type="dxa"/>
            <w:tcBorders>
              <w:bottom w:val="single" w:sz="18" w:space="0" w:color="4E8542"/>
            </w:tcBorders>
          </w:tcPr>
          <w:p>
            <w:pPr>
              <w:pStyle w:val="TableParagraph"/>
              <w:spacing w:line="292" w:lineRule="exact"/>
              <w:ind w:left="661"/>
              <w:rPr>
                <w:b/>
                <w:sz w:val="24"/>
              </w:rPr>
            </w:pPr>
            <w:r>
              <w:rPr>
                <w:b/>
                <w:sz w:val="24"/>
              </w:rPr>
              <w:t>Adult Day Services</w:t>
            </w:r>
          </w:p>
          <w:p>
            <w:pPr>
              <w:pStyle w:val="TableParagraph"/>
              <w:spacing w:line="272" w:lineRule="exact"/>
              <w:ind w:left="769"/>
              <w:rPr>
                <w:b/>
                <w:sz w:val="24"/>
              </w:rPr>
            </w:pPr>
            <w:r>
              <w:rPr>
                <w:b/>
                <w:sz w:val="24"/>
              </w:rPr>
              <w:t>State Evaluation</w:t>
            </w:r>
          </w:p>
        </w:tc>
        <w:tc>
          <w:tcPr>
            <w:tcW w:w="1553" w:type="dxa"/>
            <w:tcBorders>
              <w:bottom w:val="single" w:sz="18" w:space="0" w:color="4E8542"/>
            </w:tcBorders>
          </w:tcPr>
          <w:p>
            <w:pPr>
              <w:pStyle w:val="TableParagraph"/>
              <w:spacing w:line="292" w:lineRule="exact"/>
              <w:ind w:left="169" w:right="156"/>
              <w:jc w:val="center"/>
              <w:rPr>
                <w:b/>
                <w:sz w:val="24"/>
              </w:rPr>
            </w:pPr>
            <w:r>
              <w:rPr>
                <w:b/>
                <w:sz w:val="24"/>
              </w:rPr>
              <w:t>Compliance</w:t>
            </w:r>
          </w:p>
          <w:p>
            <w:pPr>
              <w:pStyle w:val="TableParagraph"/>
              <w:spacing w:line="272" w:lineRule="exact"/>
              <w:ind w:left="165" w:right="156"/>
              <w:jc w:val="center"/>
              <w:rPr>
                <w:b/>
                <w:sz w:val="24"/>
              </w:rPr>
            </w:pPr>
            <w:r>
              <w:rPr>
                <w:b/>
                <w:sz w:val="24"/>
              </w:rPr>
              <w:t>Level</w:t>
            </w:r>
          </w:p>
        </w:tc>
        <w:tc>
          <w:tcPr>
            <w:tcW w:w="3271" w:type="dxa"/>
            <w:tcBorders>
              <w:bottom w:val="single" w:sz="18" w:space="0" w:color="4E8542"/>
            </w:tcBorders>
          </w:tcPr>
          <w:p>
            <w:pPr>
              <w:pStyle w:val="TableParagraph"/>
              <w:spacing w:line="292" w:lineRule="exact"/>
              <w:ind w:left="747"/>
              <w:rPr>
                <w:b/>
                <w:sz w:val="24"/>
              </w:rPr>
            </w:pPr>
            <w:r>
              <w:rPr>
                <w:b/>
                <w:sz w:val="24"/>
              </w:rPr>
              <w:t>Oversight Process</w:t>
            </w:r>
          </w:p>
        </w:tc>
        <w:tc>
          <w:tcPr>
            <w:tcW w:w="2275" w:type="dxa"/>
            <w:tcBorders>
              <w:bottom w:val="single" w:sz="18" w:space="0" w:color="4E8542"/>
              <w:right w:val="nil"/>
            </w:tcBorders>
          </w:tcPr>
          <w:p>
            <w:pPr>
              <w:pStyle w:val="TableParagraph"/>
              <w:spacing w:line="292" w:lineRule="exact"/>
              <w:ind w:left="500"/>
              <w:rPr>
                <w:b/>
                <w:sz w:val="24"/>
              </w:rPr>
            </w:pPr>
            <w:r>
              <w:rPr>
                <w:b/>
                <w:sz w:val="24"/>
              </w:rPr>
              <w:t>Remediation</w:t>
            </w:r>
          </w:p>
        </w:tc>
      </w:tr>
      <w:tr>
        <w:trPr>
          <w:trHeight w:val="3200" w:hRule="atLeast"/>
        </w:trPr>
        <w:tc>
          <w:tcPr>
            <w:tcW w:w="4030" w:type="dxa"/>
            <w:tcBorders>
              <w:top w:val="single" w:sz="18" w:space="0" w:color="4E8542"/>
            </w:tcBorders>
            <w:shd w:val="clear" w:color="auto" w:fill="D0E4CA"/>
          </w:tcPr>
          <w:p>
            <w:pPr>
              <w:pStyle w:val="TableParagraph"/>
              <w:rPr>
                <w:rFonts w:ascii="Times New Roman"/>
                <w:sz w:val="22"/>
              </w:rPr>
            </w:pPr>
          </w:p>
        </w:tc>
        <w:tc>
          <w:tcPr>
            <w:tcW w:w="3173" w:type="dxa"/>
            <w:tcBorders>
              <w:top w:val="single" w:sz="18" w:space="0" w:color="4E8542"/>
            </w:tcBorders>
            <w:shd w:val="clear" w:color="auto" w:fill="D0E4CA"/>
          </w:tcPr>
          <w:p>
            <w:pPr>
              <w:pStyle w:val="TableParagraph"/>
              <w:spacing w:line="245" w:lineRule="exact"/>
              <w:ind w:left="107"/>
              <w:rPr>
                <w:sz w:val="22"/>
              </w:rPr>
            </w:pPr>
            <w:r>
              <w:rPr>
                <w:sz w:val="22"/>
              </w:rPr>
              <w:t>provide and maintain essential</w:t>
            </w:r>
          </w:p>
          <w:p>
            <w:pPr>
              <w:pStyle w:val="TableParagraph"/>
              <w:ind w:left="107" w:right="71"/>
              <w:rPr>
                <w:sz w:val="22"/>
              </w:rPr>
            </w:pPr>
            <w:r>
              <w:rPr>
                <w:sz w:val="22"/>
              </w:rPr>
              <w:t>space necessary to provide services and to protect the privacy of the participants receiving services. In addition to space for program activities, the facility must have a rest area and designated areas to permit privacy.</w:t>
            </w:r>
          </w:p>
          <w:p>
            <w:pPr>
              <w:pStyle w:val="TableParagraph"/>
              <w:spacing w:before="10"/>
              <w:rPr>
                <w:b/>
                <w:sz w:val="21"/>
              </w:rPr>
            </w:pPr>
          </w:p>
          <w:p>
            <w:pPr>
              <w:pStyle w:val="TableParagraph"/>
              <w:spacing w:line="270" w:lineRule="atLeast" w:before="1"/>
              <w:ind w:left="107" w:right="282"/>
              <w:rPr>
                <w:sz w:val="22"/>
              </w:rPr>
            </w:pPr>
            <w:r>
              <w:rPr>
                <w:sz w:val="22"/>
              </w:rPr>
              <w:t>The rule does not fully address the issue.</w:t>
            </w:r>
          </w:p>
        </w:tc>
        <w:tc>
          <w:tcPr>
            <w:tcW w:w="1553" w:type="dxa"/>
            <w:tcBorders>
              <w:top w:val="single" w:sz="18" w:space="0" w:color="4E8542"/>
            </w:tcBorders>
            <w:shd w:val="clear" w:color="auto" w:fill="D0E4CA"/>
          </w:tcPr>
          <w:p>
            <w:pPr>
              <w:pStyle w:val="TableParagraph"/>
              <w:spacing w:line="245" w:lineRule="exact"/>
              <w:ind w:left="104"/>
              <w:rPr>
                <w:sz w:val="22"/>
              </w:rPr>
            </w:pPr>
            <w:r>
              <w:rPr>
                <w:sz w:val="22"/>
              </w:rPr>
              <w:t>requirements</w:t>
            </w:r>
          </w:p>
          <w:p>
            <w:pPr>
              <w:pStyle w:val="TableParagraph"/>
              <w:ind w:left="104" w:right="191"/>
              <w:rPr>
                <w:sz w:val="22"/>
              </w:rPr>
            </w:pPr>
            <w:r>
              <w:rPr>
                <w:sz w:val="22"/>
              </w:rPr>
              <w:t>will elevate the compliance level to “Fully Compliant”.</w:t>
            </w:r>
          </w:p>
        </w:tc>
        <w:tc>
          <w:tcPr>
            <w:tcW w:w="3271" w:type="dxa"/>
            <w:tcBorders>
              <w:top w:val="single" w:sz="18" w:space="0" w:color="4E8542"/>
            </w:tcBorders>
            <w:shd w:val="clear" w:color="auto" w:fill="D0E4CA"/>
          </w:tcPr>
          <w:p>
            <w:pPr>
              <w:pStyle w:val="TableParagraph"/>
              <w:spacing w:line="245" w:lineRule="exact"/>
              <w:ind w:left="106"/>
              <w:rPr>
                <w:sz w:val="22"/>
              </w:rPr>
            </w:pPr>
            <w:r>
              <w:rPr>
                <w:sz w:val="22"/>
              </w:rPr>
              <w:t>requirements and the</w:t>
            </w:r>
          </w:p>
          <w:p>
            <w:pPr>
              <w:pStyle w:val="TableParagraph"/>
              <w:ind w:left="106" w:right="87"/>
              <w:rPr>
                <w:sz w:val="22"/>
              </w:rPr>
            </w:pPr>
            <w:r>
              <w:rPr>
                <w:sz w:val="22"/>
              </w:rPr>
              <w:t>requirements for contracting with the Department or the AAA, including compliance with this requirement.</w:t>
            </w:r>
          </w:p>
        </w:tc>
        <w:tc>
          <w:tcPr>
            <w:tcW w:w="2275" w:type="dxa"/>
            <w:tcBorders>
              <w:top w:val="single" w:sz="18" w:space="0" w:color="4E8542"/>
              <w:right w:val="nil"/>
            </w:tcBorders>
            <w:shd w:val="clear" w:color="auto" w:fill="D0E4CA"/>
          </w:tcPr>
          <w:p>
            <w:pPr>
              <w:pStyle w:val="TableParagraph"/>
              <w:spacing w:line="245" w:lineRule="exact"/>
              <w:ind w:left="107"/>
              <w:rPr>
                <w:sz w:val="22"/>
              </w:rPr>
            </w:pPr>
            <w:r>
              <w:rPr>
                <w:sz w:val="22"/>
              </w:rPr>
              <w:t>used and residents are</w:t>
            </w:r>
          </w:p>
          <w:p>
            <w:pPr>
              <w:pStyle w:val="TableParagraph"/>
              <w:spacing w:line="237" w:lineRule="auto" w:before="2"/>
              <w:ind w:left="107" w:right="414"/>
              <w:rPr>
                <w:sz w:val="22"/>
              </w:rPr>
            </w:pPr>
            <w:r>
              <w:rPr>
                <w:sz w:val="22"/>
              </w:rPr>
              <w:t>free from coercion. See </w:t>
            </w:r>
            <w:hyperlink w:history="true" w:anchor="_bookmark43">
              <w:r>
                <w:rPr>
                  <w:color w:val="6B9F24"/>
                  <w:sz w:val="22"/>
                  <w:u w:val="single" w:color="6B9F24"/>
                </w:rPr>
                <w:t>Appendix C</w:t>
              </w:r>
              <w:r>
                <w:rPr>
                  <w:sz w:val="22"/>
                </w:rPr>
                <w:t>.</w:t>
              </w:r>
            </w:hyperlink>
          </w:p>
        </w:tc>
      </w:tr>
      <w:tr>
        <w:trPr>
          <w:trHeight w:val="5100" w:hRule="atLeast"/>
        </w:trPr>
        <w:tc>
          <w:tcPr>
            <w:tcW w:w="4030" w:type="dxa"/>
          </w:tcPr>
          <w:p>
            <w:pPr>
              <w:pStyle w:val="TableParagraph"/>
              <w:ind w:left="107" w:right="73"/>
              <w:rPr>
                <w:b/>
                <w:sz w:val="22"/>
              </w:rPr>
            </w:pPr>
            <w:r>
              <w:rPr>
                <w:b/>
                <w:sz w:val="22"/>
              </w:rPr>
              <w:t>Individual initiative, autonomy, and independence in making life choices, including but not limited to, daily activities, physical environment, and with whom to interact are optimized and not regimented.</w:t>
            </w:r>
          </w:p>
        </w:tc>
        <w:tc>
          <w:tcPr>
            <w:tcW w:w="3173" w:type="dxa"/>
          </w:tcPr>
          <w:p>
            <w:pPr>
              <w:pStyle w:val="TableParagraph"/>
              <w:ind w:left="107" w:right="156"/>
              <w:rPr>
                <w:sz w:val="22"/>
              </w:rPr>
            </w:pPr>
            <w:r>
              <w:rPr>
                <w:sz w:val="22"/>
              </w:rPr>
              <w:t>In the revised WAC, the Department enhanced the participant’s right to participate per their preferences (new </w:t>
            </w:r>
            <w:hyperlink r:id="rId34">
              <w:r>
                <w:rPr>
                  <w:color w:val="6B9F24"/>
                  <w:sz w:val="22"/>
                  <w:u w:val="single" w:color="6B9F24"/>
                </w:rPr>
                <w:t>WAC</w:t>
              </w:r>
            </w:hyperlink>
            <w:r>
              <w:rPr>
                <w:color w:val="6B9F24"/>
                <w:sz w:val="22"/>
              </w:rPr>
              <w:t> </w:t>
            </w:r>
            <w:hyperlink r:id="rId34">
              <w:r>
                <w:rPr>
                  <w:color w:val="6B9F24"/>
                  <w:sz w:val="22"/>
                  <w:u w:val="single" w:color="6B9F24"/>
                </w:rPr>
                <w:t>388-71-0702 </w:t>
              </w:r>
            </w:hyperlink>
            <w:r>
              <w:rPr>
                <w:color w:val="6B9F24"/>
                <w:sz w:val="22"/>
                <w:u w:val="single" w:color="6B9F24"/>
              </w:rPr>
              <w:t>(3)(l)</w:t>
            </w:r>
            <w:r>
              <w:rPr>
                <w:sz w:val="22"/>
              </w:rPr>
              <w:t>.</w:t>
            </w:r>
          </w:p>
          <w:p>
            <w:pPr>
              <w:pStyle w:val="TableParagraph"/>
              <w:spacing w:before="9"/>
              <w:rPr>
                <w:b/>
                <w:sz w:val="21"/>
              </w:rPr>
            </w:pPr>
          </w:p>
          <w:p>
            <w:pPr>
              <w:pStyle w:val="TableParagraph"/>
              <w:ind w:left="107"/>
              <w:rPr>
                <w:sz w:val="22"/>
              </w:rPr>
            </w:pPr>
            <w:hyperlink r:id="rId35">
              <w:r>
                <w:rPr>
                  <w:color w:val="6B9F24"/>
                  <w:sz w:val="22"/>
                  <w:u w:val="single" w:color="6B9F24"/>
                </w:rPr>
                <w:t>WAC 388-71-0718 (6)(c)</w:t>
              </w:r>
            </w:hyperlink>
          </w:p>
          <w:p>
            <w:pPr>
              <w:pStyle w:val="TableParagraph"/>
              <w:ind w:left="107" w:right="175"/>
              <w:rPr>
                <w:sz w:val="22"/>
              </w:rPr>
            </w:pPr>
            <w:r>
              <w:rPr>
                <w:sz w:val="22"/>
              </w:rPr>
              <w:t>mandates a negotiated service agreement that is client directed, and that clients must be offered alternatives when they do not want to participate.</w:t>
            </w:r>
          </w:p>
        </w:tc>
        <w:tc>
          <w:tcPr>
            <w:tcW w:w="1553" w:type="dxa"/>
          </w:tcPr>
          <w:p>
            <w:pPr>
              <w:pStyle w:val="TableParagraph"/>
              <w:ind w:left="104" w:right="488"/>
              <w:rPr>
                <w:sz w:val="22"/>
              </w:rPr>
            </w:pPr>
            <w:r>
              <w:rPr>
                <w:sz w:val="22"/>
              </w:rPr>
              <w:t>Fully Compliant</w:t>
            </w:r>
          </w:p>
        </w:tc>
        <w:tc>
          <w:tcPr>
            <w:tcW w:w="3271" w:type="dxa"/>
          </w:tcPr>
          <w:p>
            <w:pPr>
              <w:pStyle w:val="TableParagraph"/>
              <w:ind w:left="106" w:right="87"/>
              <w:rPr>
                <w:sz w:val="22"/>
              </w:rPr>
            </w:pPr>
            <w:r>
              <w:rPr>
                <w:sz w:val="22"/>
              </w:rPr>
              <w:t>The Area Agency on Aging (AAA) monitors adult day centers at least annually to determine compliance with adult day care and/or adult day health requirements and the requirements for contracting with the Department or the AAA, including compliance with this requirement.</w:t>
            </w:r>
          </w:p>
        </w:tc>
        <w:tc>
          <w:tcPr>
            <w:tcW w:w="2275" w:type="dxa"/>
            <w:tcBorders>
              <w:right w:val="nil"/>
            </w:tcBorders>
          </w:tcPr>
          <w:p>
            <w:pPr>
              <w:pStyle w:val="TableParagraph"/>
              <w:ind w:left="107" w:right="131"/>
              <w:rPr>
                <w:sz w:val="22"/>
              </w:rPr>
            </w:pPr>
            <w:r>
              <w:rPr>
                <w:sz w:val="22"/>
              </w:rPr>
              <w:t>The State will amend chapter 388-71 WAC to assure that Adult Day Services will adhere to all aspects of the federal Home Community Based Settings requirements for non-residential settings. This includes ensuring that individuals receiving HCBS Adult Day Services have the opportunity to receive services in the community with the same degree of access</w:t>
            </w:r>
          </w:p>
          <w:p>
            <w:pPr>
              <w:pStyle w:val="TableParagraph"/>
              <w:spacing w:line="249" w:lineRule="exact"/>
              <w:ind w:left="107"/>
              <w:rPr>
                <w:sz w:val="22"/>
              </w:rPr>
            </w:pPr>
            <w:r>
              <w:rPr>
                <w:sz w:val="22"/>
              </w:rPr>
              <w:t>as individuals not</w:t>
            </w:r>
          </w:p>
        </w:tc>
      </w:tr>
    </w:tbl>
    <w:p>
      <w:pPr>
        <w:pStyle w:val="BodyText"/>
        <w:rPr>
          <w:b/>
          <w:sz w:val="16"/>
        </w:rPr>
      </w:pPr>
      <w:r>
        <w:rPr/>
        <w:pict>
          <v:shape style="position:absolute;margin-left:70.559998pt;margin-top:11.9995pt;width:650.9pt;height:.1pt;mso-position-horizontal-relative:page;mso-position-vertical-relative:paragraph;z-index:-251617280;mso-wrap-distance-left:0;mso-wrap-distance-right:0" coordorigin="1411,240" coordsize="13018,0" path="m1411,240l14429,240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sectPr>
      </w:pPr>
    </w:p>
    <w:p>
      <w:pPr>
        <w:pStyle w:val="Heading8"/>
        <w:spacing w:before="39"/>
        <w:ind w:left="1060"/>
      </w:pPr>
      <w:r>
        <w:rPr/>
        <w:pict>
          <v:group style="position:absolute;margin-left:24pt;margin-top:24pt;width:744pt;height:564pt;mso-position-horizontal-relative:page;mso-position-vertical-relative:page;z-index:-271235072" coordorigin="480,480" coordsize="14880,11280">
            <v:line style="position:absolute" from="15300,1728" to="15300,10740" stroked="true" strokeweight=".959pt" strokecolor="#4e8542">
              <v:stroke dashstyle="solid"/>
            </v:line>
            <v:line style="position:absolute" from="509,494" to="15331,494" stroked="true" strokeweight="1.44pt" strokecolor="#000000">
              <v:stroke dashstyle="solid"/>
            </v:line>
            <v:line style="position:absolute" from="494,480" to="494,11731" stroked="true" strokeweight="1.44pt" strokecolor="#000000">
              <v:stroke dashstyle="solid"/>
            </v:line>
            <v:line style="position:absolute" from="15346,480" to="15346,11731" stroked="true" strokeweight="1.44pt" strokecolor="#000000">
              <v:stroke dashstyle="solid"/>
            </v:line>
            <v:rect style="position:absolute;left:480;top:11731;width:29;height:29" filled="true" fillcolor="#000000" stroked="false">
              <v:fill type="solid"/>
            </v:rect>
            <v:line style="position:absolute" from="509,11746" to="15331,11746" stroked="true" strokeweight="1.44pt" strokecolor="#000000">
              <v:stroke dashstyle="solid"/>
            </v:line>
            <v:rect style="position:absolute;left:15331;top:11731;width:29;height:29" filled="true" fillcolor="#000000" stroked="false">
              <v:fill type="solid"/>
            </v:rect>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619"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4030"/>
        <w:gridCol w:w="3173"/>
        <w:gridCol w:w="1553"/>
        <w:gridCol w:w="3271"/>
        <w:gridCol w:w="2275"/>
      </w:tblGrid>
      <w:tr>
        <w:trPr>
          <w:trHeight w:val="584" w:hRule="atLeast"/>
        </w:trPr>
        <w:tc>
          <w:tcPr>
            <w:tcW w:w="4030" w:type="dxa"/>
            <w:tcBorders>
              <w:bottom w:val="single" w:sz="18" w:space="0" w:color="4E8542"/>
            </w:tcBorders>
          </w:tcPr>
          <w:p>
            <w:pPr>
              <w:pStyle w:val="TableParagraph"/>
              <w:spacing w:line="292" w:lineRule="exact"/>
              <w:ind w:left="530"/>
              <w:rPr>
                <w:b/>
                <w:sz w:val="24"/>
              </w:rPr>
            </w:pPr>
            <w:r>
              <w:rPr>
                <w:b/>
                <w:sz w:val="24"/>
              </w:rPr>
              <w:t>Characteristics/Requirements</w:t>
            </w:r>
          </w:p>
        </w:tc>
        <w:tc>
          <w:tcPr>
            <w:tcW w:w="3173" w:type="dxa"/>
            <w:tcBorders>
              <w:bottom w:val="single" w:sz="18" w:space="0" w:color="4E8542"/>
            </w:tcBorders>
          </w:tcPr>
          <w:p>
            <w:pPr>
              <w:pStyle w:val="TableParagraph"/>
              <w:spacing w:line="292" w:lineRule="exact"/>
              <w:ind w:left="661"/>
              <w:rPr>
                <w:b/>
                <w:sz w:val="24"/>
              </w:rPr>
            </w:pPr>
            <w:r>
              <w:rPr>
                <w:b/>
                <w:sz w:val="24"/>
              </w:rPr>
              <w:t>Adult Day Services</w:t>
            </w:r>
          </w:p>
          <w:p>
            <w:pPr>
              <w:pStyle w:val="TableParagraph"/>
              <w:spacing w:line="272" w:lineRule="exact"/>
              <w:ind w:left="769"/>
              <w:rPr>
                <w:b/>
                <w:sz w:val="24"/>
              </w:rPr>
            </w:pPr>
            <w:r>
              <w:rPr>
                <w:b/>
                <w:sz w:val="24"/>
              </w:rPr>
              <w:t>State Evaluation</w:t>
            </w:r>
          </w:p>
        </w:tc>
        <w:tc>
          <w:tcPr>
            <w:tcW w:w="1553" w:type="dxa"/>
            <w:tcBorders>
              <w:bottom w:val="single" w:sz="18" w:space="0" w:color="4E8542"/>
            </w:tcBorders>
          </w:tcPr>
          <w:p>
            <w:pPr>
              <w:pStyle w:val="TableParagraph"/>
              <w:spacing w:line="292" w:lineRule="exact"/>
              <w:ind w:left="169" w:right="156"/>
              <w:jc w:val="center"/>
              <w:rPr>
                <w:b/>
                <w:sz w:val="24"/>
              </w:rPr>
            </w:pPr>
            <w:r>
              <w:rPr>
                <w:b/>
                <w:sz w:val="24"/>
              </w:rPr>
              <w:t>Compliance</w:t>
            </w:r>
          </w:p>
          <w:p>
            <w:pPr>
              <w:pStyle w:val="TableParagraph"/>
              <w:spacing w:line="272" w:lineRule="exact"/>
              <w:ind w:left="165" w:right="156"/>
              <w:jc w:val="center"/>
              <w:rPr>
                <w:b/>
                <w:sz w:val="24"/>
              </w:rPr>
            </w:pPr>
            <w:r>
              <w:rPr>
                <w:b/>
                <w:sz w:val="24"/>
              </w:rPr>
              <w:t>Level</w:t>
            </w:r>
          </w:p>
        </w:tc>
        <w:tc>
          <w:tcPr>
            <w:tcW w:w="3271" w:type="dxa"/>
            <w:tcBorders>
              <w:bottom w:val="single" w:sz="18" w:space="0" w:color="4E8542"/>
            </w:tcBorders>
          </w:tcPr>
          <w:p>
            <w:pPr>
              <w:pStyle w:val="TableParagraph"/>
              <w:spacing w:line="292" w:lineRule="exact"/>
              <w:ind w:left="747"/>
              <w:rPr>
                <w:b/>
                <w:sz w:val="24"/>
              </w:rPr>
            </w:pPr>
            <w:r>
              <w:rPr>
                <w:b/>
                <w:sz w:val="24"/>
              </w:rPr>
              <w:t>Oversight Process</w:t>
            </w:r>
          </w:p>
        </w:tc>
        <w:tc>
          <w:tcPr>
            <w:tcW w:w="2275" w:type="dxa"/>
            <w:tcBorders>
              <w:bottom w:val="single" w:sz="18" w:space="0" w:color="4E8542"/>
              <w:right w:val="nil"/>
            </w:tcBorders>
          </w:tcPr>
          <w:p>
            <w:pPr>
              <w:pStyle w:val="TableParagraph"/>
              <w:spacing w:line="292" w:lineRule="exact"/>
              <w:ind w:left="500"/>
              <w:rPr>
                <w:b/>
                <w:sz w:val="24"/>
              </w:rPr>
            </w:pPr>
            <w:r>
              <w:rPr>
                <w:b/>
                <w:sz w:val="24"/>
              </w:rPr>
              <w:t>Remediation</w:t>
            </w:r>
          </w:p>
        </w:tc>
      </w:tr>
      <w:tr>
        <w:trPr>
          <w:trHeight w:val="781" w:hRule="atLeast"/>
        </w:trPr>
        <w:tc>
          <w:tcPr>
            <w:tcW w:w="4030" w:type="dxa"/>
            <w:tcBorders>
              <w:top w:val="single" w:sz="18" w:space="0" w:color="4E8542"/>
            </w:tcBorders>
          </w:tcPr>
          <w:p>
            <w:pPr>
              <w:pStyle w:val="TableParagraph"/>
              <w:rPr>
                <w:rFonts w:ascii="Times New Roman"/>
                <w:sz w:val="22"/>
              </w:rPr>
            </w:pPr>
          </w:p>
        </w:tc>
        <w:tc>
          <w:tcPr>
            <w:tcW w:w="3173" w:type="dxa"/>
            <w:tcBorders>
              <w:top w:val="single" w:sz="18" w:space="0" w:color="4E8542"/>
            </w:tcBorders>
          </w:tcPr>
          <w:p>
            <w:pPr>
              <w:pStyle w:val="TableParagraph"/>
              <w:rPr>
                <w:rFonts w:ascii="Times New Roman"/>
                <w:sz w:val="22"/>
              </w:rPr>
            </w:pPr>
          </w:p>
        </w:tc>
        <w:tc>
          <w:tcPr>
            <w:tcW w:w="1553" w:type="dxa"/>
            <w:tcBorders>
              <w:top w:val="single" w:sz="18" w:space="0" w:color="4E8542"/>
            </w:tcBorders>
          </w:tcPr>
          <w:p>
            <w:pPr>
              <w:pStyle w:val="TableParagraph"/>
              <w:rPr>
                <w:rFonts w:ascii="Times New Roman"/>
                <w:sz w:val="22"/>
              </w:rPr>
            </w:pPr>
          </w:p>
        </w:tc>
        <w:tc>
          <w:tcPr>
            <w:tcW w:w="3271" w:type="dxa"/>
            <w:tcBorders>
              <w:top w:val="single" w:sz="18" w:space="0" w:color="4E8542"/>
            </w:tcBorders>
          </w:tcPr>
          <w:p>
            <w:pPr>
              <w:pStyle w:val="TableParagraph"/>
              <w:rPr>
                <w:rFonts w:ascii="Times New Roman"/>
                <w:sz w:val="22"/>
              </w:rPr>
            </w:pPr>
          </w:p>
        </w:tc>
        <w:tc>
          <w:tcPr>
            <w:tcW w:w="2275" w:type="dxa"/>
            <w:tcBorders>
              <w:top w:val="single" w:sz="18" w:space="0" w:color="4E8542"/>
              <w:right w:val="nil"/>
            </w:tcBorders>
          </w:tcPr>
          <w:p>
            <w:pPr>
              <w:pStyle w:val="TableParagraph"/>
              <w:spacing w:line="245" w:lineRule="exact"/>
              <w:ind w:left="107"/>
              <w:rPr>
                <w:sz w:val="22"/>
              </w:rPr>
            </w:pPr>
            <w:r>
              <w:rPr>
                <w:sz w:val="22"/>
              </w:rPr>
              <w:t>receiving Medicaid</w:t>
            </w:r>
          </w:p>
          <w:p>
            <w:pPr>
              <w:pStyle w:val="TableParagraph"/>
              <w:spacing w:line="267" w:lineRule="exact"/>
              <w:ind w:left="107"/>
              <w:rPr>
                <w:sz w:val="22"/>
              </w:rPr>
            </w:pPr>
            <w:r>
              <w:rPr>
                <w:sz w:val="22"/>
              </w:rPr>
              <w:t>HCBS.</w:t>
            </w:r>
          </w:p>
          <w:p>
            <w:pPr>
              <w:pStyle w:val="TableParagraph"/>
              <w:spacing w:line="248" w:lineRule="exact"/>
              <w:ind w:left="107"/>
              <w:rPr>
                <w:sz w:val="22"/>
              </w:rPr>
            </w:pPr>
            <w:r>
              <w:rPr>
                <w:sz w:val="22"/>
              </w:rPr>
              <w:t>See </w:t>
            </w:r>
            <w:hyperlink w:history="true" w:anchor="_bookmark43">
              <w:r>
                <w:rPr>
                  <w:color w:val="6B9F24"/>
                  <w:sz w:val="22"/>
                  <w:u w:val="single" w:color="6B9F24"/>
                </w:rPr>
                <w:t>Appendix C</w:t>
              </w:r>
            </w:hyperlink>
          </w:p>
        </w:tc>
      </w:tr>
      <w:tr>
        <w:trPr>
          <w:trHeight w:val="5910" w:hRule="atLeast"/>
        </w:trPr>
        <w:tc>
          <w:tcPr>
            <w:tcW w:w="4030" w:type="dxa"/>
            <w:shd w:val="clear" w:color="auto" w:fill="D0E4CA"/>
          </w:tcPr>
          <w:p>
            <w:pPr>
              <w:pStyle w:val="TableParagraph"/>
              <w:spacing w:before="1"/>
              <w:ind w:left="107" w:right="248"/>
              <w:rPr>
                <w:b/>
                <w:sz w:val="22"/>
              </w:rPr>
            </w:pPr>
            <w:r>
              <w:rPr>
                <w:b/>
                <w:sz w:val="22"/>
              </w:rPr>
              <w:t>Individual choice regarding services and supports, and who provides them, is facilitated.</w:t>
            </w:r>
          </w:p>
        </w:tc>
        <w:tc>
          <w:tcPr>
            <w:tcW w:w="3173" w:type="dxa"/>
            <w:shd w:val="clear" w:color="auto" w:fill="D0E4CA"/>
          </w:tcPr>
          <w:p>
            <w:pPr>
              <w:pStyle w:val="TableParagraph"/>
              <w:spacing w:before="1"/>
              <w:ind w:left="107" w:right="118"/>
              <w:rPr>
                <w:sz w:val="22"/>
              </w:rPr>
            </w:pPr>
            <w:r>
              <w:rPr>
                <w:sz w:val="22"/>
              </w:rPr>
              <w:t>During the assessment process, it is a CM responsibility to  inform individuals of their options regarding settings and providers. This is documented in the Service Episode Record of the CARE assessment</w:t>
            </w:r>
            <w:r>
              <w:rPr>
                <w:spacing w:val="-4"/>
                <w:sz w:val="22"/>
              </w:rPr>
              <w:t> </w:t>
            </w:r>
            <w:r>
              <w:rPr>
                <w:sz w:val="22"/>
              </w:rPr>
              <w:t>tool.</w:t>
            </w:r>
          </w:p>
        </w:tc>
        <w:tc>
          <w:tcPr>
            <w:tcW w:w="1553" w:type="dxa"/>
            <w:shd w:val="clear" w:color="auto" w:fill="D0E4CA"/>
          </w:tcPr>
          <w:p>
            <w:pPr>
              <w:pStyle w:val="TableParagraph"/>
              <w:spacing w:before="1"/>
              <w:ind w:left="104" w:right="488"/>
              <w:rPr>
                <w:sz w:val="22"/>
              </w:rPr>
            </w:pPr>
            <w:r>
              <w:rPr>
                <w:sz w:val="22"/>
              </w:rPr>
              <w:t>Fully Compliant</w:t>
            </w:r>
          </w:p>
        </w:tc>
        <w:tc>
          <w:tcPr>
            <w:tcW w:w="3271" w:type="dxa"/>
            <w:shd w:val="clear" w:color="auto" w:fill="D0E4CA"/>
          </w:tcPr>
          <w:p>
            <w:pPr>
              <w:pStyle w:val="TableParagraph"/>
              <w:spacing w:before="1"/>
              <w:ind w:left="106" w:right="87"/>
              <w:rPr>
                <w:sz w:val="22"/>
              </w:rPr>
            </w:pPr>
            <w:r>
              <w:rPr>
                <w:sz w:val="22"/>
              </w:rPr>
              <w:t>The Area Agency on Aging monitors adult day centers at least annually to determine compliance with adult day care and/or adult day health requirements and the requirements for contracting with the Department or the AAA, including compliance with this requirement.</w:t>
            </w:r>
          </w:p>
          <w:p>
            <w:pPr>
              <w:pStyle w:val="TableParagraph"/>
              <w:rPr>
                <w:b/>
                <w:sz w:val="22"/>
              </w:rPr>
            </w:pPr>
          </w:p>
          <w:p>
            <w:pPr>
              <w:pStyle w:val="TableParagraph"/>
              <w:ind w:left="106" w:right="156"/>
              <w:rPr>
                <w:sz w:val="22"/>
              </w:rPr>
            </w:pPr>
            <w:r>
              <w:rPr>
                <w:sz w:val="22"/>
              </w:rPr>
              <w:t>Internal Quality Assurance monitors to whether the client was offered choice of setting and provider.</w:t>
            </w:r>
          </w:p>
        </w:tc>
        <w:tc>
          <w:tcPr>
            <w:tcW w:w="2275" w:type="dxa"/>
            <w:tcBorders>
              <w:right w:val="nil"/>
            </w:tcBorders>
            <w:shd w:val="clear" w:color="auto" w:fill="D0E4CA"/>
          </w:tcPr>
          <w:p>
            <w:pPr>
              <w:pStyle w:val="TableParagraph"/>
              <w:spacing w:before="1"/>
              <w:ind w:left="107" w:right="131"/>
              <w:rPr>
                <w:sz w:val="22"/>
              </w:rPr>
            </w:pPr>
            <w:r>
              <w:rPr>
                <w:sz w:val="22"/>
              </w:rPr>
              <w:t>The State will amend chapter 388-71 WAC to assure that Adult Day Services will adhere to all aspects of the federal Home Community Based Settings requirements for non-residential settings. This includes ensuring that individuals receiving HCBS Adult Day Services have the opportunity to receive services in the community with the same degree of access as individuals not receiving Medicaid HCBS.</w:t>
            </w:r>
          </w:p>
          <w:p>
            <w:pPr>
              <w:pStyle w:val="TableParagraph"/>
              <w:spacing w:line="249" w:lineRule="exact"/>
              <w:ind w:left="107"/>
              <w:rPr>
                <w:sz w:val="22"/>
              </w:rPr>
            </w:pPr>
            <w:r>
              <w:rPr>
                <w:sz w:val="22"/>
              </w:rPr>
              <w:t>See </w:t>
            </w:r>
            <w:hyperlink w:history="true" w:anchor="_bookmark43">
              <w:r>
                <w:rPr>
                  <w:color w:val="6B9F24"/>
                  <w:sz w:val="22"/>
                  <w:u w:val="single" w:color="6B9F24"/>
                </w:rPr>
                <w:t>Appendix C</w:t>
              </w:r>
            </w:hyperlink>
          </w:p>
        </w:tc>
      </w:tr>
      <w:tr>
        <w:trPr>
          <w:trHeight w:val="1612" w:hRule="atLeast"/>
        </w:trPr>
        <w:tc>
          <w:tcPr>
            <w:tcW w:w="4030" w:type="dxa"/>
          </w:tcPr>
          <w:p>
            <w:pPr>
              <w:pStyle w:val="TableParagraph"/>
              <w:ind w:left="107" w:right="167"/>
              <w:rPr>
                <w:b/>
                <w:sz w:val="22"/>
              </w:rPr>
            </w:pPr>
            <w:r>
              <w:rPr>
                <w:b/>
                <w:sz w:val="22"/>
              </w:rPr>
              <w:t>The setting is physically accessible to the individual</w:t>
            </w:r>
          </w:p>
        </w:tc>
        <w:tc>
          <w:tcPr>
            <w:tcW w:w="3173" w:type="dxa"/>
          </w:tcPr>
          <w:p>
            <w:pPr>
              <w:pStyle w:val="TableParagraph"/>
              <w:spacing w:line="267" w:lineRule="exact"/>
              <w:ind w:left="107"/>
              <w:rPr>
                <w:sz w:val="22"/>
              </w:rPr>
            </w:pPr>
            <w:hyperlink r:id="rId36">
              <w:r>
                <w:rPr>
                  <w:color w:val="6B9F24"/>
                  <w:sz w:val="22"/>
                  <w:u w:val="single" w:color="6B9F24"/>
                </w:rPr>
                <w:t>WAC 388-71-0766</w:t>
              </w:r>
            </w:hyperlink>
            <w:r>
              <w:rPr>
                <w:sz w:val="22"/>
              </w:rPr>
              <w:t>: What are</w:t>
            </w:r>
          </w:p>
          <w:p>
            <w:pPr>
              <w:pStyle w:val="TableParagraph"/>
              <w:ind w:left="107" w:right="215"/>
              <w:rPr>
                <w:sz w:val="22"/>
              </w:rPr>
            </w:pPr>
            <w:r>
              <w:rPr>
                <w:sz w:val="22"/>
              </w:rPr>
              <w:t>the adult day centers' facility requirements? Lists physical environment requirements, including requiring that the site</w:t>
            </w:r>
          </w:p>
        </w:tc>
        <w:tc>
          <w:tcPr>
            <w:tcW w:w="1553" w:type="dxa"/>
          </w:tcPr>
          <w:p>
            <w:pPr>
              <w:pStyle w:val="TableParagraph"/>
              <w:ind w:left="104" w:right="488"/>
              <w:rPr>
                <w:sz w:val="22"/>
              </w:rPr>
            </w:pPr>
            <w:r>
              <w:rPr>
                <w:sz w:val="22"/>
              </w:rPr>
              <w:t>Fully Compliant</w:t>
            </w:r>
          </w:p>
        </w:tc>
        <w:tc>
          <w:tcPr>
            <w:tcW w:w="3271" w:type="dxa"/>
          </w:tcPr>
          <w:p>
            <w:pPr>
              <w:pStyle w:val="TableParagraph"/>
              <w:ind w:left="106" w:right="229"/>
              <w:rPr>
                <w:sz w:val="22"/>
              </w:rPr>
            </w:pPr>
            <w:r>
              <w:rPr>
                <w:sz w:val="22"/>
              </w:rPr>
              <w:t>The Area Agency on Aging (AAA) monitors adult day centers at least annually to determine compliance with adult day care and/or adult day health</w:t>
            </w:r>
          </w:p>
          <w:p>
            <w:pPr>
              <w:pStyle w:val="TableParagraph"/>
              <w:spacing w:line="250" w:lineRule="exact"/>
              <w:ind w:left="106"/>
              <w:rPr>
                <w:sz w:val="22"/>
              </w:rPr>
            </w:pPr>
            <w:r>
              <w:rPr>
                <w:sz w:val="22"/>
              </w:rPr>
              <w:t>requirements and the</w:t>
            </w:r>
          </w:p>
        </w:tc>
        <w:tc>
          <w:tcPr>
            <w:tcW w:w="2275" w:type="dxa"/>
            <w:tcBorders>
              <w:right w:val="nil"/>
            </w:tcBorders>
          </w:tcPr>
          <w:p>
            <w:pPr>
              <w:pStyle w:val="TableParagraph"/>
              <w:rPr>
                <w:rFonts w:ascii="Times New Roman"/>
                <w:sz w:val="22"/>
              </w:rPr>
            </w:pPr>
          </w:p>
        </w:tc>
      </w:tr>
    </w:tbl>
    <w:p>
      <w:pPr>
        <w:pStyle w:val="BodyText"/>
        <w:spacing w:before="3"/>
        <w:rPr>
          <w:b/>
          <w:sz w:val="14"/>
        </w:rPr>
      </w:pPr>
      <w:r>
        <w:rPr/>
        <w:pict>
          <v:shape style="position:absolute;margin-left:70.559998pt;margin-top:10.9195pt;width:650.9pt;height:.1pt;mso-position-horizontal-relative:page;mso-position-vertical-relative:paragraph;z-index:-251615232;mso-wrap-distance-left:0;mso-wrap-distance-right:0" coordorigin="1411,218" coordsize="13018,0" path="m1411,218l14429,218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619"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4030"/>
        <w:gridCol w:w="3173"/>
        <w:gridCol w:w="1553"/>
        <w:gridCol w:w="3271"/>
        <w:gridCol w:w="2275"/>
      </w:tblGrid>
      <w:tr>
        <w:trPr>
          <w:trHeight w:val="584" w:hRule="atLeast"/>
        </w:trPr>
        <w:tc>
          <w:tcPr>
            <w:tcW w:w="4030" w:type="dxa"/>
            <w:tcBorders>
              <w:bottom w:val="single" w:sz="18" w:space="0" w:color="4E8542"/>
            </w:tcBorders>
          </w:tcPr>
          <w:p>
            <w:pPr>
              <w:pStyle w:val="TableParagraph"/>
              <w:spacing w:line="292" w:lineRule="exact"/>
              <w:ind w:left="530"/>
              <w:rPr>
                <w:b/>
                <w:sz w:val="24"/>
              </w:rPr>
            </w:pPr>
            <w:r>
              <w:rPr>
                <w:b/>
                <w:sz w:val="24"/>
              </w:rPr>
              <w:t>Characteristics/Requirements</w:t>
            </w:r>
          </w:p>
        </w:tc>
        <w:tc>
          <w:tcPr>
            <w:tcW w:w="3173" w:type="dxa"/>
            <w:tcBorders>
              <w:bottom w:val="single" w:sz="18" w:space="0" w:color="4E8542"/>
            </w:tcBorders>
          </w:tcPr>
          <w:p>
            <w:pPr>
              <w:pStyle w:val="TableParagraph"/>
              <w:spacing w:line="292" w:lineRule="exact"/>
              <w:ind w:left="661"/>
              <w:rPr>
                <w:b/>
                <w:sz w:val="24"/>
              </w:rPr>
            </w:pPr>
            <w:r>
              <w:rPr>
                <w:b/>
                <w:sz w:val="24"/>
              </w:rPr>
              <w:t>Adult Day Services</w:t>
            </w:r>
          </w:p>
          <w:p>
            <w:pPr>
              <w:pStyle w:val="TableParagraph"/>
              <w:spacing w:line="272" w:lineRule="exact"/>
              <w:ind w:left="769"/>
              <w:rPr>
                <w:b/>
                <w:sz w:val="24"/>
              </w:rPr>
            </w:pPr>
            <w:r>
              <w:rPr>
                <w:b/>
                <w:sz w:val="24"/>
              </w:rPr>
              <w:t>State Evaluation</w:t>
            </w:r>
          </w:p>
        </w:tc>
        <w:tc>
          <w:tcPr>
            <w:tcW w:w="1553" w:type="dxa"/>
            <w:tcBorders>
              <w:bottom w:val="single" w:sz="18" w:space="0" w:color="4E8542"/>
            </w:tcBorders>
          </w:tcPr>
          <w:p>
            <w:pPr>
              <w:pStyle w:val="TableParagraph"/>
              <w:spacing w:line="292" w:lineRule="exact"/>
              <w:ind w:left="169" w:right="156"/>
              <w:jc w:val="center"/>
              <w:rPr>
                <w:b/>
                <w:sz w:val="24"/>
              </w:rPr>
            </w:pPr>
            <w:r>
              <w:rPr>
                <w:b/>
                <w:sz w:val="24"/>
              </w:rPr>
              <w:t>Compliance</w:t>
            </w:r>
          </w:p>
          <w:p>
            <w:pPr>
              <w:pStyle w:val="TableParagraph"/>
              <w:spacing w:line="272" w:lineRule="exact"/>
              <w:ind w:left="165" w:right="156"/>
              <w:jc w:val="center"/>
              <w:rPr>
                <w:b/>
                <w:sz w:val="24"/>
              </w:rPr>
            </w:pPr>
            <w:r>
              <w:rPr>
                <w:b/>
                <w:sz w:val="24"/>
              </w:rPr>
              <w:t>Level</w:t>
            </w:r>
          </w:p>
        </w:tc>
        <w:tc>
          <w:tcPr>
            <w:tcW w:w="3271" w:type="dxa"/>
            <w:tcBorders>
              <w:bottom w:val="single" w:sz="18" w:space="0" w:color="4E8542"/>
            </w:tcBorders>
          </w:tcPr>
          <w:p>
            <w:pPr>
              <w:pStyle w:val="TableParagraph"/>
              <w:spacing w:line="292" w:lineRule="exact"/>
              <w:ind w:left="747"/>
              <w:rPr>
                <w:b/>
                <w:sz w:val="24"/>
              </w:rPr>
            </w:pPr>
            <w:r>
              <w:rPr>
                <w:b/>
                <w:sz w:val="24"/>
              </w:rPr>
              <w:t>Oversight Process</w:t>
            </w:r>
          </w:p>
        </w:tc>
        <w:tc>
          <w:tcPr>
            <w:tcW w:w="2275" w:type="dxa"/>
            <w:tcBorders>
              <w:bottom w:val="single" w:sz="18" w:space="0" w:color="4E8542"/>
              <w:right w:val="nil"/>
            </w:tcBorders>
          </w:tcPr>
          <w:p>
            <w:pPr>
              <w:pStyle w:val="TableParagraph"/>
              <w:spacing w:line="292" w:lineRule="exact"/>
              <w:ind w:left="500"/>
              <w:rPr>
                <w:b/>
                <w:sz w:val="24"/>
              </w:rPr>
            </w:pPr>
            <w:r>
              <w:rPr>
                <w:b/>
                <w:sz w:val="24"/>
              </w:rPr>
              <w:t>Remediation</w:t>
            </w:r>
          </w:p>
        </w:tc>
      </w:tr>
      <w:tr>
        <w:trPr>
          <w:trHeight w:val="1052" w:hRule="atLeast"/>
        </w:trPr>
        <w:tc>
          <w:tcPr>
            <w:tcW w:w="4030" w:type="dxa"/>
            <w:tcBorders>
              <w:top w:val="single" w:sz="18" w:space="0" w:color="4E8542"/>
            </w:tcBorders>
          </w:tcPr>
          <w:p>
            <w:pPr>
              <w:pStyle w:val="TableParagraph"/>
              <w:rPr>
                <w:rFonts w:ascii="Times New Roman"/>
                <w:sz w:val="22"/>
              </w:rPr>
            </w:pPr>
          </w:p>
        </w:tc>
        <w:tc>
          <w:tcPr>
            <w:tcW w:w="3173" w:type="dxa"/>
            <w:tcBorders>
              <w:top w:val="single" w:sz="18" w:space="0" w:color="4E8542"/>
            </w:tcBorders>
          </w:tcPr>
          <w:p>
            <w:pPr>
              <w:pStyle w:val="TableParagraph"/>
              <w:spacing w:line="245" w:lineRule="exact"/>
              <w:ind w:left="107"/>
              <w:rPr>
                <w:sz w:val="22"/>
              </w:rPr>
            </w:pPr>
            <w:r>
              <w:rPr>
                <w:sz w:val="22"/>
              </w:rPr>
              <w:t>have a ramp if there are stairs at</w:t>
            </w:r>
          </w:p>
          <w:p>
            <w:pPr>
              <w:pStyle w:val="TableParagraph"/>
              <w:ind w:left="107"/>
              <w:rPr>
                <w:sz w:val="22"/>
              </w:rPr>
            </w:pPr>
            <w:r>
              <w:rPr>
                <w:sz w:val="22"/>
              </w:rPr>
              <w:t>the site.</w:t>
            </w:r>
          </w:p>
        </w:tc>
        <w:tc>
          <w:tcPr>
            <w:tcW w:w="1553" w:type="dxa"/>
            <w:tcBorders>
              <w:top w:val="single" w:sz="18" w:space="0" w:color="4E8542"/>
            </w:tcBorders>
          </w:tcPr>
          <w:p>
            <w:pPr>
              <w:pStyle w:val="TableParagraph"/>
              <w:rPr>
                <w:rFonts w:ascii="Times New Roman"/>
                <w:sz w:val="22"/>
              </w:rPr>
            </w:pPr>
          </w:p>
        </w:tc>
        <w:tc>
          <w:tcPr>
            <w:tcW w:w="3271" w:type="dxa"/>
            <w:tcBorders>
              <w:top w:val="single" w:sz="18" w:space="0" w:color="4E8542"/>
            </w:tcBorders>
          </w:tcPr>
          <w:p>
            <w:pPr>
              <w:pStyle w:val="TableParagraph"/>
              <w:spacing w:line="245" w:lineRule="exact"/>
              <w:ind w:left="106"/>
              <w:rPr>
                <w:sz w:val="22"/>
              </w:rPr>
            </w:pPr>
            <w:r>
              <w:rPr>
                <w:sz w:val="22"/>
              </w:rPr>
              <w:t>requirements for contracting with</w:t>
            </w:r>
          </w:p>
          <w:p>
            <w:pPr>
              <w:pStyle w:val="TableParagraph"/>
              <w:spacing w:line="237" w:lineRule="auto" w:before="2"/>
              <w:ind w:left="106" w:right="417"/>
              <w:rPr>
                <w:sz w:val="22"/>
              </w:rPr>
            </w:pPr>
            <w:r>
              <w:rPr>
                <w:sz w:val="22"/>
              </w:rPr>
              <w:t>the Department or the AAA, including compliance with this</w:t>
            </w:r>
          </w:p>
          <w:p>
            <w:pPr>
              <w:pStyle w:val="TableParagraph"/>
              <w:spacing w:line="251" w:lineRule="exact" w:before="1"/>
              <w:ind w:left="106"/>
              <w:rPr>
                <w:sz w:val="22"/>
              </w:rPr>
            </w:pPr>
            <w:r>
              <w:rPr>
                <w:sz w:val="22"/>
              </w:rPr>
              <w:t>requirement.</w:t>
            </w:r>
          </w:p>
        </w:tc>
        <w:tc>
          <w:tcPr>
            <w:tcW w:w="2275" w:type="dxa"/>
            <w:tcBorders>
              <w:top w:val="single" w:sz="18" w:space="0" w:color="4E8542"/>
              <w:right w:val="nil"/>
            </w:tcBorders>
          </w:tcPr>
          <w:p>
            <w:pPr>
              <w:pStyle w:val="TableParagraph"/>
              <w:rPr>
                <w:rFonts w:ascii="Times New Roman"/>
                <w:sz w:val="22"/>
              </w:rPr>
            </w:pPr>
          </w:p>
        </w:tc>
      </w:tr>
    </w:tbl>
    <w:p>
      <w:pPr>
        <w:spacing w:line="276" w:lineRule="auto" w:before="0"/>
        <w:ind w:left="1059" w:right="1192" w:firstLine="0"/>
        <w:jc w:val="left"/>
        <w:rPr>
          <w:i/>
          <w:sz w:val="22"/>
        </w:rPr>
      </w:pPr>
      <w:r>
        <w:rPr>
          <w:i/>
          <w:sz w:val="22"/>
        </w:rPr>
        <w:t>Note: The state visited all adult day care service centers in 2014. One adult day care center was located in a nursing facility (Josephine Sunset </w:t>
      </w:r>
      <w:r>
        <w:rPr>
          <w:i/>
          <w:sz w:val="22"/>
        </w:rPr>
        <w:t>Home). The center terminated its contract June 18, 2014—no Medicaid -funded participants were receiving adult day services prior to termination of the contract.</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15"/>
        </w:rPr>
      </w:pPr>
      <w:r>
        <w:rPr/>
        <w:pict>
          <v:shape style="position:absolute;margin-left:70.559998pt;margin-top:11.804632pt;width:650.9pt;height:.1pt;mso-position-horizontal-relative:page;mso-position-vertical-relative:paragraph;z-index:-251613184;mso-wrap-distance-left:0;mso-wrap-distance-right:0" coordorigin="1411,236" coordsize="13018,0" path="m1411,236l14429,236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group style="position:absolute;margin-left:24pt;margin-top:24pt;width:744pt;height:564pt;mso-position-horizontal-relative:page;mso-position-vertical-relative:page;z-index:-271232000" coordorigin="480,480" coordsize="14880,11280">
            <v:line style="position:absolute" from="15329,4538" to="15329,10582" stroked="true" strokeweight=".959pt" strokecolor="#4e8542">
              <v:stroke dashstyle="solid"/>
            </v:line>
            <v:line style="position:absolute" from="509,494" to="15331,494" stroked="true" strokeweight="1.44pt" strokecolor="#000000">
              <v:stroke dashstyle="solid"/>
            </v:line>
            <v:line style="position:absolute" from="494,480" to="494,11731" stroked="true" strokeweight="1.44pt" strokecolor="#000000">
              <v:stroke dashstyle="solid"/>
            </v:line>
            <v:line style="position:absolute" from="15346,480" to="15346,11731" stroked="true" strokeweight="1.44pt" strokecolor="#000000">
              <v:stroke dashstyle="solid"/>
            </v:line>
            <v:rect style="position:absolute;left:480;top:11731;width:29;height:29" filled="true" fillcolor="#000000" stroked="false">
              <v:fill type="solid"/>
            </v:rect>
            <v:line style="position:absolute" from="509,11746" to="15331,11746" stroked="true" strokeweight="1.44pt" strokecolor="#000000">
              <v:stroke dashstyle="solid"/>
            </v:line>
            <v:rect style="position:absolute;left:15331;top:11731;width:29;height:29" filled="true" fillcolor="#000000" stroked="false">
              <v:fill type="solid"/>
            </v:rect>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1" w:right="2957" w:firstLine="0"/>
        <w:jc w:val="center"/>
        <w:rPr>
          <w:b/>
          <w:sz w:val="28"/>
        </w:rPr>
      </w:pPr>
      <w:bookmarkStart w:name="DDA Group Home" w:id="47"/>
      <w:bookmarkEnd w:id="47"/>
      <w:r>
        <w:rPr/>
      </w:r>
      <w:bookmarkStart w:name="_bookmark20" w:id="48"/>
      <w:bookmarkEnd w:id="48"/>
      <w:r>
        <w:rPr/>
      </w:r>
      <w:r>
        <w:rPr>
          <w:b/>
          <w:sz w:val="28"/>
        </w:rPr>
        <w:t>DDA Group Home</w:t>
      </w:r>
    </w:p>
    <w:p>
      <w:pPr>
        <w:pStyle w:val="BodyText"/>
        <w:rPr>
          <w:b/>
          <w:sz w:val="28"/>
        </w:rPr>
      </w:pPr>
    </w:p>
    <w:p>
      <w:pPr>
        <w:pStyle w:val="BodyText"/>
        <w:spacing w:line="273" w:lineRule="auto" w:before="216"/>
        <w:ind w:left="1060" w:right="1135"/>
      </w:pPr>
      <w:r>
        <w:rPr/>
        <w:t>Setting Description: Provides community residential instruction, supports, and services to two or more individuals who are not related to the provider. Group homes are licensed as an adult family home or assisted living facility.</w:t>
      </w:r>
    </w:p>
    <w:p>
      <w:pPr>
        <w:pStyle w:val="BodyText"/>
        <w:spacing w:before="8"/>
        <w:rPr>
          <w:sz w:val="25"/>
        </w:rPr>
      </w:pPr>
    </w:p>
    <w:p>
      <w:pPr>
        <w:pStyle w:val="BodyText"/>
        <w:spacing w:before="1"/>
        <w:ind w:left="1060"/>
      </w:pPr>
      <w:r>
        <w:rPr/>
        <w:t>Number of individuals served: 265 individuals served in 45 DDA Group Homes</w:t>
      </w:r>
    </w:p>
    <w:p>
      <w:pPr>
        <w:pStyle w:val="BodyText"/>
        <w:spacing w:before="11"/>
        <w:rPr>
          <w:sz w:val="30"/>
        </w:rPr>
      </w:pPr>
    </w:p>
    <w:p>
      <w:pPr>
        <w:spacing w:before="0" w:after="44"/>
        <w:ind w:left="2915" w:right="2957" w:firstLine="0"/>
        <w:jc w:val="center"/>
        <w:rPr>
          <w:b/>
          <w:sz w:val="24"/>
        </w:rPr>
      </w:pPr>
      <w:r>
        <w:rPr>
          <w:b/>
          <w:sz w:val="24"/>
        </w:rPr>
        <w:t>Characteristics/Requirements Met</w:t>
      </w: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559"/>
        <w:gridCol w:w="3151"/>
        <w:gridCol w:w="1589"/>
        <w:gridCol w:w="3240"/>
        <w:gridCol w:w="2330"/>
      </w:tblGrid>
      <w:tr>
        <w:trPr>
          <w:trHeight w:val="586" w:hRule="atLeast"/>
        </w:trPr>
        <w:tc>
          <w:tcPr>
            <w:tcW w:w="3559" w:type="dxa"/>
            <w:tcBorders>
              <w:bottom w:val="single" w:sz="18" w:space="0" w:color="4E8542"/>
            </w:tcBorders>
          </w:tcPr>
          <w:p>
            <w:pPr>
              <w:pStyle w:val="TableParagraph"/>
              <w:spacing w:before="1"/>
              <w:ind w:left="294"/>
              <w:rPr>
                <w:b/>
                <w:sz w:val="24"/>
              </w:rPr>
            </w:pPr>
            <w:r>
              <w:rPr>
                <w:b/>
                <w:sz w:val="24"/>
              </w:rPr>
              <w:t>Characteristics/Requirements</w:t>
            </w:r>
          </w:p>
        </w:tc>
        <w:tc>
          <w:tcPr>
            <w:tcW w:w="3151" w:type="dxa"/>
            <w:tcBorders>
              <w:bottom w:val="single" w:sz="18" w:space="0" w:color="4E8542"/>
            </w:tcBorders>
          </w:tcPr>
          <w:p>
            <w:pPr>
              <w:pStyle w:val="TableParagraph"/>
              <w:spacing w:line="290" w:lineRule="atLeast" w:before="1"/>
              <w:ind w:left="760" w:right="648" w:hanging="75"/>
              <w:rPr>
                <w:b/>
                <w:sz w:val="24"/>
              </w:rPr>
            </w:pPr>
            <w:r>
              <w:rPr>
                <w:b/>
                <w:sz w:val="24"/>
              </w:rPr>
              <w:t>DDA Group Home State Evaluation</w:t>
            </w:r>
          </w:p>
        </w:tc>
        <w:tc>
          <w:tcPr>
            <w:tcW w:w="1589" w:type="dxa"/>
            <w:tcBorders>
              <w:bottom w:val="single" w:sz="18" w:space="0" w:color="4E8542"/>
            </w:tcBorders>
          </w:tcPr>
          <w:p>
            <w:pPr>
              <w:pStyle w:val="TableParagraph"/>
              <w:spacing w:line="290" w:lineRule="atLeast" w:before="1"/>
              <w:ind w:left="537" w:right="174" w:hanging="329"/>
              <w:rPr>
                <w:b/>
                <w:sz w:val="24"/>
              </w:rPr>
            </w:pPr>
            <w:r>
              <w:rPr>
                <w:b/>
                <w:sz w:val="24"/>
              </w:rPr>
              <w:t>Compliance Level</w:t>
            </w:r>
          </w:p>
        </w:tc>
        <w:tc>
          <w:tcPr>
            <w:tcW w:w="3240" w:type="dxa"/>
            <w:tcBorders>
              <w:bottom w:val="single" w:sz="18" w:space="0" w:color="4E8542"/>
            </w:tcBorders>
          </w:tcPr>
          <w:p>
            <w:pPr>
              <w:pStyle w:val="TableParagraph"/>
              <w:spacing w:before="1"/>
              <w:ind w:left="734"/>
              <w:rPr>
                <w:b/>
                <w:sz w:val="24"/>
              </w:rPr>
            </w:pPr>
            <w:r>
              <w:rPr>
                <w:b/>
                <w:sz w:val="24"/>
              </w:rPr>
              <w:t>Oversight Process</w:t>
            </w:r>
          </w:p>
        </w:tc>
        <w:tc>
          <w:tcPr>
            <w:tcW w:w="2330" w:type="dxa"/>
            <w:tcBorders>
              <w:bottom w:val="single" w:sz="18" w:space="0" w:color="4E8542"/>
              <w:right w:val="nil"/>
            </w:tcBorders>
          </w:tcPr>
          <w:p>
            <w:pPr>
              <w:pStyle w:val="TableParagraph"/>
              <w:spacing w:before="1"/>
              <w:ind w:left="530"/>
              <w:rPr>
                <w:b/>
                <w:sz w:val="24"/>
              </w:rPr>
            </w:pPr>
            <w:r>
              <w:rPr>
                <w:b/>
                <w:sz w:val="24"/>
              </w:rPr>
              <w:t>Remediation</w:t>
            </w:r>
          </w:p>
        </w:tc>
      </w:tr>
      <w:tr>
        <w:trPr>
          <w:trHeight w:val="5372" w:hRule="atLeast"/>
        </w:trPr>
        <w:tc>
          <w:tcPr>
            <w:tcW w:w="3559" w:type="dxa"/>
            <w:tcBorders>
              <w:top w:val="single" w:sz="18" w:space="0" w:color="4E8542"/>
            </w:tcBorders>
            <w:shd w:val="clear" w:color="auto" w:fill="D0E4CA"/>
          </w:tcPr>
          <w:p>
            <w:pPr>
              <w:pStyle w:val="TableParagraph"/>
              <w:ind w:left="107" w:right="181"/>
              <w:rPr>
                <w:b/>
                <w:sz w:val="22"/>
              </w:rPr>
            </w:pPr>
            <w:r>
              <w:rPr>
                <w:b/>
                <w:sz w:val="22"/>
              </w:rPr>
              <w:t>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 degree of access as individuals not receiving Medicaid HCBS.</w:t>
            </w:r>
          </w:p>
        </w:tc>
        <w:tc>
          <w:tcPr>
            <w:tcW w:w="3151" w:type="dxa"/>
            <w:tcBorders>
              <w:top w:val="single" w:sz="18" w:space="0" w:color="4E8542"/>
            </w:tcBorders>
            <w:shd w:val="clear" w:color="auto" w:fill="D0E4CA"/>
          </w:tcPr>
          <w:p>
            <w:pPr>
              <w:pStyle w:val="TableParagraph"/>
              <w:ind w:left="107" w:right="472"/>
              <w:rPr>
                <w:sz w:val="22"/>
              </w:rPr>
            </w:pPr>
            <w:hyperlink r:id="rId37">
              <w:r>
                <w:rPr>
                  <w:color w:val="6B9F24"/>
                  <w:sz w:val="22"/>
                  <w:u w:val="single" w:color="6B9F24"/>
                </w:rPr>
                <w:t>RCW 70.129.140</w:t>
              </w:r>
              <w:r>
                <w:rPr>
                  <w:color w:val="6B9F24"/>
                  <w:sz w:val="22"/>
                </w:rPr>
                <w:t> </w:t>
              </w:r>
            </w:hyperlink>
            <w:r>
              <w:rPr>
                <w:sz w:val="22"/>
              </w:rPr>
              <w:t>(b) interact with members of the community both inside and outside the facility.</w:t>
            </w:r>
          </w:p>
          <w:p>
            <w:pPr>
              <w:pStyle w:val="TableParagraph"/>
              <w:ind w:left="107" w:right="399"/>
              <w:rPr>
                <w:sz w:val="22"/>
              </w:rPr>
            </w:pPr>
            <w:r>
              <w:rPr>
                <w:sz w:val="22"/>
              </w:rPr>
              <w:t>RCW </w:t>
            </w:r>
            <w:hyperlink r:id="rId38">
              <w:r>
                <w:rPr>
                  <w:color w:val="6B9F24"/>
                  <w:sz w:val="22"/>
                  <w:u w:val="single" w:color="6B9F24"/>
                </w:rPr>
                <w:t>70.129.040</w:t>
              </w:r>
              <w:r>
                <w:rPr>
                  <w:color w:val="6B9F24"/>
                  <w:sz w:val="22"/>
                </w:rPr>
                <w:t> </w:t>
              </w:r>
            </w:hyperlink>
            <w:r>
              <w:rPr>
                <w:sz w:val="22"/>
              </w:rPr>
              <w:t>(1) personal resources</w:t>
            </w:r>
          </w:p>
          <w:p>
            <w:pPr>
              <w:pStyle w:val="TableParagraph"/>
              <w:ind w:left="107" w:right="508"/>
              <w:rPr>
                <w:sz w:val="22"/>
              </w:rPr>
            </w:pPr>
            <w:r>
              <w:rPr>
                <w:sz w:val="22"/>
              </w:rPr>
              <w:t>RCW </w:t>
            </w:r>
            <w:hyperlink r:id="rId39">
              <w:r>
                <w:rPr>
                  <w:color w:val="6B9F24"/>
                  <w:sz w:val="22"/>
                  <w:u w:val="single" w:color="6B9F24"/>
                </w:rPr>
                <w:t>70.129.020</w:t>
              </w:r>
              <w:r>
                <w:rPr>
                  <w:color w:val="6B9F24"/>
                  <w:sz w:val="22"/>
                </w:rPr>
                <w:t> </w:t>
              </w:r>
            </w:hyperlink>
            <w:r>
              <w:rPr>
                <w:sz w:val="22"/>
              </w:rPr>
              <w:t>Exercise of rights.</w:t>
            </w:r>
          </w:p>
          <w:p>
            <w:pPr>
              <w:pStyle w:val="TableParagraph"/>
              <w:spacing w:line="267" w:lineRule="exact"/>
              <w:ind w:left="107"/>
              <w:rPr>
                <w:sz w:val="22"/>
              </w:rPr>
            </w:pPr>
            <w:r>
              <w:rPr>
                <w:sz w:val="22"/>
              </w:rPr>
              <w:t>WAC </w:t>
            </w:r>
            <w:hyperlink r:id="rId40">
              <w:r>
                <w:rPr>
                  <w:color w:val="6B9F24"/>
                  <w:sz w:val="22"/>
                  <w:u w:val="single" w:color="6B9F24"/>
                </w:rPr>
                <w:t>388-76-10510</w:t>
              </w:r>
              <w:r>
                <w:rPr>
                  <w:color w:val="6B9F24"/>
                  <w:sz w:val="22"/>
                </w:rPr>
                <w:t> </w:t>
              </w:r>
            </w:hyperlink>
            <w:r>
              <w:rPr>
                <w:sz w:val="22"/>
              </w:rPr>
              <w:t>(5) Is</w:t>
            </w:r>
          </w:p>
          <w:p>
            <w:pPr>
              <w:pStyle w:val="TableParagraph"/>
              <w:ind w:left="107" w:right="324"/>
              <w:rPr>
                <w:sz w:val="22"/>
              </w:rPr>
            </w:pPr>
            <w:r>
              <w:rPr>
                <w:sz w:val="22"/>
              </w:rPr>
              <w:t>provided the opportunity to engage in religious, political, civic, recreational, and other social activities of their choice WAC </w:t>
            </w:r>
            <w:hyperlink r:id="rId41">
              <w:r>
                <w:rPr>
                  <w:color w:val="6B9F24"/>
                  <w:sz w:val="22"/>
                  <w:u w:val="single" w:color="6B9F24"/>
                </w:rPr>
                <w:t>388-76-10620</w:t>
              </w:r>
              <w:r>
                <w:rPr>
                  <w:color w:val="6B9F24"/>
                  <w:sz w:val="22"/>
                </w:rPr>
                <w:t> </w:t>
              </w:r>
            </w:hyperlink>
            <w:r>
              <w:rPr>
                <w:sz w:val="22"/>
              </w:rPr>
              <w:t>Resident rights – Quality of life –</w:t>
            </w:r>
          </w:p>
          <w:p>
            <w:pPr>
              <w:pStyle w:val="TableParagraph"/>
              <w:ind w:left="107" w:right="414"/>
              <w:rPr>
                <w:sz w:val="22"/>
              </w:rPr>
            </w:pPr>
            <w:hyperlink r:id="rId42">
              <w:r>
                <w:rPr>
                  <w:color w:val="6B9F24"/>
                  <w:sz w:val="22"/>
                  <w:u w:val="single" w:color="6B9F24"/>
                </w:rPr>
                <w:t>WAC 388-76-10640</w:t>
              </w:r>
              <w:r>
                <w:rPr>
                  <w:color w:val="6B9F24"/>
                  <w:sz w:val="22"/>
                </w:rPr>
                <w:t> </w:t>
              </w:r>
            </w:hyperlink>
            <w:r>
              <w:rPr>
                <w:sz w:val="22"/>
              </w:rPr>
              <w:t>Resident rights – Quality of life – Reasonable accommodation. WAC </w:t>
            </w:r>
            <w:hyperlink r:id="rId43">
              <w:r>
                <w:rPr>
                  <w:color w:val="6B9F24"/>
                  <w:sz w:val="22"/>
                  <w:u w:val="single" w:color="6B9F24"/>
                </w:rPr>
                <w:t>388-76-10555</w:t>
              </w:r>
              <w:r>
                <w:rPr>
                  <w:color w:val="6B9F24"/>
                  <w:sz w:val="22"/>
                </w:rPr>
                <w:t> </w:t>
              </w:r>
            </w:hyperlink>
            <w:r>
              <w:rPr>
                <w:sz w:val="22"/>
              </w:rPr>
              <w:t>Resident</w:t>
            </w:r>
          </w:p>
          <w:p>
            <w:pPr>
              <w:pStyle w:val="TableParagraph"/>
              <w:spacing w:line="250" w:lineRule="exact"/>
              <w:ind w:left="107"/>
              <w:rPr>
                <w:sz w:val="22"/>
              </w:rPr>
            </w:pPr>
            <w:r>
              <w:rPr>
                <w:sz w:val="22"/>
              </w:rPr>
              <w:t>rights – Financial affairs.</w:t>
            </w:r>
          </w:p>
        </w:tc>
        <w:tc>
          <w:tcPr>
            <w:tcW w:w="1589" w:type="dxa"/>
            <w:tcBorders>
              <w:top w:val="single" w:sz="18" w:space="0" w:color="4E8542"/>
            </w:tcBorders>
            <w:shd w:val="clear" w:color="auto" w:fill="D0E4CA"/>
          </w:tcPr>
          <w:p>
            <w:pPr>
              <w:pStyle w:val="TableParagraph"/>
              <w:ind w:left="107" w:right="521"/>
              <w:rPr>
                <w:sz w:val="22"/>
              </w:rPr>
            </w:pPr>
            <w:r>
              <w:rPr>
                <w:sz w:val="22"/>
              </w:rPr>
              <w:t>Fully Compliant</w:t>
            </w:r>
          </w:p>
        </w:tc>
        <w:tc>
          <w:tcPr>
            <w:tcW w:w="3240" w:type="dxa"/>
            <w:tcBorders>
              <w:top w:val="single" w:sz="18" w:space="0" w:color="4E8542"/>
            </w:tcBorders>
            <w:shd w:val="clear" w:color="auto" w:fill="D0E4CA"/>
          </w:tcPr>
          <w:p>
            <w:pPr>
              <w:pStyle w:val="TableParagraph"/>
              <w:ind w:left="107" w:right="97"/>
              <w:rPr>
                <w:sz w:val="22"/>
              </w:rPr>
            </w:pPr>
            <w:r>
              <w:rPr>
                <w:sz w:val="22"/>
              </w:rPr>
              <w:t>As part of the inspection process described in the overview, Residential Care Services conducts resident interviews (see Appendix E) regarding respect of individuality, independence, personal choice, dignity, and activities. RCS also conducts resident observations and talks with a sample of residents to determine compliance with this requirement.</w:t>
            </w:r>
          </w:p>
          <w:p>
            <w:pPr>
              <w:pStyle w:val="TableParagraph"/>
              <w:spacing w:before="11"/>
              <w:rPr>
                <w:b/>
                <w:sz w:val="21"/>
              </w:rPr>
            </w:pPr>
          </w:p>
          <w:p>
            <w:pPr>
              <w:pStyle w:val="TableParagraph"/>
              <w:ind w:left="107" w:right="484"/>
              <w:rPr>
                <w:sz w:val="22"/>
              </w:rPr>
            </w:pPr>
            <w:r>
              <w:rPr>
                <w:sz w:val="22"/>
              </w:rPr>
              <w:t>The Long-Term Care Ombuds Program also monitors implementation of </w:t>
            </w:r>
            <w:hyperlink r:id="rId44">
              <w:r>
                <w:rPr>
                  <w:color w:val="6B9F24"/>
                  <w:sz w:val="22"/>
                  <w:u w:val="single" w:color="6B9F24"/>
                </w:rPr>
                <w:t>Chapter</w:t>
              </w:r>
            </w:hyperlink>
            <w:r>
              <w:rPr>
                <w:color w:val="6B9F24"/>
                <w:sz w:val="22"/>
              </w:rPr>
              <w:t> </w:t>
            </w:r>
            <w:hyperlink r:id="rId44">
              <w:r>
                <w:rPr>
                  <w:color w:val="6B9F24"/>
                  <w:sz w:val="22"/>
                  <w:u w:val="single" w:color="6B9F24"/>
                </w:rPr>
                <w:t>70.129 RCW</w:t>
              </w:r>
              <w:r>
                <w:rPr>
                  <w:sz w:val="22"/>
                </w:rPr>
                <w:t>.</w:t>
              </w:r>
            </w:hyperlink>
          </w:p>
        </w:tc>
        <w:tc>
          <w:tcPr>
            <w:tcW w:w="2330" w:type="dxa"/>
            <w:tcBorders>
              <w:top w:val="single" w:sz="18" w:space="0" w:color="4E8542"/>
              <w:right w:val="nil"/>
            </w:tcBorders>
            <w:shd w:val="clear" w:color="auto" w:fill="D0E4CA"/>
          </w:tcPr>
          <w:p>
            <w:pPr>
              <w:pStyle w:val="TableParagraph"/>
              <w:ind w:left="107" w:right="123"/>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spacing w:before="3"/>
        <w:rPr>
          <w:b/>
          <w:sz w:val="27"/>
        </w:rPr>
      </w:pPr>
      <w:r>
        <w:rPr/>
        <w:pict>
          <v:shape style="position:absolute;margin-left:70.559998pt;margin-top:18.8395pt;width:650.9pt;height:.1pt;mso-position-horizontal-relative:page;mso-position-vertical-relative:paragraph;z-index:-251612160;mso-wrap-distance-left:0;mso-wrap-distance-right:0" coordorigin="1411,377" coordsize="13018,0" path="m1411,377l14429,377e" filled="false" stroked="true" strokeweight=".481pt" strokecolor="#d9d9d9">
            <v:path arrowok="t"/>
            <v:stroke dashstyle="solid"/>
            <w10:wrap type="topAndBottom"/>
          </v:shape>
        </w:pict>
      </w:r>
    </w:p>
    <w:p>
      <w:pPr>
        <w:spacing w:after="0"/>
        <w:rPr>
          <w:sz w:val="27"/>
        </w:rPr>
        <w:sectPr>
          <w:pgSz w:w="15840" w:h="12240" w:orient="landscape"/>
          <w:pgMar w:header="0" w:footer="1014" w:top="680" w:bottom="1200" w:left="380" w:right="340"/>
        </w:sect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62"/>
        <w:gridCol w:w="3552"/>
        <w:gridCol w:w="3151"/>
        <w:gridCol w:w="1589"/>
        <w:gridCol w:w="3240"/>
        <w:gridCol w:w="2351"/>
      </w:tblGrid>
      <w:tr>
        <w:trPr>
          <w:trHeight w:val="1218" w:hRule="atLeast"/>
        </w:trPr>
        <w:tc>
          <w:tcPr>
            <w:tcW w:w="14845" w:type="dxa"/>
            <w:gridSpan w:val="6"/>
            <w:tcBorders>
              <w:bottom w:val="nil"/>
            </w:tcBorders>
          </w:tcPr>
          <w:p>
            <w:pPr>
              <w:pStyle w:val="TableParagraph"/>
              <w:spacing w:before="2"/>
              <w:rPr>
                <w:b/>
                <w:sz w:val="17"/>
              </w:rPr>
            </w:pPr>
          </w:p>
          <w:p>
            <w:pPr>
              <w:pStyle w:val="TableParagraph"/>
              <w:ind w:left="945"/>
              <w:rPr>
                <w:b/>
                <w:sz w:val="22"/>
              </w:rPr>
            </w:pPr>
            <w:r>
              <w:rPr>
                <w:b/>
                <w:sz w:val="22"/>
              </w:rPr>
              <w:t>Washington State</w:t>
            </w:r>
          </w:p>
          <w:p>
            <w:pPr>
              <w:pStyle w:val="TableParagraph"/>
              <w:ind w:left="944"/>
              <w:rPr>
                <w:b/>
                <w:sz w:val="22"/>
              </w:rPr>
            </w:pPr>
            <w:r>
              <w:rPr>
                <w:b/>
                <w:sz w:val="22"/>
              </w:rPr>
              <w:t>Revised Transition Plan for New HCBS Rules</w:t>
            </w:r>
          </w:p>
          <w:p>
            <w:pPr>
              <w:pStyle w:val="TableParagraph"/>
              <w:ind w:left="944"/>
              <w:rPr>
                <w:b/>
                <w:sz w:val="22"/>
              </w:rPr>
            </w:pPr>
            <w:r>
              <w:rPr>
                <w:b/>
                <w:sz w:val="22"/>
              </w:rPr>
              <w:t>To be Submitted to CMS in May 2017—Posted for Public Comment on March 15, 2017</w:t>
            </w:r>
          </w:p>
        </w:tc>
      </w:tr>
      <w:tr>
        <w:trPr>
          <w:trHeight w:val="584" w:hRule="atLeast"/>
        </w:trPr>
        <w:tc>
          <w:tcPr>
            <w:tcW w:w="962" w:type="dxa"/>
            <w:vMerge w:val="restart"/>
            <w:tcBorders>
              <w:top w:val="nil"/>
              <w:bottom w:val="nil"/>
              <w:right w:val="single" w:sz="8" w:space="0" w:color="4E8542"/>
            </w:tcBorders>
          </w:tcPr>
          <w:p>
            <w:pPr>
              <w:pStyle w:val="TableParagraph"/>
              <w:rPr>
                <w:rFonts w:ascii="Times New Roman"/>
                <w:sz w:val="22"/>
              </w:rPr>
            </w:pPr>
          </w:p>
        </w:tc>
        <w:tc>
          <w:tcPr>
            <w:tcW w:w="3552"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292"/>
              <w:rPr>
                <w:b/>
                <w:sz w:val="24"/>
              </w:rPr>
            </w:pPr>
            <w:r>
              <w:rPr>
                <w:b/>
                <w:sz w:val="24"/>
              </w:rPr>
              <w:t>Characteristics/Requirements</w:t>
            </w:r>
          </w:p>
        </w:tc>
        <w:tc>
          <w:tcPr>
            <w:tcW w:w="3151"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691"/>
              <w:rPr>
                <w:b/>
                <w:sz w:val="24"/>
              </w:rPr>
            </w:pPr>
            <w:r>
              <w:rPr>
                <w:b/>
                <w:sz w:val="24"/>
              </w:rPr>
              <w:t>DDA Group Home</w:t>
            </w:r>
          </w:p>
          <w:p>
            <w:pPr>
              <w:pStyle w:val="TableParagraph"/>
              <w:spacing w:line="272" w:lineRule="exact"/>
              <w:ind w:left="765"/>
              <w:rPr>
                <w:b/>
                <w:sz w:val="24"/>
              </w:rPr>
            </w:pPr>
            <w:r>
              <w:rPr>
                <w:b/>
                <w:sz w:val="24"/>
              </w:rPr>
              <w:t>State Evaluation</w:t>
            </w:r>
          </w:p>
        </w:tc>
        <w:tc>
          <w:tcPr>
            <w:tcW w:w="1589"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190" w:right="162"/>
              <w:jc w:val="center"/>
              <w:rPr>
                <w:b/>
                <w:sz w:val="24"/>
              </w:rPr>
            </w:pPr>
            <w:r>
              <w:rPr>
                <w:b/>
                <w:sz w:val="24"/>
              </w:rPr>
              <w:t>Compliance</w:t>
            </w:r>
          </w:p>
          <w:p>
            <w:pPr>
              <w:pStyle w:val="TableParagraph"/>
              <w:spacing w:line="272" w:lineRule="exact"/>
              <w:ind w:left="190" w:right="162"/>
              <w:jc w:val="center"/>
              <w:rPr>
                <w:b/>
                <w:sz w:val="24"/>
              </w:rPr>
            </w:pPr>
            <w:r>
              <w:rPr>
                <w:b/>
                <w:sz w:val="24"/>
              </w:rPr>
              <w:t>Level</w:t>
            </w:r>
          </w:p>
        </w:tc>
        <w:tc>
          <w:tcPr>
            <w:tcW w:w="3240"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739"/>
              <w:rPr>
                <w:b/>
                <w:sz w:val="24"/>
              </w:rPr>
            </w:pPr>
            <w:r>
              <w:rPr>
                <w:b/>
                <w:sz w:val="24"/>
              </w:rPr>
              <w:t>Oversight Process</w:t>
            </w:r>
          </w:p>
        </w:tc>
        <w:tc>
          <w:tcPr>
            <w:tcW w:w="2351" w:type="dxa"/>
            <w:tcBorders>
              <w:top w:val="single" w:sz="8" w:space="0" w:color="4E8542"/>
              <w:left w:val="single" w:sz="8" w:space="0" w:color="4E8542"/>
              <w:bottom w:val="single" w:sz="18" w:space="0" w:color="4E8542"/>
              <w:right w:val="single" w:sz="18" w:space="0" w:color="000000"/>
            </w:tcBorders>
          </w:tcPr>
          <w:p>
            <w:pPr>
              <w:pStyle w:val="TableParagraph"/>
              <w:spacing w:line="292" w:lineRule="exact"/>
              <w:ind w:left="535"/>
              <w:rPr>
                <w:b/>
                <w:sz w:val="24"/>
              </w:rPr>
            </w:pPr>
            <w:r>
              <w:rPr>
                <w:b/>
                <w:sz w:val="24"/>
              </w:rPr>
              <w:t>Remediation</w:t>
            </w:r>
          </w:p>
        </w:tc>
      </w:tr>
      <w:tr>
        <w:trPr>
          <w:trHeight w:val="5547" w:hRule="atLeast"/>
        </w:trPr>
        <w:tc>
          <w:tcPr>
            <w:tcW w:w="962" w:type="dxa"/>
            <w:vMerge/>
            <w:tcBorders>
              <w:top w:val="nil"/>
              <w:bottom w:val="nil"/>
              <w:right w:val="single" w:sz="8" w:space="0" w:color="4E8542"/>
            </w:tcBorders>
          </w:tcPr>
          <w:p>
            <w:pPr>
              <w:rPr>
                <w:sz w:val="2"/>
                <w:szCs w:val="2"/>
              </w:rPr>
            </w:pPr>
          </w:p>
        </w:tc>
        <w:tc>
          <w:tcPr>
            <w:tcW w:w="3552" w:type="dxa"/>
            <w:tcBorders>
              <w:top w:val="single" w:sz="18" w:space="0" w:color="4E8542"/>
              <w:left w:val="single" w:sz="8" w:space="0" w:color="4E8542"/>
              <w:bottom w:val="single" w:sz="8" w:space="0" w:color="4E8542"/>
              <w:right w:val="single" w:sz="8" w:space="0" w:color="4E8542"/>
            </w:tcBorders>
            <w:shd w:val="clear" w:color="auto" w:fill="D0E4CA"/>
          </w:tcPr>
          <w:p>
            <w:pPr>
              <w:pStyle w:val="TableParagraph"/>
              <w:rPr>
                <w:rFonts w:ascii="Times New Roman"/>
                <w:sz w:val="22"/>
              </w:rPr>
            </w:pPr>
          </w:p>
        </w:tc>
        <w:tc>
          <w:tcPr>
            <w:tcW w:w="3151" w:type="dxa"/>
            <w:tcBorders>
              <w:top w:val="single" w:sz="18" w:space="0" w:color="4E8542"/>
              <w:left w:val="single" w:sz="8" w:space="0" w:color="4E8542"/>
              <w:bottom w:val="single" w:sz="8" w:space="0" w:color="4E8542"/>
              <w:right w:val="single" w:sz="8" w:space="0" w:color="4E8542"/>
            </w:tcBorders>
            <w:shd w:val="clear" w:color="auto" w:fill="D0E4CA"/>
          </w:tcPr>
          <w:p>
            <w:pPr>
              <w:pStyle w:val="TableParagraph"/>
              <w:spacing w:line="245" w:lineRule="exact"/>
              <w:ind w:left="112"/>
              <w:rPr>
                <w:sz w:val="22"/>
              </w:rPr>
            </w:pPr>
            <w:r>
              <w:rPr>
                <w:sz w:val="22"/>
              </w:rPr>
              <w:t>WAC </w:t>
            </w:r>
            <w:hyperlink r:id="rId46">
              <w:r>
                <w:rPr>
                  <w:color w:val="6B9F24"/>
                  <w:sz w:val="22"/>
                  <w:u w:val="single" w:color="6B9F24"/>
                </w:rPr>
                <w:t>388-76-10520</w:t>
              </w:r>
              <w:r>
                <w:rPr>
                  <w:color w:val="6B9F24"/>
                  <w:sz w:val="22"/>
                </w:rPr>
                <w:t> </w:t>
              </w:r>
            </w:hyperlink>
            <w:r>
              <w:rPr>
                <w:sz w:val="22"/>
              </w:rPr>
              <w:t>refers to</w:t>
            </w:r>
          </w:p>
          <w:p>
            <w:pPr>
              <w:pStyle w:val="TableParagraph"/>
              <w:ind w:left="112"/>
              <w:rPr>
                <w:sz w:val="22"/>
              </w:rPr>
            </w:pPr>
            <w:r>
              <w:rPr>
                <w:sz w:val="22"/>
              </w:rPr>
              <w:t>Chapter </w:t>
            </w:r>
            <w:hyperlink r:id="rId47">
              <w:r>
                <w:rPr>
                  <w:color w:val="6B9F24"/>
                  <w:sz w:val="22"/>
                  <w:u w:val="single" w:color="6B9F24"/>
                </w:rPr>
                <w:t>70.129 RCW</w:t>
              </w:r>
            </w:hyperlink>
          </w:p>
          <w:p>
            <w:pPr>
              <w:pStyle w:val="TableParagraph"/>
              <w:spacing w:before="10"/>
              <w:rPr>
                <w:b/>
                <w:sz w:val="21"/>
              </w:rPr>
            </w:pPr>
          </w:p>
          <w:p>
            <w:pPr>
              <w:pStyle w:val="TableParagraph"/>
              <w:ind w:left="112" w:right="64"/>
              <w:rPr>
                <w:sz w:val="22"/>
              </w:rPr>
            </w:pPr>
            <w:r>
              <w:rPr>
                <w:sz w:val="22"/>
              </w:rPr>
              <w:t>The State has completed a review of state statutes and regulations regarding DDA group homes and determined that those laws are in alignment with the HCBS setting requirements.</w:t>
            </w:r>
          </w:p>
        </w:tc>
        <w:tc>
          <w:tcPr>
            <w:tcW w:w="1589" w:type="dxa"/>
            <w:tcBorders>
              <w:top w:val="single" w:sz="18" w:space="0" w:color="4E8542"/>
              <w:left w:val="single" w:sz="8" w:space="0" w:color="4E8542"/>
              <w:bottom w:val="single" w:sz="8" w:space="0" w:color="4E8542"/>
              <w:right w:val="single" w:sz="8" w:space="0" w:color="4E8542"/>
            </w:tcBorders>
            <w:shd w:val="clear" w:color="auto" w:fill="D0E4CA"/>
          </w:tcPr>
          <w:p>
            <w:pPr>
              <w:pStyle w:val="TableParagraph"/>
              <w:rPr>
                <w:rFonts w:ascii="Times New Roman"/>
                <w:sz w:val="22"/>
              </w:rPr>
            </w:pPr>
          </w:p>
        </w:tc>
        <w:tc>
          <w:tcPr>
            <w:tcW w:w="3240" w:type="dxa"/>
            <w:tcBorders>
              <w:top w:val="single" w:sz="18" w:space="0" w:color="4E8542"/>
              <w:left w:val="single" w:sz="8" w:space="0" w:color="4E8542"/>
              <w:bottom w:val="single" w:sz="8" w:space="0" w:color="4E8542"/>
              <w:right w:val="single" w:sz="8" w:space="0" w:color="4E8542"/>
            </w:tcBorders>
            <w:shd w:val="clear" w:color="auto" w:fill="D0E4CA"/>
          </w:tcPr>
          <w:p>
            <w:pPr>
              <w:pStyle w:val="TableParagraph"/>
              <w:spacing w:before="176"/>
              <w:ind w:left="112" w:right="126"/>
              <w:rPr>
                <w:sz w:val="22"/>
              </w:rPr>
            </w:pPr>
            <w:bookmarkStart w:name="The state licensure and survey process i" w:id="49"/>
            <w:bookmarkEnd w:id="49"/>
            <w:r>
              <w:rPr/>
            </w:r>
            <w:r>
              <w:rPr>
                <w:sz w:val="22"/>
              </w:rPr>
              <w:t>The state licensure and survey process includes a determination of whether providers are adhering to the person centered planning process when Negotiated Care Plans or Negotiated Service Agreements and Admissions Agreements are developed. RCS has also added questions related to HCB setting rule compliance to its </w:t>
            </w:r>
            <w:hyperlink w:history="true" w:anchor="_bookmark60">
              <w:r>
                <w:rPr>
                  <w:color w:val="6B9F24"/>
                  <w:sz w:val="22"/>
                  <w:u w:val="single" w:color="6B9F24"/>
                </w:rPr>
                <w:t>resident</w:t>
              </w:r>
            </w:hyperlink>
            <w:r>
              <w:rPr>
                <w:color w:val="6B9F24"/>
                <w:sz w:val="22"/>
              </w:rPr>
              <w:t> </w:t>
            </w:r>
            <w:hyperlink w:history="true" w:anchor="_bookmark60">
              <w:r>
                <w:rPr>
                  <w:color w:val="6B9F24"/>
                  <w:sz w:val="22"/>
                  <w:u w:val="single" w:color="6B9F24"/>
                </w:rPr>
                <w:t>survey tool</w:t>
              </w:r>
              <w:r>
                <w:rPr>
                  <w:color w:val="6B9F24"/>
                  <w:sz w:val="22"/>
                </w:rPr>
                <w:t> </w:t>
              </w:r>
            </w:hyperlink>
            <w:r>
              <w:rPr>
                <w:sz w:val="22"/>
              </w:rPr>
              <w:t>(see Appendix E).</w:t>
            </w:r>
          </w:p>
          <w:p>
            <w:pPr>
              <w:pStyle w:val="TableParagraph"/>
              <w:rPr>
                <w:b/>
                <w:sz w:val="22"/>
              </w:rPr>
            </w:pPr>
          </w:p>
          <w:p>
            <w:pPr>
              <w:pStyle w:val="TableParagraph"/>
              <w:spacing w:before="1"/>
              <w:ind w:left="112" w:right="390"/>
              <w:rPr>
                <w:sz w:val="22"/>
              </w:rPr>
            </w:pPr>
            <w:r>
              <w:rPr>
                <w:sz w:val="22"/>
              </w:rPr>
              <w:t>On-site inspections ensure homes meet all licensing and certification requirements in WAC and RCW, including WAC 388-823-1095.</w:t>
            </w:r>
          </w:p>
        </w:tc>
        <w:tc>
          <w:tcPr>
            <w:tcW w:w="2351" w:type="dxa"/>
            <w:tcBorders>
              <w:top w:val="single" w:sz="18" w:space="0" w:color="4E8542"/>
              <w:left w:val="single" w:sz="8" w:space="0" w:color="4E8542"/>
              <w:bottom w:val="single" w:sz="8" w:space="0" w:color="4E8542"/>
              <w:right w:val="single" w:sz="18" w:space="0" w:color="000000"/>
            </w:tcBorders>
            <w:shd w:val="clear" w:color="auto" w:fill="D0E4CA"/>
          </w:tcPr>
          <w:p>
            <w:pPr>
              <w:pStyle w:val="TableParagraph"/>
              <w:rPr>
                <w:rFonts w:ascii="Times New Roman"/>
                <w:sz w:val="22"/>
              </w:rPr>
            </w:pPr>
          </w:p>
        </w:tc>
      </w:tr>
      <w:tr>
        <w:trPr>
          <w:trHeight w:val="2972" w:hRule="atLeast"/>
        </w:trPr>
        <w:tc>
          <w:tcPr>
            <w:tcW w:w="962" w:type="dxa"/>
            <w:vMerge/>
            <w:tcBorders>
              <w:top w:val="nil"/>
              <w:bottom w:val="nil"/>
              <w:right w:val="single" w:sz="8" w:space="0" w:color="4E8542"/>
            </w:tcBorders>
          </w:tcPr>
          <w:p>
            <w:pPr>
              <w:rPr>
                <w:sz w:val="2"/>
                <w:szCs w:val="2"/>
              </w:rPr>
            </w:pPr>
          </w:p>
        </w:tc>
        <w:tc>
          <w:tcPr>
            <w:tcW w:w="3552" w:type="dxa"/>
            <w:tcBorders>
              <w:top w:val="single" w:sz="8" w:space="0" w:color="4E8542"/>
              <w:left w:val="single" w:sz="8" w:space="0" w:color="4E8542"/>
              <w:bottom w:val="thinThickMediumGap" w:sz="4" w:space="0" w:color="4E8542"/>
              <w:right w:val="single" w:sz="8" w:space="0" w:color="4E8542"/>
            </w:tcBorders>
          </w:tcPr>
          <w:p>
            <w:pPr>
              <w:pStyle w:val="TableParagraph"/>
              <w:ind w:left="105" w:right="121"/>
              <w:rPr>
                <w:b/>
                <w:sz w:val="22"/>
              </w:rPr>
            </w:pPr>
            <w:r>
              <w:rPr>
                <w:b/>
                <w:sz w:val="22"/>
              </w:rPr>
              <w:t>The setting is selected by the Individual from among setting options including non-disability specific settings and an option for a private unit in a residential setting. The setting options are identified and documented in the person- centered service plan and are based on the individual’s needs, preferences, and, for residential</w:t>
            </w:r>
          </w:p>
        </w:tc>
        <w:tc>
          <w:tcPr>
            <w:tcW w:w="3151" w:type="dxa"/>
            <w:tcBorders>
              <w:top w:val="single" w:sz="8" w:space="0" w:color="4E8542"/>
              <w:left w:val="single" w:sz="8" w:space="0" w:color="4E8542"/>
              <w:bottom w:val="thinThickMediumGap" w:sz="4" w:space="0" w:color="4E8542"/>
              <w:right w:val="single" w:sz="8" w:space="0" w:color="4E8542"/>
            </w:tcBorders>
          </w:tcPr>
          <w:p>
            <w:pPr>
              <w:pStyle w:val="TableParagraph"/>
              <w:ind w:left="112" w:right="137"/>
              <w:rPr>
                <w:sz w:val="22"/>
              </w:rPr>
            </w:pPr>
            <w:hyperlink r:id="rId23">
              <w:r>
                <w:rPr>
                  <w:color w:val="6B9F24"/>
                  <w:sz w:val="22"/>
                  <w:u w:val="single" w:color="6B9F24"/>
                </w:rPr>
                <w:t>WAC 388-823-1095</w:t>
              </w:r>
              <w:r>
                <w:rPr>
                  <w:color w:val="6B9F24"/>
                  <w:sz w:val="22"/>
                </w:rPr>
                <w:t> </w:t>
              </w:r>
            </w:hyperlink>
            <w:r>
              <w:rPr>
                <w:sz w:val="22"/>
              </w:rPr>
              <w:t>my rights as a DDA client</w:t>
            </w:r>
          </w:p>
          <w:p>
            <w:pPr>
              <w:pStyle w:val="TableParagraph"/>
              <w:spacing w:before="11"/>
              <w:rPr>
                <w:b/>
                <w:sz w:val="21"/>
              </w:rPr>
            </w:pPr>
          </w:p>
          <w:p>
            <w:pPr>
              <w:pStyle w:val="TableParagraph"/>
              <w:spacing w:before="1"/>
              <w:ind w:left="112" w:right="81"/>
              <w:rPr>
                <w:sz w:val="22"/>
              </w:rPr>
            </w:pPr>
            <w:r>
              <w:rPr>
                <w:sz w:val="22"/>
              </w:rPr>
              <w:t>During the assessment process, it is the case manager’s responsibility to inform individuals of their options regarding settings and providers. Participants report via the Assessment Meeting</w:t>
            </w:r>
            <w:r>
              <w:rPr>
                <w:spacing w:val="-8"/>
                <w:sz w:val="22"/>
              </w:rPr>
              <w:t> </w:t>
            </w:r>
            <w:r>
              <w:rPr>
                <w:sz w:val="22"/>
              </w:rPr>
              <w:t>Wrap–</w:t>
            </w:r>
          </w:p>
          <w:p>
            <w:pPr>
              <w:pStyle w:val="TableParagraph"/>
              <w:spacing w:line="267" w:lineRule="exact"/>
              <w:ind w:left="112"/>
              <w:rPr>
                <w:sz w:val="22"/>
              </w:rPr>
            </w:pPr>
            <w:r>
              <w:rPr>
                <w:sz w:val="22"/>
              </w:rPr>
              <w:t>up and the Assessment</w:t>
            </w:r>
            <w:r>
              <w:rPr>
                <w:spacing w:val="-8"/>
                <w:sz w:val="22"/>
              </w:rPr>
              <w:t> </w:t>
            </w:r>
            <w:r>
              <w:rPr>
                <w:sz w:val="22"/>
              </w:rPr>
              <w:t>Meeting</w:t>
            </w:r>
          </w:p>
        </w:tc>
        <w:tc>
          <w:tcPr>
            <w:tcW w:w="1589" w:type="dxa"/>
            <w:tcBorders>
              <w:top w:val="single" w:sz="8" w:space="0" w:color="4E8542"/>
              <w:left w:val="single" w:sz="8" w:space="0" w:color="4E8542"/>
              <w:bottom w:val="thinThickMediumGap" w:sz="4" w:space="0" w:color="4E8542"/>
              <w:right w:val="single" w:sz="8" w:space="0" w:color="4E8542"/>
            </w:tcBorders>
          </w:tcPr>
          <w:p>
            <w:pPr>
              <w:pStyle w:val="TableParagraph"/>
              <w:ind w:left="112" w:right="516"/>
              <w:rPr>
                <w:sz w:val="22"/>
              </w:rPr>
            </w:pPr>
            <w:r>
              <w:rPr>
                <w:sz w:val="22"/>
              </w:rPr>
              <w:t>Partially Compliant</w:t>
            </w:r>
          </w:p>
        </w:tc>
        <w:tc>
          <w:tcPr>
            <w:tcW w:w="3240" w:type="dxa"/>
            <w:tcBorders>
              <w:top w:val="single" w:sz="8" w:space="0" w:color="4E8542"/>
              <w:left w:val="single" w:sz="8" w:space="0" w:color="4E8542"/>
              <w:bottom w:val="thinThickMediumGap" w:sz="4" w:space="0" w:color="4E8542"/>
              <w:right w:val="single" w:sz="8" w:space="0" w:color="4E8542"/>
            </w:tcBorders>
          </w:tcPr>
          <w:p>
            <w:pPr>
              <w:pStyle w:val="TableParagraph"/>
              <w:ind w:left="112" w:right="229"/>
              <w:rPr>
                <w:sz w:val="22"/>
              </w:rPr>
            </w:pPr>
            <w:r>
              <w:rPr>
                <w:sz w:val="22"/>
              </w:rPr>
              <w:t>CMs offer the individual choices of long-term care settings and provider types.</w:t>
            </w:r>
          </w:p>
          <w:p>
            <w:pPr>
              <w:pStyle w:val="TableParagraph"/>
              <w:spacing w:before="12"/>
              <w:rPr>
                <w:b/>
                <w:sz w:val="21"/>
              </w:rPr>
            </w:pPr>
          </w:p>
          <w:p>
            <w:pPr>
              <w:pStyle w:val="TableParagraph"/>
              <w:ind w:left="112" w:right="86"/>
              <w:rPr>
                <w:sz w:val="22"/>
              </w:rPr>
            </w:pPr>
            <w:r>
              <w:rPr>
                <w:sz w:val="22"/>
              </w:rPr>
              <w:t>As part of the inspection and the RCS complaint investigation process described in the overview, Residential Care Services conducts client observations, client and</w:t>
            </w:r>
            <w:r>
              <w:rPr>
                <w:spacing w:val="-13"/>
                <w:sz w:val="22"/>
              </w:rPr>
              <w:t> </w:t>
            </w:r>
            <w:r>
              <w:rPr>
                <w:sz w:val="22"/>
              </w:rPr>
              <w:t>collateral</w:t>
            </w:r>
          </w:p>
          <w:p>
            <w:pPr>
              <w:pStyle w:val="TableParagraph"/>
              <w:spacing w:line="267" w:lineRule="exact"/>
              <w:ind w:left="112"/>
              <w:rPr>
                <w:sz w:val="22"/>
              </w:rPr>
            </w:pPr>
            <w:r>
              <w:rPr>
                <w:sz w:val="22"/>
              </w:rPr>
              <w:t>interviews, and provider and</w:t>
            </w:r>
            <w:r>
              <w:rPr>
                <w:spacing w:val="-15"/>
                <w:sz w:val="22"/>
              </w:rPr>
              <w:t> </w:t>
            </w:r>
            <w:r>
              <w:rPr>
                <w:sz w:val="22"/>
              </w:rPr>
              <w:t>staff</w:t>
            </w:r>
          </w:p>
        </w:tc>
        <w:tc>
          <w:tcPr>
            <w:tcW w:w="2351" w:type="dxa"/>
            <w:tcBorders>
              <w:top w:val="single" w:sz="8" w:space="0" w:color="4E8542"/>
              <w:left w:val="single" w:sz="8" w:space="0" w:color="4E8542"/>
              <w:bottom w:val="thinThickMediumGap" w:sz="4" w:space="0" w:color="4E8542"/>
              <w:right w:val="single" w:sz="18" w:space="0" w:color="000000"/>
            </w:tcBorders>
          </w:tcPr>
          <w:p>
            <w:pPr>
              <w:pStyle w:val="TableParagraph"/>
              <w:ind w:left="112" w:right="117"/>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783" w:hRule="atLeast"/>
        </w:trPr>
        <w:tc>
          <w:tcPr>
            <w:tcW w:w="14845" w:type="dxa"/>
            <w:gridSpan w:val="6"/>
            <w:tcBorders>
              <w:top w:val="nil"/>
            </w:tcBorders>
          </w:tcPr>
          <w:p>
            <w:pPr>
              <w:pStyle w:val="TableParagraph"/>
              <w:spacing w:before="34"/>
              <w:ind w:left="945"/>
              <w:rPr>
                <w:sz w:val="22"/>
              </w:rPr>
            </w:pPr>
            <w:r>
              <w:rPr>
                <w:b/>
                <w:sz w:val="22"/>
              </w:rPr>
              <w:t>41 | </w:t>
            </w:r>
            <w:r>
              <w:rPr>
                <w:color w:val="808080"/>
                <w:sz w:val="22"/>
              </w:rPr>
              <w:t>P a g e </w:t>
            </w:r>
          </w:p>
        </w:tc>
      </w:tr>
    </w:tbl>
    <w:p>
      <w:pPr>
        <w:spacing w:after="0"/>
        <w:rPr>
          <w:sz w:val="22"/>
        </w:rPr>
        <w:sectPr>
          <w:footerReference w:type="default" r:id="rId45"/>
          <w:pgSz w:w="15840" w:h="12240" w:orient="landscape"/>
          <w:pgMar w:footer="0" w:header="0" w:top="480" w:bottom="280" w:left="380" w:right="340"/>
        </w:sect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64"/>
        <w:gridCol w:w="3551"/>
        <w:gridCol w:w="3151"/>
        <w:gridCol w:w="1589"/>
        <w:gridCol w:w="3240"/>
        <w:gridCol w:w="2351"/>
      </w:tblGrid>
      <w:tr>
        <w:trPr>
          <w:trHeight w:val="1218" w:hRule="atLeast"/>
        </w:trPr>
        <w:tc>
          <w:tcPr>
            <w:tcW w:w="14846" w:type="dxa"/>
            <w:gridSpan w:val="6"/>
            <w:tcBorders>
              <w:bottom w:val="nil"/>
            </w:tcBorders>
          </w:tcPr>
          <w:p>
            <w:pPr>
              <w:pStyle w:val="TableParagraph"/>
              <w:spacing w:before="9"/>
              <w:rPr>
                <w:b/>
                <w:sz w:val="16"/>
              </w:rPr>
            </w:pPr>
          </w:p>
          <w:p>
            <w:pPr>
              <w:pStyle w:val="TableParagraph"/>
              <w:ind w:left="945"/>
              <w:rPr>
                <w:b/>
                <w:sz w:val="22"/>
              </w:rPr>
            </w:pPr>
            <w:r>
              <w:rPr>
                <w:b/>
                <w:sz w:val="22"/>
              </w:rPr>
              <w:t>Washington State</w:t>
            </w:r>
          </w:p>
          <w:p>
            <w:pPr>
              <w:pStyle w:val="TableParagraph"/>
              <w:ind w:left="944"/>
              <w:rPr>
                <w:b/>
                <w:sz w:val="22"/>
              </w:rPr>
            </w:pPr>
            <w:r>
              <w:rPr>
                <w:b/>
                <w:sz w:val="22"/>
              </w:rPr>
              <w:t>Revised Transition Plan for New HCBS Rules</w:t>
            </w:r>
          </w:p>
          <w:p>
            <w:pPr>
              <w:pStyle w:val="TableParagraph"/>
              <w:ind w:left="944"/>
              <w:rPr>
                <w:b/>
                <w:sz w:val="22"/>
              </w:rPr>
            </w:pPr>
            <w:r>
              <w:rPr>
                <w:b/>
                <w:sz w:val="22"/>
              </w:rPr>
              <w:t>To be Submitted to CMS in May 2017—Posted for Public Comment on March 15, 2017</w:t>
            </w:r>
          </w:p>
        </w:tc>
      </w:tr>
      <w:tr>
        <w:trPr>
          <w:trHeight w:val="584" w:hRule="atLeast"/>
        </w:trPr>
        <w:tc>
          <w:tcPr>
            <w:tcW w:w="964" w:type="dxa"/>
            <w:vMerge w:val="restart"/>
            <w:tcBorders>
              <w:top w:val="nil"/>
              <w:bottom w:val="nil"/>
              <w:right w:val="single" w:sz="8" w:space="0" w:color="4E8542"/>
            </w:tcBorders>
          </w:tcPr>
          <w:p>
            <w:pPr>
              <w:pStyle w:val="TableParagraph"/>
              <w:rPr>
                <w:rFonts w:ascii="Times New Roman"/>
                <w:sz w:val="22"/>
              </w:rPr>
            </w:pPr>
          </w:p>
        </w:tc>
        <w:tc>
          <w:tcPr>
            <w:tcW w:w="3551" w:type="dxa"/>
            <w:tcBorders>
              <w:top w:val="single" w:sz="8" w:space="0" w:color="4E8542"/>
              <w:left w:val="single" w:sz="8" w:space="0" w:color="4E8542"/>
              <w:bottom w:val="single" w:sz="18" w:space="0" w:color="4E8542"/>
              <w:right w:val="single" w:sz="8" w:space="0" w:color="4E8542"/>
            </w:tcBorders>
          </w:tcPr>
          <w:p>
            <w:pPr>
              <w:pStyle w:val="TableParagraph"/>
              <w:spacing w:line="286" w:lineRule="exact"/>
              <w:ind w:left="290"/>
              <w:rPr>
                <w:b/>
                <w:sz w:val="24"/>
              </w:rPr>
            </w:pPr>
            <w:r>
              <w:rPr>
                <w:b/>
                <w:sz w:val="24"/>
              </w:rPr>
              <w:t>Characteristics/Requirements</w:t>
            </w:r>
          </w:p>
        </w:tc>
        <w:tc>
          <w:tcPr>
            <w:tcW w:w="3151" w:type="dxa"/>
            <w:tcBorders>
              <w:top w:val="single" w:sz="8" w:space="0" w:color="4E8542"/>
              <w:left w:val="single" w:sz="8" w:space="0" w:color="4E8542"/>
              <w:bottom w:val="single" w:sz="18" w:space="0" w:color="4E8542"/>
              <w:right w:val="single" w:sz="8" w:space="0" w:color="4E8542"/>
            </w:tcBorders>
          </w:tcPr>
          <w:p>
            <w:pPr>
              <w:pStyle w:val="TableParagraph"/>
              <w:spacing w:line="286" w:lineRule="exact"/>
              <w:ind w:left="690"/>
              <w:rPr>
                <w:b/>
                <w:sz w:val="24"/>
              </w:rPr>
            </w:pPr>
            <w:r>
              <w:rPr>
                <w:b/>
                <w:sz w:val="24"/>
              </w:rPr>
              <w:t>DDA Group Home</w:t>
            </w:r>
          </w:p>
          <w:p>
            <w:pPr>
              <w:pStyle w:val="TableParagraph"/>
              <w:spacing w:line="278" w:lineRule="exact"/>
              <w:ind w:left="764"/>
              <w:rPr>
                <w:b/>
                <w:sz w:val="24"/>
              </w:rPr>
            </w:pPr>
            <w:r>
              <w:rPr>
                <w:b/>
                <w:sz w:val="24"/>
              </w:rPr>
              <w:t>State Evaluation</w:t>
            </w:r>
          </w:p>
        </w:tc>
        <w:tc>
          <w:tcPr>
            <w:tcW w:w="1589" w:type="dxa"/>
            <w:tcBorders>
              <w:top w:val="single" w:sz="8" w:space="0" w:color="4E8542"/>
              <w:left w:val="single" w:sz="8" w:space="0" w:color="4E8542"/>
              <w:bottom w:val="single" w:sz="18" w:space="0" w:color="4E8542"/>
              <w:right w:val="single" w:sz="8" w:space="0" w:color="4E8542"/>
            </w:tcBorders>
          </w:tcPr>
          <w:p>
            <w:pPr>
              <w:pStyle w:val="TableParagraph"/>
              <w:spacing w:line="286" w:lineRule="exact"/>
              <w:ind w:left="190" w:right="164"/>
              <w:jc w:val="center"/>
              <w:rPr>
                <w:b/>
                <w:sz w:val="24"/>
              </w:rPr>
            </w:pPr>
            <w:r>
              <w:rPr>
                <w:b/>
                <w:sz w:val="24"/>
              </w:rPr>
              <w:t>Compliance</w:t>
            </w:r>
          </w:p>
          <w:p>
            <w:pPr>
              <w:pStyle w:val="TableParagraph"/>
              <w:spacing w:line="278" w:lineRule="exact"/>
              <w:ind w:left="190" w:right="164"/>
              <w:jc w:val="center"/>
              <w:rPr>
                <w:b/>
                <w:sz w:val="24"/>
              </w:rPr>
            </w:pPr>
            <w:r>
              <w:rPr>
                <w:b/>
                <w:sz w:val="24"/>
              </w:rPr>
              <w:t>Level</w:t>
            </w:r>
          </w:p>
        </w:tc>
        <w:tc>
          <w:tcPr>
            <w:tcW w:w="3240" w:type="dxa"/>
            <w:tcBorders>
              <w:top w:val="single" w:sz="8" w:space="0" w:color="4E8542"/>
              <w:left w:val="single" w:sz="8" w:space="0" w:color="4E8542"/>
              <w:bottom w:val="single" w:sz="18" w:space="0" w:color="4E8542"/>
              <w:right w:val="single" w:sz="8" w:space="0" w:color="4E8542"/>
            </w:tcBorders>
          </w:tcPr>
          <w:p>
            <w:pPr>
              <w:pStyle w:val="TableParagraph"/>
              <w:spacing w:line="286" w:lineRule="exact"/>
              <w:ind w:left="738"/>
              <w:rPr>
                <w:b/>
                <w:sz w:val="24"/>
              </w:rPr>
            </w:pPr>
            <w:r>
              <w:rPr>
                <w:b/>
                <w:sz w:val="24"/>
              </w:rPr>
              <w:t>Oversight Process</w:t>
            </w:r>
          </w:p>
        </w:tc>
        <w:tc>
          <w:tcPr>
            <w:tcW w:w="2351" w:type="dxa"/>
            <w:tcBorders>
              <w:top w:val="single" w:sz="8" w:space="0" w:color="4E8542"/>
              <w:left w:val="single" w:sz="8" w:space="0" w:color="4E8542"/>
              <w:bottom w:val="single" w:sz="18" w:space="0" w:color="4E8542"/>
              <w:right w:val="single" w:sz="18" w:space="0" w:color="000000"/>
            </w:tcBorders>
          </w:tcPr>
          <w:p>
            <w:pPr>
              <w:pStyle w:val="TableParagraph"/>
              <w:spacing w:line="286" w:lineRule="exact"/>
              <w:ind w:left="534"/>
              <w:rPr>
                <w:b/>
                <w:sz w:val="24"/>
              </w:rPr>
            </w:pPr>
            <w:r>
              <w:rPr>
                <w:b/>
                <w:sz w:val="24"/>
              </w:rPr>
              <w:t>Remediation</w:t>
            </w:r>
          </w:p>
        </w:tc>
      </w:tr>
      <w:tr>
        <w:trPr>
          <w:trHeight w:val="1856" w:hRule="atLeast"/>
        </w:trPr>
        <w:tc>
          <w:tcPr>
            <w:tcW w:w="964" w:type="dxa"/>
            <w:vMerge/>
            <w:tcBorders>
              <w:top w:val="nil"/>
              <w:bottom w:val="nil"/>
              <w:right w:val="single" w:sz="8" w:space="0" w:color="4E8542"/>
            </w:tcBorders>
          </w:tcPr>
          <w:p>
            <w:pPr>
              <w:rPr>
                <w:sz w:val="2"/>
                <w:szCs w:val="2"/>
              </w:rPr>
            </w:pPr>
          </w:p>
        </w:tc>
        <w:tc>
          <w:tcPr>
            <w:tcW w:w="3551" w:type="dxa"/>
            <w:tcBorders>
              <w:top w:val="single" w:sz="18" w:space="0" w:color="4E8542"/>
              <w:left w:val="single" w:sz="8" w:space="0" w:color="4E8542"/>
              <w:bottom w:val="single" w:sz="8" w:space="0" w:color="4E8542"/>
              <w:right w:val="single" w:sz="8" w:space="0" w:color="4E8542"/>
            </w:tcBorders>
          </w:tcPr>
          <w:p>
            <w:pPr>
              <w:pStyle w:val="TableParagraph"/>
              <w:spacing w:line="240" w:lineRule="exact"/>
              <w:ind w:left="103"/>
              <w:rPr>
                <w:b/>
                <w:sz w:val="22"/>
              </w:rPr>
            </w:pPr>
            <w:r>
              <w:rPr>
                <w:b/>
                <w:sz w:val="22"/>
              </w:rPr>
              <w:t>settings, the resources available for</w:t>
            </w:r>
          </w:p>
          <w:p>
            <w:pPr>
              <w:pStyle w:val="TableParagraph"/>
              <w:ind w:left="103"/>
              <w:rPr>
                <w:b/>
                <w:sz w:val="22"/>
              </w:rPr>
            </w:pPr>
            <w:r>
              <w:rPr>
                <w:b/>
                <w:sz w:val="22"/>
              </w:rPr>
              <w:t>room and board.</w:t>
            </w:r>
          </w:p>
        </w:tc>
        <w:tc>
          <w:tcPr>
            <w:tcW w:w="3151" w:type="dxa"/>
            <w:tcBorders>
              <w:top w:val="single" w:sz="18" w:space="0" w:color="4E8542"/>
              <w:left w:val="single" w:sz="8" w:space="0" w:color="4E8542"/>
              <w:bottom w:val="single" w:sz="8" w:space="0" w:color="4E8542"/>
              <w:right w:val="single" w:sz="8" w:space="0" w:color="4E8542"/>
            </w:tcBorders>
          </w:tcPr>
          <w:p>
            <w:pPr>
              <w:pStyle w:val="TableParagraph"/>
              <w:spacing w:line="240" w:lineRule="exact"/>
              <w:ind w:left="111"/>
              <w:rPr>
                <w:sz w:val="22"/>
              </w:rPr>
            </w:pPr>
            <w:r>
              <w:rPr>
                <w:sz w:val="22"/>
              </w:rPr>
              <w:t>Survey that they are informed of</w:t>
            </w:r>
          </w:p>
          <w:p>
            <w:pPr>
              <w:pStyle w:val="TableParagraph"/>
              <w:spacing w:line="237" w:lineRule="auto" w:before="2"/>
              <w:ind w:left="111" w:right="183"/>
              <w:rPr>
                <w:sz w:val="22"/>
              </w:rPr>
            </w:pPr>
            <w:r>
              <w:rPr>
                <w:sz w:val="22"/>
              </w:rPr>
              <w:t>their options regarding services and providers.</w:t>
            </w:r>
          </w:p>
        </w:tc>
        <w:tc>
          <w:tcPr>
            <w:tcW w:w="1589" w:type="dxa"/>
            <w:tcBorders>
              <w:top w:val="single" w:sz="18" w:space="0" w:color="4E8542"/>
              <w:left w:val="single" w:sz="8" w:space="0" w:color="4E8542"/>
              <w:bottom w:val="single" w:sz="8" w:space="0" w:color="4E8542"/>
              <w:right w:val="single" w:sz="8" w:space="0" w:color="4E8542"/>
            </w:tcBorders>
          </w:tcPr>
          <w:p>
            <w:pPr>
              <w:pStyle w:val="TableParagraph"/>
              <w:rPr>
                <w:rFonts w:ascii="Times New Roman"/>
                <w:sz w:val="22"/>
              </w:rPr>
            </w:pPr>
          </w:p>
        </w:tc>
        <w:tc>
          <w:tcPr>
            <w:tcW w:w="3240" w:type="dxa"/>
            <w:tcBorders>
              <w:top w:val="single" w:sz="18" w:space="0" w:color="4E8542"/>
              <w:left w:val="single" w:sz="8" w:space="0" w:color="4E8542"/>
              <w:bottom w:val="single" w:sz="8" w:space="0" w:color="4E8542"/>
              <w:right w:val="single" w:sz="8" w:space="0" w:color="4E8542"/>
            </w:tcBorders>
          </w:tcPr>
          <w:p>
            <w:pPr>
              <w:pStyle w:val="TableParagraph"/>
              <w:spacing w:line="240" w:lineRule="exact"/>
              <w:ind w:left="111"/>
              <w:rPr>
                <w:sz w:val="22"/>
              </w:rPr>
            </w:pPr>
            <w:r>
              <w:rPr>
                <w:sz w:val="22"/>
              </w:rPr>
              <w:t>interviews. RCS conducts client</w:t>
            </w:r>
          </w:p>
          <w:p>
            <w:pPr>
              <w:pStyle w:val="TableParagraph"/>
              <w:spacing w:line="267" w:lineRule="exact"/>
              <w:ind w:left="111"/>
              <w:rPr>
                <w:sz w:val="22"/>
              </w:rPr>
            </w:pPr>
            <w:r>
              <w:rPr>
                <w:sz w:val="22"/>
              </w:rPr>
              <w:t>record reviews.</w:t>
            </w:r>
          </w:p>
          <w:p>
            <w:pPr>
              <w:pStyle w:val="TableParagraph"/>
              <w:ind w:left="111" w:right="375"/>
              <w:rPr>
                <w:sz w:val="22"/>
              </w:rPr>
            </w:pPr>
            <w:r>
              <w:rPr>
                <w:sz w:val="22"/>
              </w:rPr>
              <w:t>On-site inspections ensure homes meet all licensing and certification requirements in WAC and RCW, including WAC</w:t>
            </w:r>
          </w:p>
          <w:p>
            <w:pPr>
              <w:pStyle w:val="TableParagraph"/>
              <w:spacing w:line="255" w:lineRule="exact"/>
              <w:ind w:left="111"/>
              <w:rPr>
                <w:sz w:val="22"/>
              </w:rPr>
            </w:pPr>
            <w:r>
              <w:rPr>
                <w:sz w:val="22"/>
              </w:rPr>
              <w:t>388-823-1095.</w:t>
            </w:r>
          </w:p>
        </w:tc>
        <w:tc>
          <w:tcPr>
            <w:tcW w:w="2351" w:type="dxa"/>
            <w:tcBorders>
              <w:top w:val="single" w:sz="18" w:space="0" w:color="4E8542"/>
              <w:left w:val="single" w:sz="8" w:space="0" w:color="4E8542"/>
              <w:bottom w:val="single" w:sz="8" w:space="0" w:color="4E8542"/>
              <w:right w:val="single" w:sz="18" w:space="0" w:color="000000"/>
            </w:tcBorders>
          </w:tcPr>
          <w:p>
            <w:pPr>
              <w:pStyle w:val="TableParagraph"/>
              <w:rPr>
                <w:rFonts w:ascii="Times New Roman"/>
                <w:sz w:val="22"/>
              </w:rPr>
            </w:pPr>
          </w:p>
        </w:tc>
      </w:tr>
      <w:tr>
        <w:trPr>
          <w:trHeight w:val="2838" w:hRule="atLeast"/>
        </w:trPr>
        <w:tc>
          <w:tcPr>
            <w:tcW w:w="964" w:type="dxa"/>
            <w:vMerge/>
            <w:tcBorders>
              <w:top w:val="nil"/>
              <w:bottom w:val="nil"/>
              <w:right w:val="single" w:sz="8" w:space="0" w:color="4E8542"/>
            </w:tcBorders>
          </w:tcPr>
          <w:p>
            <w:pPr>
              <w:rPr>
                <w:sz w:val="2"/>
                <w:szCs w:val="2"/>
              </w:rPr>
            </w:pPr>
          </w:p>
        </w:tc>
        <w:tc>
          <w:tcPr>
            <w:tcW w:w="3551" w:type="dxa"/>
            <w:tcBorders>
              <w:top w:val="single" w:sz="8" w:space="0" w:color="4E8542"/>
              <w:left w:val="single" w:sz="8" w:space="0" w:color="4E8542"/>
              <w:bottom w:val="nil"/>
              <w:right w:val="single" w:sz="8" w:space="0" w:color="4E8542"/>
            </w:tcBorders>
            <w:shd w:val="clear" w:color="auto" w:fill="D0E4CA"/>
          </w:tcPr>
          <w:p>
            <w:pPr>
              <w:pStyle w:val="TableParagraph"/>
              <w:ind w:left="103" w:right="122"/>
              <w:rPr>
                <w:b/>
                <w:sz w:val="22"/>
              </w:rPr>
            </w:pPr>
            <w:r>
              <w:rPr>
                <w:b/>
                <w:sz w:val="22"/>
              </w:rPr>
              <w:t>An individual’s essential personal rights of privacy, dignity and respect, and freedom from coercion and restraint are protected.</w:t>
            </w:r>
          </w:p>
        </w:tc>
        <w:tc>
          <w:tcPr>
            <w:tcW w:w="3151" w:type="dxa"/>
            <w:tcBorders>
              <w:top w:val="single" w:sz="8" w:space="0" w:color="4E8542"/>
              <w:left w:val="single" w:sz="8" w:space="0" w:color="4E8542"/>
              <w:bottom w:val="nil"/>
              <w:right w:val="single" w:sz="8" w:space="0" w:color="4E8542"/>
            </w:tcBorders>
            <w:shd w:val="clear" w:color="auto" w:fill="D0E4CA"/>
          </w:tcPr>
          <w:p>
            <w:pPr>
              <w:pStyle w:val="TableParagraph"/>
              <w:spacing w:line="262" w:lineRule="exact"/>
              <w:ind w:left="111"/>
              <w:rPr>
                <w:sz w:val="22"/>
              </w:rPr>
            </w:pPr>
            <w:r>
              <w:rPr>
                <w:sz w:val="22"/>
              </w:rPr>
              <w:t>Rights are protected in </w:t>
            </w:r>
            <w:hyperlink r:id="rId49">
              <w:r>
                <w:rPr>
                  <w:color w:val="6B9F24"/>
                  <w:sz w:val="22"/>
                  <w:u w:val="single" w:color="6B9F24"/>
                </w:rPr>
                <w:t>RCW</w:t>
              </w:r>
            </w:hyperlink>
          </w:p>
          <w:p>
            <w:pPr>
              <w:pStyle w:val="TableParagraph"/>
              <w:ind w:left="111" w:right="158"/>
              <w:rPr>
                <w:sz w:val="22"/>
              </w:rPr>
            </w:pPr>
            <w:hyperlink r:id="rId49">
              <w:r>
                <w:rPr>
                  <w:color w:val="6B9F24"/>
                  <w:sz w:val="22"/>
                  <w:u w:val="single" w:color="6B9F24"/>
                </w:rPr>
                <w:t>70.129.005</w:t>
              </w:r>
              <w:r>
                <w:rPr>
                  <w:color w:val="6B9F24"/>
                  <w:sz w:val="22"/>
                </w:rPr>
                <w:t> </w:t>
              </w:r>
            </w:hyperlink>
            <w:r>
              <w:rPr>
                <w:sz w:val="22"/>
              </w:rPr>
              <w:t>and </w:t>
            </w:r>
            <w:hyperlink r:id="rId41">
              <w:r>
                <w:rPr>
                  <w:color w:val="6B9F24"/>
                  <w:sz w:val="22"/>
                  <w:u w:val="single" w:color="6B9F24"/>
                </w:rPr>
                <w:t>WAC 388-76-</w:t>
              </w:r>
            </w:hyperlink>
            <w:r>
              <w:rPr>
                <w:color w:val="6B9F24"/>
                <w:sz w:val="22"/>
              </w:rPr>
              <w:t> </w:t>
            </w:r>
            <w:hyperlink r:id="rId41">
              <w:r>
                <w:rPr>
                  <w:color w:val="6B9F24"/>
                  <w:sz w:val="22"/>
                  <w:u w:val="single" w:color="6B9F24"/>
                </w:rPr>
                <w:t>10620</w:t>
              </w:r>
              <w:r>
                <w:rPr>
                  <w:color w:val="6B9F24"/>
                  <w:sz w:val="22"/>
                </w:rPr>
                <w:t> </w:t>
              </w:r>
            </w:hyperlink>
            <w:r>
              <w:rPr>
                <w:sz w:val="22"/>
              </w:rPr>
              <w:t>(1), including not using restraints on any resident (</w:t>
            </w:r>
            <w:hyperlink r:id="rId50">
              <w:r>
                <w:rPr>
                  <w:color w:val="6B9F24"/>
                  <w:sz w:val="22"/>
                  <w:u w:val="single" w:color="6B9F24"/>
                </w:rPr>
                <w:t>RCW</w:t>
              </w:r>
            </w:hyperlink>
            <w:r>
              <w:rPr>
                <w:color w:val="6B9F24"/>
                <w:sz w:val="22"/>
              </w:rPr>
              <w:t> </w:t>
            </w:r>
            <w:hyperlink r:id="rId50">
              <w:r>
                <w:rPr>
                  <w:color w:val="6B9F24"/>
                  <w:sz w:val="22"/>
                  <w:u w:val="single" w:color="6B9F24"/>
                </w:rPr>
                <w:t>70.129.120</w:t>
              </w:r>
            </w:hyperlink>
            <w:r>
              <w:rPr>
                <w:sz w:val="22"/>
              </w:rPr>
              <w:t>)</w:t>
            </w:r>
          </w:p>
          <w:p>
            <w:pPr>
              <w:pStyle w:val="TableParagraph"/>
              <w:spacing w:before="1"/>
              <w:rPr>
                <w:b/>
                <w:sz w:val="22"/>
              </w:rPr>
            </w:pPr>
          </w:p>
          <w:p>
            <w:pPr>
              <w:pStyle w:val="TableParagraph"/>
              <w:ind w:left="111" w:right="324"/>
              <w:rPr>
                <w:sz w:val="22"/>
              </w:rPr>
            </w:pPr>
            <w:r>
              <w:rPr>
                <w:sz w:val="22"/>
              </w:rPr>
              <w:t>Protection of rights is also enforced through </w:t>
            </w:r>
            <w:hyperlink r:id="rId25">
              <w:r>
                <w:rPr>
                  <w:color w:val="6B9F24"/>
                  <w:sz w:val="22"/>
                  <w:u w:val="single" w:color="6B9F24"/>
                </w:rPr>
                <w:t>WAC 388-</w:t>
              </w:r>
            </w:hyperlink>
            <w:r>
              <w:rPr>
                <w:color w:val="6B9F24"/>
                <w:sz w:val="22"/>
              </w:rPr>
              <w:t> </w:t>
            </w:r>
            <w:hyperlink r:id="rId25">
              <w:r>
                <w:rPr>
                  <w:color w:val="6B9F24"/>
                  <w:sz w:val="22"/>
                  <w:u w:val="single" w:color="6B9F24"/>
                </w:rPr>
                <w:t>101D-0125</w:t>
              </w:r>
              <w:r>
                <w:rPr>
                  <w:color w:val="6B9F24"/>
                  <w:sz w:val="22"/>
                </w:rPr>
                <w:t> </w:t>
              </w:r>
            </w:hyperlink>
            <w:r>
              <w:rPr>
                <w:sz w:val="22"/>
              </w:rPr>
              <w:t>through </w:t>
            </w:r>
            <w:hyperlink r:id="rId29">
              <w:r>
                <w:rPr>
                  <w:color w:val="6B9F24"/>
                  <w:sz w:val="22"/>
                  <w:u w:val="single" w:color="6B9F24"/>
                </w:rPr>
                <w:t>WAC 388-</w:t>
              </w:r>
            </w:hyperlink>
            <w:r>
              <w:rPr>
                <w:color w:val="6B9F24"/>
                <w:sz w:val="22"/>
              </w:rPr>
              <w:t> </w:t>
            </w:r>
            <w:hyperlink r:id="rId29">
              <w:r>
                <w:rPr>
                  <w:color w:val="6B9F24"/>
                  <w:sz w:val="22"/>
                  <w:u w:val="single" w:color="6B9F24"/>
                </w:rPr>
                <w:t>101D-0145</w:t>
              </w:r>
            </w:hyperlink>
          </w:p>
        </w:tc>
        <w:tc>
          <w:tcPr>
            <w:tcW w:w="1589" w:type="dxa"/>
            <w:tcBorders>
              <w:top w:val="single" w:sz="8" w:space="0" w:color="4E8542"/>
              <w:left w:val="single" w:sz="8" w:space="0" w:color="4E8542"/>
              <w:bottom w:val="nil"/>
              <w:right w:val="single" w:sz="8" w:space="0" w:color="4E8542"/>
            </w:tcBorders>
            <w:shd w:val="clear" w:color="auto" w:fill="D0E4CA"/>
          </w:tcPr>
          <w:p>
            <w:pPr>
              <w:pStyle w:val="TableParagraph"/>
              <w:ind w:left="111" w:right="517"/>
              <w:rPr>
                <w:sz w:val="22"/>
              </w:rPr>
            </w:pPr>
            <w:r>
              <w:rPr>
                <w:sz w:val="22"/>
              </w:rPr>
              <w:t>Fully Compliant</w:t>
            </w:r>
          </w:p>
        </w:tc>
        <w:tc>
          <w:tcPr>
            <w:tcW w:w="3240" w:type="dxa"/>
            <w:tcBorders>
              <w:top w:val="single" w:sz="8" w:space="0" w:color="4E8542"/>
              <w:left w:val="single" w:sz="8" w:space="0" w:color="4E8542"/>
              <w:bottom w:val="nil"/>
              <w:right w:val="single" w:sz="8" w:space="0" w:color="4E8542"/>
            </w:tcBorders>
            <w:shd w:val="clear" w:color="auto" w:fill="D0E4CA"/>
          </w:tcPr>
          <w:p>
            <w:pPr>
              <w:pStyle w:val="TableParagraph"/>
              <w:ind w:left="111" w:right="81"/>
              <w:rPr>
                <w:sz w:val="22"/>
              </w:rPr>
            </w:pPr>
            <w:r>
              <w:rPr>
                <w:sz w:val="22"/>
              </w:rPr>
              <w:t>As part of the inspection process described in the overview, RCS conducts an environmental tour as part of the facility inspection process, conducts resident record reviews, and observes use of restraints, and talks with a sample of residents to determine compliance with this requirement.</w:t>
            </w:r>
          </w:p>
        </w:tc>
        <w:tc>
          <w:tcPr>
            <w:tcW w:w="2351" w:type="dxa"/>
            <w:tcBorders>
              <w:top w:val="single" w:sz="8" w:space="0" w:color="4E8542"/>
              <w:left w:val="single" w:sz="8" w:space="0" w:color="4E8542"/>
              <w:bottom w:val="nil"/>
              <w:right w:val="single" w:sz="18" w:space="0" w:color="000000"/>
            </w:tcBorders>
            <w:shd w:val="clear" w:color="auto" w:fill="D0E4CA"/>
          </w:tcPr>
          <w:p>
            <w:pPr>
              <w:pStyle w:val="TableParagraph"/>
              <w:ind w:left="111" w:right="118"/>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1343" w:hRule="atLeast"/>
        </w:trPr>
        <w:tc>
          <w:tcPr>
            <w:tcW w:w="964" w:type="dxa"/>
            <w:vMerge/>
            <w:tcBorders>
              <w:top w:val="nil"/>
              <w:bottom w:val="nil"/>
              <w:right w:val="single" w:sz="8" w:space="0" w:color="4E8542"/>
            </w:tcBorders>
          </w:tcPr>
          <w:p>
            <w:pPr>
              <w:rPr>
                <w:sz w:val="2"/>
                <w:szCs w:val="2"/>
              </w:rPr>
            </w:pPr>
          </w:p>
        </w:tc>
        <w:tc>
          <w:tcPr>
            <w:tcW w:w="3551" w:type="dxa"/>
            <w:tcBorders>
              <w:top w:val="nil"/>
              <w:left w:val="single" w:sz="8" w:space="0" w:color="4E8542"/>
              <w:bottom w:val="nil"/>
              <w:right w:val="single" w:sz="8" w:space="0" w:color="4E8542"/>
            </w:tcBorders>
            <w:shd w:val="clear" w:color="auto" w:fill="D0E4CA"/>
          </w:tcPr>
          <w:p>
            <w:pPr>
              <w:pStyle w:val="TableParagraph"/>
              <w:rPr>
                <w:rFonts w:ascii="Times New Roman"/>
                <w:sz w:val="22"/>
              </w:rPr>
            </w:pPr>
          </w:p>
        </w:tc>
        <w:tc>
          <w:tcPr>
            <w:tcW w:w="3151" w:type="dxa"/>
            <w:tcBorders>
              <w:top w:val="nil"/>
              <w:left w:val="single" w:sz="8" w:space="0" w:color="4E8542"/>
              <w:bottom w:val="nil"/>
              <w:right w:val="single" w:sz="8" w:space="0" w:color="4E8542"/>
            </w:tcBorders>
            <w:shd w:val="clear" w:color="auto" w:fill="D0E4CA"/>
          </w:tcPr>
          <w:p>
            <w:pPr>
              <w:pStyle w:val="TableParagraph"/>
              <w:rPr>
                <w:rFonts w:ascii="Times New Roman"/>
                <w:sz w:val="22"/>
              </w:rPr>
            </w:pPr>
          </w:p>
        </w:tc>
        <w:tc>
          <w:tcPr>
            <w:tcW w:w="1589" w:type="dxa"/>
            <w:tcBorders>
              <w:top w:val="nil"/>
              <w:left w:val="single" w:sz="8" w:space="0" w:color="4E8542"/>
              <w:bottom w:val="nil"/>
              <w:right w:val="single" w:sz="8" w:space="0" w:color="4E8542"/>
            </w:tcBorders>
            <w:shd w:val="clear" w:color="auto" w:fill="D0E4CA"/>
          </w:tcPr>
          <w:p>
            <w:pPr>
              <w:pStyle w:val="TableParagraph"/>
              <w:rPr>
                <w:rFonts w:ascii="Times New Roman"/>
                <w:sz w:val="22"/>
              </w:rPr>
            </w:pPr>
          </w:p>
        </w:tc>
        <w:tc>
          <w:tcPr>
            <w:tcW w:w="3240" w:type="dxa"/>
            <w:tcBorders>
              <w:top w:val="nil"/>
              <w:left w:val="single" w:sz="8" w:space="0" w:color="4E8542"/>
              <w:bottom w:val="nil"/>
              <w:right w:val="single" w:sz="8" w:space="0" w:color="4E8542"/>
            </w:tcBorders>
            <w:shd w:val="clear" w:color="auto" w:fill="D0E4CA"/>
          </w:tcPr>
          <w:p>
            <w:pPr>
              <w:pStyle w:val="TableParagraph"/>
              <w:spacing w:before="109"/>
              <w:ind w:left="111" w:right="480"/>
              <w:rPr>
                <w:sz w:val="22"/>
              </w:rPr>
            </w:pPr>
            <w:r>
              <w:rPr>
                <w:sz w:val="22"/>
              </w:rPr>
              <w:t>The Long-Term Care Ombuds Program also monitors implementation of </w:t>
            </w:r>
            <w:hyperlink r:id="rId44">
              <w:r>
                <w:rPr>
                  <w:color w:val="6B9F24"/>
                  <w:sz w:val="22"/>
                  <w:u w:val="single" w:color="6B9F24"/>
                </w:rPr>
                <w:t>Chapter</w:t>
              </w:r>
            </w:hyperlink>
            <w:r>
              <w:rPr>
                <w:color w:val="6B9F24"/>
                <w:sz w:val="22"/>
              </w:rPr>
              <w:t> </w:t>
            </w:r>
            <w:hyperlink r:id="rId44">
              <w:r>
                <w:rPr>
                  <w:color w:val="6B9F24"/>
                  <w:sz w:val="22"/>
                  <w:u w:val="single" w:color="6B9F24"/>
                </w:rPr>
                <w:t>70.129 RCW</w:t>
              </w:r>
              <w:r>
                <w:rPr>
                  <w:sz w:val="22"/>
                </w:rPr>
                <w:t>.</w:t>
              </w:r>
            </w:hyperlink>
          </w:p>
        </w:tc>
        <w:tc>
          <w:tcPr>
            <w:tcW w:w="2351" w:type="dxa"/>
            <w:tcBorders>
              <w:top w:val="nil"/>
              <w:left w:val="single" w:sz="8" w:space="0" w:color="4E8542"/>
              <w:bottom w:val="nil"/>
              <w:right w:val="single" w:sz="18" w:space="0" w:color="000000"/>
            </w:tcBorders>
            <w:shd w:val="clear" w:color="auto" w:fill="D0E4CA"/>
          </w:tcPr>
          <w:p>
            <w:pPr>
              <w:pStyle w:val="TableParagraph"/>
              <w:rPr>
                <w:rFonts w:ascii="Times New Roman"/>
                <w:sz w:val="22"/>
              </w:rPr>
            </w:pPr>
          </w:p>
        </w:tc>
      </w:tr>
      <w:tr>
        <w:trPr>
          <w:trHeight w:val="1456" w:hRule="atLeast"/>
        </w:trPr>
        <w:tc>
          <w:tcPr>
            <w:tcW w:w="964" w:type="dxa"/>
            <w:vMerge/>
            <w:tcBorders>
              <w:top w:val="nil"/>
              <w:bottom w:val="nil"/>
              <w:right w:val="single" w:sz="8" w:space="0" w:color="4E8542"/>
            </w:tcBorders>
          </w:tcPr>
          <w:p>
            <w:pPr>
              <w:rPr>
                <w:sz w:val="2"/>
                <w:szCs w:val="2"/>
              </w:rPr>
            </w:pPr>
          </w:p>
        </w:tc>
        <w:tc>
          <w:tcPr>
            <w:tcW w:w="3551" w:type="dxa"/>
            <w:tcBorders>
              <w:top w:val="nil"/>
              <w:left w:val="single" w:sz="8" w:space="0" w:color="4E8542"/>
              <w:bottom w:val="single" w:sz="8" w:space="0" w:color="4E8542"/>
              <w:right w:val="single" w:sz="8" w:space="0" w:color="4E8542"/>
            </w:tcBorders>
            <w:shd w:val="clear" w:color="auto" w:fill="D0E4CA"/>
          </w:tcPr>
          <w:p>
            <w:pPr>
              <w:pStyle w:val="TableParagraph"/>
              <w:rPr>
                <w:rFonts w:ascii="Times New Roman"/>
                <w:sz w:val="22"/>
              </w:rPr>
            </w:pPr>
          </w:p>
        </w:tc>
        <w:tc>
          <w:tcPr>
            <w:tcW w:w="3151" w:type="dxa"/>
            <w:tcBorders>
              <w:top w:val="nil"/>
              <w:left w:val="single" w:sz="8" w:space="0" w:color="4E8542"/>
              <w:bottom w:val="single" w:sz="8" w:space="0" w:color="4E8542"/>
              <w:right w:val="single" w:sz="8" w:space="0" w:color="4E8542"/>
            </w:tcBorders>
            <w:shd w:val="clear" w:color="auto" w:fill="D0E4CA"/>
          </w:tcPr>
          <w:p>
            <w:pPr>
              <w:pStyle w:val="TableParagraph"/>
              <w:rPr>
                <w:rFonts w:ascii="Times New Roman"/>
                <w:sz w:val="22"/>
              </w:rPr>
            </w:pPr>
          </w:p>
        </w:tc>
        <w:tc>
          <w:tcPr>
            <w:tcW w:w="1589" w:type="dxa"/>
            <w:tcBorders>
              <w:top w:val="nil"/>
              <w:left w:val="single" w:sz="8" w:space="0" w:color="4E8542"/>
              <w:bottom w:val="single" w:sz="8" w:space="0" w:color="4E8542"/>
              <w:right w:val="single" w:sz="8" w:space="0" w:color="4E8542"/>
            </w:tcBorders>
            <w:shd w:val="clear" w:color="auto" w:fill="D0E4CA"/>
          </w:tcPr>
          <w:p>
            <w:pPr>
              <w:pStyle w:val="TableParagraph"/>
              <w:rPr>
                <w:rFonts w:ascii="Times New Roman"/>
                <w:sz w:val="22"/>
              </w:rPr>
            </w:pPr>
          </w:p>
        </w:tc>
        <w:tc>
          <w:tcPr>
            <w:tcW w:w="3240" w:type="dxa"/>
            <w:tcBorders>
              <w:top w:val="nil"/>
              <w:left w:val="single" w:sz="8" w:space="0" w:color="4E8542"/>
              <w:bottom w:val="single" w:sz="8" w:space="0" w:color="4E8542"/>
              <w:right w:val="single" w:sz="8" w:space="0" w:color="4E8542"/>
            </w:tcBorders>
            <w:shd w:val="clear" w:color="auto" w:fill="D0E4CA"/>
          </w:tcPr>
          <w:p>
            <w:pPr>
              <w:pStyle w:val="TableParagraph"/>
              <w:spacing w:before="109"/>
              <w:ind w:left="111" w:right="375"/>
              <w:rPr>
                <w:sz w:val="22"/>
              </w:rPr>
            </w:pPr>
            <w:r>
              <w:rPr>
                <w:sz w:val="22"/>
              </w:rPr>
              <w:t>On-site inspections ensure homes meet all licensing and certification requirements in WAC and RCW, including WAC</w:t>
            </w:r>
          </w:p>
          <w:p>
            <w:pPr>
              <w:pStyle w:val="TableParagraph"/>
              <w:spacing w:line="253" w:lineRule="exact"/>
              <w:ind w:left="111"/>
              <w:rPr>
                <w:sz w:val="22"/>
              </w:rPr>
            </w:pPr>
            <w:r>
              <w:rPr>
                <w:sz w:val="22"/>
              </w:rPr>
              <w:t>388-823-1095.</w:t>
            </w:r>
          </w:p>
        </w:tc>
        <w:tc>
          <w:tcPr>
            <w:tcW w:w="2351" w:type="dxa"/>
            <w:tcBorders>
              <w:top w:val="nil"/>
              <w:left w:val="single" w:sz="8" w:space="0" w:color="4E8542"/>
              <w:bottom w:val="single" w:sz="8" w:space="0" w:color="4E8542"/>
              <w:right w:val="single" w:sz="18" w:space="0" w:color="000000"/>
            </w:tcBorders>
            <w:shd w:val="clear" w:color="auto" w:fill="D0E4CA"/>
          </w:tcPr>
          <w:p>
            <w:pPr>
              <w:pStyle w:val="TableParagraph"/>
              <w:rPr>
                <w:rFonts w:ascii="Times New Roman"/>
                <w:sz w:val="22"/>
              </w:rPr>
            </w:pPr>
          </w:p>
        </w:tc>
      </w:tr>
      <w:tr>
        <w:trPr>
          <w:trHeight w:val="808" w:hRule="atLeast"/>
        </w:trPr>
        <w:tc>
          <w:tcPr>
            <w:tcW w:w="964" w:type="dxa"/>
            <w:vMerge/>
            <w:tcBorders>
              <w:top w:val="nil"/>
              <w:bottom w:val="nil"/>
              <w:right w:val="single" w:sz="8" w:space="0" w:color="4E8542"/>
            </w:tcBorders>
          </w:tcPr>
          <w:p>
            <w:pPr>
              <w:rPr>
                <w:sz w:val="2"/>
                <w:szCs w:val="2"/>
              </w:rPr>
            </w:pPr>
          </w:p>
        </w:tc>
        <w:tc>
          <w:tcPr>
            <w:tcW w:w="3551" w:type="dxa"/>
            <w:tcBorders>
              <w:top w:val="single" w:sz="8" w:space="0" w:color="4E8542"/>
              <w:left w:val="single" w:sz="8" w:space="0" w:color="4E8542"/>
              <w:bottom w:val="single" w:sz="8" w:space="0" w:color="4E8542"/>
              <w:right w:val="single" w:sz="8" w:space="0" w:color="4E8542"/>
            </w:tcBorders>
          </w:tcPr>
          <w:p>
            <w:pPr>
              <w:pStyle w:val="TableParagraph"/>
              <w:spacing w:line="237" w:lineRule="auto"/>
              <w:ind w:left="103" w:right="144"/>
              <w:rPr>
                <w:b/>
                <w:sz w:val="22"/>
              </w:rPr>
            </w:pPr>
            <w:r>
              <w:rPr>
                <w:b/>
                <w:sz w:val="22"/>
              </w:rPr>
              <w:t>Individual initiative, autonomy, and independence in making life</w:t>
            </w:r>
          </w:p>
          <w:p>
            <w:pPr>
              <w:pStyle w:val="TableParagraph"/>
              <w:spacing w:line="257" w:lineRule="exact"/>
              <w:ind w:left="103"/>
              <w:rPr>
                <w:b/>
                <w:sz w:val="22"/>
              </w:rPr>
            </w:pPr>
            <w:r>
              <w:rPr>
                <w:b/>
                <w:sz w:val="22"/>
              </w:rPr>
              <w:t>choices, including but not limited to,</w:t>
            </w:r>
          </w:p>
        </w:tc>
        <w:tc>
          <w:tcPr>
            <w:tcW w:w="3151" w:type="dxa"/>
            <w:tcBorders>
              <w:top w:val="single" w:sz="8" w:space="0" w:color="4E8542"/>
              <w:left w:val="single" w:sz="8" w:space="0" w:color="4E8542"/>
              <w:bottom w:val="single" w:sz="8" w:space="0" w:color="4E8542"/>
              <w:right w:val="single" w:sz="8" w:space="0" w:color="4E8542"/>
            </w:tcBorders>
          </w:tcPr>
          <w:p>
            <w:pPr>
              <w:pStyle w:val="TableParagraph"/>
              <w:spacing w:line="263" w:lineRule="exact"/>
              <w:ind w:left="111"/>
              <w:rPr>
                <w:sz w:val="22"/>
              </w:rPr>
            </w:pPr>
            <w:r>
              <w:rPr>
                <w:sz w:val="22"/>
              </w:rPr>
              <w:t>Rights are protected in </w:t>
            </w:r>
            <w:hyperlink r:id="rId37">
              <w:r>
                <w:rPr>
                  <w:color w:val="6B9F24"/>
                  <w:sz w:val="22"/>
                  <w:u w:val="single" w:color="6B9F24"/>
                </w:rPr>
                <w:t>RCW</w:t>
              </w:r>
            </w:hyperlink>
          </w:p>
          <w:p>
            <w:pPr>
              <w:pStyle w:val="TableParagraph"/>
              <w:spacing w:line="267" w:lineRule="exact"/>
              <w:ind w:left="111"/>
              <w:rPr>
                <w:sz w:val="22"/>
              </w:rPr>
            </w:pPr>
            <w:hyperlink r:id="rId37">
              <w:r>
                <w:rPr>
                  <w:color w:val="6B9F24"/>
                  <w:sz w:val="22"/>
                  <w:u w:val="single" w:color="6B9F24"/>
                </w:rPr>
                <w:t>70.129.140</w:t>
              </w:r>
              <w:r>
                <w:rPr>
                  <w:color w:val="6B9F24"/>
                  <w:sz w:val="22"/>
                </w:rPr>
                <w:t> </w:t>
              </w:r>
            </w:hyperlink>
            <w:r>
              <w:rPr>
                <w:sz w:val="22"/>
              </w:rPr>
              <w:t>and</w:t>
            </w:r>
            <w:hyperlink r:id="rId49">
              <w:r>
                <w:rPr>
                  <w:color w:val="6B9F24"/>
                  <w:sz w:val="22"/>
                </w:rPr>
                <w:t> </w:t>
              </w:r>
              <w:r>
                <w:rPr>
                  <w:color w:val="6B9F24"/>
                  <w:sz w:val="22"/>
                  <w:u w:val="single" w:color="6B9F24"/>
                </w:rPr>
                <w:t>RCW</w:t>
              </w:r>
            </w:hyperlink>
          </w:p>
          <w:p>
            <w:pPr>
              <w:pStyle w:val="TableParagraph"/>
              <w:spacing w:line="257" w:lineRule="exact"/>
              <w:ind w:left="111"/>
              <w:rPr>
                <w:sz w:val="22"/>
              </w:rPr>
            </w:pPr>
            <w:hyperlink r:id="rId49">
              <w:r>
                <w:rPr>
                  <w:color w:val="6B9F24"/>
                  <w:sz w:val="22"/>
                  <w:u w:val="single" w:color="6B9F24"/>
                </w:rPr>
                <w:t>70.129.005</w:t>
              </w:r>
            </w:hyperlink>
            <w:r>
              <w:rPr>
                <w:sz w:val="22"/>
              </w:rPr>
              <w:t>.</w:t>
            </w:r>
          </w:p>
        </w:tc>
        <w:tc>
          <w:tcPr>
            <w:tcW w:w="1589" w:type="dxa"/>
            <w:tcBorders>
              <w:top w:val="single" w:sz="8" w:space="0" w:color="4E8542"/>
              <w:left w:val="single" w:sz="8" w:space="0" w:color="4E8542"/>
              <w:bottom w:val="single" w:sz="8" w:space="0" w:color="4E8542"/>
              <w:right w:val="single" w:sz="8" w:space="0" w:color="4E8542"/>
            </w:tcBorders>
          </w:tcPr>
          <w:p>
            <w:pPr>
              <w:pStyle w:val="TableParagraph"/>
              <w:spacing w:line="237" w:lineRule="auto"/>
              <w:ind w:left="111" w:right="517"/>
              <w:rPr>
                <w:sz w:val="22"/>
              </w:rPr>
            </w:pPr>
            <w:r>
              <w:rPr>
                <w:sz w:val="22"/>
              </w:rPr>
              <w:t>Fully Compliant</w:t>
            </w:r>
          </w:p>
        </w:tc>
        <w:tc>
          <w:tcPr>
            <w:tcW w:w="3240" w:type="dxa"/>
            <w:tcBorders>
              <w:top w:val="single" w:sz="8" w:space="0" w:color="4E8542"/>
              <w:left w:val="single" w:sz="8" w:space="0" w:color="4E8542"/>
              <w:bottom w:val="single" w:sz="8" w:space="0" w:color="4E8542"/>
              <w:right w:val="single" w:sz="8" w:space="0" w:color="4E8542"/>
            </w:tcBorders>
          </w:tcPr>
          <w:p>
            <w:pPr>
              <w:pStyle w:val="TableParagraph"/>
              <w:spacing w:line="237" w:lineRule="auto"/>
              <w:ind w:left="111" w:right="164"/>
              <w:rPr>
                <w:sz w:val="22"/>
              </w:rPr>
            </w:pPr>
            <w:r>
              <w:rPr>
                <w:sz w:val="22"/>
              </w:rPr>
              <w:t>As part of the inspection process described in the overview, RCS</w:t>
            </w:r>
          </w:p>
          <w:p>
            <w:pPr>
              <w:pStyle w:val="TableParagraph"/>
              <w:spacing w:line="257" w:lineRule="exact"/>
              <w:ind w:left="111"/>
              <w:rPr>
                <w:sz w:val="22"/>
              </w:rPr>
            </w:pPr>
            <w:r>
              <w:rPr>
                <w:sz w:val="22"/>
              </w:rPr>
              <w:t>conducts comprehensive resident</w:t>
            </w:r>
          </w:p>
        </w:tc>
        <w:tc>
          <w:tcPr>
            <w:tcW w:w="2351" w:type="dxa"/>
            <w:tcBorders>
              <w:top w:val="single" w:sz="8" w:space="0" w:color="4E8542"/>
              <w:left w:val="single" w:sz="8" w:space="0" w:color="4E8542"/>
              <w:bottom w:val="single" w:sz="8" w:space="0" w:color="4E8542"/>
              <w:right w:val="single" w:sz="18" w:space="0" w:color="000000"/>
            </w:tcBorders>
          </w:tcPr>
          <w:p>
            <w:pPr>
              <w:pStyle w:val="TableParagraph"/>
              <w:spacing w:line="237" w:lineRule="auto"/>
              <w:ind w:left="111" w:right="109"/>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w:t>
            </w:r>
            <w:r>
              <w:rPr>
                <w:spacing w:val="-4"/>
                <w:sz w:val="22"/>
              </w:rPr>
              <w:t> </w:t>
            </w:r>
            <w:r>
              <w:rPr>
                <w:sz w:val="22"/>
              </w:rPr>
              <w:t>all</w:t>
            </w:r>
          </w:p>
          <w:p>
            <w:pPr>
              <w:pStyle w:val="TableParagraph"/>
              <w:spacing w:line="257" w:lineRule="exact"/>
              <w:ind w:left="111"/>
              <w:rPr>
                <w:sz w:val="22"/>
              </w:rPr>
            </w:pPr>
            <w:r>
              <w:rPr>
                <w:sz w:val="22"/>
              </w:rPr>
              <w:t>rights listed in</w:t>
            </w:r>
            <w:r>
              <w:rPr>
                <w:spacing w:val="-8"/>
                <w:sz w:val="22"/>
              </w:rPr>
              <w:t> </w:t>
            </w:r>
            <w:r>
              <w:rPr>
                <w:sz w:val="22"/>
              </w:rPr>
              <w:t>the</w:t>
            </w:r>
          </w:p>
        </w:tc>
      </w:tr>
      <w:tr>
        <w:trPr>
          <w:trHeight w:val="990" w:hRule="atLeast"/>
        </w:trPr>
        <w:tc>
          <w:tcPr>
            <w:tcW w:w="14846" w:type="dxa"/>
            <w:gridSpan w:val="6"/>
            <w:tcBorders>
              <w:top w:val="nil"/>
            </w:tcBorders>
          </w:tcPr>
          <w:p>
            <w:pPr>
              <w:pStyle w:val="TableParagraph"/>
              <w:spacing w:before="12"/>
              <w:rPr>
                <w:b/>
                <w:sz w:val="16"/>
              </w:rPr>
            </w:pPr>
          </w:p>
          <w:p>
            <w:pPr>
              <w:pStyle w:val="TableParagraph"/>
              <w:spacing w:line="20" w:lineRule="exact"/>
              <w:ind w:left="911"/>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pStyle w:val="TableParagraph"/>
              <w:spacing w:before="8"/>
              <w:ind w:left="945"/>
              <w:rPr>
                <w:sz w:val="22"/>
              </w:rPr>
            </w:pPr>
            <w:r>
              <w:rPr>
                <w:b/>
                <w:sz w:val="22"/>
              </w:rPr>
              <w:t>42 | </w:t>
            </w:r>
            <w:r>
              <w:rPr>
                <w:color w:val="808080"/>
                <w:sz w:val="22"/>
              </w:rPr>
              <w:t>P a g e </w:t>
            </w:r>
          </w:p>
        </w:tc>
      </w:tr>
    </w:tbl>
    <w:p>
      <w:pPr>
        <w:spacing w:after="0"/>
        <w:rPr>
          <w:sz w:val="22"/>
        </w:rPr>
        <w:sectPr>
          <w:footerReference w:type="default" r:id="rId48"/>
          <w:pgSz w:w="15840" w:h="12240" w:orient="landscape"/>
          <w:pgMar w:footer="0" w:header="0" w:top="500" w:bottom="280" w:left="380" w:right="340"/>
        </w:sect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64"/>
        <w:gridCol w:w="3551"/>
        <w:gridCol w:w="3151"/>
        <w:gridCol w:w="1589"/>
        <w:gridCol w:w="3240"/>
        <w:gridCol w:w="2351"/>
      </w:tblGrid>
      <w:tr>
        <w:trPr>
          <w:trHeight w:val="1218" w:hRule="atLeast"/>
        </w:trPr>
        <w:tc>
          <w:tcPr>
            <w:tcW w:w="14846" w:type="dxa"/>
            <w:gridSpan w:val="6"/>
            <w:tcBorders>
              <w:bottom w:val="nil"/>
            </w:tcBorders>
          </w:tcPr>
          <w:p>
            <w:pPr>
              <w:pStyle w:val="TableParagraph"/>
              <w:spacing w:before="2"/>
              <w:rPr>
                <w:b/>
                <w:sz w:val="17"/>
              </w:rPr>
            </w:pPr>
          </w:p>
          <w:p>
            <w:pPr>
              <w:pStyle w:val="TableParagraph"/>
              <w:ind w:left="945"/>
              <w:rPr>
                <w:b/>
                <w:sz w:val="22"/>
              </w:rPr>
            </w:pPr>
            <w:r>
              <w:rPr>
                <w:b/>
                <w:sz w:val="22"/>
              </w:rPr>
              <w:t>Washington State</w:t>
            </w:r>
          </w:p>
          <w:p>
            <w:pPr>
              <w:pStyle w:val="TableParagraph"/>
              <w:ind w:left="944"/>
              <w:rPr>
                <w:b/>
                <w:sz w:val="22"/>
              </w:rPr>
            </w:pPr>
            <w:r>
              <w:rPr>
                <w:b/>
                <w:sz w:val="22"/>
              </w:rPr>
              <w:t>Revised Transition Plan for New HCBS Rules</w:t>
            </w:r>
          </w:p>
          <w:p>
            <w:pPr>
              <w:pStyle w:val="TableParagraph"/>
              <w:ind w:left="944"/>
              <w:rPr>
                <w:b/>
                <w:sz w:val="22"/>
              </w:rPr>
            </w:pPr>
            <w:r>
              <w:rPr>
                <w:b/>
                <w:sz w:val="22"/>
              </w:rPr>
              <w:t>To be Submitted to CMS in May 2017—Posted for Public Comment on March 15, 2017</w:t>
            </w:r>
          </w:p>
        </w:tc>
      </w:tr>
      <w:tr>
        <w:trPr>
          <w:trHeight w:val="584" w:hRule="atLeast"/>
        </w:trPr>
        <w:tc>
          <w:tcPr>
            <w:tcW w:w="964" w:type="dxa"/>
            <w:vMerge w:val="restart"/>
            <w:tcBorders>
              <w:top w:val="nil"/>
              <w:bottom w:val="nil"/>
              <w:right w:val="single" w:sz="8" w:space="0" w:color="4E8542"/>
            </w:tcBorders>
          </w:tcPr>
          <w:p>
            <w:pPr>
              <w:pStyle w:val="TableParagraph"/>
              <w:rPr>
                <w:rFonts w:ascii="Times New Roman"/>
                <w:sz w:val="22"/>
              </w:rPr>
            </w:pPr>
          </w:p>
        </w:tc>
        <w:tc>
          <w:tcPr>
            <w:tcW w:w="3551"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290"/>
              <w:rPr>
                <w:b/>
                <w:sz w:val="24"/>
              </w:rPr>
            </w:pPr>
            <w:r>
              <w:rPr>
                <w:b/>
                <w:sz w:val="24"/>
              </w:rPr>
              <w:t>Characteristics/Requirements</w:t>
            </w:r>
          </w:p>
        </w:tc>
        <w:tc>
          <w:tcPr>
            <w:tcW w:w="3151"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690"/>
              <w:rPr>
                <w:b/>
                <w:sz w:val="24"/>
              </w:rPr>
            </w:pPr>
            <w:r>
              <w:rPr>
                <w:b/>
                <w:sz w:val="24"/>
              </w:rPr>
              <w:t>DDA Group Home</w:t>
            </w:r>
          </w:p>
          <w:p>
            <w:pPr>
              <w:pStyle w:val="TableParagraph"/>
              <w:spacing w:line="272" w:lineRule="exact"/>
              <w:ind w:left="764"/>
              <w:rPr>
                <w:b/>
                <w:sz w:val="24"/>
              </w:rPr>
            </w:pPr>
            <w:r>
              <w:rPr>
                <w:b/>
                <w:sz w:val="24"/>
              </w:rPr>
              <w:t>State Evaluation</w:t>
            </w:r>
          </w:p>
        </w:tc>
        <w:tc>
          <w:tcPr>
            <w:tcW w:w="1589"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190" w:right="164"/>
              <w:jc w:val="center"/>
              <w:rPr>
                <w:b/>
                <w:sz w:val="24"/>
              </w:rPr>
            </w:pPr>
            <w:r>
              <w:rPr>
                <w:b/>
                <w:sz w:val="24"/>
              </w:rPr>
              <w:t>Compliance</w:t>
            </w:r>
          </w:p>
          <w:p>
            <w:pPr>
              <w:pStyle w:val="TableParagraph"/>
              <w:spacing w:line="272" w:lineRule="exact"/>
              <w:ind w:left="190" w:right="164"/>
              <w:jc w:val="center"/>
              <w:rPr>
                <w:b/>
                <w:sz w:val="24"/>
              </w:rPr>
            </w:pPr>
            <w:r>
              <w:rPr>
                <w:b/>
                <w:sz w:val="24"/>
              </w:rPr>
              <w:t>Level</w:t>
            </w:r>
          </w:p>
        </w:tc>
        <w:tc>
          <w:tcPr>
            <w:tcW w:w="3240"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738"/>
              <w:rPr>
                <w:b/>
                <w:sz w:val="24"/>
              </w:rPr>
            </w:pPr>
            <w:r>
              <w:rPr>
                <w:b/>
                <w:sz w:val="24"/>
              </w:rPr>
              <w:t>Oversight Process</w:t>
            </w:r>
          </w:p>
        </w:tc>
        <w:tc>
          <w:tcPr>
            <w:tcW w:w="2351" w:type="dxa"/>
            <w:tcBorders>
              <w:top w:val="single" w:sz="8" w:space="0" w:color="4E8542"/>
              <w:left w:val="single" w:sz="8" w:space="0" w:color="4E8542"/>
              <w:bottom w:val="single" w:sz="18" w:space="0" w:color="4E8542"/>
              <w:right w:val="single" w:sz="18" w:space="0" w:color="000000"/>
            </w:tcBorders>
          </w:tcPr>
          <w:p>
            <w:pPr>
              <w:pStyle w:val="TableParagraph"/>
              <w:spacing w:line="292" w:lineRule="exact"/>
              <w:ind w:left="534"/>
              <w:rPr>
                <w:b/>
                <w:sz w:val="24"/>
              </w:rPr>
            </w:pPr>
            <w:r>
              <w:rPr>
                <w:b/>
                <w:sz w:val="24"/>
              </w:rPr>
              <w:t>Remediation</w:t>
            </w:r>
          </w:p>
        </w:tc>
      </w:tr>
      <w:tr>
        <w:trPr>
          <w:trHeight w:val="4273" w:hRule="atLeast"/>
        </w:trPr>
        <w:tc>
          <w:tcPr>
            <w:tcW w:w="964" w:type="dxa"/>
            <w:vMerge/>
            <w:tcBorders>
              <w:top w:val="nil"/>
              <w:bottom w:val="nil"/>
              <w:right w:val="single" w:sz="8" w:space="0" w:color="4E8542"/>
            </w:tcBorders>
          </w:tcPr>
          <w:p>
            <w:pPr>
              <w:rPr>
                <w:sz w:val="2"/>
                <w:szCs w:val="2"/>
              </w:rPr>
            </w:pPr>
          </w:p>
        </w:tc>
        <w:tc>
          <w:tcPr>
            <w:tcW w:w="3551" w:type="dxa"/>
            <w:tcBorders>
              <w:top w:val="single" w:sz="18" w:space="0" w:color="4E8542"/>
              <w:left w:val="single" w:sz="8" w:space="0" w:color="4E8542"/>
              <w:bottom w:val="single" w:sz="8" w:space="0" w:color="4E8542"/>
              <w:right w:val="single" w:sz="8" w:space="0" w:color="4E8542"/>
            </w:tcBorders>
          </w:tcPr>
          <w:p>
            <w:pPr>
              <w:pStyle w:val="TableParagraph"/>
              <w:spacing w:line="245" w:lineRule="exact"/>
              <w:ind w:left="103"/>
              <w:rPr>
                <w:b/>
                <w:sz w:val="22"/>
              </w:rPr>
            </w:pPr>
            <w:r>
              <w:rPr>
                <w:b/>
                <w:sz w:val="22"/>
              </w:rPr>
              <w:t>daily activities, physical</w:t>
            </w:r>
          </w:p>
          <w:p>
            <w:pPr>
              <w:pStyle w:val="TableParagraph"/>
              <w:ind w:left="103" w:right="436"/>
              <w:rPr>
                <w:b/>
                <w:sz w:val="22"/>
              </w:rPr>
            </w:pPr>
            <w:r>
              <w:rPr>
                <w:b/>
                <w:sz w:val="22"/>
              </w:rPr>
              <w:t>environment, and with whom to interact are optimized and not regimented.</w:t>
            </w:r>
          </w:p>
        </w:tc>
        <w:tc>
          <w:tcPr>
            <w:tcW w:w="3151" w:type="dxa"/>
            <w:tcBorders>
              <w:top w:val="single" w:sz="18" w:space="0" w:color="4E8542"/>
              <w:left w:val="single" w:sz="8" w:space="0" w:color="4E8542"/>
              <w:bottom w:val="single" w:sz="8" w:space="0" w:color="4E8542"/>
              <w:right w:val="single" w:sz="8" w:space="0" w:color="4E8542"/>
            </w:tcBorders>
          </w:tcPr>
          <w:p>
            <w:pPr>
              <w:pStyle w:val="TableParagraph"/>
              <w:spacing w:before="1"/>
              <w:rPr>
                <w:b/>
                <w:sz w:val="20"/>
              </w:rPr>
            </w:pPr>
          </w:p>
          <w:p>
            <w:pPr>
              <w:pStyle w:val="TableParagraph"/>
              <w:ind w:left="111" w:right="324"/>
              <w:rPr>
                <w:sz w:val="22"/>
              </w:rPr>
            </w:pPr>
            <w:r>
              <w:rPr>
                <w:sz w:val="22"/>
              </w:rPr>
              <w:t>Protection of rights is also enforced through </w:t>
            </w:r>
            <w:hyperlink r:id="rId25">
              <w:r>
                <w:rPr>
                  <w:color w:val="6B9F24"/>
                  <w:sz w:val="22"/>
                  <w:u w:val="single" w:color="6B9F24"/>
                </w:rPr>
                <w:t>WAC 388-</w:t>
              </w:r>
            </w:hyperlink>
            <w:r>
              <w:rPr>
                <w:color w:val="6B9F24"/>
                <w:sz w:val="22"/>
              </w:rPr>
              <w:t> </w:t>
            </w:r>
            <w:hyperlink r:id="rId25">
              <w:r>
                <w:rPr>
                  <w:color w:val="6B9F24"/>
                  <w:sz w:val="22"/>
                  <w:u w:val="single" w:color="6B9F24"/>
                </w:rPr>
                <w:t>101D-0125</w:t>
              </w:r>
              <w:r>
                <w:rPr>
                  <w:color w:val="6B9F24"/>
                  <w:sz w:val="22"/>
                </w:rPr>
                <w:t> </w:t>
              </w:r>
            </w:hyperlink>
            <w:r>
              <w:rPr>
                <w:sz w:val="22"/>
              </w:rPr>
              <w:t>through </w:t>
            </w:r>
            <w:hyperlink r:id="rId29">
              <w:r>
                <w:rPr>
                  <w:color w:val="6B9F24"/>
                  <w:sz w:val="22"/>
                  <w:u w:val="single" w:color="6B9F24"/>
                </w:rPr>
                <w:t>WAC 388-</w:t>
              </w:r>
            </w:hyperlink>
            <w:r>
              <w:rPr>
                <w:color w:val="6B9F24"/>
                <w:sz w:val="22"/>
              </w:rPr>
              <w:t> </w:t>
            </w:r>
            <w:hyperlink r:id="rId29">
              <w:r>
                <w:rPr>
                  <w:color w:val="6B9F24"/>
                  <w:sz w:val="22"/>
                  <w:u w:val="single" w:color="6B9F24"/>
                </w:rPr>
                <w:t>101D-0145</w:t>
              </w:r>
            </w:hyperlink>
          </w:p>
        </w:tc>
        <w:tc>
          <w:tcPr>
            <w:tcW w:w="1589" w:type="dxa"/>
            <w:tcBorders>
              <w:top w:val="single" w:sz="18" w:space="0" w:color="4E8542"/>
              <w:left w:val="single" w:sz="8" w:space="0" w:color="4E8542"/>
              <w:bottom w:val="single" w:sz="8" w:space="0" w:color="4E8542"/>
              <w:right w:val="single" w:sz="8" w:space="0" w:color="4E8542"/>
            </w:tcBorders>
          </w:tcPr>
          <w:p>
            <w:pPr>
              <w:pStyle w:val="TableParagraph"/>
              <w:rPr>
                <w:rFonts w:ascii="Times New Roman"/>
                <w:sz w:val="22"/>
              </w:rPr>
            </w:pPr>
          </w:p>
        </w:tc>
        <w:tc>
          <w:tcPr>
            <w:tcW w:w="3240" w:type="dxa"/>
            <w:tcBorders>
              <w:top w:val="single" w:sz="18" w:space="0" w:color="4E8542"/>
              <w:left w:val="single" w:sz="8" w:space="0" w:color="4E8542"/>
              <w:bottom w:val="single" w:sz="8" w:space="0" w:color="4E8542"/>
              <w:right w:val="single" w:sz="8" w:space="0" w:color="4E8542"/>
            </w:tcBorders>
          </w:tcPr>
          <w:p>
            <w:pPr>
              <w:pStyle w:val="TableParagraph"/>
              <w:spacing w:line="245" w:lineRule="exact"/>
              <w:ind w:left="111"/>
              <w:rPr>
                <w:sz w:val="22"/>
              </w:rPr>
            </w:pPr>
            <w:r>
              <w:rPr>
                <w:sz w:val="22"/>
              </w:rPr>
              <w:t>interviews (see </w:t>
            </w:r>
            <w:hyperlink w:history="true" w:anchor="_bookmark45">
              <w:r>
                <w:rPr>
                  <w:color w:val="6B9F24"/>
                  <w:sz w:val="22"/>
                  <w:u w:val="single" w:color="6B9F24"/>
                </w:rPr>
                <w:t>Appendix E</w:t>
              </w:r>
            </w:hyperlink>
            <w:r>
              <w:rPr>
                <w:sz w:val="22"/>
              </w:rPr>
              <w:t>),</w:t>
            </w:r>
          </w:p>
          <w:p>
            <w:pPr>
              <w:pStyle w:val="TableParagraph"/>
              <w:ind w:left="111" w:right="342"/>
              <w:rPr>
                <w:sz w:val="22"/>
              </w:rPr>
            </w:pPr>
            <w:r>
              <w:rPr>
                <w:sz w:val="22"/>
              </w:rPr>
              <w:t>reviews resident records, interviews providers/resident managers, and interviews staff regarding this requirement.</w:t>
            </w:r>
          </w:p>
          <w:p>
            <w:pPr>
              <w:pStyle w:val="TableParagraph"/>
              <w:spacing w:before="11"/>
              <w:rPr>
                <w:b/>
                <w:sz w:val="21"/>
              </w:rPr>
            </w:pPr>
          </w:p>
          <w:p>
            <w:pPr>
              <w:pStyle w:val="TableParagraph"/>
              <w:ind w:left="111" w:right="480"/>
              <w:rPr>
                <w:sz w:val="22"/>
              </w:rPr>
            </w:pPr>
            <w:r>
              <w:rPr>
                <w:sz w:val="22"/>
              </w:rPr>
              <w:t>The Long-Term Care Ombuds Program also monitors implementation of </w:t>
            </w:r>
            <w:hyperlink r:id="rId44">
              <w:r>
                <w:rPr>
                  <w:color w:val="6B9F24"/>
                  <w:sz w:val="22"/>
                  <w:u w:val="single" w:color="6B9F24"/>
                </w:rPr>
                <w:t>Chapter</w:t>
              </w:r>
            </w:hyperlink>
            <w:r>
              <w:rPr>
                <w:color w:val="6B9F24"/>
                <w:sz w:val="22"/>
              </w:rPr>
              <w:t> </w:t>
            </w:r>
            <w:hyperlink r:id="rId44">
              <w:r>
                <w:rPr>
                  <w:color w:val="6B9F24"/>
                  <w:sz w:val="22"/>
                  <w:u w:val="single" w:color="6B9F24"/>
                </w:rPr>
                <w:t>70.129 RCW</w:t>
              </w:r>
              <w:r>
                <w:rPr>
                  <w:sz w:val="22"/>
                </w:rPr>
                <w:t>.</w:t>
              </w:r>
            </w:hyperlink>
          </w:p>
          <w:p>
            <w:pPr>
              <w:pStyle w:val="TableParagraph"/>
              <w:spacing w:before="1"/>
              <w:rPr>
                <w:b/>
                <w:sz w:val="22"/>
              </w:rPr>
            </w:pPr>
          </w:p>
          <w:p>
            <w:pPr>
              <w:pStyle w:val="TableParagraph"/>
              <w:ind w:left="111" w:right="375"/>
              <w:rPr>
                <w:sz w:val="22"/>
              </w:rPr>
            </w:pPr>
            <w:r>
              <w:rPr>
                <w:sz w:val="22"/>
              </w:rPr>
              <w:t>On-site inspections ensure homes meet all licensing and certification requirements in WAC and RCW, including WAC</w:t>
            </w:r>
          </w:p>
          <w:p>
            <w:pPr>
              <w:pStyle w:val="TableParagraph"/>
              <w:spacing w:line="248" w:lineRule="exact"/>
              <w:ind w:left="111"/>
              <w:rPr>
                <w:sz w:val="22"/>
              </w:rPr>
            </w:pPr>
            <w:r>
              <w:rPr>
                <w:sz w:val="22"/>
              </w:rPr>
              <w:t>388-823-1095.</w:t>
            </w:r>
          </w:p>
        </w:tc>
        <w:tc>
          <w:tcPr>
            <w:tcW w:w="2351" w:type="dxa"/>
            <w:tcBorders>
              <w:top w:val="single" w:sz="18" w:space="0" w:color="4E8542"/>
              <w:left w:val="single" w:sz="8" w:space="0" w:color="4E8542"/>
              <w:bottom w:val="single" w:sz="8" w:space="0" w:color="4E8542"/>
              <w:right w:val="single" w:sz="18" w:space="0" w:color="000000"/>
            </w:tcBorders>
          </w:tcPr>
          <w:p>
            <w:pPr>
              <w:pStyle w:val="TableParagraph"/>
              <w:spacing w:line="245" w:lineRule="exact"/>
              <w:ind w:left="111"/>
              <w:rPr>
                <w:sz w:val="22"/>
              </w:rPr>
            </w:pPr>
            <w:r>
              <w:rPr>
                <w:sz w:val="22"/>
              </w:rPr>
              <w:t>HCBS rules and adding</w:t>
            </w:r>
          </w:p>
          <w:p>
            <w:pPr>
              <w:pStyle w:val="TableParagraph"/>
              <w:ind w:left="111" w:right="103"/>
              <w:rPr>
                <w:sz w:val="22"/>
              </w:rPr>
            </w:pPr>
            <w:r>
              <w:rPr>
                <w:sz w:val="22"/>
              </w:rPr>
              <w:t>language to the contracts requiring adherence to the WAC. See </w:t>
            </w:r>
            <w:r>
              <w:rPr>
                <w:color w:val="6B9F24"/>
                <w:sz w:val="22"/>
                <w:u w:val="single" w:color="6B9F24"/>
              </w:rPr>
              <w:t>Appendix C</w:t>
            </w:r>
            <w:r>
              <w:rPr>
                <w:sz w:val="22"/>
              </w:rPr>
              <w:t>.</w:t>
            </w:r>
          </w:p>
        </w:tc>
      </w:tr>
      <w:tr>
        <w:trPr>
          <w:trHeight w:val="2684" w:hRule="atLeast"/>
        </w:trPr>
        <w:tc>
          <w:tcPr>
            <w:tcW w:w="964" w:type="dxa"/>
            <w:vMerge/>
            <w:tcBorders>
              <w:top w:val="nil"/>
              <w:bottom w:val="nil"/>
              <w:right w:val="single" w:sz="8" w:space="0" w:color="4E8542"/>
            </w:tcBorders>
          </w:tcPr>
          <w:p>
            <w:pPr>
              <w:rPr>
                <w:sz w:val="2"/>
                <w:szCs w:val="2"/>
              </w:rPr>
            </w:pPr>
          </w:p>
        </w:tc>
        <w:tc>
          <w:tcPr>
            <w:tcW w:w="3551" w:type="dxa"/>
            <w:tcBorders>
              <w:top w:val="single" w:sz="8" w:space="0" w:color="4E8542"/>
              <w:left w:val="single" w:sz="8" w:space="0" w:color="4E8542"/>
              <w:bottom w:val="single" w:sz="8" w:space="0" w:color="4E8542"/>
              <w:right w:val="single" w:sz="8" w:space="0" w:color="4E8542"/>
            </w:tcBorders>
            <w:shd w:val="clear" w:color="auto" w:fill="D0E4CA"/>
          </w:tcPr>
          <w:p>
            <w:pPr>
              <w:pStyle w:val="TableParagraph"/>
              <w:ind w:left="103" w:right="167"/>
              <w:rPr>
                <w:b/>
                <w:sz w:val="22"/>
              </w:rPr>
            </w:pPr>
            <w:r>
              <w:rPr>
                <w:b/>
                <w:sz w:val="22"/>
              </w:rPr>
              <w:t>Individual choice regarding services and supports, and who provides them, is facilitated.</w:t>
            </w:r>
          </w:p>
        </w:tc>
        <w:tc>
          <w:tcPr>
            <w:tcW w:w="3151" w:type="dxa"/>
            <w:tcBorders>
              <w:top w:val="single" w:sz="8" w:space="0" w:color="4E8542"/>
              <w:left w:val="single" w:sz="8" w:space="0" w:color="4E8542"/>
              <w:bottom w:val="single" w:sz="8" w:space="0" w:color="4E8542"/>
              <w:right w:val="single" w:sz="8" w:space="0" w:color="4E8542"/>
            </w:tcBorders>
            <w:shd w:val="clear" w:color="auto" w:fill="D0E4CA"/>
          </w:tcPr>
          <w:p>
            <w:pPr>
              <w:pStyle w:val="TableParagraph"/>
              <w:ind w:left="111" w:right="183"/>
              <w:rPr>
                <w:sz w:val="22"/>
              </w:rPr>
            </w:pPr>
            <w:r>
              <w:rPr>
                <w:sz w:val="22"/>
              </w:rPr>
              <w:t>During the assessment process, it is a CM responsibility to inform individuals of their options regarding settings and providers.</w:t>
            </w:r>
          </w:p>
        </w:tc>
        <w:tc>
          <w:tcPr>
            <w:tcW w:w="1589" w:type="dxa"/>
            <w:tcBorders>
              <w:top w:val="single" w:sz="8" w:space="0" w:color="4E8542"/>
              <w:left w:val="single" w:sz="8" w:space="0" w:color="4E8542"/>
              <w:bottom w:val="single" w:sz="8" w:space="0" w:color="4E8542"/>
              <w:right w:val="single" w:sz="8" w:space="0" w:color="4E8542"/>
            </w:tcBorders>
            <w:shd w:val="clear" w:color="auto" w:fill="D0E4CA"/>
          </w:tcPr>
          <w:p>
            <w:pPr>
              <w:pStyle w:val="TableParagraph"/>
              <w:ind w:left="111" w:right="517"/>
              <w:rPr>
                <w:sz w:val="22"/>
              </w:rPr>
            </w:pPr>
            <w:r>
              <w:rPr>
                <w:sz w:val="22"/>
              </w:rPr>
              <w:t>Partially Compliant</w:t>
            </w:r>
          </w:p>
        </w:tc>
        <w:tc>
          <w:tcPr>
            <w:tcW w:w="3240" w:type="dxa"/>
            <w:tcBorders>
              <w:top w:val="single" w:sz="8" w:space="0" w:color="4E8542"/>
              <w:left w:val="single" w:sz="8" w:space="0" w:color="4E8542"/>
              <w:bottom w:val="single" w:sz="8" w:space="0" w:color="4E8542"/>
              <w:right w:val="single" w:sz="8" w:space="0" w:color="4E8542"/>
            </w:tcBorders>
            <w:shd w:val="clear" w:color="auto" w:fill="D0E4CA"/>
          </w:tcPr>
          <w:p>
            <w:pPr>
              <w:pStyle w:val="TableParagraph"/>
              <w:ind w:left="111" w:right="78"/>
              <w:rPr>
                <w:sz w:val="22"/>
              </w:rPr>
            </w:pPr>
            <w:r>
              <w:rPr>
                <w:sz w:val="22"/>
              </w:rPr>
              <w:t>This is a component of the CARE assessment process. This is also documented as part of the preliminary/negotiated care plan.</w:t>
            </w:r>
          </w:p>
          <w:p>
            <w:pPr>
              <w:pStyle w:val="TableParagraph"/>
              <w:rPr>
                <w:b/>
                <w:sz w:val="22"/>
              </w:rPr>
            </w:pPr>
          </w:p>
          <w:p>
            <w:pPr>
              <w:pStyle w:val="TableParagraph"/>
              <w:ind w:left="111" w:right="314"/>
              <w:rPr>
                <w:sz w:val="22"/>
              </w:rPr>
            </w:pPr>
            <w:r>
              <w:rPr>
                <w:sz w:val="22"/>
              </w:rPr>
              <w:t>On-site inspections ensure homes meet all licensing and certification requirements in WAC and RCW, including those</w:t>
            </w:r>
          </w:p>
          <w:p>
            <w:pPr>
              <w:pStyle w:val="TableParagraph"/>
              <w:spacing w:line="248" w:lineRule="exact"/>
              <w:ind w:left="111"/>
              <w:rPr>
                <w:sz w:val="22"/>
              </w:rPr>
            </w:pPr>
            <w:r>
              <w:rPr>
                <w:sz w:val="22"/>
              </w:rPr>
              <w:t>regarding resident rights.</w:t>
            </w:r>
          </w:p>
        </w:tc>
        <w:tc>
          <w:tcPr>
            <w:tcW w:w="2351" w:type="dxa"/>
            <w:tcBorders>
              <w:top w:val="single" w:sz="8" w:space="0" w:color="4E8542"/>
              <w:left w:val="single" w:sz="8" w:space="0" w:color="4E8542"/>
              <w:bottom w:val="single" w:sz="8" w:space="0" w:color="4E8542"/>
              <w:right w:val="single" w:sz="18" w:space="0" w:color="000000"/>
            </w:tcBorders>
            <w:shd w:val="clear" w:color="auto" w:fill="D0E4CA"/>
          </w:tcPr>
          <w:p>
            <w:pPr>
              <w:pStyle w:val="TableParagraph"/>
              <w:ind w:left="111" w:right="118"/>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1345" w:hRule="atLeast"/>
        </w:trPr>
        <w:tc>
          <w:tcPr>
            <w:tcW w:w="964" w:type="dxa"/>
            <w:vMerge/>
            <w:tcBorders>
              <w:top w:val="nil"/>
              <w:bottom w:val="nil"/>
              <w:right w:val="single" w:sz="8" w:space="0" w:color="4E8542"/>
            </w:tcBorders>
          </w:tcPr>
          <w:p>
            <w:pPr>
              <w:rPr>
                <w:sz w:val="2"/>
                <w:szCs w:val="2"/>
              </w:rPr>
            </w:pPr>
          </w:p>
        </w:tc>
        <w:tc>
          <w:tcPr>
            <w:tcW w:w="3551" w:type="dxa"/>
            <w:tcBorders>
              <w:top w:val="single" w:sz="8" w:space="0" w:color="4E8542"/>
              <w:left w:val="single" w:sz="8" w:space="0" w:color="4E8542"/>
              <w:bottom w:val="single" w:sz="8" w:space="0" w:color="4E8542"/>
              <w:right w:val="single" w:sz="8" w:space="0" w:color="4E8542"/>
            </w:tcBorders>
          </w:tcPr>
          <w:p>
            <w:pPr>
              <w:pStyle w:val="TableParagraph"/>
              <w:spacing w:before="1"/>
              <w:ind w:left="103"/>
              <w:rPr>
                <w:b/>
                <w:sz w:val="22"/>
              </w:rPr>
            </w:pPr>
            <w:r>
              <w:rPr>
                <w:b/>
                <w:sz w:val="22"/>
              </w:rPr>
              <w:t>Privacy: Individuals have a choice of roommates in the setting</w:t>
            </w:r>
          </w:p>
        </w:tc>
        <w:tc>
          <w:tcPr>
            <w:tcW w:w="3151" w:type="dxa"/>
            <w:tcBorders>
              <w:top w:val="single" w:sz="8" w:space="0" w:color="4E8542"/>
              <w:left w:val="single" w:sz="8" w:space="0" w:color="4E8542"/>
              <w:bottom w:val="single" w:sz="8" w:space="0" w:color="4E8542"/>
              <w:right w:val="single" w:sz="8" w:space="0" w:color="4E8542"/>
            </w:tcBorders>
          </w:tcPr>
          <w:p>
            <w:pPr>
              <w:pStyle w:val="TableParagraph"/>
              <w:spacing w:before="1"/>
              <w:ind w:left="111"/>
              <w:rPr>
                <w:sz w:val="22"/>
              </w:rPr>
            </w:pPr>
            <w:hyperlink r:id="rId52">
              <w:r>
                <w:rPr>
                  <w:color w:val="6B9F24"/>
                  <w:sz w:val="22"/>
                  <w:u w:val="single" w:color="6B9F24"/>
                </w:rPr>
                <w:t>WAC 388-76-10685</w:t>
              </w:r>
              <w:r>
                <w:rPr>
                  <w:color w:val="6B9F24"/>
                  <w:sz w:val="22"/>
                </w:rPr>
                <w:t> </w:t>
              </w:r>
            </w:hyperlink>
            <w:r>
              <w:rPr>
                <w:sz w:val="22"/>
              </w:rPr>
              <w:t>(5)</w:t>
            </w:r>
          </w:p>
          <w:p>
            <w:pPr>
              <w:pStyle w:val="TableParagraph"/>
              <w:ind w:left="111"/>
              <w:rPr>
                <w:sz w:val="22"/>
              </w:rPr>
            </w:pPr>
            <w:hyperlink r:id="rId53">
              <w:r>
                <w:rPr>
                  <w:color w:val="6B9F24"/>
                  <w:sz w:val="22"/>
                  <w:u w:val="single" w:color="6B9F24"/>
                </w:rPr>
                <w:t>WAC 388-110-140</w:t>
              </w:r>
              <w:r>
                <w:rPr>
                  <w:color w:val="6B9F24"/>
                  <w:sz w:val="22"/>
                </w:rPr>
                <w:t> </w:t>
              </w:r>
            </w:hyperlink>
            <w:r>
              <w:rPr>
                <w:sz w:val="22"/>
              </w:rPr>
              <w:t>(2) The</w:t>
            </w:r>
          </w:p>
          <w:p>
            <w:pPr>
              <w:pStyle w:val="TableParagraph"/>
              <w:spacing w:line="237" w:lineRule="auto" w:before="3"/>
              <w:ind w:left="111" w:right="423"/>
              <w:rPr>
                <w:sz w:val="22"/>
              </w:rPr>
            </w:pPr>
            <w:r>
              <w:rPr>
                <w:sz w:val="22"/>
              </w:rPr>
              <w:t>contractor must ensure each resident has a private</w:t>
            </w:r>
          </w:p>
          <w:p>
            <w:pPr>
              <w:pStyle w:val="TableParagraph"/>
              <w:spacing w:line="251" w:lineRule="exact" w:before="1"/>
              <w:ind w:left="111"/>
              <w:rPr>
                <w:sz w:val="22"/>
              </w:rPr>
            </w:pPr>
            <w:r>
              <w:rPr>
                <w:sz w:val="22"/>
              </w:rPr>
              <w:t>apartment-like unit.</w:t>
            </w:r>
          </w:p>
        </w:tc>
        <w:tc>
          <w:tcPr>
            <w:tcW w:w="1589" w:type="dxa"/>
            <w:tcBorders>
              <w:top w:val="single" w:sz="8" w:space="0" w:color="4E8542"/>
              <w:left w:val="single" w:sz="8" w:space="0" w:color="4E8542"/>
              <w:bottom w:val="single" w:sz="8" w:space="0" w:color="4E8542"/>
              <w:right w:val="single" w:sz="8" w:space="0" w:color="4E8542"/>
            </w:tcBorders>
          </w:tcPr>
          <w:p>
            <w:pPr>
              <w:pStyle w:val="TableParagraph"/>
              <w:spacing w:before="1"/>
              <w:ind w:left="111" w:right="517"/>
              <w:rPr>
                <w:sz w:val="22"/>
              </w:rPr>
            </w:pPr>
            <w:r>
              <w:rPr>
                <w:sz w:val="22"/>
              </w:rPr>
              <w:t>Fully Compliant</w:t>
            </w:r>
          </w:p>
        </w:tc>
        <w:tc>
          <w:tcPr>
            <w:tcW w:w="3240" w:type="dxa"/>
            <w:tcBorders>
              <w:top w:val="single" w:sz="8" w:space="0" w:color="4E8542"/>
              <w:left w:val="single" w:sz="8" w:space="0" w:color="4E8542"/>
              <w:bottom w:val="single" w:sz="8" w:space="0" w:color="4E8542"/>
              <w:right w:val="single" w:sz="8" w:space="0" w:color="4E8542"/>
            </w:tcBorders>
          </w:tcPr>
          <w:p>
            <w:pPr>
              <w:pStyle w:val="TableParagraph"/>
              <w:spacing w:before="1"/>
              <w:ind w:left="111" w:right="71"/>
              <w:rPr>
                <w:sz w:val="22"/>
              </w:rPr>
            </w:pPr>
            <w:r>
              <w:rPr>
                <w:sz w:val="22"/>
              </w:rPr>
              <w:t>As part of the inspection process described in the overview, RCS conducts comprehensive resident interviews (see Appendix E),</w:t>
            </w:r>
          </w:p>
          <w:p>
            <w:pPr>
              <w:pStyle w:val="TableParagraph"/>
              <w:spacing w:line="250" w:lineRule="exact"/>
              <w:ind w:left="111"/>
              <w:rPr>
                <w:sz w:val="22"/>
              </w:rPr>
            </w:pPr>
            <w:r>
              <w:rPr>
                <w:sz w:val="22"/>
              </w:rPr>
              <w:t>reviews resident records,</w:t>
            </w:r>
          </w:p>
        </w:tc>
        <w:tc>
          <w:tcPr>
            <w:tcW w:w="2351" w:type="dxa"/>
            <w:tcBorders>
              <w:top w:val="single" w:sz="8" w:space="0" w:color="4E8542"/>
              <w:left w:val="single" w:sz="8" w:space="0" w:color="4E8542"/>
              <w:bottom w:val="single" w:sz="8" w:space="0" w:color="4E8542"/>
              <w:right w:val="single" w:sz="18" w:space="0" w:color="000000"/>
            </w:tcBorders>
          </w:tcPr>
          <w:p>
            <w:pPr>
              <w:pStyle w:val="TableParagraph"/>
              <w:spacing w:before="1"/>
              <w:ind w:left="111" w:right="123"/>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w:t>
            </w:r>
            <w:r>
              <w:rPr>
                <w:spacing w:val="-5"/>
                <w:sz w:val="22"/>
              </w:rPr>
              <w:t> </w:t>
            </w:r>
            <w:r>
              <w:rPr>
                <w:sz w:val="22"/>
              </w:rPr>
              <w:t>adding</w:t>
            </w:r>
          </w:p>
          <w:p>
            <w:pPr>
              <w:pStyle w:val="TableParagraph"/>
              <w:spacing w:line="250" w:lineRule="exact"/>
              <w:ind w:left="111"/>
              <w:rPr>
                <w:sz w:val="22"/>
              </w:rPr>
            </w:pPr>
            <w:r>
              <w:rPr>
                <w:sz w:val="22"/>
              </w:rPr>
              <w:t>language to the</w:t>
            </w:r>
          </w:p>
        </w:tc>
      </w:tr>
      <w:tr>
        <w:trPr>
          <w:trHeight w:val="990" w:hRule="atLeast"/>
        </w:trPr>
        <w:tc>
          <w:tcPr>
            <w:tcW w:w="14846" w:type="dxa"/>
            <w:gridSpan w:val="6"/>
            <w:tcBorders>
              <w:top w:val="nil"/>
            </w:tcBorders>
          </w:tcPr>
          <w:p>
            <w:pPr>
              <w:pStyle w:val="TableParagraph"/>
              <w:spacing w:before="5"/>
              <w:rPr>
                <w:b/>
                <w:sz w:val="17"/>
              </w:rPr>
            </w:pPr>
          </w:p>
          <w:p>
            <w:pPr>
              <w:pStyle w:val="TableParagraph"/>
              <w:spacing w:line="20" w:lineRule="exact"/>
              <w:ind w:left="911"/>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pStyle w:val="TableParagraph"/>
              <w:spacing w:before="8"/>
              <w:ind w:left="945"/>
              <w:rPr>
                <w:sz w:val="22"/>
              </w:rPr>
            </w:pPr>
            <w:r>
              <w:rPr>
                <w:b/>
                <w:sz w:val="22"/>
              </w:rPr>
              <w:t>43 | </w:t>
            </w:r>
            <w:r>
              <w:rPr>
                <w:color w:val="808080"/>
                <w:sz w:val="22"/>
              </w:rPr>
              <w:t>P a g e </w:t>
            </w:r>
          </w:p>
        </w:tc>
      </w:tr>
    </w:tbl>
    <w:p>
      <w:pPr>
        <w:spacing w:after="0"/>
        <w:rPr>
          <w:sz w:val="22"/>
        </w:rPr>
        <w:sectPr>
          <w:footerReference w:type="default" r:id="rId51"/>
          <w:pgSz w:w="15840" w:h="12240" w:orient="landscape"/>
          <w:pgMar w:footer="0" w:header="0" w:top="480" w:bottom="280" w:left="380" w:right="340"/>
        </w:sectPr>
      </w:pPr>
    </w:p>
    <w:p>
      <w:pPr>
        <w:pStyle w:val="Heading8"/>
        <w:spacing w:before="39"/>
        <w:ind w:left="1060"/>
      </w:pPr>
      <w:r>
        <w:rPr/>
        <w:pict>
          <v:group style="position:absolute;margin-left:24pt;margin-top:24pt;width:744pt;height:564pt;mso-position-horizontal-relative:page;mso-position-vertical-relative:page;z-index:-271226880" coordorigin="480,480" coordsize="14880,11280">
            <v:line style="position:absolute" from="15329,1728" to="15329,7229" stroked="true" strokeweight=".959pt" strokecolor="#4e8542">
              <v:stroke dashstyle="solid"/>
            </v:line>
            <v:line style="position:absolute" from="509,494" to="15331,494" stroked="true" strokeweight="1.44pt" strokecolor="#000000">
              <v:stroke dashstyle="solid"/>
            </v:line>
            <v:line style="position:absolute" from="494,480" to="494,11731" stroked="true" strokeweight="1.44pt" strokecolor="#000000">
              <v:stroke dashstyle="solid"/>
            </v:line>
            <v:line style="position:absolute" from="15346,480" to="15346,11731" stroked="true" strokeweight="1.44pt" strokecolor="#000000">
              <v:stroke dashstyle="solid"/>
            </v:line>
            <v:rect style="position:absolute;left:480;top:11731;width:29;height:29" filled="true" fillcolor="#000000" stroked="false">
              <v:fill type="solid"/>
            </v:rect>
            <v:line style="position:absolute" from="509,11746" to="15331,11746" stroked="true" strokeweight="1.44pt" strokecolor="#000000">
              <v:stroke dashstyle="solid"/>
            </v:line>
            <v:rect style="position:absolute;left:15331;top:11731;width:29;height:29" filled="true" fillcolor="#000000" stroked="false">
              <v:fill type="solid"/>
            </v:rect>
            <w10:wrap type="none"/>
          </v:group>
        </w:pict>
      </w:r>
      <w:r>
        <w:rPr/>
        <w:t>Washington State</w:t>
      </w:r>
    </w:p>
    <w:p>
      <w:pPr>
        <w:pStyle w:val="Heading8"/>
      </w:pPr>
      <w:r>
        <w:rPr/>
        <w:t>Revised Transition Plan for New HCBS Rules</w:t>
      </w:r>
    </w:p>
    <w:p>
      <w:pPr>
        <w:pStyle w:val="Heading8"/>
      </w:pPr>
      <w:r>
        <w:rPr/>
        <w:t>To be Submitted to CMS in May 2017—Posted for Public Comment on Marc</w:t>
      </w:r>
      <w:bookmarkStart w:name="_bookmark21" w:id="50"/>
      <w:bookmarkEnd w:id="50"/>
      <w:r>
        <w:rPr/>
        <w:t>h</w:t>
      </w:r>
      <w:r>
        <w:rPr/>
        <w:t>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559"/>
        <w:gridCol w:w="3151"/>
        <w:gridCol w:w="1589"/>
        <w:gridCol w:w="3240"/>
        <w:gridCol w:w="2330"/>
      </w:tblGrid>
      <w:tr>
        <w:trPr>
          <w:trHeight w:val="584" w:hRule="atLeast"/>
        </w:trPr>
        <w:tc>
          <w:tcPr>
            <w:tcW w:w="3559" w:type="dxa"/>
            <w:tcBorders>
              <w:bottom w:val="single" w:sz="18" w:space="0" w:color="4E8542"/>
            </w:tcBorders>
          </w:tcPr>
          <w:p>
            <w:pPr>
              <w:pStyle w:val="TableParagraph"/>
              <w:spacing w:line="292" w:lineRule="exact"/>
              <w:ind w:left="294"/>
              <w:rPr>
                <w:b/>
                <w:sz w:val="24"/>
              </w:rPr>
            </w:pPr>
            <w:r>
              <w:rPr>
                <w:b/>
                <w:sz w:val="24"/>
              </w:rPr>
              <w:t>Characteristics/Requirements</w:t>
            </w:r>
          </w:p>
        </w:tc>
        <w:tc>
          <w:tcPr>
            <w:tcW w:w="3151" w:type="dxa"/>
            <w:tcBorders>
              <w:bottom w:val="single" w:sz="18" w:space="0" w:color="4E8542"/>
            </w:tcBorders>
          </w:tcPr>
          <w:p>
            <w:pPr>
              <w:pStyle w:val="TableParagraph"/>
              <w:spacing w:line="292" w:lineRule="exact"/>
              <w:ind w:left="686"/>
              <w:rPr>
                <w:b/>
                <w:sz w:val="24"/>
              </w:rPr>
            </w:pPr>
            <w:r>
              <w:rPr>
                <w:b/>
                <w:sz w:val="24"/>
              </w:rPr>
              <w:t>DDA Group Home</w:t>
            </w:r>
          </w:p>
          <w:p>
            <w:pPr>
              <w:pStyle w:val="TableParagraph"/>
              <w:spacing w:line="272" w:lineRule="exact"/>
              <w:ind w:left="760"/>
              <w:rPr>
                <w:b/>
                <w:sz w:val="24"/>
              </w:rPr>
            </w:pPr>
            <w:r>
              <w:rPr>
                <w:b/>
                <w:sz w:val="24"/>
              </w:rPr>
              <w:t>State Evaluation</w:t>
            </w:r>
          </w:p>
        </w:tc>
        <w:tc>
          <w:tcPr>
            <w:tcW w:w="1589" w:type="dxa"/>
            <w:tcBorders>
              <w:bottom w:val="single" w:sz="18" w:space="0" w:color="4E8542"/>
            </w:tcBorders>
          </w:tcPr>
          <w:p>
            <w:pPr>
              <w:pStyle w:val="TableParagraph"/>
              <w:spacing w:line="292" w:lineRule="exact"/>
              <w:ind w:left="185" w:right="167"/>
              <w:jc w:val="center"/>
              <w:rPr>
                <w:b/>
                <w:sz w:val="24"/>
              </w:rPr>
            </w:pPr>
            <w:r>
              <w:rPr>
                <w:b/>
                <w:sz w:val="24"/>
              </w:rPr>
              <w:t>Compliance</w:t>
            </w:r>
          </w:p>
          <w:p>
            <w:pPr>
              <w:pStyle w:val="TableParagraph"/>
              <w:spacing w:line="272" w:lineRule="exact"/>
              <w:ind w:left="185" w:right="167"/>
              <w:jc w:val="center"/>
              <w:rPr>
                <w:b/>
                <w:sz w:val="24"/>
              </w:rPr>
            </w:pPr>
            <w:r>
              <w:rPr>
                <w:b/>
                <w:sz w:val="24"/>
              </w:rPr>
              <w:t>Level</w:t>
            </w:r>
          </w:p>
        </w:tc>
        <w:tc>
          <w:tcPr>
            <w:tcW w:w="3240" w:type="dxa"/>
            <w:tcBorders>
              <w:bottom w:val="single" w:sz="18" w:space="0" w:color="4E8542"/>
            </w:tcBorders>
          </w:tcPr>
          <w:p>
            <w:pPr>
              <w:pStyle w:val="TableParagraph"/>
              <w:spacing w:line="292" w:lineRule="exact"/>
              <w:ind w:left="734"/>
              <w:rPr>
                <w:b/>
                <w:sz w:val="24"/>
              </w:rPr>
            </w:pPr>
            <w:r>
              <w:rPr>
                <w:b/>
                <w:sz w:val="24"/>
              </w:rPr>
              <w:t>Oversight Process</w:t>
            </w:r>
          </w:p>
        </w:tc>
        <w:tc>
          <w:tcPr>
            <w:tcW w:w="2330" w:type="dxa"/>
            <w:tcBorders>
              <w:bottom w:val="single" w:sz="18" w:space="0" w:color="4E8542"/>
              <w:right w:val="nil"/>
            </w:tcBorders>
          </w:tcPr>
          <w:p>
            <w:pPr>
              <w:pStyle w:val="TableParagraph"/>
              <w:spacing w:line="292" w:lineRule="exact"/>
              <w:ind w:left="530"/>
              <w:rPr>
                <w:b/>
                <w:sz w:val="24"/>
              </w:rPr>
            </w:pPr>
            <w:r>
              <w:rPr>
                <w:b/>
                <w:sz w:val="24"/>
              </w:rPr>
              <w:t>Remediation</w:t>
            </w:r>
          </w:p>
        </w:tc>
      </w:tr>
      <w:tr>
        <w:trPr>
          <w:trHeight w:val="2393" w:hRule="atLeast"/>
        </w:trPr>
        <w:tc>
          <w:tcPr>
            <w:tcW w:w="3559" w:type="dxa"/>
            <w:tcBorders>
              <w:top w:val="single" w:sz="18" w:space="0" w:color="4E8542"/>
            </w:tcBorders>
          </w:tcPr>
          <w:p>
            <w:pPr>
              <w:pStyle w:val="TableParagraph"/>
              <w:rPr>
                <w:rFonts w:ascii="Times New Roman"/>
                <w:sz w:val="20"/>
              </w:rPr>
            </w:pPr>
          </w:p>
        </w:tc>
        <w:tc>
          <w:tcPr>
            <w:tcW w:w="3151" w:type="dxa"/>
            <w:tcBorders>
              <w:top w:val="single" w:sz="18" w:space="0" w:color="4E8542"/>
            </w:tcBorders>
          </w:tcPr>
          <w:p>
            <w:pPr>
              <w:pStyle w:val="TableParagraph"/>
              <w:spacing w:line="245" w:lineRule="exact"/>
              <w:ind w:left="107"/>
              <w:rPr>
                <w:sz w:val="22"/>
              </w:rPr>
            </w:pPr>
            <w:hyperlink r:id="rId55">
              <w:r>
                <w:rPr>
                  <w:color w:val="6B9F24"/>
                  <w:sz w:val="22"/>
                  <w:u w:val="single" w:color="6B9F24"/>
                </w:rPr>
                <w:t>WAC 388-78A-3010</w:t>
              </w:r>
            </w:hyperlink>
          </w:p>
        </w:tc>
        <w:tc>
          <w:tcPr>
            <w:tcW w:w="1589" w:type="dxa"/>
            <w:tcBorders>
              <w:top w:val="single" w:sz="18" w:space="0" w:color="4E8542"/>
            </w:tcBorders>
          </w:tcPr>
          <w:p>
            <w:pPr>
              <w:pStyle w:val="TableParagraph"/>
              <w:rPr>
                <w:rFonts w:ascii="Times New Roman"/>
                <w:sz w:val="20"/>
              </w:rPr>
            </w:pPr>
          </w:p>
        </w:tc>
        <w:tc>
          <w:tcPr>
            <w:tcW w:w="3240" w:type="dxa"/>
            <w:tcBorders>
              <w:top w:val="single" w:sz="18" w:space="0" w:color="4E8542"/>
            </w:tcBorders>
          </w:tcPr>
          <w:p>
            <w:pPr>
              <w:pStyle w:val="TableParagraph"/>
              <w:spacing w:line="245" w:lineRule="exact"/>
              <w:ind w:left="107"/>
              <w:rPr>
                <w:sz w:val="22"/>
              </w:rPr>
            </w:pPr>
            <w:r>
              <w:rPr>
                <w:sz w:val="22"/>
              </w:rPr>
              <w:t>interviews providers/resident</w:t>
            </w:r>
          </w:p>
          <w:p>
            <w:pPr>
              <w:pStyle w:val="TableParagraph"/>
              <w:spacing w:line="237" w:lineRule="auto" w:before="2"/>
              <w:ind w:left="107" w:right="346"/>
              <w:rPr>
                <w:sz w:val="22"/>
              </w:rPr>
            </w:pPr>
            <w:r>
              <w:rPr>
                <w:sz w:val="22"/>
              </w:rPr>
              <w:t>managers, and interviews staff regarding this requirement.</w:t>
            </w:r>
          </w:p>
          <w:p>
            <w:pPr>
              <w:pStyle w:val="TableParagraph"/>
              <w:spacing w:before="1"/>
              <w:rPr>
                <w:b/>
                <w:sz w:val="22"/>
              </w:rPr>
            </w:pPr>
          </w:p>
          <w:p>
            <w:pPr>
              <w:pStyle w:val="TableParagraph"/>
              <w:spacing w:before="1"/>
              <w:ind w:left="107" w:right="379"/>
              <w:rPr>
                <w:sz w:val="22"/>
              </w:rPr>
            </w:pPr>
            <w:r>
              <w:rPr>
                <w:sz w:val="22"/>
              </w:rPr>
              <w:t>On-site inspections ensure homes meet all licensing and certification requirements in WAC and RCW, including WAC</w:t>
            </w:r>
          </w:p>
          <w:p>
            <w:pPr>
              <w:pStyle w:val="TableParagraph"/>
              <w:spacing w:line="249" w:lineRule="exact" w:before="1"/>
              <w:ind w:left="107"/>
              <w:rPr>
                <w:sz w:val="22"/>
              </w:rPr>
            </w:pPr>
            <w:r>
              <w:rPr>
                <w:sz w:val="22"/>
              </w:rPr>
              <w:t>388-823-1095.</w:t>
            </w:r>
          </w:p>
        </w:tc>
        <w:tc>
          <w:tcPr>
            <w:tcW w:w="2330" w:type="dxa"/>
            <w:tcBorders>
              <w:top w:val="single" w:sz="18" w:space="0" w:color="4E8542"/>
              <w:right w:val="nil"/>
            </w:tcBorders>
          </w:tcPr>
          <w:p>
            <w:pPr>
              <w:pStyle w:val="TableParagraph"/>
              <w:spacing w:line="245" w:lineRule="exact"/>
              <w:ind w:left="107"/>
              <w:rPr>
                <w:sz w:val="22"/>
              </w:rPr>
            </w:pPr>
            <w:r>
              <w:rPr>
                <w:sz w:val="22"/>
              </w:rPr>
              <w:t>contracts requiring</w:t>
            </w:r>
          </w:p>
          <w:p>
            <w:pPr>
              <w:pStyle w:val="TableParagraph"/>
              <w:spacing w:line="237" w:lineRule="auto" w:before="2"/>
              <w:ind w:left="107" w:right="109"/>
              <w:rPr>
                <w:sz w:val="22"/>
              </w:rPr>
            </w:pPr>
            <w:r>
              <w:rPr>
                <w:sz w:val="22"/>
              </w:rPr>
              <w:t>adherence to the WAC. See </w:t>
            </w:r>
            <w:r>
              <w:rPr>
                <w:color w:val="6B9F24"/>
                <w:sz w:val="22"/>
                <w:u w:val="single" w:color="6B9F24"/>
              </w:rPr>
              <w:t>Appendix C</w:t>
            </w:r>
            <w:r>
              <w:rPr>
                <w:sz w:val="22"/>
              </w:rPr>
              <w:t>.</w:t>
            </w:r>
          </w:p>
        </w:tc>
      </w:tr>
      <w:tr>
        <w:trPr>
          <w:trHeight w:val="2418" w:hRule="atLeast"/>
        </w:trPr>
        <w:tc>
          <w:tcPr>
            <w:tcW w:w="3559" w:type="dxa"/>
            <w:shd w:val="clear" w:color="auto" w:fill="D0E4CA"/>
          </w:tcPr>
          <w:p>
            <w:pPr>
              <w:pStyle w:val="TableParagraph"/>
              <w:ind w:left="107" w:right="432"/>
              <w:rPr>
                <w:b/>
                <w:sz w:val="22"/>
              </w:rPr>
            </w:pPr>
            <w:r>
              <w:rPr>
                <w:b/>
                <w:sz w:val="22"/>
              </w:rPr>
              <w:t>Privacy: Individuals have the freedom to furnish and decorate their sleeping or living units</w:t>
            </w:r>
          </w:p>
        </w:tc>
        <w:tc>
          <w:tcPr>
            <w:tcW w:w="3151" w:type="dxa"/>
            <w:shd w:val="clear" w:color="auto" w:fill="D0E4CA"/>
          </w:tcPr>
          <w:p>
            <w:pPr>
              <w:pStyle w:val="TableParagraph"/>
              <w:spacing w:line="267" w:lineRule="exact"/>
              <w:ind w:left="107"/>
              <w:rPr>
                <w:sz w:val="22"/>
              </w:rPr>
            </w:pPr>
            <w:hyperlink r:id="rId56">
              <w:r>
                <w:rPr>
                  <w:color w:val="6B9F24"/>
                  <w:sz w:val="22"/>
                  <w:u w:val="single" w:color="6B9F24"/>
                </w:rPr>
                <w:t>RCW 70.129.100</w:t>
              </w:r>
            </w:hyperlink>
            <w:r>
              <w:rPr>
                <w:sz w:val="22"/>
              </w:rPr>
              <w:t>--(1) The</w:t>
            </w:r>
          </w:p>
          <w:p>
            <w:pPr>
              <w:pStyle w:val="TableParagraph"/>
              <w:ind w:left="107" w:right="182"/>
              <w:rPr>
                <w:sz w:val="22"/>
              </w:rPr>
            </w:pPr>
            <w:r>
              <w:rPr>
                <w:sz w:val="22"/>
              </w:rPr>
              <w:t>resident has the right to retain and use personal possessions, including some furnishings, and appropriate clothing as space permits, unless to do so would infringe upon the rights or health and safety of other</w:t>
            </w:r>
          </w:p>
          <w:p>
            <w:pPr>
              <w:pStyle w:val="TableParagraph"/>
              <w:spacing w:line="251" w:lineRule="exact"/>
              <w:ind w:left="107"/>
              <w:rPr>
                <w:sz w:val="22"/>
              </w:rPr>
            </w:pPr>
            <w:r>
              <w:rPr>
                <w:sz w:val="22"/>
              </w:rPr>
              <w:t>residents</w:t>
            </w:r>
            <w:hyperlink w:history="true" w:anchor="_bookmark21">
              <w:r>
                <w:rPr>
                  <w:sz w:val="22"/>
                  <w:vertAlign w:val="superscript"/>
                </w:rPr>
                <w:t>1</w:t>
              </w:r>
            </w:hyperlink>
            <w:r>
              <w:rPr>
                <w:sz w:val="22"/>
                <w:vertAlign w:val="baseline"/>
              </w:rPr>
              <w:t>.</w:t>
            </w:r>
          </w:p>
        </w:tc>
        <w:tc>
          <w:tcPr>
            <w:tcW w:w="1589" w:type="dxa"/>
            <w:shd w:val="clear" w:color="auto" w:fill="D0E4CA"/>
          </w:tcPr>
          <w:p>
            <w:pPr>
              <w:pStyle w:val="TableParagraph"/>
              <w:ind w:left="107" w:right="521"/>
              <w:rPr>
                <w:sz w:val="22"/>
              </w:rPr>
            </w:pPr>
            <w:r>
              <w:rPr>
                <w:sz w:val="22"/>
              </w:rPr>
              <w:t>Fully Compliant</w:t>
            </w:r>
          </w:p>
        </w:tc>
        <w:tc>
          <w:tcPr>
            <w:tcW w:w="3240" w:type="dxa"/>
            <w:shd w:val="clear" w:color="auto" w:fill="D0E4CA"/>
          </w:tcPr>
          <w:p>
            <w:pPr>
              <w:pStyle w:val="TableParagraph"/>
              <w:ind w:left="107" w:right="75"/>
              <w:rPr>
                <w:sz w:val="22"/>
              </w:rPr>
            </w:pPr>
            <w:r>
              <w:rPr>
                <w:sz w:val="22"/>
              </w:rPr>
              <w:t>As part of the inspection process described in the overview, RCS conducts comprehensive resident interviews (see </w:t>
            </w:r>
            <w:hyperlink w:history="true" w:anchor="_bookmark45">
              <w:r>
                <w:rPr>
                  <w:color w:val="6B9F24"/>
                  <w:sz w:val="22"/>
                  <w:u w:val="single" w:color="6B9F24"/>
                </w:rPr>
                <w:t>Appendix E</w:t>
              </w:r>
            </w:hyperlink>
            <w:r>
              <w:rPr>
                <w:sz w:val="22"/>
              </w:rPr>
              <w:t>), reviews resident records, interviews providers/resident managers, and interviews staff regarding this requirement.</w:t>
            </w:r>
          </w:p>
        </w:tc>
        <w:tc>
          <w:tcPr>
            <w:tcW w:w="2330" w:type="dxa"/>
            <w:tcBorders>
              <w:right w:val="nil"/>
            </w:tcBorders>
            <w:shd w:val="clear" w:color="auto" w:fill="D0E4CA"/>
          </w:tcPr>
          <w:p>
            <w:pPr>
              <w:pStyle w:val="TableParagraph"/>
              <w:ind w:left="107" w:right="123"/>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rPr>
          <w:b/>
          <w:sz w:val="20"/>
        </w:rPr>
      </w:pPr>
    </w:p>
    <w:p>
      <w:pPr>
        <w:pStyle w:val="BodyText"/>
        <w:spacing w:before="5"/>
        <w:rPr>
          <w:b/>
          <w:sz w:val="26"/>
        </w:rPr>
      </w:pPr>
      <w:r>
        <w:rPr/>
        <w:pict>
          <v:shape style="position:absolute;margin-left:72pt;margin-top:18.512968pt;width:144pt;height:.1pt;mso-position-horizontal-relative:page;mso-position-vertical-relative:paragraph;z-index:-251608064;mso-wrap-distance-left:0;mso-wrap-distance-right:0" coordorigin="1440,370" coordsize="2880,0" path="m1440,370l4320,370e" filled="false" stroked="true" strokeweight=".72pt" strokecolor="#000000">
            <v:path arrowok="t"/>
            <v:stroke dashstyle="solid"/>
            <w10:wrap type="topAndBottom"/>
          </v:shape>
        </w:pict>
      </w:r>
    </w:p>
    <w:p>
      <w:pPr>
        <w:pStyle w:val="BodyText"/>
        <w:rPr>
          <w:b/>
        </w:rPr>
      </w:pPr>
    </w:p>
    <w:p>
      <w:pPr>
        <w:pStyle w:val="BodyText"/>
        <w:spacing w:before="7"/>
        <w:rPr>
          <w:b/>
          <w:sz w:val="19"/>
        </w:rPr>
      </w:pPr>
    </w:p>
    <w:p>
      <w:pPr>
        <w:spacing w:line="278" w:lineRule="auto" w:before="1"/>
        <w:ind w:left="1059" w:right="1135" w:firstLine="0"/>
        <w:jc w:val="left"/>
        <w:rPr>
          <w:i/>
          <w:sz w:val="18"/>
        </w:rPr>
      </w:pPr>
      <w:r>
        <w:rPr>
          <w:position w:val="7"/>
          <w:sz w:val="13"/>
        </w:rPr>
        <w:t>1 </w:t>
      </w:r>
      <w:r>
        <w:rPr>
          <w:sz w:val="18"/>
        </w:rPr>
        <w:t>“</w:t>
      </w:r>
      <w:r>
        <w:rPr>
          <w:sz w:val="18"/>
          <w:u w:val="single"/>
        </w:rPr>
        <w:t>Appropriate clothing</w:t>
      </w:r>
      <w:r>
        <w:rPr>
          <w:sz w:val="18"/>
        </w:rPr>
        <w:t>” means that the clothing is suitable to the particular conditions. For example, the participant has the right to have clothing that is appropriate for the weather and for their needs and preferences. If space does not permit clothing for all seasons to be stored in the room, the family and facility would ensure that clothing was brought out based on the season or changing needs or preferences of the resident. “</w:t>
      </w:r>
      <w:r>
        <w:rPr>
          <w:sz w:val="18"/>
          <w:u w:val="single"/>
        </w:rPr>
        <w:t>As space permits</w:t>
      </w:r>
      <w:r>
        <w:rPr>
          <w:sz w:val="18"/>
        </w:rPr>
        <w:t>” means that there needs to be sufficient space to allow the participant to have a homelike environment with their own furnishings and to be able to move about safely and easily within the space. If, for example, a participant has a large collection of decorative items, the facility would work with the participant to ensure that the participant may enjoy their items while also ensuring that the participant, their roommate, family member, and caregivers are able to safely walk through the room and exit the room in an emergency. “Infringing on the rights or health and safety of other participants” means that the rights of the participant would be negatively impacted</w:t>
      </w:r>
      <w:r>
        <w:rPr>
          <w:b/>
          <w:sz w:val="18"/>
        </w:rPr>
        <w:t>. </w:t>
      </w:r>
      <w:r>
        <w:rPr>
          <w:i/>
          <w:sz w:val="18"/>
        </w:rPr>
        <w:t>(Updated 1/15/16)</w:t>
      </w:r>
    </w:p>
    <w:p>
      <w:pPr>
        <w:pStyle w:val="BodyText"/>
        <w:rPr>
          <w:i/>
          <w:sz w:val="20"/>
        </w:rPr>
      </w:pPr>
    </w:p>
    <w:p>
      <w:pPr>
        <w:pStyle w:val="BodyText"/>
        <w:rPr>
          <w:i/>
          <w:sz w:val="20"/>
        </w:rPr>
      </w:pPr>
    </w:p>
    <w:p>
      <w:pPr>
        <w:pStyle w:val="BodyText"/>
        <w:spacing w:before="11"/>
        <w:rPr>
          <w:i/>
          <w:sz w:val="18"/>
        </w:rPr>
      </w:pPr>
      <w:r>
        <w:rPr/>
        <w:pict>
          <v:shape style="position:absolute;margin-left:70.559998pt;margin-top:13.74241pt;width:650.9pt;height:.1pt;mso-position-horizontal-relative:page;mso-position-vertical-relative:paragraph;z-index:-251607040;mso-wrap-distance-left:0;mso-wrap-distance-right:0" coordorigin="1411,275" coordsize="13018,0" path="m1411,275l14429,275e" filled="false" stroked="true" strokeweight=".481pt" strokecolor="#d9d9d9">
            <v:path arrowok="t"/>
            <v:stroke dashstyle="solid"/>
            <w10:wrap type="topAndBottom"/>
          </v:shape>
        </w:pict>
      </w:r>
    </w:p>
    <w:p>
      <w:pPr>
        <w:spacing w:line="258" w:lineRule="exact" w:before="0"/>
        <w:ind w:left="1060" w:right="0" w:firstLine="0"/>
        <w:jc w:val="left"/>
        <w:rPr>
          <w:sz w:val="22"/>
        </w:rPr>
      </w:pPr>
      <w:r>
        <w:rPr>
          <w:b/>
          <w:sz w:val="22"/>
        </w:rPr>
        <w:t>44 | </w:t>
      </w:r>
      <w:r>
        <w:rPr>
          <w:color w:val="808080"/>
          <w:sz w:val="22"/>
        </w:rPr>
        <w:t>P a g e </w:t>
      </w:r>
    </w:p>
    <w:p>
      <w:pPr>
        <w:spacing w:after="0" w:line="258" w:lineRule="exact"/>
        <w:jc w:val="left"/>
        <w:rPr>
          <w:sz w:val="22"/>
        </w:rPr>
        <w:sectPr>
          <w:footerReference w:type="default" r:id="rId54"/>
          <w:pgSz w:w="15840" w:h="12240" w:orient="landscape"/>
          <w:pgMar w:footer="0" w:header="0" w:top="680" w:bottom="280" w:left="380" w:right="340"/>
        </w:sect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62"/>
        <w:gridCol w:w="3552"/>
        <w:gridCol w:w="3151"/>
        <w:gridCol w:w="1589"/>
        <w:gridCol w:w="3240"/>
        <w:gridCol w:w="2351"/>
      </w:tblGrid>
      <w:tr>
        <w:trPr>
          <w:trHeight w:val="1218" w:hRule="atLeast"/>
        </w:trPr>
        <w:tc>
          <w:tcPr>
            <w:tcW w:w="14845" w:type="dxa"/>
            <w:gridSpan w:val="6"/>
            <w:tcBorders>
              <w:bottom w:val="nil"/>
            </w:tcBorders>
          </w:tcPr>
          <w:p>
            <w:pPr>
              <w:pStyle w:val="TableParagraph"/>
              <w:spacing w:before="2"/>
              <w:rPr>
                <w:sz w:val="17"/>
              </w:rPr>
            </w:pPr>
          </w:p>
          <w:p>
            <w:pPr>
              <w:pStyle w:val="TableParagraph"/>
              <w:ind w:left="945"/>
              <w:rPr>
                <w:b/>
                <w:sz w:val="22"/>
              </w:rPr>
            </w:pPr>
            <w:r>
              <w:rPr>
                <w:b/>
                <w:sz w:val="22"/>
              </w:rPr>
              <w:t>Washington State</w:t>
            </w:r>
          </w:p>
          <w:p>
            <w:pPr>
              <w:pStyle w:val="TableParagraph"/>
              <w:ind w:left="944"/>
              <w:rPr>
                <w:b/>
                <w:sz w:val="22"/>
              </w:rPr>
            </w:pPr>
            <w:r>
              <w:rPr>
                <w:b/>
                <w:sz w:val="22"/>
              </w:rPr>
              <w:t>Revised Transition Plan for New HCBS Rules</w:t>
            </w:r>
          </w:p>
          <w:p>
            <w:pPr>
              <w:pStyle w:val="TableParagraph"/>
              <w:ind w:left="944"/>
              <w:rPr>
                <w:b/>
                <w:sz w:val="22"/>
              </w:rPr>
            </w:pPr>
            <w:r>
              <w:rPr>
                <w:b/>
                <w:sz w:val="22"/>
              </w:rPr>
              <w:t>To be Submitted to CMS in May 2017—Posted for Public Comment on March 15, 2017</w:t>
            </w:r>
          </w:p>
        </w:tc>
      </w:tr>
      <w:tr>
        <w:trPr>
          <w:trHeight w:val="584" w:hRule="atLeast"/>
        </w:trPr>
        <w:tc>
          <w:tcPr>
            <w:tcW w:w="962" w:type="dxa"/>
            <w:vMerge w:val="restart"/>
            <w:tcBorders>
              <w:top w:val="nil"/>
              <w:bottom w:val="nil"/>
              <w:right w:val="single" w:sz="8" w:space="0" w:color="4E8542"/>
            </w:tcBorders>
          </w:tcPr>
          <w:p>
            <w:pPr>
              <w:pStyle w:val="TableParagraph"/>
              <w:rPr>
                <w:rFonts w:ascii="Times New Roman"/>
                <w:sz w:val="22"/>
              </w:rPr>
            </w:pPr>
          </w:p>
        </w:tc>
        <w:tc>
          <w:tcPr>
            <w:tcW w:w="3552"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292"/>
              <w:rPr>
                <w:b/>
                <w:sz w:val="24"/>
              </w:rPr>
            </w:pPr>
            <w:r>
              <w:rPr>
                <w:b/>
                <w:sz w:val="24"/>
              </w:rPr>
              <w:t>Characteristics/Requirements</w:t>
            </w:r>
          </w:p>
        </w:tc>
        <w:tc>
          <w:tcPr>
            <w:tcW w:w="3151"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691"/>
              <w:rPr>
                <w:b/>
                <w:sz w:val="24"/>
              </w:rPr>
            </w:pPr>
            <w:r>
              <w:rPr>
                <w:b/>
                <w:sz w:val="24"/>
              </w:rPr>
              <w:t>DDA Group Home</w:t>
            </w:r>
          </w:p>
          <w:p>
            <w:pPr>
              <w:pStyle w:val="TableParagraph"/>
              <w:spacing w:line="272" w:lineRule="exact"/>
              <w:ind w:left="765"/>
              <w:rPr>
                <w:b/>
                <w:sz w:val="24"/>
              </w:rPr>
            </w:pPr>
            <w:r>
              <w:rPr>
                <w:b/>
                <w:sz w:val="24"/>
              </w:rPr>
              <w:t>State Evaluation</w:t>
            </w:r>
          </w:p>
        </w:tc>
        <w:tc>
          <w:tcPr>
            <w:tcW w:w="1589"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190" w:right="162"/>
              <w:jc w:val="center"/>
              <w:rPr>
                <w:b/>
                <w:sz w:val="24"/>
              </w:rPr>
            </w:pPr>
            <w:r>
              <w:rPr>
                <w:b/>
                <w:sz w:val="24"/>
              </w:rPr>
              <w:t>Compliance</w:t>
            </w:r>
          </w:p>
          <w:p>
            <w:pPr>
              <w:pStyle w:val="TableParagraph"/>
              <w:spacing w:line="272" w:lineRule="exact"/>
              <w:ind w:left="190" w:right="162"/>
              <w:jc w:val="center"/>
              <w:rPr>
                <w:b/>
                <w:sz w:val="24"/>
              </w:rPr>
            </w:pPr>
            <w:r>
              <w:rPr>
                <w:b/>
                <w:sz w:val="24"/>
              </w:rPr>
              <w:t>Level</w:t>
            </w:r>
          </w:p>
        </w:tc>
        <w:tc>
          <w:tcPr>
            <w:tcW w:w="3240"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739"/>
              <w:rPr>
                <w:b/>
                <w:sz w:val="24"/>
              </w:rPr>
            </w:pPr>
            <w:r>
              <w:rPr>
                <w:b/>
                <w:sz w:val="24"/>
              </w:rPr>
              <w:t>O</w:t>
            </w:r>
            <w:bookmarkStart w:name="_bookmark22" w:id="51"/>
            <w:bookmarkEnd w:id="51"/>
            <w:r>
              <w:rPr>
                <w:b/>
                <w:sz w:val="24"/>
              </w:rPr>
              <w:t>ve</w:t>
            </w:r>
            <w:r>
              <w:rPr>
                <w:b/>
                <w:sz w:val="24"/>
              </w:rPr>
              <w:t>rsight Process</w:t>
            </w:r>
          </w:p>
        </w:tc>
        <w:tc>
          <w:tcPr>
            <w:tcW w:w="2351" w:type="dxa"/>
            <w:tcBorders>
              <w:top w:val="single" w:sz="8" w:space="0" w:color="4E8542"/>
              <w:left w:val="single" w:sz="8" w:space="0" w:color="4E8542"/>
              <w:bottom w:val="single" w:sz="18" w:space="0" w:color="4E8542"/>
              <w:right w:val="single" w:sz="18" w:space="0" w:color="000000"/>
            </w:tcBorders>
          </w:tcPr>
          <w:p>
            <w:pPr>
              <w:pStyle w:val="TableParagraph"/>
              <w:spacing w:line="292" w:lineRule="exact"/>
              <w:ind w:left="535"/>
              <w:rPr>
                <w:b/>
                <w:sz w:val="24"/>
              </w:rPr>
            </w:pPr>
            <w:r>
              <w:rPr>
                <w:b/>
                <w:sz w:val="24"/>
              </w:rPr>
              <w:t>Remediation</w:t>
            </w:r>
          </w:p>
        </w:tc>
      </w:tr>
      <w:tr>
        <w:trPr>
          <w:trHeight w:val="2393" w:hRule="atLeast"/>
        </w:trPr>
        <w:tc>
          <w:tcPr>
            <w:tcW w:w="962" w:type="dxa"/>
            <w:vMerge/>
            <w:tcBorders>
              <w:top w:val="nil"/>
              <w:bottom w:val="nil"/>
              <w:right w:val="single" w:sz="8" w:space="0" w:color="4E8542"/>
            </w:tcBorders>
          </w:tcPr>
          <w:p>
            <w:pPr>
              <w:rPr>
                <w:sz w:val="2"/>
                <w:szCs w:val="2"/>
              </w:rPr>
            </w:pPr>
          </w:p>
        </w:tc>
        <w:tc>
          <w:tcPr>
            <w:tcW w:w="3552" w:type="dxa"/>
            <w:tcBorders>
              <w:top w:val="single" w:sz="18" w:space="0" w:color="4E8542"/>
              <w:left w:val="single" w:sz="8" w:space="0" w:color="4E8542"/>
              <w:bottom w:val="single" w:sz="8" w:space="0" w:color="4E8542"/>
              <w:right w:val="single" w:sz="8" w:space="0" w:color="4E8542"/>
            </w:tcBorders>
            <w:shd w:val="clear" w:color="auto" w:fill="D0E4CA"/>
          </w:tcPr>
          <w:p>
            <w:pPr>
              <w:pStyle w:val="TableParagraph"/>
              <w:rPr>
                <w:rFonts w:ascii="Times New Roman"/>
                <w:sz w:val="22"/>
              </w:rPr>
            </w:pPr>
          </w:p>
        </w:tc>
        <w:tc>
          <w:tcPr>
            <w:tcW w:w="3151" w:type="dxa"/>
            <w:tcBorders>
              <w:top w:val="single" w:sz="18" w:space="0" w:color="4E8542"/>
              <w:left w:val="single" w:sz="8" w:space="0" w:color="4E8542"/>
              <w:bottom w:val="single" w:sz="8" w:space="0" w:color="4E8542"/>
              <w:right w:val="single" w:sz="8" w:space="0" w:color="4E8542"/>
            </w:tcBorders>
            <w:shd w:val="clear" w:color="auto" w:fill="D0E4CA"/>
          </w:tcPr>
          <w:p>
            <w:pPr>
              <w:pStyle w:val="TableParagraph"/>
              <w:rPr>
                <w:rFonts w:ascii="Times New Roman"/>
                <w:sz w:val="22"/>
              </w:rPr>
            </w:pPr>
          </w:p>
        </w:tc>
        <w:tc>
          <w:tcPr>
            <w:tcW w:w="1589" w:type="dxa"/>
            <w:tcBorders>
              <w:top w:val="single" w:sz="18" w:space="0" w:color="4E8542"/>
              <w:left w:val="single" w:sz="8" w:space="0" w:color="4E8542"/>
              <w:bottom w:val="single" w:sz="8" w:space="0" w:color="4E8542"/>
              <w:right w:val="single" w:sz="8" w:space="0" w:color="4E8542"/>
            </w:tcBorders>
            <w:shd w:val="clear" w:color="auto" w:fill="D0E4CA"/>
          </w:tcPr>
          <w:p>
            <w:pPr>
              <w:pStyle w:val="TableParagraph"/>
              <w:rPr>
                <w:rFonts w:ascii="Times New Roman"/>
                <w:sz w:val="22"/>
              </w:rPr>
            </w:pPr>
          </w:p>
        </w:tc>
        <w:tc>
          <w:tcPr>
            <w:tcW w:w="3240" w:type="dxa"/>
            <w:tcBorders>
              <w:top w:val="single" w:sz="18" w:space="0" w:color="4E8542"/>
              <w:left w:val="single" w:sz="8" w:space="0" w:color="4E8542"/>
              <w:bottom w:val="single" w:sz="8" w:space="0" w:color="4E8542"/>
              <w:right w:val="single" w:sz="8" w:space="0" w:color="4E8542"/>
            </w:tcBorders>
            <w:shd w:val="clear" w:color="auto" w:fill="D0E4CA"/>
          </w:tcPr>
          <w:p>
            <w:pPr>
              <w:pStyle w:val="TableParagraph"/>
              <w:spacing w:line="245" w:lineRule="exact"/>
              <w:ind w:left="112"/>
              <w:rPr>
                <w:sz w:val="22"/>
              </w:rPr>
            </w:pPr>
            <w:r>
              <w:rPr>
                <w:sz w:val="22"/>
              </w:rPr>
              <w:t>On-site inspections ensure</w:t>
            </w:r>
          </w:p>
          <w:p>
            <w:pPr>
              <w:pStyle w:val="TableParagraph"/>
              <w:ind w:left="112" w:right="390"/>
              <w:rPr>
                <w:sz w:val="22"/>
              </w:rPr>
            </w:pPr>
            <w:r>
              <w:rPr>
                <w:sz w:val="22"/>
              </w:rPr>
              <w:t>homes meet all licensing and certification requirements in WAC and RCW, including WAC 388-823-1095.</w:t>
            </w:r>
          </w:p>
          <w:p>
            <w:pPr>
              <w:pStyle w:val="TableParagraph"/>
              <w:ind w:left="112" w:right="479"/>
              <w:rPr>
                <w:sz w:val="22"/>
              </w:rPr>
            </w:pPr>
            <w:r>
              <w:rPr>
                <w:sz w:val="22"/>
              </w:rPr>
              <w:t>The Long-Term Care Ombuds Program also monitors implementation of </w:t>
            </w:r>
            <w:hyperlink r:id="rId44">
              <w:r>
                <w:rPr>
                  <w:color w:val="6B9F24"/>
                  <w:sz w:val="22"/>
                  <w:u w:val="single" w:color="6B9F24"/>
                </w:rPr>
                <w:t>Chapter</w:t>
              </w:r>
            </w:hyperlink>
          </w:p>
          <w:p>
            <w:pPr>
              <w:pStyle w:val="TableParagraph"/>
              <w:spacing w:line="249" w:lineRule="exact"/>
              <w:ind w:left="112"/>
              <w:rPr>
                <w:sz w:val="22"/>
              </w:rPr>
            </w:pPr>
            <w:hyperlink r:id="rId44">
              <w:r>
                <w:rPr>
                  <w:color w:val="6B9F24"/>
                  <w:sz w:val="22"/>
                  <w:u w:val="single" w:color="6B9F24"/>
                </w:rPr>
                <w:t>70.129 RCW</w:t>
              </w:r>
              <w:r>
                <w:rPr>
                  <w:sz w:val="22"/>
                </w:rPr>
                <w:t>.</w:t>
              </w:r>
            </w:hyperlink>
          </w:p>
        </w:tc>
        <w:tc>
          <w:tcPr>
            <w:tcW w:w="2351" w:type="dxa"/>
            <w:tcBorders>
              <w:top w:val="single" w:sz="18" w:space="0" w:color="4E8542"/>
              <w:left w:val="single" w:sz="8" w:space="0" w:color="4E8542"/>
              <w:bottom w:val="single" w:sz="8" w:space="0" w:color="4E8542"/>
              <w:right w:val="single" w:sz="18" w:space="0" w:color="000000"/>
            </w:tcBorders>
            <w:shd w:val="clear" w:color="auto" w:fill="D0E4CA"/>
          </w:tcPr>
          <w:p>
            <w:pPr>
              <w:pStyle w:val="TableParagraph"/>
              <w:rPr>
                <w:rFonts w:ascii="Times New Roman"/>
                <w:sz w:val="22"/>
              </w:rPr>
            </w:pPr>
          </w:p>
        </w:tc>
      </w:tr>
      <w:tr>
        <w:trPr>
          <w:trHeight w:val="5103" w:hRule="atLeast"/>
        </w:trPr>
        <w:tc>
          <w:tcPr>
            <w:tcW w:w="962" w:type="dxa"/>
            <w:vMerge/>
            <w:tcBorders>
              <w:top w:val="nil"/>
              <w:bottom w:val="nil"/>
              <w:right w:val="single" w:sz="8" w:space="0" w:color="4E8542"/>
            </w:tcBorders>
          </w:tcPr>
          <w:p>
            <w:pPr>
              <w:rPr>
                <w:sz w:val="2"/>
                <w:szCs w:val="2"/>
              </w:rPr>
            </w:pPr>
          </w:p>
        </w:tc>
        <w:tc>
          <w:tcPr>
            <w:tcW w:w="3552" w:type="dxa"/>
            <w:tcBorders>
              <w:top w:val="single" w:sz="8" w:space="0" w:color="4E8542"/>
              <w:left w:val="single" w:sz="8" w:space="0" w:color="4E8542"/>
              <w:bottom w:val="single" w:sz="8" w:space="0" w:color="4E8542"/>
              <w:right w:val="single" w:sz="8" w:space="0" w:color="4E8542"/>
            </w:tcBorders>
          </w:tcPr>
          <w:p>
            <w:pPr>
              <w:pStyle w:val="TableParagraph"/>
              <w:ind w:left="105" w:right="305"/>
              <w:rPr>
                <w:b/>
                <w:sz w:val="22"/>
              </w:rPr>
            </w:pPr>
            <w:r>
              <w:rPr>
                <w:b/>
                <w:sz w:val="22"/>
              </w:rPr>
              <w:t>Individuals have the freedom and support to control their own schedules and activities, and have access to food at any time</w:t>
            </w:r>
          </w:p>
        </w:tc>
        <w:tc>
          <w:tcPr>
            <w:tcW w:w="3151" w:type="dxa"/>
            <w:tcBorders>
              <w:top w:val="single" w:sz="8" w:space="0" w:color="4E8542"/>
              <w:left w:val="single" w:sz="8" w:space="0" w:color="4E8542"/>
              <w:bottom w:val="single" w:sz="8" w:space="0" w:color="4E8542"/>
              <w:right w:val="single" w:sz="8" w:space="0" w:color="4E8542"/>
            </w:tcBorders>
          </w:tcPr>
          <w:p>
            <w:pPr>
              <w:pStyle w:val="TableParagraph"/>
              <w:spacing w:line="267" w:lineRule="exact"/>
              <w:ind w:left="112"/>
              <w:rPr>
                <w:sz w:val="22"/>
              </w:rPr>
            </w:pPr>
            <w:hyperlink r:id="rId37">
              <w:r>
                <w:rPr>
                  <w:color w:val="6B9F24"/>
                  <w:sz w:val="22"/>
                  <w:u w:val="single" w:color="6B9F24"/>
                </w:rPr>
                <w:t>RCW 70.129.140</w:t>
              </w:r>
            </w:hyperlink>
          </w:p>
          <w:p>
            <w:pPr>
              <w:pStyle w:val="TableParagraph"/>
              <w:numPr>
                <w:ilvl w:val="0"/>
                <w:numId w:val="8"/>
              </w:numPr>
              <w:tabs>
                <w:tab w:pos="408" w:val="left" w:leader="none"/>
              </w:tabs>
              <w:spacing w:line="240" w:lineRule="auto" w:before="0" w:after="0"/>
              <w:ind w:left="112" w:right="296" w:firstLine="0"/>
              <w:jc w:val="left"/>
              <w:rPr>
                <w:sz w:val="22"/>
              </w:rPr>
            </w:pPr>
            <w:r>
              <w:rPr>
                <w:sz w:val="22"/>
              </w:rPr>
              <w:t>Within reasonable</w:t>
            </w:r>
            <w:hyperlink w:history="true" w:anchor="_bookmark22">
              <w:r>
                <w:rPr>
                  <w:sz w:val="22"/>
                  <w:vertAlign w:val="superscript"/>
                </w:rPr>
                <w:t>2</w:t>
              </w:r>
              <w:r>
                <w:rPr>
                  <w:sz w:val="22"/>
                  <w:vertAlign w:val="baseline"/>
                </w:rPr>
                <w:t> </w:t>
              </w:r>
            </w:hyperlink>
            <w:r>
              <w:rPr>
                <w:sz w:val="22"/>
                <w:vertAlign w:val="baseline"/>
              </w:rPr>
              <w:t>facility rules designed to protect the rights and quality of life of residents, the resident has the right to:</w:t>
            </w:r>
          </w:p>
          <w:p>
            <w:pPr>
              <w:pStyle w:val="TableParagraph"/>
              <w:numPr>
                <w:ilvl w:val="1"/>
                <w:numId w:val="8"/>
              </w:numPr>
              <w:tabs>
                <w:tab w:pos="653" w:val="left" w:leader="none"/>
              </w:tabs>
              <w:spacing w:line="240" w:lineRule="auto" w:before="1" w:after="0"/>
              <w:ind w:left="112" w:right="567" w:firstLine="249"/>
              <w:jc w:val="left"/>
              <w:rPr>
                <w:sz w:val="22"/>
              </w:rPr>
            </w:pPr>
            <w:r>
              <w:rPr>
                <w:sz w:val="22"/>
              </w:rPr>
              <w:t>Choose activities, schedules, and health care consistent with his or her interests, assessments, and plans of</w:t>
            </w:r>
            <w:r>
              <w:rPr>
                <w:spacing w:val="-1"/>
                <w:sz w:val="22"/>
              </w:rPr>
              <w:t> </w:t>
            </w:r>
            <w:r>
              <w:rPr>
                <w:sz w:val="22"/>
              </w:rPr>
              <w:t>care;</w:t>
            </w:r>
          </w:p>
          <w:p>
            <w:pPr>
              <w:pStyle w:val="TableParagraph"/>
              <w:numPr>
                <w:ilvl w:val="1"/>
                <w:numId w:val="8"/>
              </w:numPr>
              <w:tabs>
                <w:tab w:pos="663" w:val="left" w:leader="none"/>
              </w:tabs>
              <w:spacing w:line="240" w:lineRule="auto" w:before="0" w:after="0"/>
              <w:ind w:left="112" w:right="184" w:firstLine="249"/>
              <w:jc w:val="both"/>
              <w:rPr>
                <w:sz w:val="22"/>
              </w:rPr>
            </w:pPr>
            <w:r>
              <w:rPr>
                <w:sz w:val="22"/>
              </w:rPr>
              <w:t>Interact with members of the community both inside and outside the</w:t>
            </w:r>
            <w:r>
              <w:rPr>
                <w:spacing w:val="-2"/>
                <w:sz w:val="22"/>
              </w:rPr>
              <w:t> </w:t>
            </w:r>
            <w:r>
              <w:rPr>
                <w:sz w:val="22"/>
              </w:rPr>
              <w:t>facility;</w:t>
            </w:r>
          </w:p>
          <w:p>
            <w:pPr>
              <w:pStyle w:val="TableParagraph"/>
              <w:numPr>
                <w:ilvl w:val="1"/>
                <w:numId w:val="8"/>
              </w:numPr>
              <w:tabs>
                <w:tab w:pos="638" w:val="left" w:leader="none"/>
              </w:tabs>
              <w:spacing w:line="240" w:lineRule="auto" w:before="0" w:after="0"/>
              <w:ind w:left="112" w:right="116" w:firstLine="249"/>
              <w:jc w:val="left"/>
              <w:rPr>
                <w:sz w:val="22"/>
              </w:rPr>
            </w:pPr>
            <w:r>
              <w:rPr>
                <w:sz w:val="22"/>
              </w:rPr>
              <w:t>Make choices about aspects of his or her life in the facility that are significant to the resident;</w:t>
            </w:r>
          </w:p>
        </w:tc>
        <w:tc>
          <w:tcPr>
            <w:tcW w:w="1589" w:type="dxa"/>
            <w:tcBorders>
              <w:top w:val="single" w:sz="8" w:space="0" w:color="4E8542"/>
              <w:left w:val="single" w:sz="8" w:space="0" w:color="4E8542"/>
              <w:bottom w:val="single" w:sz="8" w:space="0" w:color="4E8542"/>
              <w:right w:val="single" w:sz="8" w:space="0" w:color="4E8542"/>
            </w:tcBorders>
          </w:tcPr>
          <w:p>
            <w:pPr>
              <w:pStyle w:val="TableParagraph"/>
              <w:ind w:left="112" w:right="516"/>
              <w:rPr>
                <w:sz w:val="22"/>
              </w:rPr>
            </w:pPr>
            <w:r>
              <w:rPr>
                <w:sz w:val="22"/>
              </w:rPr>
              <w:t>Fully Compliant</w:t>
            </w:r>
          </w:p>
        </w:tc>
        <w:tc>
          <w:tcPr>
            <w:tcW w:w="3240" w:type="dxa"/>
            <w:tcBorders>
              <w:top w:val="single" w:sz="8" w:space="0" w:color="4E8542"/>
              <w:left w:val="single" w:sz="8" w:space="0" w:color="4E8542"/>
              <w:bottom w:val="single" w:sz="8" w:space="0" w:color="4E8542"/>
              <w:right w:val="single" w:sz="8" w:space="0" w:color="4E8542"/>
            </w:tcBorders>
          </w:tcPr>
          <w:p>
            <w:pPr>
              <w:pStyle w:val="TableParagraph"/>
              <w:ind w:left="112" w:right="70"/>
              <w:rPr>
                <w:sz w:val="22"/>
              </w:rPr>
            </w:pPr>
            <w:r>
              <w:rPr>
                <w:sz w:val="22"/>
              </w:rPr>
              <w:t>As part of the inspection process described in the overview, RCS conducts comprehensive resident interviews (see </w:t>
            </w:r>
            <w:hyperlink w:history="true" w:anchor="_bookmark45">
              <w:r>
                <w:rPr>
                  <w:color w:val="6B9F24"/>
                  <w:sz w:val="22"/>
                  <w:u w:val="single" w:color="6B9F24"/>
                </w:rPr>
                <w:t>Appendix E</w:t>
              </w:r>
            </w:hyperlink>
            <w:r>
              <w:rPr>
                <w:sz w:val="22"/>
              </w:rPr>
              <w:t>), reviews resident records, interviews providers/resident managers, and interviews staff regarding this requirement.</w:t>
            </w:r>
          </w:p>
          <w:p>
            <w:pPr>
              <w:pStyle w:val="TableParagraph"/>
              <w:spacing w:before="10"/>
              <w:rPr>
                <w:sz w:val="21"/>
              </w:rPr>
            </w:pPr>
          </w:p>
          <w:p>
            <w:pPr>
              <w:pStyle w:val="TableParagraph"/>
              <w:spacing w:before="1"/>
              <w:ind w:left="112" w:right="390"/>
              <w:rPr>
                <w:sz w:val="22"/>
              </w:rPr>
            </w:pPr>
            <w:r>
              <w:rPr>
                <w:sz w:val="22"/>
              </w:rPr>
              <w:t>On-site inspections ensure homes meet all licensing and certification requirements in WAC and RCW, including WAC 388-823-1095.</w:t>
            </w:r>
          </w:p>
          <w:p>
            <w:pPr>
              <w:pStyle w:val="TableParagraph"/>
              <w:ind w:left="112" w:right="479"/>
              <w:rPr>
                <w:sz w:val="22"/>
              </w:rPr>
            </w:pPr>
            <w:r>
              <w:rPr>
                <w:sz w:val="22"/>
              </w:rPr>
              <w:t>The Long-Term Care Ombuds Program also monitors implementation of </w:t>
            </w:r>
            <w:hyperlink r:id="rId44">
              <w:r>
                <w:rPr>
                  <w:color w:val="6B9F24"/>
                  <w:sz w:val="22"/>
                  <w:u w:val="single" w:color="6B9F24"/>
                </w:rPr>
                <w:t>Chapter</w:t>
              </w:r>
            </w:hyperlink>
            <w:r>
              <w:rPr>
                <w:color w:val="6B9F24"/>
                <w:sz w:val="22"/>
              </w:rPr>
              <w:t> </w:t>
            </w:r>
            <w:hyperlink r:id="rId44">
              <w:r>
                <w:rPr>
                  <w:color w:val="6B9F24"/>
                  <w:sz w:val="22"/>
                  <w:u w:val="single" w:color="6B9F24"/>
                </w:rPr>
                <w:t>70.129 RCW</w:t>
              </w:r>
              <w:r>
                <w:rPr>
                  <w:sz w:val="22"/>
                </w:rPr>
                <w:t>.</w:t>
              </w:r>
            </w:hyperlink>
          </w:p>
        </w:tc>
        <w:tc>
          <w:tcPr>
            <w:tcW w:w="2351" w:type="dxa"/>
            <w:tcBorders>
              <w:top w:val="single" w:sz="8" w:space="0" w:color="4E8542"/>
              <w:left w:val="single" w:sz="8" w:space="0" w:color="4E8542"/>
              <w:bottom w:val="single" w:sz="8" w:space="0" w:color="4E8542"/>
              <w:right w:val="single" w:sz="18" w:space="0" w:color="000000"/>
            </w:tcBorders>
          </w:tcPr>
          <w:p>
            <w:pPr>
              <w:pStyle w:val="TableParagraph"/>
              <w:ind w:left="112" w:right="130"/>
              <w:rPr>
                <w:sz w:val="22"/>
              </w:rPr>
            </w:pPr>
            <w:r>
              <w:rPr>
                <w:sz w:val="22"/>
              </w:rPr>
              <w:t>Revising WAC to clarify the process and state that any modification to these resident’s rights must follow and document the process outlined in 42 CFR 771.725(b)(13)</w:t>
            </w:r>
          </w:p>
          <w:p>
            <w:pPr>
              <w:pStyle w:val="TableParagraph"/>
              <w:ind w:left="112" w:right="117"/>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1815" w:hRule="atLeast"/>
        </w:trPr>
        <w:tc>
          <w:tcPr>
            <w:tcW w:w="14845" w:type="dxa"/>
            <w:gridSpan w:val="6"/>
            <w:tcBorders>
              <w:top w:val="nil"/>
            </w:tcBorders>
          </w:tcPr>
          <w:p>
            <w:pPr>
              <w:pStyle w:val="TableParagraph"/>
              <w:rPr>
                <w:sz w:val="20"/>
              </w:rPr>
            </w:pPr>
          </w:p>
          <w:p>
            <w:pPr>
              <w:pStyle w:val="TableParagraph"/>
              <w:spacing w:before="11"/>
              <w:rPr>
                <w:sz w:val="13"/>
              </w:rPr>
            </w:pPr>
          </w:p>
          <w:p>
            <w:pPr>
              <w:pStyle w:val="TableParagraph"/>
              <w:spacing w:line="20" w:lineRule="exact"/>
              <w:ind w:left="937"/>
              <w:rPr>
                <w:sz w:val="2"/>
              </w:rPr>
            </w:pPr>
            <w:r>
              <w:rPr>
                <w:sz w:val="2"/>
              </w:rPr>
              <w:pict>
                <v:group style="width:144pt;height:.75pt;mso-position-horizontal-relative:char;mso-position-vertical-relative:line" coordorigin="0,0" coordsize="2880,15">
                  <v:line style="position:absolute" from="0,7" to="2880,7" stroked="true" strokeweight=".72pt" strokecolor="#000000">
                    <v:stroke dashstyle="solid"/>
                  </v:line>
                </v:group>
              </w:pict>
            </w:r>
            <w:r>
              <w:rPr>
                <w:sz w:val="2"/>
              </w:rPr>
            </w:r>
          </w:p>
          <w:p>
            <w:pPr>
              <w:pStyle w:val="TableParagraph"/>
              <w:rPr>
                <w:sz w:val="20"/>
              </w:rPr>
            </w:pPr>
          </w:p>
          <w:p>
            <w:pPr>
              <w:pStyle w:val="TableParagraph"/>
              <w:spacing w:before="6"/>
              <w:rPr>
                <w:sz w:val="29"/>
              </w:rPr>
            </w:pPr>
          </w:p>
          <w:p>
            <w:pPr>
              <w:pStyle w:val="TableParagraph"/>
              <w:spacing w:line="20" w:lineRule="exact"/>
              <w:ind w:left="911"/>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pStyle w:val="TableParagraph"/>
              <w:spacing w:before="8"/>
              <w:ind w:left="945"/>
              <w:rPr>
                <w:sz w:val="22"/>
              </w:rPr>
            </w:pPr>
            <w:r>
              <w:rPr>
                <w:b/>
                <w:sz w:val="22"/>
              </w:rPr>
              <w:t>45 | </w:t>
            </w:r>
            <w:r>
              <w:rPr>
                <w:color w:val="808080"/>
                <w:sz w:val="22"/>
              </w:rPr>
              <w:t>P a g e </w:t>
            </w:r>
          </w:p>
        </w:tc>
      </w:tr>
    </w:tbl>
    <w:p>
      <w:pPr>
        <w:spacing w:after="0"/>
        <w:rPr>
          <w:sz w:val="22"/>
        </w:rPr>
        <w:sectPr>
          <w:footerReference w:type="default" r:id="rId57"/>
          <w:pgSz w:w="15840" w:h="12240" w:orient="landscape"/>
          <w:pgMar w:footer="0" w:header="0" w:top="480" w:bottom="280" w:left="380" w:right="340"/>
        </w:sect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62"/>
        <w:gridCol w:w="3552"/>
        <w:gridCol w:w="3151"/>
        <w:gridCol w:w="1589"/>
        <w:gridCol w:w="3240"/>
        <w:gridCol w:w="2351"/>
      </w:tblGrid>
      <w:tr>
        <w:trPr>
          <w:trHeight w:val="1218" w:hRule="atLeast"/>
        </w:trPr>
        <w:tc>
          <w:tcPr>
            <w:tcW w:w="14845" w:type="dxa"/>
            <w:gridSpan w:val="6"/>
            <w:tcBorders>
              <w:bottom w:val="nil"/>
            </w:tcBorders>
          </w:tcPr>
          <w:p>
            <w:pPr>
              <w:pStyle w:val="TableParagraph"/>
              <w:spacing w:before="2"/>
              <w:rPr>
                <w:sz w:val="17"/>
              </w:rPr>
            </w:pPr>
          </w:p>
          <w:p>
            <w:pPr>
              <w:pStyle w:val="TableParagraph"/>
              <w:ind w:left="945"/>
              <w:rPr>
                <w:b/>
                <w:sz w:val="22"/>
              </w:rPr>
            </w:pPr>
            <w:r>
              <w:rPr>
                <w:b/>
                <w:sz w:val="22"/>
              </w:rPr>
              <w:t>Washington State</w:t>
            </w:r>
          </w:p>
          <w:p>
            <w:pPr>
              <w:pStyle w:val="TableParagraph"/>
              <w:ind w:left="944"/>
              <w:rPr>
                <w:b/>
                <w:sz w:val="22"/>
              </w:rPr>
            </w:pPr>
            <w:r>
              <w:rPr>
                <w:b/>
                <w:sz w:val="22"/>
              </w:rPr>
              <w:t>Revised Transition Plan for New HCBS Rules</w:t>
            </w:r>
          </w:p>
          <w:p>
            <w:pPr>
              <w:pStyle w:val="TableParagraph"/>
              <w:ind w:left="944"/>
              <w:rPr>
                <w:b/>
                <w:sz w:val="22"/>
              </w:rPr>
            </w:pPr>
            <w:r>
              <w:rPr>
                <w:b/>
                <w:sz w:val="22"/>
              </w:rPr>
              <w:t>To be Submitted to CMS in May 2017—Posted for Public Comment on March 15, 2017</w:t>
            </w:r>
          </w:p>
        </w:tc>
      </w:tr>
      <w:tr>
        <w:trPr>
          <w:trHeight w:val="584" w:hRule="atLeast"/>
        </w:trPr>
        <w:tc>
          <w:tcPr>
            <w:tcW w:w="962" w:type="dxa"/>
            <w:vMerge w:val="restart"/>
            <w:tcBorders>
              <w:top w:val="nil"/>
              <w:bottom w:val="nil"/>
              <w:right w:val="single" w:sz="8" w:space="0" w:color="4E8542"/>
            </w:tcBorders>
          </w:tcPr>
          <w:p>
            <w:pPr>
              <w:pStyle w:val="TableParagraph"/>
              <w:rPr>
                <w:rFonts w:ascii="Times New Roman"/>
                <w:sz w:val="22"/>
              </w:rPr>
            </w:pPr>
          </w:p>
        </w:tc>
        <w:tc>
          <w:tcPr>
            <w:tcW w:w="3552"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292"/>
              <w:rPr>
                <w:b/>
                <w:sz w:val="24"/>
              </w:rPr>
            </w:pPr>
            <w:r>
              <w:rPr>
                <w:b/>
                <w:sz w:val="24"/>
              </w:rPr>
              <w:t>Characteristics/Requirements</w:t>
            </w:r>
          </w:p>
        </w:tc>
        <w:tc>
          <w:tcPr>
            <w:tcW w:w="3151"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691"/>
              <w:rPr>
                <w:b/>
                <w:sz w:val="24"/>
              </w:rPr>
            </w:pPr>
            <w:r>
              <w:rPr>
                <w:b/>
                <w:sz w:val="24"/>
              </w:rPr>
              <w:t>DDA Group Home</w:t>
            </w:r>
          </w:p>
          <w:p>
            <w:pPr>
              <w:pStyle w:val="TableParagraph"/>
              <w:spacing w:line="272" w:lineRule="exact"/>
              <w:ind w:left="765"/>
              <w:rPr>
                <w:b/>
                <w:sz w:val="24"/>
              </w:rPr>
            </w:pPr>
            <w:r>
              <w:rPr>
                <w:b/>
                <w:sz w:val="24"/>
              </w:rPr>
              <w:t>State Evaluation</w:t>
            </w:r>
          </w:p>
        </w:tc>
        <w:tc>
          <w:tcPr>
            <w:tcW w:w="1589"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190" w:right="162"/>
              <w:jc w:val="center"/>
              <w:rPr>
                <w:b/>
                <w:sz w:val="24"/>
              </w:rPr>
            </w:pPr>
            <w:r>
              <w:rPr>
                <w:b/>
                <w:sz w:val="24"/>
              </w:rPr>
              <w:t>Compliance</w:t>
            </w:r>
          </w:p>
          <w:p>
            <w:pPr>
              <w:pStyle w:val="TableParagraph"/>
              <w:spacing w:line="272" w:lineRule="exact"/>
              <w:ind w:left="190" w:right="162"/>
              <w:jc w:val="center"/>
              <w:rPr>
                <w:b/>
                <w:sz w:val="24"/>
              </w:rPr>
            </w:pPr>
            <w:r>
              <w:rPr>
                <w:b/>
                <w:sz w:val="24"/>
              </w:rPr>
              <w:t>Level</w:t>
            </w:r>
          </w:p>
        </w:tc>
        <w:tc>
          <w:tcPr>
            <w:tcW w:w="3240"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739"/>
              <w:rPr>
                <w:b/>
                <w:sz w:val="24"/>
              </w:rPr>
            </w:pPr>
            <w:r>
              <w:rPr>
                <w:b/>
                <w:sz w:val="24"/>
              </w:rPr>
              <w:t>Oversight Process</w:t>
            </w:r>
          </w:p>
        </w:tc>
        <w:tc>
          <w:tcPr>
            <w:tcW w:w="2351" w:type="dxa"/>
            <w:tcBorders>
              <w:top w:val="single" w:sz="8" w:space="0" w:color="4E8542"/>
              <w:left w:val="single" w:sz="8" w:space="0" w:color="4E8542"/>
              <w:bottom w:val="single" w:sz="18" w:space="0" w:color="4E8542"/>
              <w:right w:val="single" w:sz="18" w:space="0" w:color="000000"/>
            </w:tcBorders>
          </w:tcPr>
          <w:p>
            <w:pPr>
              <w:pStyle w:val="TableParagraph"/>
              <w:spacing w:line="292" w:lineRule="exact"/>
              <w:ind w:left="535"/>
              <w:rPr>
                <w:b/>
                <w:sz w:val="24"/>
              </w:rPr>
            </w:pPr>
            <w:r>
              <w:rPr>
                <w:b/>
                <w:sz w:val="24"/>
              </w:rPr>
              <w:t>Remediation</w:t>
            </w:r>
          </w:p>
        </w:tc>
      </w:tr>
      <w:tr>
        <w:trPr>
          <w:trHeight w:val="3735" w:hRule="atLeast"/>
        </w:trPr>
        <w:tc>
          <w:tcPr>
            <w:tcW w:w="962" w:type="dxa"/>
            <w:vMerge/>
            <w:tcBorders>
              <w:top w:val="nil"/>
              <w:bottom w:val="nil"/>
              <w:right w:val="single" w:sz="8" w:space="0" w:color="4E8542"/>
            </w:tcBorders>
          </w:tcPr>
          <w:p>
            <w:pPr>
              <w:rPr>
                <w:sz w:val="2"/>
                <w:szCs w:val="2"/>
              </w:rPr>
            </w:pPr>
          </w:p>
        </w:tc>
        <w:tc>
          <w:tcPr>
            <w:tcW w:w="3552" w:type="dxa"/>
            <w:tcBorders>
              <w:top w:val="single" w:sz="18" w:space="0" w:color="4E8542"/>
              <w:left w:val="single" w:sz="8" w:space="0" w:color="4E8542"/>
              <w:bottom w:val="single" w:sz="8" w:space="0" w:color="4E8542"/>
              <w:right w:val="single" w:sz="8" w:space="0" w:color="4E8542"/>
            </w:tcBorders>
            <w:shd w:val="clear" w:color="auto" w:fill="D0E4CA"/>
          </w:tcPr>
          <w:p>
            <w:pPr>
              <w:pStyle w:val="TableParagraph"/>
              <w:spacing w:line="245" w:lineRule="exact"/>
              <w:ind w:left="105"/>
              <w:rPr>
                <w:b/>
                <w:sz w:val="22"/>
              </w:rPr>
            </w:pPr>
            <w:r>
              <w:rPr>
                <w:b/>
                <w:sz w:val="22"/>
              </w:rPr>
              <w:t>Individuals are able to have visitors</w:t>
            </w:r>
          </w:p>
          <w:p>
            <w:pPr>
              <w:pStyle w:val="TableParagraph"/>
              <w:ind w:left="105"/>
              <w:rPr>
                <w:b/>
                <w:sz w:val="22"/>
              </w:rPr>
            </w:pPr>
            <w:r>
              <w:rPr>
                <w:b/>
                <w:sz w:val="22"/>
              </w:rPr>
              <w:t>of their choosing at any time</w:t>
            </w:r>
          </w:p>
        </w:tc>
        <w:tc>
          <w:tcPr>
            <w:tcW w:w="3151" w:type="dxa"/>
            <w:tcBorders>
              <w:top w:val="single" w:sz="18" w:space="0" w:color="4E8542"/>
              <w:left w:val="single" w:sz="8" w:space="0" w:color="4E8542"/>
              <w:bottom w:val="single" w:sz="8" w:space="0" w:color="4E8542"/>
              <w:right w:val="single" w:sz="8" w:space="0" w:color="4E8542"/>
            </w:tcBorders>
            <w:shd w:val="clear" w:color="auto" w:fill="D0E4CA"/>
          </w:tcPr>
          <w:p>
            <w:pPr>
              <w:pStyle w:val="TableParagraph"/>
              <w:spacing w:line="245" w:lineRule="exact"/>
              <w:ind w:left="112"/>
              <w:rPr>
                <w:sz w:val="22"/>
              </w:rPr>
            </w:pPr>
            <w:hyperlink r:id="rId59">
              <w:r>
                <w:rPr>
                  <w:color w:val="6B9F24"/>
                  <w:sz w:val="22"/>
                  <w:u w:val="single" w:color="6B9F24"/>
                </w:rPr>
                <w:t>RCW 70.129.090</w:t>
              </w:r>
              <w:r>
                <w:rPr>
                  <w:color w:val="6B9F24"/>
                  <w:sz w:val="22"/>
                </w:rPr>
                <w:t> </w:t>
              </w:r>
            </w:hyperlink>
            <w:r>
              <w:rPr>
                <w:sz w:val="22"/>
              </w:rPr>
              <w:t>(1) The</w:t>
            </w:r>
          </w:p>
          <w:p>
            <w:pPr>
              <w:pStyle w:val="TableParagraph"/>
              <w:ind w:left="112" w:right="267"/>
              <w:rPr>
                <w:sz w:val="22"/>
              </w:rPr>
            </w:pPr>
            <w:r>
              <w:rPr>
                <w:sz w:val="22"/>
              </w:rPr>
              <w:t>resident has the right and the facility must not interfere with access to any resident by the following:</w:t>
            </w:r>
          </w:p>
          <w:p>
            <w:pPr>
              <w:pStyle w:val="TableParagraph"/>
              <w:ind w:left="112" w:right="139"/>
              <w:rPr>
                <w:sz w:val="22"/>
              </w:rPr>
            </w:pPr>
            <w:r>
              <w:rPr>
                <w:sz w:val="22"/>
              </w:rPr>
              <w:t>(f) Subject to reasonable restrictions to protect the rights of others and to the resident's right to deny or withdraw consent at any time, immediate family or other relatives of the resident and others who are visiting with the consent of the</w:t>
            </w:r>
          </w:p>
          <w:p>
            <w:pPr>
              <w:pStyle w:val="TableParagraph"/>
              <w:spacing w:line="249" w:lineRule="exact"/>
              <w:ind w:left="112"/>
              <w:rPr>
                <w:sz w:val="22"/>
              </w:rPr>
            </w:pPr>
            <w:r>
              <w:rPr>
                <w:sz w:val="22"/>
              </w:rPr>
              <w:t>resident;</w:t>
            </w:r>
          </w:p>
        </w:tc>
        <w:tc>
          <w:tcPr>
            <w:tcW w:w="1589" w:type="dxa"/>
            <w:tcBorders>
              <w:top w:val="single" w:sz="18" w:space="0" w:color="4E8542"/>
              <w:left w:val="single" w:sz="8" w:space="0" w:color="4E8542"/>
              <w:bottom w:val="single" w:sz="8" w:space="0" w:color="4E8542"/>
              <w:right w:val="single" w:sz="8" w:space="0" w:color="4E8542"/>
            </w:tcBorders>
            <w:shd w:val="clear" w:color="auto" w:fill="D0E4CA"/>
          </w:tcPr>
          <w:p>
            <w:pPr>
              <w:pStyle w:val="TableParagraph"/>
              <w:spacing w:line="245" w:lineRule="exact"/>
              <w:ind w:left="112"/>
              <w:rPr>
                <w:sz w:val="22"/>
              </w:rPr>
            </w:pPr>
            <w:r>
              <w:rPr>
                <w:sz w:val="22"/>
              </w:rPr>
              <w:t>Fully</w:t>
            </w:r>
          </w:p>
          <w:p>
            <w:pPr>
              <w:pStyle w:val="TableParagraph"/>
              <w:ind w:left="112"/>
              <w:rPr>
                <w:sz w:val="22"/>
              </w:rPr>
            </w:pPr>
            <w:r>
              <w:rPr>
                <w:sz w:val="22"/>
              </w:rPr>
              <w:t>Compliant</w:t>
            </w:r>
          </w:p>
        </w:tc>
        <w:tc>
          <w:tcPr>
            <w:tcW w:w="3240" w:type="dxa"/>
            <w:tcBorders>
              <w:top w:val="single" w:sz="18" w:space="0" w:color="4E8542"/>
              <w:left w:val="single" w:sz="8" w:space="0" w:color="4E8542"/>
              <w:bottom w:val="single" w:sz="8" w:space="0" w:color="4E8542"/>
              <w:right w:val="single" w:sz="8" w:space="0" w:color="4E8542"/>
            </w:tcBorders>
            <w:shd w:val="clear" w:color="auto" w:fill="D0E4CA"/>
          </w:tcPr>
          <w:p>
            <w:pPr>
              <w:pStyle w:val="TableParagraph"/>
              <w:spacing w:line="245" w:lineRule="exact"/>
              <w:ind w:left="112"/>
              <w:rPr>
                <w:sz w:val="22"/>
              </w:rPr>
            </w:pPr>
            <w:r>
              <w:rPr>
                <w:sz w:val="22"/>
              </w:rPr>
              <w:t>As part of the inspection process</w:t>
            </w:r>
          </w:p>
          <w:p>
            <w:pPr>
              <w:pStyle w:val="TableParagraph"/>
              <w:ind w:left="112" w:right="70"/>
              <w:rPr>
                <w:sz w:val="22"/>
              </w:rPr>
            </w:pPr>
            <w:r>
              <w:rPr>
                <w:sz w:val="22"/>
              </w:rPr>
              <w:t>described in the overview, RCS conducts comprehensive resident interviews (see </w:t>
            </w:r>
            <w:hyperlink w:history="true" w:anchor="_bookmark45">
              <w:r>
                <w:rPr>
                  <w:color w:val="6B9F24"/>
                  <w:sz w:val="22"/>
                  <w:u w:val="single" w:color="6B9F24"/>
                </w:rPr>
                <w:t>Appendix E</w:t>
              </w:r>
            </w:hyperlink>
            <w:r>
              <w:rPr>
                <w:sz w:val="22"/>
              </w:rPr>
              <w:t>), reviews resident records, interviews providers/resident managers, and interviews staff regarding this requirement.</w:t>
            </w:r>
          </w:p>
          <w:p>
            <w:pPr>
              <w:pStyle w:val="TableParagraph"/>
              <w:spacing w:before="12"/>
              <w:rPr>
                <w:sz w:val="21"/>
              </w:rPr>
            </w:pPr>
          </w:p>
          <w:p>
            <w:pPr>
              <w:pStyle w:val="TableParagraph"/>
              <w:ind w:left="112" w:right="374"/>
              <w:rPr>
                <w:sz w:val="22"/>
              </w:rPr>
            </w:pPr>
            <w:r>
              <w:rPr>
                <w:sz w:val="22"/>
              </w:rPr>
              <w:t>On-site inspections ensure homes meet all licensing and certification requirements in WAC and RCW, including WAC</w:t>
            </w:r>
          </w:p>
          <w:p>
            <w:pPr>
              <w:pStyle w:val="TableParagraph"/>
              <w:spacing w:line="248" w:lineRule="exact"/>
              <w:ind w:left="112"/>
              <w:rPr>
                <w:sz w:val="22"/>
              </w:rPr>
            </w:pPr>
            <w:r>
              <w:rPr>
                <w:sz w:val="22"/>
              </w:rPr>
              <w:t>388-823-1095.</w:t>
            </w:r>
          </w:p>
        </w:tc>
        <w:tc>
          <w:tcPr>
            <w:tcW w:w="2351" w:type="dxa"/>
            <w:tcBorders>
              <w:top w:val="single" w:sz="18" w:space="0" w:color="4E8542"/>
              <w:left w:val="single" w:sz="8" w:space="0" w:color="4E8542"/>
              <w:bottom w:val="single" w:sz="8" w:space="0" w:color="4E8542"/>
              <w:right w:val="single" w:sz="18" w:space="0" w:color="000000"/>
            </w:tcBorders>
            <w:shd w:val="clear" w:color="auto" w:fill="D0E4CA"/>
          </w:tcPr>
          <w:p>
            <w:pPr>
              <w:pStyle w:val="TableParagraph"/>
              <w:spacing w:line="245" w:lineRule="exact"/>
              <w:ind w:left="112"/>
              <w:rPr>
                <w:sz w:val="22"/>
              </w:rPr>
            </w:pPr>
            <w:r>
              <w:rPr>
                <w:sz w:val="22"/>
              </w:rPr>
              <w:t>Revising </w:t>
            </w:r>
            <w:hyperlink r:id="rId23">
              <w:r>
                <w:rPr>
                  <w:color w:val="6B9F24"/>
                  <w:sz w:val="22"/>
                  <w:u w:val="single" w:color="6B9F24"/>
                </w:rPr>
                <w:t>WAC 388-823-</w:t>
              </w:r>
            </w:hyperlink>
          </w:p>
          <w:p>
            <w:pPr>
              <w:pStyle w:val="TableParagraph"/>
              <w:ind w:left="112" w:right="117"/>
              <w:rPr>
                <w:sz w:val="22"/>
              </w:rPr>
            </w:pP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4643" w:hRule="atLeast"/>
        </w:trPr>
        <w:tc>
          <w:tcPr>
            <w:tcW w:w="962" w:type="dxa"/>
            <w:vMerge/>
            <w:tcBorders>
              <w:top w:val="nil"/>
              <w:bottom w:val="nil"/>
              <w:right w:val="single" w:sz="8" w:space="0" w:color="4E8542"/>
            </w:tcBorders>
          </w:tcPr>
          <w:p>
            <w:pPr>
              <w:rPr>
                <w:sz w:val="2"/>
                <w:szCs w:val="2"/>
              </w:rPr>
            </w:pPr>
          </w:p>
        </w:tc>
        <w:tc>
          <w:tcPr>
            <w:tcW w:w="3552" w:type="dxa"/>
            <w:tcBorders>
              <w:top w:val="single" w:sz="8" w:space="0" w:color="4E8542"/>
              <w:left w:val="single" w:sz="8" w:space="0" w:color="4E8542"/>
              <w:bottom w:val="single" w:sz="8" w:space="0" w:color="4E8542"/>
              <w:right w:val="single" w:sz="8" w:space="0" w:color="4E8542"/>
            </w:tcBorders>
          </w:tcPr>
          <w:p>
            <w:pPr>
              <w:pStyle w:val="TableParagraph"/>
              <w:spacing w:before="1"/>
              <w:ind w:left="105" w:right="290"/>
              <w:rPr>
                <w:b/>
                <w:sz w:val="22"/>
              </w:rPr>
            </w:pPr>
            <w:r>
              <w:rPr>
                <w:b/>
                <w:sz w:val="22"/>
              </w:rPr>
              <w:t>The setting is physically accessible to the individual</w:t>
            </w:r>
          </w:p>
        </w:tc>
        <w:tc>
          <w:tcPr>
            <w:tcW w:w="3151" w:type="dxa"/>
            <w:tcBorders>
              <w:top w:val="single" w:sz="8" w:space="0" w:color="4E8542"/>
              <w:left w:val="single" w:sz="8" w:space="0" w:color="4E8542"/>
              <w:bottom w:val="single" w:sz="8" w:space="0" w:color="4E8542"/>
              <w:right w:val="single" w:sz="8" w:space="0" w:color="4E8542"/>
            </w:tcBorders>
          </w:tcPr>
          <w:p>
            <w:pPr>
              <w:pStyle w:val="TableParagraph"/>
              <w:spacing w:before="1"/>
              <w:ind w:left="112"/>
              <w:rPr>
                <w:sz w:val="22"/>
              </w:rPr>
            </w:pPr>
            <w:r>
              <w:rPr>
                <w:sz w:val="22"/>
              </w:rPr>
              <w:t>WACs:</w:t>
            </w:r>
          </w:p>
          <w:p>
            <w:pPr>
              <w:pStyle w:val="TableParagraph"/>
              <w:spacing w:line="267" w:lineRule="exact"/>
              <w:ind w:left="112"/>
              <w:rPr>
                <w:sz w:val="22"/>
              </w:rPr>
            </w:pPr>
            <w:hyperlink r:id="rId52">
              <w:r>
                <w:rPr>
                  <w:color w:val="6B9F24"/>
                  <w:sz w:val="22"/>
                  <w:u w:val="single" w:color="6B9F24"/>
                </w:rPr>
                <w:t>388-76-10685</w:t>
              </w:r>
              <w:r>
                <w:rPr>
                  <w:color w:val="6B9F24"/>
                  <w:sz w:val="22"/>
                </w:rPr>
                <w:t> </w:t>
              </w:r>
            </w:hyperlink>
            <w:r>
              <w:rPr>
                <w:sz w:val="22"/>
              </w:rPr>
              <w:t>Bedrooms</w:t>
            </w:r>
          </w:p>
          <w:p>
            <w:pPr>
              <w:pStyle w:val="TableParagraph"/>
              <w:ind w:left="112" w:right="316"/>
              <w:rPr>
                <w:sz w:val="22"/>
              </w:rPr>
            </w:pPr>
            <w:hyperlink r:id="rId60">
              <w:r>
                <w:rPr>
                  <w:color w:val="6B9F24"/>
                  <w:sz w:val="22"/>
                  <w:u w:val="single" w:color="6B9F24"/>
                </w:rPr>
                <w:t>388-76-10695</w:t>
              </w:r>
              <w:r>
                <w:rPr>
                  <w:color w:val="6B9F24"/>
                  <w:sz w:val="22"/>
                </w:rPr>
                <w:t> </w:t>
              </w:r>
            </w:hyperlink>
            <w:r>
              <w:rPr>
                <w:sz w:val="22"/>
              </w:rPr>
              <w:t>Building Codes- Structural requirements</w:t>
            </w:r>
          </w:p>
          <w:p>
            <w:pPr>
              <w:pStyle w:val="TableParagraph"/>
              <w:ind w:left="112" w:right="291"/>
              <w:rPr>
                <w:sz w:val="22"/>
              </w:rPr>
            </w:pPr>
            <w:hyperlink r:id="rId61">
              <w:r>
                <w:rPr>
                  <w:color w:val="6B9F24"/>
                  <w:sz w:val="22"/>
                  <w:u w:val="single" w:color="6B9F24"/>
                </w:rPr>
                <w:t>388-76-10870</w:t>
              </w:r>
              <w:r>
                <w:rPr>
                  <w:color w:val="6B9F24"/>
                  <w:sz w:val="22"/>
                </w:rPr>
                <w:t> </w:t>
              </w:r>
            </w:hyperlink>
            <w:r>
              <w:rPr>
                <w:sz w:val="22"/>
              </w:rPr>
              <w:t>– Resident evacuation capability levels – identification required Building Code </w:t>
            </w:r>
            <w:hyperlink r:id="rId62">
              <w:r>
                <w:rPr>
                  <w:color w:val="6B9F24"/>
                  <w:sz w:val="22"/>
                  <w:u w:val="single" w:color="6B9F24"/>
                </w:rPr>
                <w:t>51-51-R325</w:t>
              </w:r>
              <w:r>
                <w:rPr>
                  <w:color w:val="6B9F24"/>
                  <w:sz w:val="22"/>
                </w:rPr>
                <w:t> </w:t>
              </w:r>
            </w:hyperlink>
            <w:r>
              <w:rPr>
                <w:sz w:val="22"/>
              </w:rPr>
              <w:t>has more details related to ramps, bathrooms, grade of walkway, etc.</w:t>
            </w:r>
          </w:p>
          <w:p>
            <w:pPr>
              <w:pStyle w:val="TableParagraph"/>
              <w:rPr>
                <w:sz w:val="28"/>
              </w:rPr>
            </w:pPr>
          </w:p>
          <w:p>
            <w:pPr>
              <w:pStyle w:val="TableParagraph"/>
              <w:ind w:left="112"/>
              <w:rPr>
                <w:sz w:val="22"/>
              </w:rPr>
            </w:pPr>
            <w:r>
              <w:rPr>
                <w:sz w:val="22"/>
              </w:rPr>
              <w:t>As part of the person centered service planning process, participants are provided with</w:t>
            </w:r>
          </w:p>
          <w:p>
            <w:pPr>
              <w:pStyle w:val="TableParagraph"/>
              <w:spacing w:line="270" w:lineRule="atLeast"/>
              <w:ind w:left="112" w:right="147"/>
              <w:rPr>
                <w:sz w:val="22"/>
              </w:rPr>
            </w:pPr>
            <w:r>
              <w:rPr>
                <w:sz w:val="22"/>
              </w:rPr>
              <w:t>options that meet their physical accessibility requirements. If a</w:t>
            </w:r>
          </w:p>
        </w:tc>
        <w:tc>
          <w:tcPr>
            <w:tcW w:w="1589" w:type="dxa"/>
            <w:tcBorders>
              <w:top w:val="single" w:sz="8" w:space="0" w:color="4E8542"/>
              <w:left w:val="single" w:sz="8" w:space="0" w:color="4E8542"/>
              <w:bottom w:val="single" w:sz="8" w:space="0" w:color="4E8542"/>
              <w:right w:val="single" w:sz="8" w:space="0" w:color="4E8542"/>
            </w:tcBorders>
          </w:tcPr>
          <w:p>
            <w:pPr>
              <w:pStyle w:val="TableParagraph"/>
              <w:spacing w:before="1"/>
              <w:ind w:left="112" w:right="516"/>
              <w:rPr>
                <w:sz w:val="22"/>
              </w:rPr>
            </w:pPr>
            <w:r>
              <w:rPr>
                <w:sz w:val="22"/>
              </w:rPr>
              <w:t>Fully Compliant</w:t>
            </w:r>
          </w:p>
        </w:tc>
        <w:tc>
          <w:tcPr>
            <w:tcW w:w="3240" w:type="dxa"/>
            <w:tcBorders>
              <w:top w:val="single" w:sz="8" w:space="0" w:color="4E8542"/>
              <w:left w:val="single" w:sz="8" w:space="0" w:color="4E8542"/>
              <w:bottom w:val="single" w:sz="8" w:space="0" w:color="4E8542"/>
              <w:right w:val="single" w:sz="8" w:space="0" w:color="4E8542"/>
            </w:tcBorders>
          </w:tcPr>
          <w:p>
            <w:pPr>
              <w:pStyle w:val="TableParagraph"/>
              <w:spacing w:before="1"/>
              <w:ind w:left="112" w:right="163"/>
              <w:rPr>
                <w:sz w:val="22"/>
              </w:rPr>
            </w:pPr>
            <w:r>
              <w:rPr>
                <w:sz w:val="22"/>
              </w:rPr>
              <w:t>As part of the inspection process described in the overview, RCS conducts an environmental tour regarding this requirement.</w:t>
            </w:r>
          </w:p>
          <w:p>
            <w:pPr>
              <w:pStyle w:val="TableParagraph"/>
              <w:rPr>
                <w:sz w:val="28"/>
              </w:rPr>
            </w:pPr>
          </w:p>
          <w:p>
            <w:pPr>
              <w:pStyle w:val="TableParagraph"/>
              <w:ind w:left="112" w:right="91"/>
              <w:rPr>
                <w:sz w:val="22"/>
              </w:rPr>
            </w:pPr>
            <w:r>
              <w:rPr>
                <w:sz w:val="22"/>
              </w:rPr>
              <w:t>RCS regulates physical plant requirements every year (not just at initial licensing). If a facility makes changes to their physical plant, the plans must be approved through the construction review</w:t>
            </w:r>
            <w:r>
              <w:rPr>
                <w:spacing w:val="-2"/>
                <w:sz w:val="22"/>
              </w:rPr>
              <w:t> </w:t>
            </w:r>
            <w:r>
              <w:rPr>
                <w:sz w:val="22"/>
              </w:rPr>
              <w:t>process.</w:t>
            </w:r>
          </w:p>
          <w:p>
            <w:pPr>
              <w:pStyle w:val="TableParagraph"/>
              <w:spacing w:before="1"/>
              <w:ind w:left="112" w:right="254"/>
              <w:rPr>
                <w:sz w:val="22"/>
              </w:rPr>
            </w:pPr>
            <w:r>
              <w:rPr>
                <w:sz w:val="22"/>
              </w:rPr>
              <w:t>Once the work is complete, RCS licensors review the work to ensure the changes are safe for residents. It is possible that</w:t>
            </w:r>
            <w:r>
              <w:rPr>
                <w:spacing w:val="-9"/>
                <w:sz w:val="22"/>
              </w:rPr>
              <w:t> </w:t>
            </w:r>
            <w:r>
              <w:rPr>
                <w:sz w:val="22"/>
              </w:rPr>
              <w:t>a</w:t>
            </w:r>
          </w:p>
          <w:p>
            <w:pPr>
              <w:pStyle w:val="TableParagraph"/>
              <w:spacing w:line="251" w:lineRule="exact"/>
              <w:ind w:left="112"/>
              <w:rPr>
                <w:sz w:val="22"/>
              </w:rPr>
            </w:pPr>
            <w:r>
              <w:rPr>
                <w:sz w:val="22"/>
              </w:rPr>
              <w:t>code that involves access could</w:t>
            </w:r>
          </w:p>
        </w:tc>
        <w:tc>
          <w:tcPr>
            <w:tcW w:w="2351" w:type="dxa"/>
            <w:tcBorders>
              <w:top w:val="single" w:sz="8" w:space="0" w:color="4E8542"/>
              <w:left w:val="single" w:sz="8" w:space="0" w:color="4E8542"/>
              <w:bottom w:val="single" w:sz="8" w:space="0" w:color="4E8542"/>
              <w:right w:val="single" w:sz="18" w:space="0" w:color="000000"/>
            </w:tcBorders>
          </w:tcPr>
          <w:p>
            <w:pPr>
              <w:pStyle w:val="TableParagraph"/>
              <w:rPr>
                <w:rFonts w:ascii="Times New Roman"/>
                <w:sz w:val="22"/>
              </w:rPr>
            </w:pPr>
          </w:p>
        </w:tc>
      </w:tr>
      <w:tr>
        <w:trPr>
          <w:trHeight w:val="934" w:hRule="atLeast"/>
        </w:trPr>
        <w:tc>
          <w:tcPr>
            <w:tcW w:w="14845" w:type="dxa"/>
            <w:gridSpan w:val="6"/>
            <w:tcBorders>
              <w:top w:val="nil"/>
            </w:tcBorders>
          </w:tcPr>
          <w:p>
            <w:pPr>
              <w:pStyle w:val="TableParagraph"/>
              <w:spacing w:before="11"/>
              <w:rPr>
                <w:sz w:val="12"/>
              </w:rPr>
            </w:pPr>
          </w:p>
          <w:p>
            <w:pPr>
              <w:pStyle w:val="TableParagraph"/>
              <w:spacing w:line="20" w:lineRule="exact"/>
              <w:ind w:left="911"/>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pStyle w:val="TableParagraph"/>
              <w:spacing w:before="8"/>
              <w:ind w:left="945"/>
              <w:rPr>
                <w:sz w:val="22"/>
              </w:rPr>
            </w:pPr>
            <w:r>
              <w:rPr>
                <w:b/>
                <w:sz w:val="22"/>
              </w:rPr>
              <w:t>46 | </w:t>
            </w:r>
            <w:r>
              <w:rPr>
                <w:color w:val="808080"/>
                <w:sz w:val="22"/>
              </w:rPr>
              <w:t>P a g e </w:t>
            </w:r>
          </w:p>
        </w:tc>
      </w:tr>
    </w:tbl>
    <w:p>
      <w:pPr>
        <w:spacing w:after="0"/>
        <w:rPr>
          <w:sz w:val="22"/>
        </w:rPr>
        <w:sectPr>
          <w:footerReference w:type="default" r:id="rId58"/>
          <w:pgSz w:w="15840" w:h="12240" w:orient="landscape"/>
          <w:pgMar w:footer="0" w:header="0" w:top="480" w:bottom="280" w:left="380" w:right="340"/>
        </w:sect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64"/>
        <w:gridCol w:w="3551"/>
        <w:gridCol w:w="3151"/>
        <w:gridCol w:w="1589"/>
        <w:gridCol w:w="3240"/>
        <w:gridCol w:w="2351"/>
      </w:tblGrid>
      <w:tr>
        <w:trPr>
          <w:trHeight w:val="1218" w:hRule="atLeast"/>
        </w:trPr>
        <w:tc>
          <w:tcPr>
            <w:tcW w:w="14846" w:type="dxa"/>
            <w:gridSpan w:val="6"/>
            <w:tcBorders>
              <w:bottom w:val="nil"/>
            </w:tcBorders>
          </w:tcPr>
          <w:p>
            <w:pPr>
              <w:pStyle w:val="TableParagraph"/>
              <w:spacing w:before="2"/>
              <w:rPr>
                <w:sz w:val="17"/>
              </w:rPr>
            </w:pPr>
          </w:p>
          <w:p>
            <w:pPr>
              <w:pStyle w:val="TableParagraph"/>
              <w:ind w:left="945"/>
              <w:rPr>
                <w:b/>
                <w:sz w:val="22"/>
              </w:rPr>
            </w:pPr>
            <w:r>
              <w:rPr>
                <w:b/>
                <w:sz w:val="22"/>
              </w:rPr>
              <w:t>Washington State</w:t>
            </w:r>
          </w:p>
          <w:p>
            <w:pPr>
              <w:pStyle w:val="TableParagraph"/>
              <w:ind w:left="944"/>
              <w:rPr>
                <w:b/>
                <w:sz w:val="22"/>
              </w:rPr>
            </w:pPr>
            <w:r>
              <w:rPr>
                <w:b/>
                <w:sz w:val="22"/>
              </w:rPr>
              <w:t>Revised Transition Plan for New HCBS Rules</w:t>
            </w:r>
          </w:p>
          <w:p>
            <w:pPr>
              <w:pStyle w:val="TableParagraph"/>
              <w:ind w:left="944"/>
              <w:rPr>
                <w:b/>
                <w:sz w:val="22"/>
              </w:rPr>
            </w:pPr>
            <w:r>
              <w:rPr>
                <w:b/>
                <w:sz w:val="22"/>
              </w:rPr>
              <w:t>To be Submitted to CMS in May 2017—Posted for Public Comment on March 15, 2017</w:t>
            </w:r>
          </w:p>
        </w:tc>
      </w:tr>
      <w:tr>
        <w:trPr>
          <w:trHeight w:val="584" w:hRule="atLeast"/>
        </w:trPr>
        <w:tc>
          <w:tcPr>
            <w:tcW w:w="964" w:type="dxa"/>
            <w:vMerge w:val="restart"/>
            <w:tcBorders>
              <w:top w:val="nil"/>
              <w:bottom w:val="nil"/>
              <w:right w:val="single" w:sz="8" w:space="0" w:color="4E8542"/>
            </w:tcBorders>
          </w:tcPr>
          <w:p>
            <w:pPr>
              <w:pStyle w:val="TableParagraph"/>
              <w:rPr>
                <w:rFonts w:ascii="Times New Roman"/>
                <w:sz w:val="22"/>
              </w:rPr>
            </w:pPr>
          </w:p>
        </w:tc>
        <w:tc>
          <w:tcPr>
            <w:tcW w:w="3551"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290"/>
              <w:rPr>
                <w:b/>
                <w:sz w:val="24"/>
              </w:rPr>
            </w:pPr>
            <w:r>
              <w:rPr>
                <w:b/>
                <w:sz w:val="24"/>
              </w:rPr>
              <w:t>Characteristics/Requirements</w:t>
            </w:r>
          </w:p>
        </w:tc>
        <w:tc>
          <w:tcPr>
            <w:tcW w:w="3151"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690"/>
              <w:rPr>
                <w:b/>
                <w:sz w:val="24"/>
              </w:rPr>
            </w:pPr>
            <w:r>
              <w:rPr>
                <w:b/>
                <w:sz w:val="24"/>
              </w:rPr>
              <w:t>DDA Group Home</w:t>
            </w:r>
          </w:p>
          <w:p>
            <w:pPr>
              <w:pStyle w:val="TableParagraph"/>
              <w:spacing w:line="272" w:lineRule="exact"/>
              <w:ind w:left="764"/>
              <w:rPr>
                <w:b/>
                <w:sz w:val="24"/>
              </w:rPr>
            </w:pPr>
            <w:r>
              <w:rPr>
                <w:b/>
                <w:sz w:val="24"/>
              </w:rPr>
              <w:t>State Evaluation</w:t>
            </w:r>
          </w:p>
        </w:tc>
        <w:tc>
          <w:tcPr>
            <w:tcW w:w="1589"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190" w:right="164"/>
              <w:jc w:val="center"/>
              <w:rPr>
                <w:b/>
                <w:sz w:val="24"/>
              </w:rPr>
            </w:pPr>
            <w:r>
              <w:rPr>
                <w:b/>
                <w:sz w:val="24"/>
              </w:rPr>
              <w:t>Compliance</w:t>
            </w:r>
          </w:p>
          <w:p>
            <w:pPr>
              <w:pStyle w:val="TableParagraph"/>
              <w:spacing w:line="272" w:lineRule="exact"/>
              <w:ind w:left="190" w:right="164"/>
              <w:jc w:val="center"/>
              <w:rPr>
                <w:b/>
                <w:sz w:val="24"/>
              </w:rPr>
            </w:pPr>
            <w:r>
              <w:rPr>
                <w:b/>
                <w:sz w:val="24"/>
              </w:rPr>
              <w:t>Level</w:t>
            </w:r>
          </w:p>
        </w:tc>
        <w:tc>
          <w:tcPr>
            <w:tcW w:w="3240"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738"/>
              <w:rPr>
                <w:b/>
                <w:sz w:val="24"/>
              </w:rPr>
            </w:pPr>
            <w:r>
              <w:rPr>
                <w:b/>
                <w:sz w:val="24"/>
              </w:rPr>
              <w:t>Oversight Process</w:t>
            </w:r>
          </w:p>
        </w:tc>
        <w:tc>
          <w:tcPr>
            <w:tcW w:w="2351" w:type="dxa"/>
            <w:tcBorders>
              <w:top w:val="single" w:sz="8" w:space="0" w:color="4E8542"/>
              <w:left w:val="single" w:sz="8" w:space="0" w:color="4E8542"/>
              <w:bottom w:val="single" w:sz="18" w:space="0" w:color="4E8542"/>
              <w:right w:val="single" w:sz="18" w:space="0" w:color="000000"/>
            </w:tcBorders>
          </w:tcPr>
          <w:p>
            <w:pPr>
              <w:pStyle w:val="TableParagraph"/>
              <w:spacing w:line="292" w:lineRule="exact"/>
              <w:ind w:left="534"/>
              <w:rPr>
                <w:b/>
                <w:sz w:val="24"/>
              </w:rPr>
            </w:pPr>
            <w:r>
              <w:rPr>
                <w:b/>
                <w:sz w:val="24"/>
              </w:rPr>
              <w:t>Remediation</w:t>
            </w:r>
          </w:p>
        </w:tc>
      </w:tr>
      <w:tr>
        <w:trPr>
          <w:trHeight w:val="3349" w:hRule="atLeast"/>
        </w:trPr>
        <w:tc>
          <w:tcPr>
            <w:tcW w:w="964" w:type="dxa"/>
            <w:vMerge/>
            <w:tcBorders>
              <w:top w:val="nil"/>
              <w:bottom w:val="nil"/>
              <w:right w:val="single" w:sz="8" w:space="0" w:color="4E8542"/>
            </w:tcBorders>
          </w:tcPr>
          <w:p>
            <w:pPr>
              <w:rPr>
                <w:sz w:val="2"/>
                <w:szCs w:val="2"/>
              </w:rPr>
            </w:pPr>
          </w:p>
        </w:tc>
        <w:tc>
          <w:tcPr>
            <w:tcW w:w="3551" w:type="dxa"/>
            <w:tcBorders>
              <w:top w:val="single" w:sz="18" w:space="0" w:color="4E8542"/>
              <w:left w:val="single" w:sz="8" w:space="0" w:color="4E8542"/>
              <w:bottom w:val="single" w:sz="8" w:space="0" w:color="4E8542"/>
              <w:right w:val="single" w:sz="8" w:space="0" w:color="4E8542"/>
            </w:tcBorders>
          </w:tcPr>
          <w:p>
            <w:pPr>
              <w:pStyle w:val="TableParagraph"/>
              <w:rPr>
                <w:rFonts w:ascii="Times New Roman"/>
                <w:sz w:val="22"/>
              </w:rPr>
            </w:pPr>
          </w:p>
        </w:tc>
        <w:tc>
          <w:tcPr>
            <w:tcW w:w="3151" w:type="dxa"/>
            <w:tcBorders>
              <w:top w:val="single" w:sz="18" w:space="0" w:color="4E8542"/>
              <w:left w:val="single" w:sz="8" w:space="0" w:color="4E8542"/>
              <w:bottom w:val="single" w:sz="8" w:space="0" w:color="4E8542"/>
              <w:right w:val="single" w:sz="8" w:space="0" w:color="4E8542"/>
            </w:tcBorders>
          </w:tcPr>
          <w:p>
            <w:pPr>
              <w:pStyle w:val="TableParagraph"/>
              <w:spacing w:line="245" w:lineRule="exact"/>
              <w:ind w:left="111"/>
              <w:rPr>
                <w:sz w:val="22"/>
              </w:rPr>
            </w:pPr>
            <w:r>
              <w:rPr>
                <w:sz w:val="22"/>
              </w:rPr>
              <w:t>participant’s needs change</w:t>
            </w:r>
          </w:p>
          <w:p>
            <w:pPr>
              <w:pStyle w:val="TableParagraph"/>
              <w:ind w:left="111" w:right="182"/>
              <w:rPr>
                <w:sz w:val="22"/>
              </w:rPr>
            </w:pPr>
            <w:r>
              <w:rPr>
                <w:sz w:val="22"/>
              </w:rPr>
              <w:t>regarding accessibility, the case manager works with the resident and facility to accommodate the resident’s needs. As a part of the inspection process, licensors also look at residents and their assessments to make sure the setting, including physical plant requirements, is meeting their needs.</w:t>
            </w:r>
          </w:p>
        </w:tc>
        <w:tc>
          <w:tcPr>
            <w:tcW w:w="1589" w:type="dxa"/>
            <w:tcBorders>
              <w:top w:val="single" w:sz="18" w:space="0" w:color="4E8542"/>
              <w:left w:val="single" w:sz="8" w:space="0" w:color="4E8542"/>
              <w:bottom w:val="single" w:sz="8" w:space="0" w:color="4E8542"/>
              <w:right w:val="single" w:sz="8" w:space="0" w:color="4E8542"/>
            </w:tcBorders>
          </w:tcPr>
          <w:p>
            <w:pPr>
              <w:pStyle w:val="TableParagraph"/>
              <w:rPr>
                <w:rFonts w:ascii="Times New Roman"/>
                <w:sz w:val="22"/>
              </w:rPr>
            </w:pPr>
          </w:p>
        </w:tc>
        <w:tc>
          <w:tcPr>
            <w:tcW w:w="3240" w:type="dxa"/>
            <w:tcBorders>
              <w:top w:val="single" w:sz="18" w:space="0" w:color="4E8542"/>
              <w:left w:val="single" w:sz="8" w:space="0" w:color="4E8542"/>
              <w:bottom w:val="single" w:sz="8" w:space="0" w:color="4E8542"/>
              <w:right w:val="single" w:sz="8" w:space="0" w:color="4E8542"/>
            </w:tcBorders>
          </w:tcPr>
          <w:p>
            <w:pPr>
              <w:pStyle w:val="TableParagraph"/>
              <w:spacing w:line="245" w:lineRule="exact"/>
              <w:ind w:left="111"/>
              <w:rPr>
                <w:sz w:val="22"/>
              </w:rPr>
            </w:pPr>
            <w:r>
              <w:rPr>
                <w:sz w:val="22"/>
              </w:rPr>
              <w:t>be updated but the facility is not</w:t>
            </w:r>
          </w:p>
          <w:p>
            <w:pPr>
              <w:pStyle w:val="TableParagraph"/>
              <w:ind w:left="111" w:right="187"/>
              <w:rPr>
                <w:sz w:val="22"/>
              </w:rPr>
            </w:pPr>
            <w:r>
              <w:rPr>
                <w:sz w:val="22"/>
              </w:rPr>
              <w:t>required to complete construction to meet the new standard unless it poses a risk to the health and safety of residents.</w:t>
            </w:r>
          </w:p>
          <w:p>
            <w:pPr>
              <w:pStyle w:val="TableParagraph"/>
              <w:spacing w:before="150"/>
              <w:ind w:left="111" w:right="391"/>
              <w:rPr>
                <w:sz w:val="22"/>
              </w:rPr>
            </w:pPr>
            <w:r>
              <w:rPr>
                <w:sz w:val="22"/>
              </w:rPr>
              <w:t>On-site inspections ensure homes meet all licensing and certification requirements in WAC and RCW, including WAC 388-823-1095.</w:t>
            </w:r>
          </w:p>
        </w:tc>
        <w:tc>
          <w:tcPr>
            <w:tcW w:w="2351" w:type="dxa"/>
            <w:tcBorders>
              <w:top w:val="single" w:sz="18" w:space="0" w:color="4E8542"/>
              <w:left w:val="single" w:sz="8" w:space="0" w:color="4E8542"/>
              <w:bottom w:val="single" w:sz="8" w:space="0" w:color="4E8542"/>
              <w:right w:val="single" w:sz="18" w:space="0" w:color="000000"/>
            </w:tcBorders>
          </w:tcPr>
          <w:p>
            <w:pPr>
              <w:pStyle w:val="TableParagraph"/>
              <w:rPr>
                <w:rFonts w:ascii="Times New Roman"/>
                <w:sz w:val="22"/>
              </w:rPr>
            </w:pPr>
          </w:p>
        </w:tc>
      </w:tr>
      <w:tr>
        <w:trPr>
          <w:trHeight w:val="3222" w:hRule="atLeast"/>
        </w:trPr>
        <w:tc>
          <w:tcPr>
            <w:tcW w:w="964" w:type="dxa"/>
            <w:vMerge/>
            <w:tcBorders>
              <w:top w:val="nil"/>
              <w:bottom w:val="nil"/>
              <w:right w:val="single" w:sz="8" w:space="0" w:color="4E8542"/>
            </w:tcBorders>
          </w:tcPr>
          <w:p>
            <w:pPr>
              <w:rPr>
                <w:sz w:val="2"/>
                <w:szCs w:val="2"/>
              </w:rPr>
            </w:pPr>
          </w:p>
        </w:tc>
        <w:tc>
          <w:tcPr>
            <w:tcW w:w="3551" w:type="dxa"/>
            <w:tcBorders>
              <w:top w:val="single" w:sz="8" w:space="0" w:color="4E8542"/>
              <w:left w:val="single" w:sz="8" w:space="0" w:color="4E8542"/>
              <w:bottom w:val="single" w:sz="8" w:space="0" w:color="4E8542"/>
              <w:right w:val="single" w:sz="8" w:space="0" w:color="4E8542"/>
            </w:tcBorders>
            <w:shd w:val="clear" w:color="auto" w:fill="D0E4CA"/>
          </w:tcPr>
          <w:p>
            <w:pPr>
              <w:pStyle w:val="TableParagraph"/>
              <w:ind w:left="103" w:right="88"/>
              <w:rPr>
                <w:b/>
                <w:sz w:val="22"/>
              </w:rPr>
            </w:pPr>
            <w:r>
              <w:rPr>
                <w:b/>
                <w:sz w:val="22"/>
              </w:rPr>
              <w:t>The setting that is located in a building that is also a publicly or privately operated facility that provides inpatient institutional treatment, or in a building on the grounds of, or immediately adjacent to, a public institution, or any other setting that has the effect of isolating individuals receiving Medicaid HCBS from the broader community of individuals not</w:t>
            </w:r>
          </w:p>
          <w:p>
            <w:pPr>
              <w:pStyle w:val="TableParagraph"/>
              <w:spacing w:line="249" w:lineRule="exact"/>
              <w:ind w:left="103"/>
              <w:rPr>
                <w:b/>
                <w:sz w:val="22"/>
              </w:rPr>
            </w:pPr>
            <w:r>
              <w:rPr>
                <w:b/>
                <w:sz w:val="22"/>
              </w:rPr>
              <w:t>receiving HCBS.</w:t>
            </w:r>
          </w:p>
        </w:tc>
        <w:tc>
          <w:tcPr>
            <w:tcW w:w="3151" w:type="dxa"/>
            <w:tcBorders>
              <w:top w:val="single" w:sz="8" w:space="0" w:color="4E8542"/>
              <w:left w:val="single" w:sz="8" w:space="0" w:color="4E8542"/>
              <w:bottom w:val="single" w:sz="8" w:space="0" w:color="4E8542"/>
              <w:right w:val="single" w:sz="8" w:space="0" w:color="4E8542"/>
            </w:tcBorders>
            <w:shd w:val="clear" w:color="auto" w:fill="D0E4CA"/>
          </w:tcPr>
          <w:p>
            <w:pPr>
              <w:pStyle w:val="TableParagraph"/>
              <w:ind w:left="111"/>
              <w:rPr>
                <w:sz w:val="22"/>
              </w:rPr>
            </w:pPr>
            <w:r>
              <w:rPr>
                <w:sz w:val="22"/>
              </w:rPr>
              <w:t>This is not applicable. These are residential homes. None are attached to institutions.</w:t>
            </w:r>
          </w:p>
        </w:tc>
        <w:tc>
          <w:tcPr>
            <w:tcW w:w="1589" w:type="dxa"/>
            <w:tcBorders>
              <w:top w:val="single" w:sz="8" w:space="0" w:color="4E8542"/>
              <w:left w:val="single" w:sz="8" w:space="0" w:color="4E8542"/>
              <w:bottom w:val="single" w:sz="8" w:space="0" w:color="4E8542"/>
              <w:right w:val="single" w:sz="8" w:space="0" w:color="4E8542"/>
            </w:tcBorders>
            <w:shd w:val="clear" w:color="auto" w:fill="D0E4CA"/>
          </w:tcPr>
          <w:p>
            <w:pPr>
              <w:pStyle w:val="TableParagraph"/>
              <w:ind w:left="111" w:right="517"/>
              <w:rPr>
                <w:sz w:val="22"/>
              </w:rPr>
            </w:pPr>
            <w:r>
              <w:rPr>
                <w:sz w:val="22"/>
              </w:rPr>
              <w:t>Fully Compliant</w:t>
            </w:r>
          </w:p>
        </w:tc>
        <w:tc>
          <w:tcPr>
            <w:tcW w:w="3240" w:type="dxa"/>
            <w:tcBorders>
              <w:top w:val="single" w:sz="8" w:space="0" w:color="4E8542"/>
              <w:left w:val="single" w:sz="8" w:space="0" w:color="4E8542"/>
              <w:bottom w:val="single" w:sz="8" w:space="0" w:color="4E8542"/>
              <w:right w:val="single" w:sz="8" w:space="0" w:color="4E8542"/>
            </w:tcBorders>
            <w:shd w:val="clear" w:color="auto" w:fill="D0E4CA"/>
          </w:tcPr>
          <w:p>
            <w:pPr>
              <w:pStyle w:val="TableParagraph"/>
              <w:spacing w:line="267" w:lineRule="exact"/>
              <w:ind w:left="111"/>
              <w:rPr>
                <w:sz w:val="22"/>
              </w:rPr>
            </w:pPr>
            <w:r>
              <w:rPr>
                <w:sz w:val="22"/>
              </w:rPr>
              <w:t>Not applicable</w:t>
            </w:r>
          </w:p>
        </w:tc>
        <w:tc>
          <w:tcPr>
            <w:tcW w:w="2351" w:type="dxa"/>
            <w:tcBorders>
              <w:top w:val="single" w:sz="8" w:space="0" w:color="4E8542"/>
              <w:left w:val="single" w:sz="8" w:space="0" w:color="4E8542"/>
              <w:bottom w:val="single" w:sz="8" w:space="0" w:color="4E8542"/>
              <w:right w:val="single" w:sz="18" w:space="0" w:color="000000"/>
            </w:tcBorders>
            <w:shd w:val="clear" w:color="auto" w:fill="D0E4CA"/>
          </w:tcPr>
          <w:p>
            <w:pPr>
              <w:pStyle w:val="TableParagraph"/>
              <w:rPr>
                <w:rFonts w:ascii="Times New Roman"/>
                <w:sz w:val="22"/>
              </w:rPr>
            </w:pPr>
          </w:p>
        </w:tc>
      </w:tr>
      <w:tr>
        <w:trPr>
          <w:trHeight w:val="1880" w:hRule="atLeast"/>
        </w:trPr>
        <w:tc>
          <w:tcPr>
            <w:tcW w:w="964" w:type="dxa"/>
            <w:vMerge/>
            <w:tcBorders>
              <w:top w:val="nil"/>
              <w:bottom w:val="nil"/>
              <w:right w:val="single" w:sz="8" w:space="0" w:color="4E8542"/>
            </w:tcBorders>
          </w:tcPr>
          <w:p>
            <w:pPr>
              <w:rPr>
                <w:sz w:val="2"/>
                <w:szCs w:val="2"/>
              </w:rPr>
            </w:pPr>
          </w:p>
        </w:tc>
        <w:tc>
          <w:tcPr>
            <w:tcW w:w="3551" w:type="dxa"/>
            <w:tcBorders>
              <w:top w:val="single" w:sz="8" w:space="0" w:color="4E8542"/>
              <w:left w:val="single" w:sz="8" w:space="0" w:color="4E8542"/>
              <w:bottom w:val="single" w:sz="8" w:space="0" w:color="4E8542"/>
              <w:right w:val="single" w:sz="8" w:space="0" w:color="4E8542"/>
            </w:tcBorders>
          </w:tcPr>
          <w:p>
            <w:pPr>
              <w:pStyle w:val="TableParagraph"/>
              <w:ind w:left="103" w:right="307"/>
              <w:rPr>
                <w:b/>
                <w:sz w:val="22"/>
              </w:rPr>
            </w:pPr>
            <w:r>
              <w:rPr>
                <w:b/>
                <w:sz w:val="22"/>
              </w:rPr>
              <w:t>The unit or room is a specific physical place that can be owned, rented or occupied under another legally enforceable agreement by the individual receiving services, and the individual has, at a</w:t>
            </w:r>
          </w:p>
          <w:p>
            <w:pPr>
              <w:pStyle w:val="TableParagraph"/>
              <w:spacing w:line="249" w:lineRule="exact"/>
              <w:ind w:left="103"/>
              <w:rPr>
                <w:b/>
                <w:sz w:val="22"/>
              </w:rPr>
            </w:pPr>
            <w:r>
              <w:rPr>
                <w:b/>
                <w:sz w:val="22"/>
              </w:rPr>
              <w:t>minimum, the same responsibilities</w:t>
            </w:r>
          </w:p>
        </w:tc>
        <w:tc>
          <w:tcPr>
            <w:tcW w:w="3151" w:type="dxa"/>
            <w:tcBorders>
              <w:top w:val="single" w:sz="8" w:space="0" w:color="4E8542"/>
              <w:left w:val="single" w:sz="8" w:space="0" w:color="4E8542"/>
              <w:bottom w:val="single" w:sz="8" w:space="0" w:color="4E8542"/>
              <w:right w:val="single" w:sz="8" w:space="0" w:color="4E8542"/>
            </w:tcBorders>
          </w:tcPr>
          <w:p>
            <w:pPr>
              <w:pStyle w:val="TableParagraph"/>
              <w:ind w:left="111" w:right="195"/>
              <w:rPr>
                <w:sz w:val="22"/>
              </w:rPr>
            </w:pPr>
            <w:hyperlink r:id="rId64">
              <w:r>
                <w:rPr>
                  <w:color w:val="6B9F24"/>
                  <w:sz w:val="22"/>
                  <w:u w:val="single" w:color="6B9F24"/>
                </w:rPr>
                <w:t>RCW 70.129.110</w:t>
              </w:r>
              <w:r>
                <w:rPr>
                  <w:color w:val="6B9F24"/>
                  <w:sz w:val="22"/>
                </w:rPr>
                <w:t> </w:t>
              </w:r>
            </w:hyperlink>
            <w:r>
              <w:rPr>
                <w:sz w:val="22"/>
              </w:rPr>
              <w:t>provides protections beyond that required in landlord-tenant law regarding requirements a provider must meet before discharging or transferring a</w:t>
            </w:r>
          </w:p>
          <w:p>
            <w:pPr>
              <w:pStyle w:val="TableParagraph"/>
              <w:spacing w:line="249" w:lineRule="exact"/>
              <w:ind w:left="111"/>
              <w:rPr>
                <w:sz w:val="22"/>
              </w:rPr>
            </w:pPr>
            <w:r>
              <w:rPr>
                <w:sz w:val="22"/>
              </w:rPr>
              <w:t>resident, including first making</w:t>
            </w:r>
          </w:p>
        </w:tc>
        <w:tc>
          <w:tcPr>
            <w:tcW w:w="1589" w:type="dxa"/>
            <w:tcBorders>
              <w:top w:val="single" w:sz="8" w:space="0" w:color="4E8542"/>
              <w:left w:val="single" w:sz="8" w:space="0" w:color="4E8542"/>
              <w:bottom w:val="single" w:sz="8" w:space="0" w:color="4E8542"/>
              <w:right w:val="single" w:sz="8" w:space="0" w:color="4E8542"/>
            </w:tcBorders>
          </w:tcPr>
          <w:p>
            <w:pPr>
              <w:pStyle w:val="TableParagraph"/>
              <w:ind w:left="111" w:right="517"/>
              <w:rPr>
                <w:sz w:val="22"/>
              </w:rPr>
            </w:pPr>
            <w:r>
              <w:rPr>
                <w:sz w:val="22"/>
              </w:rPr>
              <w:t>Fully Compliant</w:t>
            </w:r>
          </w:p>
        </w:tc>
        <w:tc>
          <w:tcPr>
            <w:tcW w:w="3240" w:type="dxa"/>
            <w:tcBorders>
              <w:top w:val="single" w:sz="8" w:space="0" w:color="4E8542"/>
              <w:left w:val="single" w:sz="8" w:space="0" w:color="4E8542"/>
              <w:bottom w:val="single" w:sz="8" w:space="0" w:color="4E8542"/>
              <w:right w:val="single" w:sz="8" w:space="0" w:color="4E8542"/>
            </w:tcBorders>
          </w:tcPr>
          <w:p>
            <w:pPr>
              <w:pStyle w:val="TableParagraph"/>
              <w:ind w:left="111" w:right="825"/>
              <w:jc w:val="both"/>
              <w:rPr>
                <w:sz w:val="22"/>
              </w:rPr>
            </w:pPr>
            <w:r>
              <w:rPr>
                <w:sz w:val="22"/>
              </w:rPr>
              <w:t>This provision is enforced through the RCS licensing requirements.</w:t>
            </w:r>
          </w:p>
          <w:p>
            <w:pPr>
              <w:pStyle w:val="TableParagraph"/>
              <w:spacing w:before="10"/>
              <w:rPr>
                <w:sz w:val="21"/>
              </w:rPr>
            </w:pPr>
          </w:p>
          <w:p>
            <w:pPr>
              <w:pStyle w:val="TableParagraph"/>
              <w:spacing w:line="270" w:lineRule="atLeast"/>
              <w:ind w:left="111" w:right="501"/>
              <w:rPr>
                <w:sz w:val="22"/>
              </w:rPr>
            </w:pPr>
            <w:r>
              <w:rPr>
                <w:sz w:val="22"/>
              </w:rPr>
              <w:t>On-site inspections ensure homes meet all licensing and certification requirements in</w:t>
            </w:r>
          </w:p>
        </w:tc>
        <w:tc>
          <w:tcPr>
            <w:tcW w:w="2351" w:type="dxa"/>
            <w:tcBorders>
              <w:top w:val="single" w:sz="8" w:space="0" w:color="4E8542"/>
              <w:left w:val="single" w:sz="8" w:space="0" w:color="4E8542"/>
              <w:bottom w:val="single" w:sz="8" w:space="0" w:color="4E8542"/>
              <w:right w:val="single" w:sz="18" w:space="0" w:color="000000"/>
            </w:tcBorders>
          </w:tcPr>
          <w:p>
            <w:pPr>
              <w:pStyle w:val="TableParagraph"/>
              <w:ind w:left="111" w:right="123"/>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w:t>
            </w:r>
            <w:r>
              <w:rPr>
                <w:spacing w:val="-1"/>
                <w:sz w:val="22"/>
              </w:rPr>
              <w:t> </w:t>
            </w:r>
            <w:r>
              <w:rPr>
                <w:sz w:val="22"/>
              </w:rPr>
              <w:t>requiring</w:t>
            </w:r>
          </w:p>
          <w:p>
            <w:pPr>
              <w:pStyle w:val="TableParagraph"/>
              <w:spacing w:line="249" w:lineRule="exact"/>
              <w:ind w:left="111"/>
              <w:rPr>
                <w:sz w:val="22"/>
              </w:rPr>
            </w:pPr>
            <w:r>
              <w:rPr>
                <w:sz w:val="22"/>
              </w:rPr>
              <w:t>adherence to the WAC.</w:t>
            </w:r>
          </w:p>
        </w:tc>
      </w:tr>
      <w:tr>
        <w:trPr>
          <w:trHeight w:val="840" w:hRule="atLeast"/>
        </w:trPr>
        <w:tc>
          <w:tcPr>
            <w:tcW w:w="14846" w:type="dxa"/>
            <w:gridSpan w:val="6"/>
            <w:tcBorders>
              <w:top w:val="nil"/>
            </w:tcBorders>
          </w:tcPr>
          <w:p>
            <w:pPr>
              <w:pStyle w:val="TableParagraph"/>
              <w:spacing w:before="1"/>
              <w:rPr>
                <w:sz w:val="5"/>
              </w:rPr>
            </w:pPr>
          </w:p>
          <w:p>
            <w:pPr>
              <w:pStyle w:val="TableParagraph"/>
              <w:spacing w:line="20" w:lineRule="exact"/>
              <w:ind w:left="911"/>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pStyle w:val="TableParagraph"/>
              <w:spacing w:before="9"/>
              <w:ind w:left="945"/>
              <w:rPr>
                <w:sz w:val="22"/>
              </w:rPr>
            </w:pPr>
            <w:r>
              <w:rPr>
                <w:b/>
                <w:sz w:val="22"/>
              </w:rPr>
              <w:t>47 | </w:t>
            </w:r>
            <w:r>
              <w:rPr>
                <w:color w:val="808080"/>
                <w:sz w:val="22"/>
              </w:rPr>
              <w:t>P a g e </w:t>
            </w:r>
          </w:p>
        </w:tc>
      </w:tr>
    </w:tbl>
    <w:p>
      <w:pPr>
        <w:spacing w:after="0"/>
        <w:rPr>
          <w:sz w:val="22"/>
        </w:rPr>
        <w:sectPr>
          <w:footerReference w:type="default" r:id="rId63"/>
          <w:pgSz w:w="15840" w:h="12240" w:orient="landscape"/>
          <w:pgMar w:footer="0" w:header="0" w:top="480" w:bottom="280" w:left="380" w:right="340"/>
        </w:sectPr>
      </w:pPr>
    </w:p>
    <w:p>
      <w:pPr>
        <w:pStyle w:val="Heading8"/>
        <w:spacing w:before="39"/>
        <w:ind w:left="1060"/>
      </w:pPr>
      <w:r>
        <w:rPr/>
        <w:pict>
          <v:group style="position:absolute;margin-left:24pt;margin-top:24pt;width:744pt;height:564pt;mso-position-horizontal-relative:page;mso-position-vertical-relative:page;z-index:-271220736" coordorigin="480,480" coordsize="14880,11280">
            <v:line style="position:absolute" from="15329,1728" to="15329,5866" stroked="true" strokeweight=".959pt" strokecolor="#4e8542">
              <v:stroke dashstyle="solid"/>
            </v:line>
            <v:line style="position:absolute" from="509,494" to="15331,494" stroked="true" strokeweight="1.44pt" strokecolor="#000000">
              <v:stroke dashstyle="solid"/>
            </v:line>
            <v:line style="position:absolute" from="494,480" to="494,11731" stroked="true" strokeweight="1.44pt" strokecolor="#000000">
              <v:stroke dashstyle="solid"/>
            </v:line>
            <v:line style="position:absolute" from="15346,480" to="15346,11731" stroked="true" strokeweight="1.44pt" strokecolor="#000000">
              <v:stroke dashstyle="solid"/>
            </v:line>
            <v:rect style="position:absolute;left:480;top:11731;width:29;height:29" filled="true" fillcolor="#000000" stroked="false">
              <v:fill type="solid"/>
            </v:rect>
            <v:line style="position:absolute" from="509,11746" to="15331,11746" stroked="true" strokeweight="1.44pt" strokecolor="#000000">
              <v:stroke dashstyle="solid"/>
            </v:line>
            <v:rect style="position:absolute;left:15331;top:11731;width:29;height:29" filled="true" fillcolor="#000000" stroked="false">
              <v:fill type="solid"/>
            </v:rect>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559"/>
        <w:gridCol w:w="3151"/>
        <w:gridCol w:w="1589"/>
        <w:gridCol w:w="3240"/>
        <w:gridCol w:w="2330"/>
      </w:tblGrid>
      <w:tr>
        <w:trPr>
          <w:trHeight w:val="584" w:hRule="atLeast"/>
        </w:trPr>
        <w:tc>
          <w:tcPr>
            <w:tcW w:w="3559" w:type="dxa"/>
            <w:tcBorders>
              <w:bottom w:val="single" w:sz="18" w:space="0" w:color="4E8542"/>
            </w:tcBorders>
          </w:tcPr>
          <w:p>
            <w:pPr>
              <w:pStyle w:val="TableParagraph"/>
              <w:spacing w:line="292" w:lineRule="exact"/>
              <w:ind w:left="294"/>
              <w:rPr>
                <w:b/>
                <w:sz w:val="24"/>
              </w:rPr>
            </w:pPr>
            <w:r>
              <w:rPr>
                <w:b/>
                <w:sz w:val="24"/>
              </w:rPr>
              <w:t>Characteristics/Requirements</w:t>
            </w:r>
          </w:p>
        </w:tc>
        <w:tc>
          <w:tcPr>
            <w:tcW w:w="3151" w:type="dxa"/>
            <w:tcBorders>
              <w:bottom w:val="single" w:sz="18" w:space="0" w:color="4E8542"/>
            </w:tcBorders>
          </w:tcPr>
          <w:p>
            <w:pPr>
              <w:pStyle w:val="TableParagraph"/>
              <w:spacing w:line="292" w:lineRule="exact"/>
              <w:ind w:left="686"/>
              <w:rPr>
                <w:b/>
                <w:sz w:val="24"/>
              </w:rPr>
            </w:pPr>
            <w:r>
              <w:rPr>
                <w:b/>
                <w:sz w:val="24"/>
              </w:rPr>
              <w:t>DDA Group Home</w:t>
            </w:r>
          </w:p>
          <w:p>
            <w:pPr>
              <w:pStyle w:val="TableParagraph"/>
              <w:spacing w:line="272" w:lineRule="exact"/>
              <w:ind w:left="760"/>
              <w:rPr>
                <w:b/>
                <w:sz w:val="24"/>
              </w:rPr>
            </w:pPr>
            <w:r>
              <w:rPr>
                <w:b/>
                <w:sz w:val="24"/>
              </w:rPr>
              <w:t>State Evaluation</w:t>
            </w:r>
          </w:p>
        </w:tc>
        <w:tc>
          <w:tcPr>
            <w:tcW w:w="1589" w:type="dxa"/>
            <w:tcBorders>
              <w:bottom w:val="single" w:sz="18" w:space="0" w:color="4E8542"/>
            </w:tcBorders>
          </w:tcPr>
          <w:p>
            <w:pPr>
              <w:pStyle w:val="TableParagraph"/>
              <w:spacing w:line="292" w:lineRule="exact"/>
              <w:ind w:left="185" w:right="167"/>
              <w:jc w:val="center"/>
              <w:rPr>
                <w:b/>
                <w:sz w:val="24"/>
              </w:rPr>
            </w:pPr>
            <w:r>
              <w:rPr>
                <w:b/>
                <w:sz w:val="24"/>
              </w:rPr>
              <w:t>Compliance</w:t>
            </w:r>
          </w:p>
          <w:p>
            <w:pPr>
              <w:pStyle w:val="TableParagraph"/>
              <w:spacing w:line="272" w:lineRule="exact"/>
              <w:ind w:left="185" w:right="167"/>
              <w:jc w:val="center"/>
              <w:rPr>
                <w:b/>
                <w:sz w:val="24"/>
              </w:rPr>
            </w:pPr>
            <w:r>
              <w:rPr>
                <w:b/>
                <w:sz w:val="24"/>
              </w:rPr>
              <w:t>Level</w:t>
            </w:r>
          </w:p>
        </w:tc>
        <w:tc>
          <w:tcPr>
            <w:tcW w:w="3240" w:type="dxa"/>
            <w:tcBorders>
              <w:bottom w:val="single" w:sz="18" w:space="0" w:color="4E8542"/>
            </w:tcBorders>
          </w:tcPr>
          <w:p>
            <w:pPr>
              <w:pStyle w:val="TableParagraph"/>
              <w:spacing w:line="292" w:lineRule="exact"/>
              <w:ind w:left="734"/>
              <w:rPr>
                <w:b/>
                <w:sz w:val="24"/>
              </w:rPr>
            </w:pPr>
            <w:r>
              <w:rPr>
                <w:b/>
                <w:sz w:val="24"/>
              </w:rPr>
              <w:t>Oversight Process</w:t>
            </w:r>
          </w:p>
        </w:tc>
        <w:tc>
          <w:tcPr>
            <w:tcW w:w="2330" w:type="dxa"/>
            <w:tcBorders>
              <w:bottom w:val="single" w:sz="18" w:space="0" w:color="4E8542"/>
              <w:right w:val="nil"/>
            </w:tcBorders>
          </w:tcPr>
          <w:p>
            <w:pPr>
              <w:pStyle w:val="TableParagraph"/>
              <w:spacing w:line="292" w:lineRule="exact"/>
              <w:ind w:left="530"/>
              <w:rPr>
                <w:b/>
                <w:sz w:val="24"/>
              </w:rPr>
            </w:pPr>
            <w:r>
              <w:rPr>
                <w:b/>
                <w:sz w:val="24"/>
              </w:rPr>
              <w:t>Remediation</w:t>
            </w:r>
          </w:p>
        </w:tc>
      </w:tr>
      <w:tr>
        <w:trPr>
          <w:trHeight w:val="3469" w:hRule="atLeast"/>
        </w:trPr>
        <w:tc>
          <w:tcPr>
            <w:tcW w:w="3559" w:type="dxa"/>
            <w:tcBorders>
              <w:top w:val="single" w:sz="18" w:space="0" w:color="4E8542"/>
            </w:tcBorders>
          </w:tcPr>
          <w:p>
            <w:pPr>
              <w:pStyle w:val="TableParagraph"/>
              <w:spacing w:line="245" w:lineRule="exact"/>
              <w:ind w:left="107"/>
              <w:rPr>
                <w:b/>
                <w:sz w:val="22"/>
              </w:rPr>
            </w:pPr>
            <w:r>
              <w:rPr>
                <w:b/>
                <w:sz w:val="22"/>
              </w:rPr>
              <w:t>and protections from eviction that</w:t>
            </w:r>
          </w:p>
          <w:p>
            <w:pPr>
              <w:pStyle w:val="TableParagraph"/>
              <w:ind w:left="107" w:right="143"/>
              <w:rPr>
                <w:b/>
                <w:sz w:val="22"/>
              </w:rPr>
            </w:pPr>
            <w:r>
              <w:rPr>
                <w:b/>
                <w:sz w:val="22"/>
              </w:rPr>
              <w:t>tenants have under the landlord tenant law of the State, county, city or other designated entity.</w:t>
            </w:r>
          </w:p>
        </w:tc>
        <w:tc>
          <w:tcPr>
            <w:tcW w:w="3151" w:type="dxa"/>
            <w:tcBorders>
              <w:top w:val="single" w:sz="18" w:space="0" w:color="4E8542"/>
            </w:tcBorders>
          </w:tcPr>
          <w:p>
            <w:pPr>
              <w:pStyle w:val="TableParagraph"/>
              <w:spacing w:line="245" w:lineRule="exact"/>
              <w:ind w:left="107"/>
              <w:rPr>
                <w:sz w:val="22"/>
              </w:rPr>
            </w:pPr>
            <w:r>
              <w:rPr>
                <w:sz w:val="22"/>
              </w:rPr>
              <w:t>an attempt through reasonable</w:t>
            </w:r>
          </w:p>
          <w:p>
            <w:pPr>
              <w:pStyle w:val="TableParagraph"/>
              <w:ind w:left="107" w:right="186"/>
              <w:rPr>
                <w:sz w:val="22"/>
              </w:rPr>
            </w:pPr>
            <w:r>
              <w:rPr>
                <w:sz w:val="22"/>
              </w:rPr>
              <w:t>accommodations to avoid the transfer or discharge and giving at least 30 days’ notice before the transfer or discharge.</w:t>
            </w:r>
          </w:p>
          <w:p>
            <w:pPr>
              <w:pStyle w:val="TableParagraph"/>
              <w:spacing w:before="11"/>
              <w:rPr>
                <w:b/>
                <w:sz w:val="21"/>
              </w:rPr>
            </w:pPr>
          </w:p>
          <w:p>
            <w:pPr>
              <w:pStyle w:val="TableParagraph"/>
              <w:ind w:left="107" w:right="217"/>
              <w:rPr>
                <w:sz w:val="22"/>
              </w:rPr>
            </w:pPr>
            <w:hyperlink r:id="rId66">
              <w:r>
                <w:rPr>
                  <w:color w:val="6B9F24"/>
                  <w:sz w:val="22"/>
                  <w:u w:val="single" w:color="6B9F24"/>
                </w:rPr>
                <w:t>Title 59 RCW</w:t>
              </w:r>
              <w:r>
                <w:rPr>
                  <w:color w:val="6B9F24"/>
                  <w:sz w:val="22"/>
                </w:rPr>
                <w:t> </w:t>
              </w:r>
            </w:hyperlink>
            <w:r>
              <w:rPr>
                <w:sz w:val="22"/>
              </w:rPr>
              <w:t>provides protections, including an unlawful entry and detainer action as outlined in Chapter </w:t>
            </w:r>
            <w:hyperlink r:id="rId67">
              <w:r>
                <w:rPr>
                  <w:color w:val="6B9F24"/>
                  <w:sz w:val="22"/>
                  <w:u w:val="single" w:color="6B9F24"/>
                </w:rPr>
                <w:t>59.12 RCW</w:t>
              </w:r>
              <w:r>
                <w:rPr>
                  <w:sz w:val="22"/>
                </w:rPr>
                <w:t>, </w:t>
              </w:r>
            </w:hyperlink>
            <w:r>
              <w:rPr>
                <w:sz w:val="22"/>
              </w:rPr>
              <w:t>including a process for contesting the eviction</w:t>
            </w:r>
          </w:p>
          <w:p>
            <w:pPr>
              <w:pStyle w:val="TableParagraph"/>
              <w:spacing w:line="251" w:lineRule="exact"/>
              <w:ind w:left="107"/>
              <w:rPr>
                <w:i/>
                <w:sz w:val="22"/>
              </w:rPr>
            </w:pPr>
            <w:r>
              <w:rPr>
                <w:i/>
                <w:sz w:val="22"/>
              </w:rPr>
              <w:t>(Updated 1/15/16).</w:t>
            </w:r>
          </w:p>
        </w:tc>
        <w:tc>
          <w:tcPr>
            <w:tcW w:w="1589" w:type="dxa"/>
            <w:tcBorders>
              <w:top w:val="single" w:sz="18" w:space="0" w:color="4E8542"/>
            </w:tcBorders>
          </w:tcPr>
          <w:p>
            <w:pPr>
              <w:pStyle w:val="TableParagraph"/>
              <w:rPr>
                <w:rFonts w:ascii="Times New Roman"/>
                <w:sz w:val="22"/>
              </w:rPr>
            </w:pPr>
          </w:p>
        </w:tc>
        <w:tc>
          <w:tcPr>
            <w:tcW w:w="3240" w:type="dxa"/>
            <w:tcBorders>
              <w:top w:val="single" w:sz="18" w:space="0" w:color="4E8542"/>
            </w:tcBorders>
          </w:tcPr>
          <w:p>
            <w:pPr>
              <w:pStyle w:val="TableParagraph"/>
              <w:spacing w:line="245" w:lineRule="exact"/>
              <w:ind w:left="107"/>
              <w:rPr>
                <w:sz w:val="22"/>
              </w:rPr>
            </w:pPr>
            <w:r>
              <w:rPr>
                <w:sz w:val="22"/>
              </w:rPr>
              <w:t>WAC and RCW, including WAC</w:t>
            </w:r>
          </w:p>
          <w:p>
            <w:pPr>
              <w:pStyle w:val="TableParagraph"/>
              <w:ind w:left="107"/>
              <w:rPr>
                <w:sz w:val="22"/>
              </w:rPr>
            </w:pPr>
            <w:r>
              <w:rPr>
                <w:sz w:val="22"/>
              </w:rPr>
              <w:t>388-823-1095.</w:t>
            </w:r>
          </w:p>
        </w:tc>
        <w:tc>
          <w:tcPr>
            <w:tcW w:w="2330" w:type="dxa"/>
            <w:tcBorders>
              <w:top w:val="single" w:sz="18" w:space="0" w:color="4E8542"/>
              <w:right w:val="nil"/>
            </w:tcBorders>
          </w:tcPr>
          <w:p>
            <w:pPr>
              <w:pStyle w:val="TableParagraph"/>
              <w:spacing w:line="245" w:lineRule="exact"/>
              <w:ind w:left="107"/>
              <w:rPr>
                <w:sz w:val="22"/>
              </w:rPr>
            </w:pPr>
            <w:r>
              <w:rPr>
                <w:sz w:val="22"/>
              </w:rPr>
              <w:t>See </w:t>
            </w:r>
            <w:r>
              <w:rPr>
                <w:color w:val="6B9F24"/>
                <w:sz w:val="22"/>
                <w:u w:val="single" w:color="6B9F24"/>
              </w:rPr>
              <w:t>Appendix C</w:t>
            </w:r>
            <w:r>
              <w:rPr>
                <w:sz w:val="22"/>
              </w:rPr>
              <w:t>.</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3"/>
        </w:rPr>
      </w:pPr>
      <w:r>
        <w:rPr/>
        <w:pict>
          <v:shape style="position:absolute;margin-left:70.559998pt;margin-top:10.498875pt;width:650.9pt;height:.1pt;mso-position-horizontal-relative:page;mso-position-vertical-relative:paragraph;z-index:-251600896;mso-wrap-distance-left:0;mso-wrap-distance-right:0" coordorigin="1411,210" coordsize="13018,0" path="m1411,210l14429,210e" filled="false" stroked="true" strokeweight=".481pt" strokecolor="#d9d9d9">
            <v:path arrowok="t"/>
            <v:stroke dashstyle="solid"/>
            <w10:wrap type="topAndBottom"/>
          </v:shape>
        </w:pict>
      </w:r>
    </w:p>
    <w:p>
      <w:pPr>
        <w:spacing w:before="0"/>
        <w:ind w:left="1060" w:right="0" w:firstLine="0"/>
        <w:jc w:val="left"/>
        <w:rPr>
          <w:sz w:val="22"/>
        </w:rPr>
      </w:pPr>
      <w:r>
        <w:rPr>
          <w:b/>
          <w:sz w:val="22"/>
        </w:rPr>
        <w:t>48 | </w:t>
      </w:r>
      <w:r>
        <w:rPr>
          <w:color w:val="808080"/>
          <w:sz w:val="22"/>
        </w:rPr>
        <w:t>P a g e </w:t>
      </w:r>
    </w:p>
    <w:p>
      <w:pPr>
        <w:spacing w:after="0"/>
        <w:jc w:val="left"/>
        <w:rPr>
          <w:sz w:val="22"/>
        </w:rPr>
        <w:sectPr>
          <w:footerReference w:type="default" r:id="rId65"/>
          <w:pgSz w:w="15840" w:h="12240" w:orient="landscape"/>
          <w:pgMar w:footer="0" w:header="0" w:top="680" w:bottom="280" w:left="380" w:right="340"/>
        </w:sect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60"/>
        <w:gridCol w:w="3554"/>
        <w:gridCol w:w="3151"/>
        <w:gridCol w:w="1589"/>
        <w:gridCol w:w="3240"/>
        <w:gridCol w:w="2351"/>
      </w:tblGrid>
      <w:tr>
        <w:trPr>
          <w:trHeight w:val="1218" w:hRule="atLeast"/>
        </w:trPr>
        <w:tc>
          <w:tcPr>
            <w:tcW w:w="14845" w:type="dxa"/>
            <w:gridSpan w:val="6"/>
            <w:tcBorders>
              <w:bottom w:val="nil"/>
            </w:tcBorders>
          </w:tcPr>
          <w:p>
            <w:pPr>
              <w:pStyle w:val="TableParagraph"/>
              <w:spacing w:before="2"/>
              <w:rPr>
                <w:sz w:val="17"/>
              </w:rPr>
            </w:pPr>
          </w:p>
          <w:p>
            <w:pPr>
              <w:pStyle w:val="TableParagraph"/>
              <w:ind w:left="945"/>
              <w:rPr>
                <w:b/>
                <w:sz w:val="22"/>
              </w:rPr>
            </w:pPr>
            <w:r>
              <w:rPr>
                <w:b/>
                <w:sz w:val="22"/>
              </w:rPr>
              <w:t>Washington State</w:t>
            </w:r>
          </w:p>
          <w:p>
            <w:pPr>
              <w:pStyle w:val="TableParagraph"/>
              <w:ind w:left="944"/>
              <w:rPr>
                <w:b/>
                <w:sz w:val="22"/>
              </w:rPr>
            </w:pPr>
            <w:r>
              <w:rPr>
                <w:b/>
                <w:sz w:val="22"/>
              </w:rPr>
              <w:t>Revised Transition Plan for New HCBS Rules</w:t>
            </w:r>
          </w:p>
          <w:p>
            <w:pPr>
              <w:pStyle w:val="TableParagraph"/>
              <w:ind w:left="944"/>
              <w:rPr>
                <w:b/>
                <w:sz w:val="22"/>
              </w:rPr>
            </w:pPr>
            <w:r>
              <w:rPr>
                <w:b/>
                <w:sz w:val="22"/>
              </w:rPr>
              <w:t>To be Submitted to CMS in May 2017—Posted for Public Comment on March 15, 2017</w:t>
            </w:r>
          </w:p>
        </w:tc>
      </w:tr>
      <w:tr>
        <w:trPr>
          <w:trHeight w:val="584" w:hRule="atLeast"/>
        </w:trPr>
        <w:tc>
          <w:tcPr>
            <w:tcW w:w="960" w:type="dxa"/>
            <w:vMerge w:val="restart"/>
            <w:tcBorders>
              <w:top w:val="nil"/>
              <w:bottom w:val="nil"/>
              <w:right w:val="single" w:sz="8" w:space="0" w:color="4E8542"/>
            </w:tcBorders>
          </w:tcPr>
          <w:p>
            <w:pPr>
              <w:pStyle w:val="TableParagraph"/>
              <w:rPr>
                <w:rFonts w:ascii="Times New Roman"/>
                <w:sz w:val="22"/>
              </w:rPr>
            </w:pPr>
          </w:p>
        </w:tc>
        <w:tc>
          <w:tcPr>
            <w:tcW w:w="3554"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294"/>
              <w:rPr>
                <w:b/>
                <w:sz w:val="24"/>
              </w:rPr>
            </w:pPr>
            <w:r>
              <w:rPr>
                <w:b/>
                <w:sz w:val="24"/>
              </w:rPr>
              <w:t>Characteristics/Requirements</w:t>
            </w:r>
          </w:p>
        </w:tc>
        <w:tc>
          <w:tcPr>
            <w:tcW w:w="3151"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691"/>
              <w:rPr>
                <w:b/>
                <w:sz w:val="24"/>
              </w:rPr>
            </w:pPr>
            <w:r>
              <w:rPr>
                <w:b/>
                <w:sz w:val="24"/>
              </w:rPr>
              <w:t>DDA Group Home</w:t>
            </w:r>
          </w:p>
          <w:p>
            <w:pPr>
              <w:pStyle w:val="TableParagraph"/>
              <w:spacing w:line="272" w:lineRule="exact"/>
              <w:ind w:left="765"/>
              <w:rPr>
                <w:b/>
                <w:sz w:val="24"/>
              </w:rPr>
            </w:pPr>
            <w:r>
              <w:rPr>
                <w:b/>
                <w:sz w:val="24"/>
              </w:rPr>
              <w:t>State Evaluation</w:t>
            </w:r>
          </w:p>
        </w:tc>
        <w:tc>
          <w:tcPr>
            <w:tcW w:w="1589"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190" w:right="162"/>
              <w:jc w:val="center"/>
              <w:rPr>
                <w:b/>
                <w:sz w:val="24"/>
              </w:rPr>
            </w:pPr>
            <w:r>
              <w:rPr>
                <w:b/>
                <w:sz w:val="24"/>
              </w:rPr>
              <w:t>Compliance</w:t>
            </w:r>
          </w:p>
          <w:p>
            <w:pPr>
              <w:pStyle w:val="TableParagraph"/>
              <w:spacing w:line="272" w:lineRule="exact"/>
              <w:ind w:left="190" w:right="162"/>
              <w:jc w:val="center"/>
              <w:rPr>
                <w:b/>
                <w:sz w:val="24"/>
              </w:rPr>
            </w:pPr>
            <w:r>
              <w:rPr>
                <w:b/>
                <w:sz w:val="24"/>
              </w:rPr>
              <w:t>Level</w:t>
            </w:r>
          </w:p>
        </w:tc>
        <w:tc>
          <w:tcPr>
            <w:tcW w:w="3240" w:type="dxa"/>
            <w:tcBorders>
              <w:top w:val="single" w:sz="8" w:space="0" w:color="4E8542"/>
              <w:left w:val="single" w:sz="8" w:space="0" w:color="4E8542"/>
              <w:bottom w:val="single" w:sz="18" w:space="0" w:color="4E8542"/>
              <w:right w:val="single" w:sz="8" w:space="0" w:color="4E8542"/>
            </w:tcBorders>
          </w:tcPr>
          <w:p>
            <w:pPr>
              <w:pStyle w:val="TableParagraph"/>
              <w:spacing w:line="292" w:lineRule="exact"/>
              <w:ind w:left="739"/>
              <w:rPr>
                <w:b/>
                <w:sz w:val="24"/>
              </w:rPr>
            </w:pPr>
            <w:r>
              <w:rPr>
                <w:b/>
                <w:sz w:val="24"/>
              </w:rPr>
              <w:t>Oversight Process</w:t>
            </w:r>
          </w:p>
        </w:tc>
        <w:tc>
          <w:tcPr>
            <w:tcW w:w="2351" w:type="dxa"/>
            <w:tcBorders>
              <w:top w:val="single" w:sz="8" w:space="0" w:color="4E8542"/>
              <w:left w:val="single" w:sz="8" w:space="0" w:color="4E8542"/>
              <w:bottom w:val="single" w:sz="18" w:space="0" w:color="4E8542"/>
              <w:right w:val="single" w:sz="18" w:space="0" w:color="000000"/>
            </w:tcBorders>
          </w:tcPr>
          <w:p>
            <w:pPr>
              <w:pStyle w:val="TableParagraph"/>
              <w:spacing w:line="292" w:lineRule="exact"/>
              <w:ind w:left="535"/>
              <w:rPr>
                <w:b/>
                <w:sz w:val="24"/>
              </w:rPr>
            </w:pPr>
            <w:r>
              <w:rPr>
                <w:b/>
                <w:sz w:val="24"/>
              </w:rPr>
              <w:t>Remediation</w:t>
            </w:r>
          </w:p>
        </w:tc>
      </w:tr>
      <w:tr>
        <w:trPr>
          <w:trHeight w:val="6891" w:hRule="atLeast"/>
        </w:trPr>
        <w:tc>
          <w:tcPr>
            <w:tcW w:w="960" w:type="dxa"/>
            <w:vMerge/>
            <w:tcBorders>
              <w:top w:val="nil"/>
              <w:bottom w:val="nil"/>
              <w:right w:val="single" w:sz="8" w:space="0" w:color="4E8542"/>
            </w:tcBorders>
          </w:tcPr>
          <w:p>
            <w:pPr>
              <w:rPr>
                <w:sz w:val="2"/>
                <w:szCs w:val="2"/>
              </w:rPr>
            </w:pPr>
          </w:p>
        </w:tc>
        <w:tc>
          <w:tcPr>
            <w:tcW w:w="3554" w:type="dxa"/>
            <w:tcBorders>
              <w:top w:val="single" w:sz="18" w:space="0" w:color="4E8542"/>
              <w:left w:val="single" w:sz="8" w:space="0" w:color="4E8542"/>
              <w:bottom w:val="single" w:sz="8" w:space="0" w:color="4E8542"/>
              <w:right w:val="single" w:sz="8" w:space="0" w:color="4E8542"/>
            </w:tcBorders>
            <w:shd w:val="clear" w:color="auto" w:fill="D0E4CA"/>
          </w:tcPr>
          <w:p>
            <w:pPr>
              <w:pStyle w:val="TableParagraph"/>
              <w:spacing w:before="176"/>
              <w:ind w:left="107" w:right="179"/>
              <w:rPr>
                <w:i/>
                <w:sz w:val="22"/>
              </w:rPr>
            </w:pPr>
            <w:bookmarkStart w:name="Privacy:  Units have lockable entrance d" w:id="52"/>
            <w:bookmarkEnd w:id="52"/>
            <w:r>
              <w:rPr/>
            </w:r>
            <w:r>
              <w:rPr>
                <w:sz w:val="22"/>
              </w:rPr>
              <w:t>Privacy: Units have lockable entrance doors, with appropriate staff having keys to doors. </w:t>
            </w:r>
            <w:r>
              <w:rPr>
                <w:i/>
                <w:sz w:val="22"/>
              </w:rPr>
              <w:t>(Updated </w:t>
            </w:r>
            <w:r>
              <w:rPr>
                <w:i/>
                <w:sz w:val="22"/>
              </w:rPr>
              <w:t>1/15/16).</w:t>
            </w:r>
          </w:p>
        </w:tc>
        <w:tc>
          <w:tcPr>
            <w:tcW w:w="3151" w:type="dxa"/>
            <w:tcBorders>
              <w:top w:val="single" w:sz="18" w:space="0" w:color="4E8542"/>
              <w:left w:val="single" w:sz="8" w:space="0" w:color="4E8542"/>
              <w:bottom w:val="single" w:sz="8" w:space="0" w:color="4E8542"/>
              <w:right w:val="single" w:sz="8" w:space="0" w:color="4E8542"/>
            </w:tcBorders>
            <w:shd w:val="clear" w:color="auto" w:fill="D0E4CA"/>
          </w:tcPr>
          <w:p>
            <w:pPr>
              <w:pStyle w:val="TableParagraph"/>
              <w:spacing w:line="245" w:lineRule="exact"/>
              <w:ind w:left="112"/>
              <w:rPr>
                <w:sz w:val="22"/>
              </w:rPr>
            </w:pPr>
            <w:r>
              <w:rPr>
                <w:sz w:val="22"/>
              </w:rPr>
              <w:t>AMENDATORY SECTION</w:t>
            </w:r>
          </w:p>
          <w:p>
            <w:pPr>
              <w:pStyle w:val="TableParagraph"/>
              <w:spacing w:line="237" w:lineRule="auto" w:before="2"/>
              <w:ind w:left="112" w:right="90"/>
              <w:rPr>
                <w:sz w:val="22"/>
              </w:rPr>
            </w:pPr>
            <w:r>
              <w:rPr>
                <w:sz w:val="22"/>
              </w:rPr>
              <w:t>(Amending WSR 10-03-064, filed 1/15/10, effective 2/15/10)</w:t>
            </w:r>
          </w:p>
          <w:p>
            <w:pPr>
              <w:pStyle w:val="TableParagraph"/>
              <w:spacing w:before="1"/>
              <w:rPr>
                <w:sz w:val="22"/>
              </w:rPr>
            </w:pPr>
          </w:p>
          <w:p>
            <w:pPr>
              <w:pStyle w:val="TableParagraph"/>
              <w:spacing w:before="1"/>
              <w:ind w:left="112"/>
              <w:rPr>
                <w:b/>
                <w:sz w:val="22"/>
              </w:rPr>
            </w:pPr>
            <w:hyperlink r:id="rId52">
              <w:r>
                <w:rPr>
                  <w:color w:val="6B9F24"/>
                  <w:sz w:val="22"/>
                  <w:u w:val="single" w:color="6B9F24"/>
                </w:rPr>
                <w:t>WAC 388-76-10685</w:t>
              </w:r>
              <w:r>
                <w:rPr>
                  <w:color w:val="6B9F24"/>
                  <w:sz w:val="22"/>
                </w:rPr>
                <w:t> </w:t>
              </w:r>
            </w:hyperlink>
            <w:r>
              <w:rPr>
                <w:sz w:val="22"/>
              </w:rPr>
              <w:t>Bedrooms</w:t>
            </w:r>
            <w:r>
              <w:rPr>
                <w:b/>
                <w:sz w:val="22"/>
              </w:rPr>
              <w:t>.</w:t>
            </w:r>
          </w:p>
          <w:p>
            <w:pPr>
              <w:pStyle w:val="TableParagraph"/>
              <w:ind w:left="112"/>
              <w:rPr>
                <w:sz w:val="22"/>
              </w:rPr>
            </w:pPr>
            <w:r>
              <w:rPr>
                <w:sz w:val="22"/>
              </w:rPr>
              <w:t>The adult family home must:</w:t>
            </w:r>
          </w:p>
          <w:p>
            <w:pPr>
              <w:pStyle w:val="TableParagraph"/>
              <w:ind w:left="112" w:right="80" w:firstLine="50"/>
              <w:rPr>
                <w:i/>
                <w:sz w:val="22"/>
              </w:rPr>
            </w:pPr>
            <w:r>
              <w:rPr>
                <w:sz w:val="22"/>
              </w:rPr>
              <w:t>(7) Ensure each resident can lock the their door if they chose to unless having a locked door would be unsafe for the resident and this is documented in the resident's negotiated care plan </w:t>
            </w:r>
            <w:r>
              <w:rPr>
                <w:i/>
                <w:sz w:val="22"/>
              </w:rPr>
              <w:t>(Updated 1/15/16).</w:t>
            </w:r>
          </w:p>
          <w:p>
            <w:pPr>
              <w:pStyle w:val="TableParagraph"/>
              <w:rPr>
                <w:sz w:val="22"/>
              </w:rPr>
            </w:pPr>
          </w:p>
          <w:p>
            <w:pPr>
              <w:pStyle w:val="TableParagraph"/>
              <w:ind w:left="112" w:right="64"/>
              <w:rPr>
                <w:i/>
                <w:sz w:val="22"/>
              </w:rPr>
            </w:pPr>
            <w:hyperlink r:id="rId69">
              <w:r>
                <w:rPr>
                  <w:color w:val="6B9F24"/>
                  <w:sz w:val="22"/>
                  <w:u w:val="single" w:color="6B9F24"/>
                </w:rPr>
                <w:t>WAC 388-110-220</w:t>
              </w:r>
              <w:r>
                <w:rPr>
                  <w:color w:val="6B9F24"/>
                  <w:sz w:val="22"/>
                </w:rPr>
                <w:t> </w:t>
              </w:r>
            </w:hyperlink>
            <w:r>
              <w:rPr>
                <w:sz w:val="22"/>
              </w:rPr>
              <w:t>(effective July 1, 2015) the (enhanced adult residential care) contractor must ensure that at the resident’s choice, each resident has the ability to lock his/her bedroom door, unless otherwise indicated in the resident’s negotiated service agreement. </w:t>
            </w:r>
            <w:r>
              <w:rPr>
                <w:i/>
                <w:sz w:val="22"/>
              </w:rPr>
              <w:t>(Updated </w:t>
            </w:r>
            <w:r>
              <w:rPr>
                <w:i/>
                <w:sz w:val="22"/>
              </w:rPr>
              <w:t>1/15/16).</w:t>
            </w:r>
          </w:p>
        </w:tc>
        <w:tc>
          <w:tcPr>
            <w:tcW w:w="1589" w:type="dxa"/>
            <w:tcBorders>
              <w:top w:val="single" w:sz="18" w:space="0" w:color="4E8542"/>
              <w:left w:val="single" w:sz="8" w:space="0" w:color="4E8542"/>
              <w:bottom w:val="single" w:sz="8" w:space="0" w:color="4E8542"/>
              <w:right w:val="single" w:sz="8" w:space="0" w:color="4E8542"/>
            </w:tcBorders>
            <w:shd w:val="clear" w:color="auto" w:fill="D0E4CA"/>
          </w:tcPr>
          <w:p>
            <w:pPr>
              <w:pStyle w:val="TableParagraph"/>
              <w:spacing w:line="245" w:lineRule="exact"/>
              <w:ind w:left="112"/>
              <w:rPr>
                <w:sz w:val="22"/>
              </w:rPr>
            </w:pPr>
            <w:r>
              <w:rPr>
                <w:sz w:val="22"/>
              </w:rPr>
              <w:t>Fully</w:t>
            </w:r>
          </w:p>
          <w:p>
            <w:pPr>
              <w:pStyle w:val="TableParagraph"/>
              <w:ind w:left="112"/>
              <w:rPr>
                <w:sz w:val="22"/>
              </w:rPr>
            </w:pPr>
            <w:r>
              <w:rPr>
                <w:sz w:val="22"/>
              </w:rPr>
              <w:t>Compliant</w:t>
            </w:r>
          </w:p>
        </w:tc>
        <w:tc>
          <w:tcPr>
            <w:tcW w:w="3240" w:type="dxa"/>
            <w:tcBorders>
              <w:top w:val="single" w:sz="18" w:space="0" w:color="4E8542"/>
              <w:left w:val="single" w:sz="8" w:space="0" w:color="4E8542"/>
              <w:bottom w:val="single" w:sz="8" w:space="0" w:color="4E8542"/>
              <w:right w:val="single" w:sz="8" w:space="0" w:color="4E8542"/>
            </w:tcBorders>
            <w:shd w:val="clear" w:color="auto" w:fill="D0E4CA"/>
          </w:tcPr>
          <w:p>
            <w:pPr>
              <w:pStyle w:val="TableParagraph"/>
              <w:spacing w:line="245" w:lineRule="exact"/>
              <w:ind w:left="112"/>
              <w:rPr>
                <w:sz w:val="22"/>
              </w:rPr>
            </w:pPr>
            <w:r>
              <w:rPr>
                <w:sz w:val="22"/>
              </w:rPr>
              <w:t>As part of the inspection process</w:t>
            </w:r>
          </w:p>
          <w:p>
            <w:pPr>
              <w:pStyle w:val="TableParagraph"/>
              <w:ind w:left="112" w:right="70"/>
              <w:rPr>
                <w:sz w:val="22"/>
              </w:rPr>
            </w:pPr>
            <w:r>
              <w:rPr>
                <w:sz w:val="22"/>
              </w:rPr>
              <w:t>described in the overview and as described in the adult family home oversight process on the first row of this table, RCS conducts comprehensive resident interviews (see </w:t>
            </w:r>
            <w:hyperlink w:history="true" w:anchor="_bookmark45">
              <w:r>
                <w:rPr>
                  <w:color w:val="6B9F24"/>
                  <w:sz w:val="22"/>
                  <w:u w:val="single" w:color="6B9F24"/>
                </w:rPr>
                <w:t>Appendix E</w:t>
              </w:r>
            </w:hyperlink>
            <w:r>
              <w:rPr>
                <w:sz w:val="22"/>
              </w:rPr>
              <w:t>), reviews resident records, interviews providers/resident managers, and interviews staff regarding this requirement.</w:t>
            </w:r>
          </w:p>
          <w:p>
            <w:pPr>
              <w:pStyle w:val="TableParagraph"/>
              <w:spacing w:before="10"/>
              <w:rPr>
                <w:sz w:val="21"/>
              </w:rPr>
            </w:pPr>
          </w:p>
          <w:p>
            <w:pPr>
              <w:pStyle w:val="TableParagraph"/>
              <w:ind w:left="112" w:right="390"/>
              <w:rPr>
                <w:sz w:val="22"/>
              </w:rPr>
            </w:pPr>
            <w:r>
              <w:rPr>
                <w:sz w:val="22"/>
              </w:rPr>
              <w:t>On-site inspections ensure homes meet all licensing and certification requirements in WAC and RCW, including WAC 388-823-1095.</w:t>
            </w:r>
          </w:p>
        </w:tc>
        <w:tc>
          <w:tcPr>
            <w:tcW w:w="2351" w:type="dxa"/>
            <w:tcBorders>
              <w:top w:val="single" w:sz="18" w:space="0" w:color="4E8542"/>
              <w:left w:val="single" w:sz="8" w:space="0" w:color="4E8542"/>
              <w:bottom w:val="single" w:sz="8" w:space="0" w:color="4E8542"/>
              <w:right w:val="single" w:sz="18" w:space="0" w:color="000000"/>
            </w:tcBorders>
            <w:shd w:val="clear" w:color="auto" w:fill="D0E4CA"/>
          </w:tcPr>
          <w:p>
            <w:pPr>
              <w:pStyle w:val="TableParagraph"/>
              <w:spacing w:line="245" w:lineRule="exact"/>
              <w:ind w:left="112"/>
              <w:rPr>
                <w:sz w:val="22"/>
              </w:rPr>
            </w:pPr>
            <w:r>
              <w:rPr>
                <w:sz w:val="22"/>
              </w:rPr>
              <w:t>Revising </w:t>
            </w:r>
            <w:hyperlink r:id="rId23">
              <w:r>
                <w:rPr>
                  <w:color w:val="6B9F24"/>
                  <w:sz w:val="22"/>
                  <w:u w:val="single" w:color="6B9F24"/>
                </w:rPr>
                <w:t>WAC 388-823-</w:t>
              </w:r>
            </w:hyperlink>
          </w:p>
          <w:p>
            <w:pPr>
              <w:pStyle w:val="TableParagraph"/>
              <w:ind w:left="112" w:right="117"/>
              <w:rPr>
                <w:sz w:val="22"/>
              </w:rPr>
            </w:pP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2442" w:hRule="atLeast"/>
        </w:trPr>
        <w:tc>
          <w:tcPr>
            <w:tcW w:w="14845" w:type="dxa"/>
            <w:gridSpan w:val="6"/>
            <w:tcBorders>
              <w:top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 w:after="1"/>
              <w:rPr>
                <w:sz w:val="16"/>
              </w:rPr>
            </w:pPr>
          </w:p>
          <w:p>
            <w:pPr>
              <w:pStyle w:val="TableParagraph"/>
              <w:spacing w:line="20" w:lineRule="exact"/>
              <w:ind w:left="911"/>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pStyle w:val="TableParagraph"/>
              <w:spacing w:before="8"/>
              <w:ind w:left="945"/>
              <w:rPr>
                <w:sz w:val="22"/>
              </w:rPr>
            </w:pPr>
            <w:r>
              <w:rPr>
                <w:b/>
                <w:sz w:val="22"/>
              </w:rPr>
              <w:t>49 | </w:t>
            </w:r>
            <w:r>
              <w:rPr>
                <w:color w:val="808080"/>
                <w:sz w:val="22"/>
              </w:rPr>
              <w:t>P a g e </w:t>
            </w:r>
          </w:p>
        </w:tc>
      </w:tr>
    </w:tbl>
    <w:p>
      <w:pPr>
        <w:spacing w:after="0"/>
        <w:rPr>
          <w:sz w:val="22"/>
        </w:rPr>
        <w:sectPr>
          <w:footerReference w:type="default" r:id="rId68"/>
          <w:pgSz w:w="15840" w:h="12240" w:orient="landscape"/>
          <w:pgMar w:footer="0" w:header="0" w:top="480" w:bottom="280" w:left="380" w:right="340"/>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1" w:right="2957" w:firstLine="0"/>
        <w:jc w:val="center"/>
        <w:rPr>
          <w:b/>
          <w:sz w:val="28"/>
        </w:rPr>
      </w:pPr>
      <w:bookmarkStart w:name="Licensed Staffed Residential (LSR), Chil" w:id="53"/>
      <w:bookmarkEnd w:id="53"/>
      <w:r>
        <w:rPr/>
      </w:r>
      <w:bookmarkStart w:name="_bookmark23" w:id="54"/>
      <w:bookmarkEnd w:id="54"/>
      <w:r>
        <w:rPr/>
      </w:r>
      <w:r>
        <w:rPr>
          <w:b/>
          <w:sz w:val="28"/>
        </w:rPr>
        <w:t>Licensed Staffed Residential (LSR), Child Foster Home, and Group Care Facilities</w:t>
      </w:r>
    </w:p>
    <w:p>
      <w:pPr>
        <w:pStyle w:val="BodyText"/>
        <w:rPr>
          <w:b/>
          <w:sz w:val="28"/>
        </w:rPr>
      </w:pPr>
    </w:p>
    <w:p>
      <w:pPr>
        <w:pStyle w:val="BodyText"/>
        <w:spacing w:line="273" w:lineRule="auto" w:before="216"/>
        <w:ind w:left="1060" w:right="1135"/>
      </w:pPr>
      <w:r>
        <w:rPr/>
        <w:t>Setting Description: Staffed Residential, Child Foster Home and Group Care Facilities are licensed and contracted placement options available to DDA enrolled children who require out of home placement due solely to their disability.</w:t>
      </w:r>
    </w:p>
    <w:p>
      <w:pPr>
        <w:pStyle w:val="BodyText"/>
        <w:spacing w:before="9"/>
        <w:rPr>
          <w:sz w:val="25"/>
        </w:rPr>
      </w:pPr>
    </w:p>
    <w:p>
      <w:pPr>
        <w:pStyle w:val="Heading4"/>
        <w:ind w:left="1060"/>
      </w:pPr>
      <w:r>
        <w:rPr/>
        <w:t>Number of Individuals Served: 124 children</w:t>
      </w:r>
    </w:p>
    <w:p>
      <w:pPr>
        <w:pStyle w:val="Heading4"/>
        <w:spacing w:line="278" w:lineRule="auto" w:before="43"/>
        <w:ind w:left="1060" w:right="8824"/>
      </w:pPr>
      <w:r>
        <w:rPr/>
        <w:t>Licensed Staffed Residential: 35 sites with 90 children Child Foster Homes: 11 sites with 12</w:t>
      </w:r>
      <w:r>
        <w:rPr>
          <w:spacing w:val="-2"/>
        </w:rPr>
        <w:t> </w:t>
      </w:r>
      <w:r>
        <w:rPr/>
        <w:t>children</w:t>
      </w:r>
    </w:p>
    <w:p>
      <w:pPr>
        <w:pStyle w:val="Heading4"/>
        <w:spacing w:line="288" w:lineRule="exact"/>
        <w:ind w:left="1060"/>
      </w:pPr>
      <w:r>
        <w:rPr/>
        <w:t>Group Care Facilities: 9 sites with 22</w:t>
      </w:r>
      <w:r>
        <w:rPr>
          <w:spacing w:val="-14"/>
        </w:rPr>
        <w:t> </w:t>
      </w:r>
      <w:r>
        <w:rPr/>
        <w:t>children</w:t>
      </w:r>
    </w:p>
    <w:p>
      <w:pPr>
        <w:pStyle w:val="BodyText"/>
        <w:spacing w:before="3"/>
        <w:rPr>
          <w:sz w:val="31"/>
        </w:rPr>
      </w:pPr>
    </w:p>
    <w:p>
      <w:pPr>
        <w:spacing w:before="0" w:after="44"/>
        <w:ind w:left="2915" w:right="2957" w:firstLine="0"/>
        <w:jc w:val="center"/>
        <w:rPr>
          <w:b/>
          <w:sz w:val="24"/>
        </w:rPr>
      </w:pPr>
      <w:r>
        <w:rPr>
          <w:b/>
          <w:sz w:val="24"/>
        </w:rPr>
        <w:t>Characteristics/Requirements Met</w:t>
      </w: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2"/>
        <w:gridCol w:w="2748"/>
        <w:gridCol w:w="1409"/>
        <w:gridCol w:w="2895"/>
        <w:gridCol w:w="2458"/>
      </w:tblGrid>
      <w:tr>
        <w:trPr>
          <w:trHeight w:val="1465" w:hRule="atLeast"/>
        </w:trPr>
        <w:tc>
          <w:tcPr>
            <w:tcW w:w="3432" w:type="dxa"/>
            <w:tcBorders>
              <w:bottom w:val="single" w:sz="18" w:space="0" w:color="4E8542"/>
            </w:tcBorders>
          </w:tcPr>
          <w:p>
            <w:pPr>
              <w:pStyle w:val="TableParagraph"/>
              <w:spacing w:line="292" w:lineRule="exact"/>
              <w:ind w:left="232"/>
              <w:rPr>
                <w:b/>
                <w:sz w:val="24"/>
              </w:rPr>
            </w:pPr>
            <w:r>
              <w:rPr>
                <w:b/>
                <w:sz w:val="24"/>
              </w:rPr>
              <w:t>Characteristics/Requirements</w:t>
            </w:r>
          </w:p>
        </w:tc>
        <w:tc>
          <w:tcPr>
            <w:tcW w:w="2748" w:type="dxa"/>
            <w:tcBorders>
              <w:bottom w:val="single" w:sz="18" w:space="0" w:color="4E8542"/>
            </w:tcBorders>
          </w:tcPr>
          <w:p>
            <w:pPr>
              <w:pStyle w:val="TableParagraph"/>
              <w:ind w:left="169" w:right="149" w:hanging="2"/>
              <w:jc w:val="center"/>
              <w:rPr>
                <w:b/>
                <w:sz w:val="24"/>
              </w:rPr>
            </w:pPr>
            <w:r>
              <w:rPr>
                <w:b/>
                <w:sz w:val="24"/>
              </w:rPr>
              <w:t>Licensed Staffed Residential, Child Foster Home, and Group Care Facilities</w:t>
            </w:r>
          </w:p>
          <w:p>
            <w:pPr>
              <w:pStyle w:val="TableParagraph"/>
              <w:spacing w:line="272" w:lineRule="exact"/>
              <w:ind w:left="539" w:right="519"/>
              <w:jc w:val="center"/>
              <w:rPr>
                <w:b/>
                <w:sz w:val="24"/>
              </w:rPr>
            </w:pPr>
            <w:r>
              <w:rPr>
                <w:b/>
                <w:sz w:val="24"/>
              </w:rPr>
              <w:t>State Evaluation</w:t>
            </w:r>
          </w:p>
        </w:tc>
        <w:tc>
          <w:tcPr>
            <w:tcW w:w="1409" w:type="dxa"/>
            <w:tcBorders>
              <w:bottom w:val="single" w:sz="18" w:space="0" w:color="4E8542"/>
            </w:tcBorders>
          </w:tcPr>
          <w:p>
            <w:pPr>
              <w:pStyle w:val="TableParagraph"/>
              <w:spacing w:line="242" w:lineRule="auto"/>
              <w:ind w:left="446" w:right="83" w:hanging="327"/>
              <w:rPr>
                <w:b/>
                <w:sz w:val="24"/>
              </w:rPr>
            </w:pPr>
            <w:r>
              <w:rPr>
                <w:b/>
                <w:sz w:val="24"/>
              </w:rPr>
              <w:t>Compliance Level</w:t>
            </w:r>
          </w:p>
        </w:tc>
        <w:tc>
          <w:tcPr>
            <w:tcW w:w="2895" w:type="dxa"/>
            <w:tcBorders>
              <w:bottom w:val="single" w:sz="18" w:space="0" w:color="4E8542"/>
            </w:tcBorders>
          </w:tcPr>
          <w:p>
            <w:pPr>
              <w:pStyle w:val="TableParagraph"/>
              <w:spacing w:line="292" w:lineRule="exact"/>
              <w:ind w:left="561"/>
              <w:rPr>
                <w:b/>
                <w:sz w:val="24"/>
              </w:rPr>
            </w:pPr>
            <w:r>
              <w:rPr>
                <w:b/>
                <w:sz w:val="24"/>
              </w:rPr>
              <w:t>Oversight Process</w:t>
            </w:r>
          </w:p>
        </w:tc>
        <w:tc>
          <w:tcPr>
            <w:tcW w:w="2458" w:type="dxa"/>
            <w:tcBorders>
              <w:bottom w:val="single" w:sz="18" w:space="0" w:color="4E8542"/>
            </w:tcBorders>
          </w:tcPr>
          <w:p>
            <w:pPr>
              <w:pStyle w:val="TableParagraph"/>
              <w:spacing w:line="292" w:lineRule="exact"/>
              <w:ind w:left="586"/>
              <w:rPr>
                <w:b/>
                <w:sz w:val="24"/>
              </w:rPr>
            </w:pPr>
            <w:r>
              <w:rPr>
                <w:b/>
                <w:sz w:val="24"/>
              </w:rPr>
              <w:t>Remediation</w:t>
            </w:r>
          </w:p>
        </w:tc>
      </w:tr>
      <w:tr>
        <w:trPr>
          <w:trHeight w:val="3759" w:hRule="atLeast"/>
        </w:trPr>
        <w:tc>
          <w:tcPr>
            <w:tcW w:w="3432" w:type="dxa"/>
            <w:tcBorders>
              <w:top w:val="single" w:sz="18" w:space="0" w:color="4E8542"/>
            </w:tcBorders>
            <w:shd w:val="clear" w:color="auto" w:fill="D0E4CA"/>
          </w:tcPr>
          <w:p>
            <w:pPr>
              <w:pStyle w:val="TableParagraph"/>
              <w:ind w:left="107" w:right="124"/>
              <w:rPr>
                <w:b/>
                <w:sz w:val="22"/>
              </w:rPr>
            </w:pPr>
            <w:r>
              <w:rPr>
                <w:b/>
                <w:sz w:val="22"/>
              </w:rPr>
              <w:t>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 degree of access as individuals not receiving Medicaid</w:t>
            </w:r>
          </w:p>
          <w:p>
            <w:pPr>
              <w:pStyle w:val="TableParagraph"/>
              <w:ind w:left="107"/>
              <w:rPr>
                <w:b/>
                <w:sz w:val="22"/>
              </w:rPr>
            </w:pPr>
            <w:r>
              <w:rPr>
                <w:b/>
                <w:sz w:val="22"/>
              </w:rPr>
              <w:t>HCBS.</w:t>
            </w:r>
          </w:p>
        </w:tc>
        <w:tc>
          <w:tcPr>
            <w:tcW w:w="2748" w:type="dxa"/>
            <w:tcBorders>
              <w:top w:val="single" w:sz="18" w:space="0" w:color="4E8542"/>
            </w:tcBorders>
            <w:shd w:val="clear" w:color="auto" w:fill="D0E4CA"/>
          </w:tcPr>
          <w:p>
            <w:pPr>
              <w:pStyle w:val="TableParagraph"/>
              <w:ind w:left="107" w:right="201"/>
              <w:rPr>
                <w:sz w:val="22"/>
              </w:rPr>
            </w:pPr>
            <w:r>
              <w:rPr>
                <w:sz w:val="22"/>
              </w:rPr>
              <w:t>DDA Licensed Staffed Residential (LSR) Contract and </w:t>
            </w:r>
            <w:hyperlink r:id="rId71">
              <w:r>
                <w:rPr>
                  <w:color w:val="6B9F24"/>
                  <w:sz w:val="22"/>
                  <w:u w:val="single" w:color="6B9F24"/>
                </w:rPr>
                <w:t>Chapter 388-145-1300</w:t>
              </w:r>
            </w:hyperlink>
            <w:r>
              <w:rPr>
                <w:color w:val="6B9F24"/>
                <w:sz w:val="22"/>
              </w:rPr>
              <w:t> </w:t>
            </w:r>
            <w:r>
              <w:rPr>
                <w:sz w:val="22"/>
              </w:rPr>
              <w:t>through 1885 WA</w:t>
            </w:r>
          </w:p>
          <w:p>
            <w:pPr>
              <w:pStyle w:val="TableParagraph"/>
              <w:ind w:left="107" w:right="201"/>
              <w:rPr>
                <w:sz w:val="22"/>
              </w:rPr>
            </w:pPr>
            <w:r>
              <w:rPr>
                <w:sz w:val="22"/>
              </w:rPr>
              <w:t>Child Foster Home </w:t>
            </w:r>
            <w:hyperlink r:id="rId72">
              <w:r>
                <w:rPr>
                  <w:color w:val="6B9F24"/>
                  <w:sz w:val="22"/>
                  <w:u w:val="single" w:color="6B9F24"/>
                </w:rPr>
                <w:t>Chapter</w:t>
              </w:r>
            </w:hyperlink>
            <w:r>
              <w:rPr>
                <w:color w:val="6B9F24"/>
                <w:sz w:val="22"/>
              </w:rPr>
              <w:t> </w:t>
            </w:r>
            <w:hyperlink r:id="rId72">
              <w:r>
                <w:rPr>
                  <w:color w:val="6B9F24"/>
                  <w:sz w:val="22"/>
                  <w:u w:val="single" w:color="6B9F24"/>
                </w:rPr>
                <w:t>388-148 WAC</w:t>
              </w:r>
            </w:hyperlink>
          </w:p>
          <w:p>
            <w:pPr>
              <w:pStyle w:val="TableParagraph"/>
              <w:rPr>
                <w:b/>
                <w:sz w:val="22"/>
              </w:rPr>
            </w:pPr>
          </w:p>
          <w:p>
            <w:pPr>
              <w:pStyle w:val="TableParagraph"/>
              <w:ind w:left="107" w:right="122"/>
              <w:rPr>
                <w:sz w:val="22"/>
              </w:rPr>
            </w:pPr>
            <w:r>
              <w:rPr>
                <w:sz w:val="22"/>
              </w:rPr>
              <w:t>The State has completed a review of state laws and regulations regarding Staffed Residential, Child Foster Care and Group Care Facilities and determined</w:t>
            </w:r>
          </w:p>
          <w:p>
            <w:pPr>
              <w:pStyle w:val="TableParagraph"/>
              <w:spacing w:line="248" w:lineRule="exact"/>
              <w:ind w:left="107"/>
              <w:rPr>
                <w:sz w:val="22"/>
              </w:rPr>
            </w:pPr>
            <w:r>
              <w:rPr>
                <w:sz w:val="22"/>
              </w:rPr>
              <w:t>that those laws are in</w:t>
            </w:r>
          </w:p>
        </w:tc>
        <w:tc>
          <w:tcPr>
            <w:tcW w:w="1409" w:type="dxa"/>
            <w:tcBorders>
              <w:top w:val="single" w:sz="18" w:space="0" w:color="4E8542"/>
            </w:tcBorders>
            <w:shd w:val="clear" w:color="auto" w:fill="D0E4CA"/>
          </w:tcPr>
          <w:p>
            <w:pPr>
              <w:pStyle w:val="TableParagraph"/>
              <w:ind w:left="107" w:right="341"/>
              <w:rPr>
                <w:sz w:val="22"/>
              </w:rPr>
            </w:pPr>
            <w:r>
              <w:rPr>
                <w:sz w:val="22"/>
              </w:rPr>
              <w:t>Partially Compliant</w:t>
            </w:r>
          </w:p>
        </w:tc>
        <w:tc>
          <w:tcPr>
            <w:tcW w:w="2895" w:type="dxa"/>
            <w:tcBorders>
              <w:top w:val="single" w:sz="18" w:space="0" w:color="4E8542"/>
            </w:tcBorders>
            <w:shd w:val="clear" w:color="auto" w:fill="D0E4CA"/>
          </w:tcPr>
          <w:p>
            <w:pPr>
              <w:pStyle w:val="TableParagraph"/>
              <w:ind w:left="107" w:right="98"/>
              <w:rPr>
                <w:sz w:val="22"/>
              </w:rPr>
            </w:pPr>
            <w:r>
              <w:rPr>
                <w:sz w:val="22"/>
              </w:rPr>
              <w:t>Children’s Administration’s Division of Licensed Resources (DLR) licenses each of these settings. Licenses do not exceed 3 years. DLR </w:t>
            </w:r>
            <w:r>
              <w:rPr>
                <w:spacing w:val="-3"/>
                <w:sz w:val="22"/>
              </w:rPr>
              <w:t>and </w:t>
            </w:r>
            <w:r>
              <w:rPr>
                <w:sz w:val="22"/>
              </w:rPr>
              <w:t>Child Protective Services (CPS) investigate</w:t>
            </w:r>
            <w:r>
              <w:rPr>
                <w:spacing w:val="-7"/>
                <w:sz w:val="22"/>
              </w:rPr>
              <w:t> </w:t>
            </w:r>
            <w:r>
              <w:rPr>
                <w:sz w:val="22"/>
              </w:rPr>
              <w:t>complaints.</w:t>
            </w:r>
          </w:p>
          <w:p>
            <w:pPr>
              <w:pStyle w:val="TableParagraph"/>
              <w:rPr>
                <w:b/>
                <w:sz w:val="22"/>
              </w:rPr>
            </w:pPr>
          </w:p>
          <w:p>
            <w:pPr>
              <w:pStyle w:val="TableParagraph"/>
              <w:ind w:left="107" w:right="250"/>
              <w:rPr>
                <w:sz w:val="22"/>
              </w:rPr>
            </w:pPr>
            <w:r>
              <w:rPr>
                <w:sz w:val="22"/>
              </w:rPr>
              <w:t>Annual evaluations of Licensed Staffed Residential facilities are conducted by DDA Quality Assurance Managers or</w:t>
            </w:r>
            <w:r>
              <w:rPr>
                <w:spacing w:val="-5"/>
                <w:sz w:val="22"/>
              </w:rPr>
              <w:t> </w:t>
            </w:r>
            <w:r>
              <w:rPr>
                <w:sz w:val="22"/>
              </w:rPr>
              <w:t>Performance</w:t>
            </w:r>
          </w:p>
          <w:p>
            <w:pPr>
              <w:pStyle w:val="TableParagraph"/>
              <w:spacing w:line="248" w:lineRule="exact"/>
              <w:ind w:left="107"/>
              <w:rPr>
                <w:sz w:val="22"/>
              </w:rPr>
            </w:pPr>
            <w:r>
              <w:rPr>
                <w:sz w:val="22"/>
              </w:rPr>
              <w:t>Quality Improvement</w:t>
            </w:r>
            <w:r>
              <w:rPr>
                <w:spacing w:val="-9"/>
                <w:sz w:val="22"/>
              </w:rPr>
              <w:t> </w:t>
            </w:r>
            <w:r>
              <w:rPr>
                <w:sz w:val="22"/>
              </w:rPr>
              <w:t>staff</w:t>
            </w:r>
          </w:p>
        </w:tc>
        <w:tc>
          <w:tcPr>
            <w:tcW w:w="2458" w:type="dxa"/>
            <w:tcBorders>
              <w:top w:val="single" w:sz="18" w:space="0" w:color="4E8542"/>
            </w:tcBorders>
            <w:shd w:val="clear" w:color="auto" w:fill="D0E4CA"/>
          </w:tcPr>
          <w:p>
            <w:pPr>
              <w:pStyle w:val="TableParagraph"/>
              <w:ind w:left="106" w:right="114"/>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spacing w:before="5"/>
        <w:rPr>
          <w:b/>
          <w:sz w:val="5"/>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footerReference w:type="default" r:id="rId70"/>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50"/>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2"/>
        <w:gridCol w:w="2748"/>
        <w:gridCol w:w="1409"/>
        <w:gridCol w:w="2895"/>
        <w:gridCol w:w="2458"/>
      </w:tblGrid>
      <w:tr>
        <w:trPr>
          <w:trHeight w:val="1465" w:hRule="atLeast"/>
        </w:trPr>
        <w:tc>
          <w:tcPr>
            <w:tcW w:w="3432" w:type="dxa"/>
            <w:tcBorders>
              <w:bottom w:val="single" w:sz="18" w:space="0" w:color="4E8542"/>
            </w:tcBorders>
          </w:tcPr>
          <w:p>
            <w:pPr>
              <w:pStyle w:val="TableParagraph"/>
              <w:spacing w:line="292" w:lineRule="exact"/>
              <w:ind w:left="232"/>
              <w:rPr>
                <w:b/>
                <w:sz w:val="24"/>
              </w:rPr>
            </w:pPr>
            <w:r>
              <w:rPr>
                <w:b/>
                <w:sz w:val="24"/>
              </w:rPr>
              <w:t>Characteristics/Requirements</w:t>
            </w:r>
          </w:p>
        </w:tc>
        <w:tc>
          <w:tcPr>
            <w:tcW w:w="2748" w:type="dxa"/>
            <w:tcBorders>
              <w:bottom w:val="single" w:sz="18" w:space="0" w:color="4E8542"/>
            </w:tcBorders>
          </w:tcPr>
          <w:p>
            <w:pPr>
              <w:pStyle w:val="TableParagraph"/>
              <w:ind w:left="169" w:right="149" w:hanging="2"/>
              <w:jc w:val="center"/>
              <w:rPr>
                <w:b/>
                <w:sz w:val="24"/>
              </w:rPr>
            </w:pPr>
            <w:r>
              <w:rPr>
                <w:b/>
                <w:sz w:val="24"/>
              </w:rPr>
              <w:t>Licensed Staffed Residential, Child Foster Home, and Group Care Facilities</w:t>
            </w:r>
          </w:p>
          <w:p>
            <w:pPr>
              <w:pStyle w:val="TableParagraph"/>
              <w:spacing w:line="272" w:lineRule="exact" w:before="1"/>
              <w:ind w:left="539" w:right="519"/>
              <w:jc w:val="center"/>
              <w:rPr>
                <w:b/>
                <w:sz w:val="24"/>
              </w:rPr>
            </w:pPr>
            <w:r>
              <w:rPr>
                <w:b/>
                <w:sz w:val="24"/>
              </w:rPr>
              <w:t>State Evaluation</w:t>
            </w:r>
          </w:p>
        </w:tc>
        <w:tc>
          <w:tcPr>
            <w:tcW w:w="1409" w:type="dxa"/>
            <w:tcBorders>
              <w:bottom w:val="single" w:sz="18" w:space="0" w:color="4E8542"/>
            </w:tcBorders>
          </w:tcPr>
          <w:p>
            <w:pPr>
              <w:pStyle w:val="TableParagraph"/>
              <w:ind w:left="446" w:right="83" w:hanging="327"/>
              <w:rPr>
                <w:b/>
                <w:sz w:val="24"/>
              </w:rPr>
            </w:pPr>
            <w:r>
              <w:rPr>
                <w:b/>
                <w:sz w:val="24"/>
              </w:rPr>
              <w:t>Compliance Level</w:t>
            </w:r>
          </w:p>
        </w:tc>
        <w:tc>
          <w:tcPr>
            <w:tcW w:w="2895" w:type="dxa"/>
            <w:tcBorders>
              <w:bottom w:val="single" w:sz="18" w:space="0" w:color="4E8542"/>
            </w:tcBorders>
          </w:tcPr>
          <w:p>
            <w:pPr>
              <w:pStyle w:val="TableParagraph"/>
              <w:spacing w:line="292" w:lineRule="exact"/>
              <w:ind w:left="561"/>
              <w:rPr>
                <w:b/>
                <w:sz w:val="24"/>
              </w:rPr>
            </w:pPr>
            <w:r>
              <w:rPr>
                <w:b/>
                <w:sz w:val="24"/>
              </w:rPr>
              <w:t>Oversight Process</w:t>
            </w:r>
          </w:p>
        </w:tc>
        <w:tc>
          <w:tcPr>
            <w:tcW w:w="2458" w:type="dxa"/>
            <w:tcBorders>
              <w:bottom w:val="single" w:sz="18" w:space="0" w:color="4E8542"/>
            </w:tcBorders>
          </w:tcPr>
          <w:p>
            <w:pPr>
              <w:pStyle w:val="TableParagraph"/>
              <w:spacing w:line="292" w:lineRule="exact"/>
              <w:ind w:left="586"/>
              <w:rPr>
                <w:b/>
                <w:sz w:val="24"/>
              </w:rPr>
            </w:pPr>
            <w:r>
              <w:rPr>
                <w:b/>
                <w:sz w:val="24"/>
              </w:rPr>
              <w:t>Remediation</w:t>
            </w:r>
          </w:p>
        </w:tc>
      </w:tr>
      <w:tr>
        <w:trPr>
          <w:trHeight w:val="3466" w:hRule="atLeast"/>
        </w:trPr>
        <w:tc>
          <w:tcPr>
            <w:tcW w:w="3432" w:type="dxa"/>
            <w:tcBorders>
              <w:top w:val="single" w:sz="18" w:space="0" w:color="4E8542"/>
            </w:tcBorders>
            <w:shd w:val="clear" w:color="auto" w:fill="D0E4CA"/>
          </w:tcPr>
          <w:p>
            <w:pPr>
              <w:pStyle w:val="TableParagraph"/>
              <w:rPr>
                <w:rFonts w:ascii="Times New Roman"/>
                <w:sz w:val="22"/>
              </w:rPr>
            </w:pPr>
          </w:p>
        </w:tc>
        <w:tc>
          <w:tcPr>
            <w:tcW w:w="2748" w:type="dxa"/>
            <w:tcBorders>
              <w:top w:val="single" w:sz="18" w:space="0" w:color="4E8542"/>
            </w:tcBorders>
            <w:shd w:val="clear" w:color="auto" w:fill="D0E4CA"/>
          </w:tcPr>
          <w:p>
            <w:pPr>
              <w:pStyle w:val="TableParagraph"/>
              <w:spacing w:line="243" w:lineRule="exact"/>
              <w:ind w:left="107"/>
              <w:rPr>
                <w:sz w:val="22"/>
              </w:rPr>
            </w:pPr>
            <w:r>
              <w:rPr>
                <w:sz w:val="22"/>
              </w:rPr>
              <w:t>alignment with the HCBS</w:t>
            </w:r>
          </w:p>
          <w:p>
            <w:pPr>
              <w:pStyle w:val="TableParagraph"/>
              <w:ind w:left="107"/>
              <w:rPr>
                <w:sz w:val="22"/>
              </w:rPr>
            </w:pPr>
            <w:r>
              <w:rPr>
                <w:sz w:val="22"/>
              </w:rPr>
              <w:t>setting requirements.</w:t>
            </w:r>
          </w:p>
        </w:tc>
        <w:tc>
          <w:tcPr>
            <w:tcW w:w="1409" w:type="dxa"/>
            <w:tcBorders>
              <w:top w:val="single" w:sz="18" w:space="0" w:color="4E8542"/>
            </w:tcBorders>
            <w:shd w:val="clear" w:color="auto" w:fill="D0E4CA"/>
          </w:tcPr>
          <w:p>
            <w:pPr>
              <w:pStyle w:val="TableParagraph"/>
              <w:rPr>
                <w:rFonts w:ascii="Times New Roman"/>
                <w:sz w:val="22"/>
              </w:rPr>
            </w:pPr>
          </w:p>
        </w:tc>
        <w:tc>
          <w:tcPr>
            <w:tcW w:w="2895" w:type="dxa"/>
            <w:tcBorders>
              <w:top w:val="single" w:sz="18" w:space="0" w:color="4E8542"/>
            </w:tcBorders>
            <w:shd w:val="clear" w:color="auto" w:fill="D0E4CA"/>
          </w:tcPr>
          <w:p>
            <w:pPr>
              <w:pStyle w:val="TableParagraph"/>
              <w:spacing w:line="243" w:lineRule="exact"/>
              <w:ind w:left="107"/>
              <w:rPr>
                <w:sz w:val="22"/>
              </w:rPr>
            </w:pPr>
            <w:r>
              <w:rPr>
                <w:sz w:val="22"/>
              </w:rPr>
              <w:t>utilizing Children’s Staffed</w:t>
            </w:r>
          </w:p>
          <w:p>
            <w:pPr>
              <w:pStyle w:val="TableParagraph"/>
              <w:ind w:left="107" w:right="104"/>
              <w:rPr>
                <w:sz w:val="22"/>
              </w:rPr>
            </w:pPr>
            <w:r>
              <w:rPr>
                <w:sz w:val="22"/>
              </w:rPr>
              <w:t>Residential Quality Assurance Assessment tool (</w:t>
            </w:r>
            <w:hyperlink r:id="rId73">
              <w:r>
                <w:rPr>
                  <w:color w:val="6B9F24"/>
                  <w:sz w:val="22"/>
                  <w:u w:val="single" w:color="6B9F24"/>
                </w:rPr>
                <w:t>DSHS 21-</w:t>
              </w:r>
            </w:hyperlink>
          </w:p>
          <w:p>
            <w:pPr>
              <w:pStyle w:val="TableParagraph"/>
              <w:ind w:left="107" w:right="279"/>
              <w:rPr>
                <w:sz w:val="22"/>
              </w:rPr>
            </w:pPr>
            <w:hyperlink r:id="rId73">
              <w:r>
                <w:rPr>
                  <w:color w:val="6B9F24"/>
                  <w:sz w:val="22"/>
                  <w:u w:val="single" w:color="6B9F24"/>
                </w:rPr>
                <w:t>059</w:t>
              </w:r>
            </w:hyperlink>
            <w:r>
              <w:rPr>
                <w:sz w:val="22"/>
              </w:rPr>
              <w:t>) and applying the same standards as utilized for supported living to ensure HCBS standards.</w:t>
            </w:r>
          </w:p>
          <w:p>
            <w:pPr>
              <w:pStyle w:val="TableParagraph"/>
              <w:spacing w:before="10"/>
              <w:rPr>
                <w:b/>
                <w:sz w:val="21"/>
              </w:rPr>
            </w:pPr>
          </w:p>
          <w:p>
            <w:pPr>
              <w:pStyle w:val="TableParagraph"/>
              <w:spacing w:line="270" w:lineRule="atLeast"/>
              <w:ind w:left="107" w:right="160"/>
              <w:rPr>
                <w:sz w:val="22"/>
              </w:rPr>
            </w:pPr>
            <w:r>
              <w:rPr>
                <w:sz w:val="22"/>
              </w:rPr>
              <w:t>On-site inspections ensure homes meet all licensing and certification requirements in WAC and RCW, including WAC 388-823-1095.</w:t>
            </w:r>
          </w:p>
        </w:tc>
        <w:tc>
          <w:tcPr>
            <w:tcW w:w="2458" w:type="dxa"/>
            <w:tcBorders>
              <w:top w:val="single" w:sz="18" w:space="0" w:color="4E8542"/>
            </w:tcBorders>
            <w:shd w:val="clear" w:color="auto" w:fill="D0E4CA"/>
          </w:tcPr>
          <w:p>
            <w:pPr>
              <w:pStyle w:val="TableParagraph"/>
              <w:rPr>
                <w:rFonts w:ascii="Times New Roman"/>
                <w:sz w:val="22"/>
              </w:rPr>
            </w:pPr>
          </w:p>
        </w:tc>
      </w:tr>
      <w:tr>
        <w:trPr>
          <w:trHeight w:val="4024" w:hRule="atLeast"/>
        </w:trPr>
        <w:tc>
          <w:tcPr>
            <w:tcW w:w="3432" w:type="dxa"/>
          </w:tcPr>
          <w:p>
            <w:pPr>
              <w:pStyle w:val="TableParagraph"/>
              <w:ind w:left="106" w:right="218"/>
              <w:rPr>
                <w:b/>
                <w:sz w:val="22"/>
              </w:rPr>
            </w:pPr>
            <w:r>
              <w:rPr>
                <w:b/>
                <w:sz w:val="22"/>
              </w:rPr>
              <w:t>The setting is selected by the Individual from among setting options including non-disability specific settings and an option for a private unit in a residential setting. The setting options are identified and documented in the person-centered service plan and are based on the individual’s needs, preferences, and, for residential settings, the resources available for room and board.</w:t>
            </w:r>
          </w:p>
        </w:tc>
        <w:tc>
          <w:tcPr>
            <w:tcW w:w="2748" w:type="dxa"/>
          </w:tcPr>
          <w:p>
            <w:pPr>
              <w:pStyle w:val="TableParagraph"/>
              <w:ind w:left="107" w:right="307"/>
              <w:rPr>
                <w:sz w:val="22"/>
              </w:rPr>
            </w:pPr>
            <w:r>
              <w:rPr>
                <w:sz w:val="22"/>
              </w:rPr>
              <w:t>DDA policy identifies that the referral process is a joint process and that the service options are discussed in person.</w:t>
            </w:r>
          </w:p>
          <w:p>
            <w:pPr>
              <w:pStyle w:val="TableParagraph"/>
              <w:spacing w:before="6"/>
              <w:rPr>
                <w:b/>
                <w:sz w:val="21"/>
              </w:rPr>
            </w:pPr>
          </w:p>
          <w:p>
            <w:pPr>
              <w:pStyle w:val="TableParagraph"/>
              <w:ind w:left="107"/>
              <w:rPr>
                <w:sz w:val="22"/>
              </w:rPr>
            </w:pPr>
            <w:hyperlink r:id="rId23">
              <w:r>
                <w:rPr>
                  <w:color w:val="6B9F24"/>
                  <w:sz w:val="22"/>
                  <w:u w:val="single" w:color="6B9F24"/>
                </w:rPr>
                <w:t>Chapter 388-823-1095</w:t>
              </w:r>
              <w:r>
                <w:rPr>
                  <w:color w:val="6B9F24"/>
                  <w:sz w:val="22"/>
                </w:rPr>
                <w:t> </w:t>
              </w:r>
            </w:hyperlink>
            <w:r>
              <w:rPr>
                <w:sz w:val="22"/>
              </w:rPr>
              <w:t>WAC</w:t>
            </w:r>
          </w:p>
          <w:p>
            <w:pPr>
              <w:pStyle w:val="TableParagraph"/>
              <w:ind w:left="107"/>
              <w:rPr>
                <w:sz w:val="22"/>
              </w:rPr>
            </w:pPr>
            <w:r>
              <w:rPr>
                <w:sz w:val="22"/>
              </w:rPr>
              <w:t>my rights as a DDA client</w:t>
            </w:r>
          </w:p>
          <w:p>
            <w:pPr>
              <w:pStyle w:val="TableParagraph"/>
              <w:rPr>
                <w:b/>
                <w:sz w:val="22"/>
              </w:rPr>
            </w:pPr>
          </w:p>
          <w:p>
            <w:pPr>
              <w:pStyle w:val="TableParagraph"/>
              <w:spacing w:before="1"/>
              <w:ind w:left="107" w:right="182"/>
              <w:rPr>
                <w:sz w:val="22"/>
              </w:rPr>
            </w:pPr>
            <w:r>
              <w:rPr>
                <w:sz w:val="22"/>
              </w:rPr>
              <w:t>During the assessment process, it is the case manager’s responsibility to inform individuals of their options regarding settings</w:t>
            </w:r>
          </w:p>
          <w:p>
            <w:pPr>
              <w:pStyle w:val="TableParagraph"/>
              <w:spacing w:line="250" w:lineRule="exact"/>
              <w:ind w:left="107"/>
              <w:rPr>
                <w:sz w:val="22"/>
              </w:rPr>
            </w:pPr>
            <w:r>
              <w:rPr>
                <w:sz w:val="22"/>
              </w:rPr>
              <w:t>and providers. Participants</w:t>
            </w:r>
          </w:p>
        </w:tc>
        <w:tc>
          <w:tcPr>
            <w:tcW w:w="1409" w:type="dxa"/>
          </w:tcPr>
          <w:p>
            <w:pPr>
              <w:pStyle w:val="TableParagraph"/>
              <w:ind w:left="107" w:right="341"/>
              <w:rPr>
                <w:sz w:val="22"/>
              </w:rPr>
            </w:pPr>
            <w:r>
              <w:rPr>
                <w:sz w:val="22"/>
              </w:rPr>
              <w:t>Partially Compliant</w:t>
            </w:r>
          </w:p>
        </w:tc>
        <w:tc>
          <w:tcPr>
            <w:tcW w:w="2895" w:type="dxa"/>
          </w:tcPr>
          <w:p>
            <w:pPr>
              <w:pStyle w:val="TableParagraph"/>
              <w:ind w:left="107" w:right="98"/>
              <w:rPr>
                <w:sz w:val="22"/>
              </w:rPr>
            </w:pPr>
            <w:r>
              <w:rPr>
                <w:sz w:val="22"/>
              </w:rPr>
              <w:t>Children’s Administration’s Division of Licensed Resources (DLR) licenses each of these settings. Licenses do not exceed 3 years. DLR and Child Protective Services (CPS) investigate complaints. Annual evaluations of Licensed Staffed Residential facilities are conducted by DDA Quality Assurance Managers or Performance Quality Improvement staff utilizing Children’s</w:t>
            </w:r>
            <w:r>
              <w:rPr>
                <w:spacing w:val="-4"/>
                <w:sz w:val="22"/>
              </w:rPr>
              <w:t> </w:t>
            </w:r>
            <w:r>
              <w:rPr>
                <w:sz w:val="22"/>
              </w:rPr>
              <w:t>Staffed</w:t>
            </w:r>
          </w:p>
          <w:p>
            <w:pPr>
              <w:pStyle w:val="TableParagraph"/>
              <w:spacing w:line="250" w:lineRule="exact"/>
              <w:ind w:left="107"/>
              <w:rPr>
                <w:sz w:val="22"/>
              </w:rPr>
            </w:pPr>
            <w:r>
              <w:rPr>
                <w:sz w:val="22"/>
              </w:rPr>
              <w:t>Residential Quality Assurance</w:t>
            </w:r>
          </w:p>
        </w:tc>
        <w:tc>
          <w:tcPr>
            <w:tcW w:w="2458" w:type="dxa"/>
          </w:tcPr>
          <w:p>
            <w:pPr>
              <w:pStyle w:val="TableParagraph"/>
              <w:ind w:left="106" w:right="114"/>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spacing w:before="11"/>
        <w:rPr>
          <w:b/>
          <w:sz w:val="9"/>
        </w:rPr>
      </w:pPr>
      <w:r>
        <w:rPr/>
        <w:pict>
          <v:shape style="position:absolute;margin-left:70.559998pt;margin-top:8.2795pt;width:650.9pt;height:.1pt;mso-position-horizontal-relative:page;mso-position-vertical-relative:paragraph;z-index:-251596800;mso-wrap-distance-left:0;mso-wrap-distance-right:0" coordorigin="1411,166" coordsize="13018,0" path="m1411,166l14429,166e" filled="false" stroked="true" strokeweight=".481pt" strokecolor="#d9d9d9">
            <v:path arrowok="t"/>
            <v:stroke dashstyle="solid"/>
            <w10:wrap type="topAndBottom"/>
          </v:shape>
        </w:pict>
      </w:r>
    </w:p>
    <w:p>
      <w:pPr>
        <w:spacing w:after="0"/>
        <w:rPr>
          <w:sz w:val="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2"/>
        <w:gridCol w:w="2748"/>
        <w:gridCol w:w="1409"/>
        <w:gridCol w:w="2895"/>
        <w:gridCol w:w="2458"/>
      </w:tblGrid>
      <w:tr>
        <w:trPr>
          <w:trHeight w:val="1465" w:hRule="atLeast"/>
        </w:trPr>
        <w:tc>
          <w:tcPr>
            <w:tcW w:w="3432" w:type="dxa"/>
            <w:tcBorders>
              <w:bottom w:val="single" w:sz="18" w:space="0" w:color="4E8542"/>
            </w:tcBorders>
          </w:tcPr>
          <w:p>
            <w:pPr>
              <w:pStyle w:val="TableParagraph"/>
              <w:spacing w:line="292" w:lineRule="exact"/>
              <w:ind w:left="232"/>
              <w:rPr>
                <w:b/>
                <w:sz w:val="24"/>
              </w:rPr>
            </w:pPr>
            <w:r>
              <w:rPr>
                <w:b/>
                <w:sz w:val="24"/>
              </w:rPr>
              <w:t>Characteristics/Requirements</w:t>
            </w:r>
          </w:p>
        </w:tc>
        <w:tc>
          <w:tcPr>
            <w:tcW w:w="2748" w:type="dxa"/>
            <w:tcBorders>
              <w:bottom w:val="single" w:sz="18" w:space="0" w:color="4E8542"/>
            </w:tcBorders>
          </w:tcPr>
          <w:p>
            <w:pPr>
              <w:pStyle w:val="TableParagraph"/>
              <w:ind w:left="169" w:right="149" w:hanging="2"/>
              <w:jc w:val="center"/>
              <w:rPr>
                <w:b/>
                <w:sz w:val="24"/>
              </w:rPr>
            </w:pPr>
            <w:r>
              <w:rPr>
                <w:b/>
                <w:sz w:val="24"/>
              </w:rPr>
              <w:t>Licensed Staffed Residential, Child Foster Home, and Group Care Facilities</w:t>
            </w:r>
          </w:p>
          <w:p>
            <w:pPr>
              <w:pStyle w:val="TableParagraph"/>
              <w:spacing w:line="272" w:lineRule="exact" w:before="1"/>
              <w:ind w:left="539" w:right="519"/>
              <w:jc w:val="center"/>
              <w:rPr>
                <w:b/>
                <w:sz w:val="24"/>
              </w:rPr>
            </w:pPr>
            <w:r>
              <w:rPr>
                <w:b/>
                <w:sz w:val="24"/>
              </w:rPr>
              <w:t>State Evaluation</w:t>
            </w:r>
          </w:p>
        </w:tc>
        <w:tc>
          <w:tcPr>
            <w:tcW w:w="1409" w:type="dxa"/>
            <w:tcBorders>
              <w:bottom w:val="single" w:sz="18" w:space="0" w:color="4E8542"/>
            </w:tcBorders>
          </w:tcPr>
          <w:p>
            <w:pPr>
              <w:pStyle w:val="TableParagraph"/>
              <w:ind w:left="446" w:right="83" w:hanging="327"/>
              <w:rPr>
                <w:b/>
                <w:sz w:val="24"/>
              </w:rPr>
            </w:pPr>
            <w:r>
              <w:rPr>
                <w:b/>
                <w:sz w:val="24"/>
              </w:rPr>
              <w:t>Compliance Level</w:t>
            </w:r>
          </w:p>
        </w:tc>
        <w:tc>
          <w:tcPr>
            <w:tcW w:w="2895" w:type="dxa"/>
            <w:tcBorders>
              <w:bottom w:val="single" w:sz="18" w:space="0" w:color="4E8542"/>
            </w:tcBorders>
          </w:tcPr>
          <w:p>
            <w:pPr>
              <w:pStyle w:val="TableParagraph"/>
              <w:spacing w:line="292" w:lineRule="exact"/>
              <w:ind w:left="561"/>
              <w:rPr>
                <w:b/>
                <w:sz w:val="24"/>
              </w:rPr>
            </w:pPr>
            <w:r>
              <w:rPr>
                <w:b/>
                <w:sz w:val="24"/>
              </w:rPr>
              <w:t>Oversight Process</w:t>
            </w:r>
          </w:p>
        </w:tc>
        <w:tc>
          <w:tcPr>
            <w:tcW w:w="2458" w:type="dxa"/>
            <w:tcBorders>
              <w:bottom w:val="single" w:sz="18" w:space="0" w:color="4E8542"/>
            </w:tcBorders>
          </w:tcPr>
          <w:p>
            <w:pPr>
              <w:pStyle w:val="TableParagraph"/>
              <w:spacing w:line="292" w:lineRule="exact"/>
              <w:ind w:left="586"/>
              <w:rPr>
                <w:b/>
                <w:sz w:val="24"/>
              </w:rPr>
            </w:pPr>
            <w:r>
              <w:rPr>
                <w:b/>
                <w:sz w:val="24"/>
              </w:rPr>
              <w:t>Remediation</w:t>
            </w:r>
          </w:p>
        </w:tc>
      </w:tr>
      <w:tr>
        <w:trPr>
          <w:trHeight w:val="2660" w:hRule="atLeast"/>
        </w:trPr>
        <w:tc>
          <w:tcPr>
            <w:tcW w:w="3432" w:type="dxa"/>
            <w:tcBorders>
              <w:top w:val="single" w:sz="18" w:space="0" w:color="4E8542"/>
            </w:tcBorders>
          </w:tcPr>
          <w:p>
            <w:pPr>
              <w:pStyle w:val="TableParagraph"/>
              <w:rPr>
                <w:rFonts w:ascii="Times New Roman"/>
                <w:sz w:val="22"/>
              </w:rPr>
            </w:pPr>
          </w:p>
        </w:tc>
        <w:tc>
          <w:tcPr>
            <w:tcW w:w="2748" w:type="dxa"/>
            <w:tcBorders>
              <w:top w:val="single" w:sz="18" w:space="0" w:color="4E8542"/>
            </w:tcBorders>
          </w:tcPr>
          <w:p>
            <w:pPr>
              <w:pStyle w:val="TableParagraph"/>
              <w:spacing w:line="243" w:lineRule="exact"/>
              <w:ind w:left="107"/>
              <w:rPr>
                <w:sz w:val="22"/>
              </w:rPr>
            </w:pPr>
            <w:r>
              <w:rPr>
                <w:sz w:val="22"/>
              </w:rPr>
              <w:t>report via the Assessment</w:t>
            </w:r>
          </w:p>
          <w:p>
            <w:pPr>
              <w:pStyle w:val="TableParagraph"/>
              <w:ind w:left="107" w:right="93"/>
              <w:rPr>
                <w:sz w:val="22"/>
              </w:rPr>
            </w:pPr>
            <w:r>
              <w:rPr>
                <w:sz w:val="22"/>
              </w:rPr>
              <w:t>Meeting Wrap–up and the Assessment Meeting Survey that they are informed of their options regarding services and providers.</w:t>
            </w:r>
          </w:p>
        </w:tc>
        <w:tc>
          <w:tcPr>
            <w:tcW w:w="1409" w:type="dxa"/>
            <w:tcBorders>
              <w:top w:val="single" w:sz="18" w:space="0" w:color="4E8542"/>
            </w:tcBorders>
          </w:tcPr>
          <w:p>
            <w:pPr>
              <w:pStyle w:val="TableParagraph"/>
              <w:rPr>
                <w:rFonts w:ascii="Times New Roman"/>
                <w:sz w:val="22"/>
              </w:rPr>
            </w:pPr>
          </w:p>
        </w:tc>
        <w:tc>
          <w:tcPr>
            <w:tcW w:w="2895" w:type="dxa"/>
            <w:tcBorders>
              <w:top w:val="single" w:sz="18" w:space="0" w:color="4E8542"/>
            </w:tcBorders>
          </w:tcPr>
          <w:p>
            <w:pPr>
              <w:pStyle w:val="TableParagraph"/>
              <w:spacing w:line="243" w:lineRule="exact"/>
              <w:ind w:left="107"/>
              <w:rPr>
                <w:sz w:val="22"/>
              </w:rPr>
            </w:pPr>
            <w:r>
              <w:rPr>
                <w:sz w:val="22"/>
              </w:rPr>
              <w:t>Assessment tool and applying</w:t>
            </w:r>
          </w:p>
          <w:p>
            <w:pPr>
              <w:pStyle w:val="TableParagraph"/>
              <w:ind w:left="107" w:right="292"/>
              <w:rPr>
                <w:sz w:val="22"/>
              </w:rPr>
            </w:pPr>
            <w:r>
              <w:rPr>
                <w:sz w:val="22"/>
              </w:rPr>
              <w:t>the same standards as utilized for supported living to ensure HCBS standards.</w:t>
            </w:r>
          </w:p>
          <w:p>
            <w:pPr>
              <w:pStyle w:val="TableParagraph"/>
              <w:spacing w:before="11"/>
              <w:rPr>
                <w:b/>
                <w:sz w:val="21"/>
              </w:rPr>
            </w:pPr>
          </w:p>
          <w:p>
            <w:pPr>
              <w:pStyle w:val="TableParagraph"/>
              <w:ind w:left="107" w:right="160"/>
              <w:rPr>
                <w:sz w:val="22"/>
              </w:rPr>
            </w:pPr>
            <w:r>
              <w:rPr>
                <w:sz w:val="22"/>
              </w:rPr>
              <w:t>On-site inspections ensure homes meet all licensing and certification requirements in WAC and RCW, including</w:t>
            </w:r>
          </w:p>
          <w:p>
            <w:pPr>
              <w:pStyle w:val="TableParagraph"/>
              <w:spacing w:line="249" w:lineRule="exact" w:before="1"/>
              <w:ind w:left="107"/>
              <w:rPr>
                <w:sz w:val="22"/>
              </w:rPr>
            </w:pPr>
            <w:r>
              <w:rPr>
                <w:sz w:val="22"/>
              </w:rPr>
              <w:t>WAC 388-823-1095.</w:t>
            </w:r>
          </w:p>
        </w:tc>
        <w:tc>
          <w:tcPr>
            <w:tcW w:w="2458" w:type="dxa"/>
            <w:tcBorders>
              <w:top w:val="single" w:sz="18" w:space="0" w:color="4E8542"/>
            </w:tcBorders>
          </w:tcPr>
          <w:p>
            <w:pPr>
              <w:pStyle w:val="TableParagraph"/>
              <w:rPr>
                <w:rFonts w:ascii="Times New Roman"/>
                <w:sz w:val="22"/>
              </w:rPr>
            </w:pPr>
          </w:p>
        </w:tc>
      </w:tr>
      <w:tr>
        <w:trPr>
          <w:trHeight w:val="4566" w:hRule="atLeast"/>
        </w:trPr>
        <w:tc>
          <w:tcPr>
            <w:tcW w:w="3432" w:type="dxa"/>
            <w:shd w:val="clear" w:color="auto" w:fill="D0E4CA"/>
          </w:tcPr>
          <w:p>
            <w:pPr>
              <w:pStyle w:val="TableParagraph"/>
              <w:ind w:left="107" w:right="237"/>
              <w:rPr>
                <w:b/>
                <w:sz w:val="22"/>
              </w:rPr>
            </w:pPr>
            <w:r>
              <w:rPr>
                <w:b/>
                <w:sz w:val="22"/>
              </w:rPr>
              <w:t>An individual’s essential personal rights of privacy, dignity and respect, and freedom from coercion and restraint are protected.</w:t>
            </w:r>
          </w:p>
        </w:tc>
        <w:tc>
          <w:tcPr>
            <w:tcW w:w="2748" w:type="dxa"/>
            <w:shd w:val="clear" w:color="auto" w:fill="D0E4CA"/>
          </w:tcPr>
          <w:p>
            <w:pPr>
              <w:pStyle w:val="TableParagraph"/>
              <w:ind w:left="107" w:right="103"/>
              <w:rPr>
                <w:sz w:val="22"/>
              </w:rPr>
            </w:pPr>
            <w:r>
              <w:rPr>
                <w:sz w:val="22"/>
              </w:rPr>
              <w:t>Licensed Staffed Residential (LSR) Contract and DDA policies </w:t>
            </w:r>
            <w:hyperlink r:id="rId74">
              <w:r>
                <w:rPr>
                  <w:color w:val="6B9F24"/>
                  <w:sz w:val="22"/>
                  <w:u w:val="single" w:color="6B9F24"/>
                </w:rPr>
                <w:t>5.19</w:t>
              </w:r>
              <w:r>
                <w:rPr>
                  <w:sz w:val="22"/>
                </w:rPr>
                <w:t>, </w:t>
              </w:r>
            </w:hyperlink>
            <w:hyperlink r:id="rId75">
              <w:r>
                <w:rPr>
                  <w:color w:val="6B9F24"/>
                  <w:sz w:val="22"/>
                  <w:u w:val="single" w:color="6B9F24"/>
                </w:rPr>
                <w:t>5.20</w:t>
              </w:r>
              <w:r>
                <w:rPr>
                  <w:color w:val="6B9F24"/>
                  <w:sz w:val="22"/>
                </w:rPr>
                <w:t> </w:t>
              </w:r>
            </w:hyperlink>
            <w:r>
              <w:rPr>
                <w:sz w:val="22"/>
              </w:rPr>
              <w:t>and </w:t>
            </w:r>
            <w:hyperlink r:id="rId76">
              <w:r>
                <w:rPr>
                  <w:color w:val="6B9F24"/>
                  <w:sz w:val="22"/>
                  <w:u w:val="single" w:color="6B9F24"/>
                </w:rPr>
                <w:t>6.12</w:t>
              </w:r>
            </w:hyperlink>
            <w:r>
              <w:rPr>
                <w:color w:val="6B9F24"/>
                <w:sz w:val="22"/>
              </w:rPr>
              <w:t> </w:t>
            </w:r>
            <w:r>
              <w:rPr>
                <w:sz w:val="22"/>
              </w:rPr>
              <w:t>contain language that addresses this</w:t>
            </w:r>
            <w:r>
              <w:rPr>
                <w:spacing w:val="-13"/>
                <w:sz w:val="22"/>
              </w:rPr>
              <w:t> </w:t>
            </w:r>
            <w:r>
              <w:rPr>
                <w:sz w:val="22"/>
              </w:rPr>
              <w:t>requirement.</w:t>
            </w:r>
          </w:p>
          <w:p>
            <w:pPr>
              <w:pStyle w:val="TableParagraph"/>
              <w:rPr>
                <w:b/>
                <w:sz w:val="22"/>
              </w:rPr>
            </w:pPr>
          </w:p>
          <w:p>
            <w:pPr>
              <w:pStyle w:val="TableParagraph"/>
              <w:ind w:left="107"/>
              <w:rPr>
                <w:sz w:val="22"/>
              </w:rPr>
            </w:pPr>
            <w:hyperlink r:id="rId23">
              <w:r>
                <w:rPr>
                  <w:color w:val="6B9F24"/>
                  <w:sz w:val="22"/>
                  <w:u w:val="single" w:color="6B9F24"/>
                </w:rPr>
                <w:t>Chapter 388-823-1095</w:t>
              </w:r>
              <w:r>
                <w:rPr>
                  <w:color w:val="6B9F24"/>
                  <w:spacing w:val="-12"/>
                  <w:sz w:val="22"/>
                </w:rPr>
                <w:t> </w:t>
              </w:r>
            </w:hyperlink>
            <w:r>
              <w:rPr>
                <w:sz w:val="22"/>
              </w:rPr>
              <w:t>WAC</w:t>
            </w:r>
          </w:p>
          <w:p>
            <w:pPr>
              <w:pStyle w:val="TableParagraph"/>
              <w:ind w:left="107"/>
              <w:rPr>
                <w:sz w:val="22"/>
              </w:rPr>
            </w:pPr>
            <w:r>
              <w:rPr>
                <w:sz w:val="22"/>
              </w:rPr>
              <w:t>my rights as a DDA client</w:t>
            </w:r>
          </w:p>
        </w:tc>
        <w:tc>
          <w:tcPr>
            <w:tcW w:w="1409" w:type="dxa"/>
            <w:shd w:val="clear" w:color="auto" w:fill="D0E4CA"/>
          </w:tcPr>
          <w:p>
            <w:pPr>
              <w:pStyle w:val="TableParagraph"/>
              <w:ind w:left="107" w:right="341"/>
              <w:rPr>
                <w:sz w:val="22"/>
              </w:rPr>
            </w:pPr>
            <w:r>
              <w:rPr>
                <w:sz w:val="22"/>
              </w:rPr>
              <w:t>Partially Compliant</w:t>
            </w:r>
          </w:p>
        </w:tc>
        <w:tc>
          <w:tcPr>
            <w:tcW w:w="2895" w:type="dxa"/>
            <w:shd w:val="clear" w:color="auto" w:fill="D0E4CA"/>
          </w:tcPr>
          <w:p>
            <w:pPr>
              <w:pStyle w:val="TableParagraph"/>
              <w:ind w:left="107" w:right="98"/>
              <w:rPr>
                <w:sz w:val="22"/>
              </w:rPr>
            </w:pPr>
            <w:r>
              <w:rPr>
                <w:sz w:val="22"/>
              </w:rPr>
              <w:t>Children’s Administration’s Division of Licensed Resources (DLR) licenses each of these settings. Licenses do not exceed 3 years. DLR and Child Protective Services (CPS) investigate complaints. Annual evaluations of Licensed Staffed Residential facilities are conducted by DDA Quality Assurance Managers or Performance Quality Improvement staff utilizing Children’s Staffed Residential Quality</w:t>
            </w:r>
            <w:r>
              <w:rPr>
                <w:spacing w:val="-10"/>
                <w:sz w:val="22"/>
              </w:rPr>
              <w:t> </w:t>
            </w:r>
            <w:r>
              <w:rPr>
                <w:sz w:val="22"/>
              </w:rPr>
              <w:t>Assurance</w:t>
            </w:r>
          </w:p>
          <w:p>
            <w:pPr>
              <w:pStyle w:val="TableParagraph"/>
              <w:spacing w:line="270" w:lineRule="atLeast"/>
              <w:ind w:left="107" w:right="94"/>
              <w:rPr>
                <w:sz w:val="22"/>
              </w:rPr>
            </w:pPr>
            <w:r>
              <w:rPr>
                <w:sz w:val="22"/>
              </w:rPr>
              <w:t>Assessment tool and applying the same standards as</w:t>
            </w:r>
          </w:p>
        </w:tc>
        <w:tc>
          <w:tcPr>
            <w:tcW w:w="2458" w:type="dxa"/>
            <w:shd w:val="clear" w:color="auto" w:fill="D0E4CA"/>
          </w:tcPr>
          <w:p>
            <w:pPr>
              <w:pStyle w:val="TableParagraph"/>
              <w:ind w:left="106" w:right="114"/>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rPr>
          <w:b/>
          <w:sz w:val="20"/>
        </w:rPr>
      </w:pPr>
    </w:p>
    <w:p>
      <w:pPr>
        <w:pStyle w:val="BodyText"/>
        <w:spacing w:before="11"/>
        <w:rPr>
          <w:b/>
          <w:sz w:val="11"/>
        </w:rPr>
      </w:pPr>
      <w:r>
        <w:rPr/>
        <w:pict>
          <v:shape style="position:absolute;margin-left:70.559998pt;margin-top:9.512468pt;width:650.9pt;height:.1pt;mso-position-horizontal-relative:page;mso-position-vertical-relative:paragraph;z-index:-251595776;mso-wrap-distance-left:0;mso-wrap-distance-right:0" coordorigin="1411,190" coordsize="13018,0" path="m1411,190l14429,190e" filled="false" stroked="true" strokeweight=".481pt" strokecolor="#d9d9d9">
            <v:path arrowok="t"/>
            <v:stroke dashstyle="solid"/>
            <w10:wrap type="topAndBottom"/>
          </v:shape>
        </w:pict>
      </w:r>
    </w:p>
    <w:p>
      <w:pPr>
        <w:spacing w:after="0"/>
        <w:rPr>
          <w:sz w:val="11"/>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2"/>
        <w:gridCol w:w="2748"/>
        <w:gridCol w:w="1409"/>
        <w:gridCol w:w="2895"/>
        <w:gridCol w:w="2458"/>
      </w:tblGrid>
      <w:tr>
        <w:trPr>
          <w:trHeight w:val="1465" w:hRule="atLeast"/>
        </w:trPr>
        <w:tc>
          <w:tcPr>
            <w:tcW w:w="3432" w:type="dxa"/>
            <w:tcBorders>
              <w:bottom w:val="single" w:sz="18" w:space="0" w:color="4E8542"/>
            </w:tcBorders>
          </w:tcPr>
          <w:p>
            <w:pPr>
              <w:pStyle w:val="TableParagraph"/>
              <w:spacing w:line="292" w:lineRule="exact"/>
              <w:ind w:left="232"/>
              <w:rPr>
                <w:b/>
                <w:sz w:val="24"/>
              </w:rPr>
            </w:pPr>
            <w:r>
              <w:rPr>
                <w:b/>
                <w:sz w:val="24"/>
              </w:rPr>
              <w:t>Characteristics/Requirements</w:t>
            </w:r>
          </w:p>
        </w:tc>
        <w:tc>
          <w:tcPr>
            <w:tcW w:w="2748" w:type="dxa"/>
            <w:tcBorders>
              <w:bottom w:val="single" w:sz="18" w:space="0" w:color="4E8542"/>
            </w:tcBorders>
          </w:tcPr>
          <w:p>
            <w:pPr>
              <w:pStyle w:val="TableParagraph"/>
              <w:ind w:left="169" w:right="149" w:hanging="2"/>
              <w:jc w:val="center"/>
              <w:rPr>
                <w:b/>
                <w:sz w:val="24"/>
              </w:rPr>
            </w:pPr>
            <w:r>
              <w:rPr>
                <w:b/>
                <w:sz w:val="24"/>
              </w:rPr>
              <w:t>Licensed Staffed Residential, Child Foster Home, and Group Care Facilities</w:t>
            </w:r>
          </w:p>
          <w:p>
            <w:pPr>
              <w:pStyle w:val="TableParagraph"/>
              <w:spacing w:line="272" w:lineRule="exact" w:before="1"/>
              <w:ind w:left="539" w:right="519"/>
              <w:jc w:val="center"/>
              <w:rPr>
                <w:b/>
                <w:sz w:val="24"/>
              </w:rPr>
            </w:pPr>
            <w:r>
              <w:rPr>
                <w:b/>
                <w:sz w:val="24"/>
              </w:rPr>
              <w:t>State Evaluation</w:t>
            </w:r>
          </w:p>
        </w:tc>
        <w:tc>
          <w:tcPr>
            <w:tcW w:w="1409" w:type="dxa"/>
            <w:tcBorders>
              <w:bottom w:val="single" w:sz="18" w:space="0" w:color="4E8542"/>
            </w:tcBorders>
          </w:tcPr>
          <w:p>
            <w:pPr>
              <w:pStyle w:val="TableParagraph"/>
              <w:ind w:left="446" w:right="83" w:hanging="327"/>
              <w:rPr>
                <w:b/>
                <w:sz w:val="24"/>
              </w:rPr>
            </w:pPr>
            <w:r>
              <w:rPr>
                <w:b/>
                <w:sz w:val="24"/>
              </w:rPr>
              <w:t>Compliance Level</w:t>
            </w:r>
          </w:p>
        </w:tc>
        <w:tc>
          <w:tcPr>
            <w:tcW w:w="2895" w:type="dxa"/>
            <w:tcBorders>
              <w:bottom w:val="single" w:sz="18" w:space="0" w:color="4E8542"/>
            </w:tcBorders>
          </w:tcPr>
          <w:p>
            <w:pPr>
              <w:pStyle w:val="TableParagraph"/>
              <w:spacing w:line="292" w:lineRule="exact"/>
              <w:ind w:left="561"/>
              <w:rPr>
                <w:b/>
                <w:sz w:val="24"/>
              </w:rPr>
            </w:pPr>
            <w:r>
              <w:rPr>
                <w:b/>
                <w:sz w:val="24"/>
              </w:rPr>
              <w:t>Oversight Process</w:t>
            </w:r>
          </w:p>
        </w:tc>
        <w:tc>
          <w:tcPr>
            <w:tcW w:w="2458" w:type="dxa"/>
            <w:tcBorders>
              <w:bottom w:val="single" w:sz="18" w:space="0" w:color="4E8542"/>
            </w:tcBorders>
          </w:tcPr>
          <w:p>
            <w:pPr>
              <w:pStyle w:val="TableParagraph"/>
              <w:spacing w:line="292" w:lineRule="exact"/>
              <w:ind w:left="586"/>
              <w:rPr>
                <w:b/>
                <w:sz w:val="24"/>
              </w:rPr>
            </w:pPr>
            <w:r>
              <w:rPr>
                <w:b/>
                <w:sz w:val="24"/>
              </w:rPr>
              <w:t>Remediation</w:t>
            </w:r>
          </w:p>
        </w:tc>
      </w:tr>
      <w:tr>
        <w:trPr>
          <w:trHeight w:val="2122" w:hRule="atLeast"/>
        </w:trPr>
        <w:tc>
          <w:tcPr>
            <w:tcW w:w="3432" w:type="dxa"/>
            <w:tcBorders>
              <w:top w:val="single" w:sz="18" w:space="0" w:color="4E8542"/>
            </w:tcBorders>
            <w:shd w:val="clear" w:color="auto" w:fill="D0E4CA"/>
          </w:tcPr>
          <w:p>
            <w:pPr>
              <w:pStyle w:val="TableParagraph"/>
              <w:rPr>
                <w:rFonts w:ascii="Times New Roman"/>
                <w:sz w:val="22"/>
              </w:rPr>
            </w:pPr>
          </w:p>
        </w:tc>
        <w:tc>
          <w:tcPr>
            <w:tcW w:w="2748" w:type="dxa"/>
            <w:tcBorders>
              <w:top w:val="single" w:sz="18" w:space="0" w:color="4E8542"/>
            </w:tcBorders>
            <w:shd w:val="clear" w:color="auto" w:fill="D0E4CA"/>
          </w:tcPr>
          <w:p>
            <w:pPr>
              <w:pStyle w:val="TableParagraph"/>
              <w:rPr>
                <w:rFonts w:ascii="Times New Roman"/>
                <w:sz w:val="22"/>
              </w:rPr>
            </w:pPr>
          </w:p>
        </w:tc>
        <w:tc>
          <w:tcPr>
            <w:tcW w:w="1409" w:type="dxa"/>
            <w:tcBorders>
              <w:top w:val="single" w:sz="18" w:space="0" w:color="4E8542"/>
            </w:tcBorders>
            <w:shd w:val="clear" w:color="auto" w:fill="D0E4CA"/>
          </w:tcPr>
          <w:p>
            <w:pPr>
              <w:pStyle w:val="TableParagraph"/>
              <w:rPr>
                <w:rFonts w:ascii="Times New Roman"/>
                <w:sz w:val="22"/>
              </w:rPr>
            </w:pPr>
          </w:p>
        </w:tc>
        <w:tc>
          <w:tcPr>
            <w:tcW w:w="2895" w:type="dxa"/>
            <w:tcBorders>
              <w:top w:val="single" w:sz="18" w:space="0" w:color="4E8542"/>
            </w:tcBorders>
            <w:shd w:val="clear" w:color="auto" w:fill="D0E4CA"/>
          </w:tcPr>
          <w:p>
            <w:pPr>
              <w:pStyle w:val="TableParagraph"/>
              <w:spacing w:line="243" w:lineRule="exact"/>
              <w:ind w:left="107"/>
              <w:rPr>
                <w:sz w:val="22"/>
              </w:rPr>
            </w:pPr>
            <w:r>
              <w:rPr>
                <w:sz w:val="22"/>
              </w:rPr>
              <w:t>utilized for supported living</w:t>
            </w:r>
          </w:p>
          <w:p>
            <w:pPr>
              <w:pStyle w:val="TableParagraph"/>
              <w:ind w:left="107"/>
              <w:rPr>
                <w:sz w:val="22"/>
              </w:rPr>
            </w:pPr>
            <w:r>
              <w:rPr>
                <w:sz w:val="22"/>
              </w:rPr>
              <w:t>to ensure HCBS standards.</w:t>
            </w:r>
          </w:p>
          <w:p>
            <w:pPr>
              <w:pStyle w:val="TableParagraph"/>
              <w:rPr>
                <w:b/>
                <w:sz w:val="22"/>
              </w:rPr>
            </w:pPr>
          </w:p>
          <w:p>
            <w:pPr>
              <w:pStyle w:val="TableParagraph"/>
              <w:ind w:left="107" w:right="160"/>
              <w:rPr>
                <w:sz w:val="22"/>
              </w:rPr>
            </w:pPr>
            <w:r>
              <w:rPr>
                <w:sz w:val="22"/>
              </w:rPr>
              <w:t>On-site inspections ensure homes meet all licensing and certification requirements in WAC and RCW, including</w:t>
            </w:r>
          </w:p>
          <w:p>
            <w:pPr>
              <w:pStyle w:val="TableParagraph"/>
              <w:spacing w:line="248" w:lineRule="exact"/>
              <w:ind w:left="107"/>
              <w:rPr>
                <w:sz w:val="22"/>
              </w:rPr>
            </w:pPr>
            <w:r>
              <w:rPr>
                <w:sz w:val="22"/>
              </w:rPr>
              <w:t>WAC 388-823-1095.</w:t>
            </w:r>
          </w:p>
        </w:tc>
        <w:tc>
          <w:tcPr>
            <w:tcW w:w="2458" w:type="dxa"/>
            <w:tcBorders>
              <w:top w:val="single" w:sz="18" w:space="0" w:color="4E8542"/>
            </w:tcBorders>
            <w:shd w:val="clear" w:color="auto" w:fill="D0E4CA"/>
          </w:tcPr>
          <w:p>
            <w:pPr>
              <w:pStyle w:val="TableParagraph"/>
              <w:rPr>
                <w:rFonts w:ascii="Times New Roman"/>
                <w:sz w:val="22"/>
              </w:rPr>
            </w:pPr>
          </w:p>
        </w:tc>
      </w:tr>
      <w:tr>
        <w:trPr>
          <w:trHeight w:val="4297" w:hRule="atLeast"/>
        </w:trPr>
        <w:tc>
          <w:tcPr>
            <w:tcW w:w="3432" w:type="dxa"/>
          </w:tcPr>
          <w:p>
            <w:pPr>
              <w:pStyle w:val="TableParagraph"/>
              <w:ind w:left="107" w:right="254"/>
              <w:rPr>
                <w:b/>
                <w:sz w:val="22"/>
              </w:rPr>
            </w:pPr>
            <w:r>
              <w:rPr>
                <w:b/>
                <w:sz w:val="22"/>
              </w:rPr>
              <w:t>Individual initiative, autonomy, and independence in making life choices, including but not limited to, daily activities, physical environment, and with whom to interact are optimized and not regimented.</w:t>
            </w:r>
          </w:p>
        </w:tc>
        <w:tc>
          <w:tcPr>
            <w:tcW w:w="2748" w:type="dxa"/>
          </w:tcPr>
          <w:p>
            <w:pPr>
              <w:pStyle w:val="TableParagraph"/>
              <w:spacing w:line="267" w:lineRule="exact"/>
              <w:ind w:left="107"/>
              <w:rPr>
                <w:sz w:val="22"/>
              </w:rPr>
            </w:pPr>
            <w:hyperlink r:id="rId77">
              <w:r>
                <w:rPr>
                  <w:color w:val="6B9F24"/>
                  <w:sz w:val="22"/>
                  <w:u w:val="single" w:color="6B9F24"/>
                </w:rPr>
                <w:t>Chapter 388-826-0040</w:t>
              </w:r>
              <w:r>
                <w:rPr>
                  <w:color w:val="6B9F24"/>
                  <w:sz w:val="22"/>
                </w:rPr>
                <w:t> </w:t>
              </w:r>
            </w:hyperlink>
            <w:r>
              <w:rPr>
                <w:sz w:val="22"/>
              </w:rPr>
              <w:t>WAC</w:t>
            </w:r>
          </w:p>
          <w:p>
            <w:pPr>
              <w:pStyle w:val="TableParagraph"/>
              <w:ind w:left="107" w:right="96"/>
              <w:rPr>
                <w:sz w:val="22"/>
              </w:rPr>
            </w:pPr>
            <w:r>
              <w:rPr>
                <w:sz w:val="22"/>
              </w:rPr>
              <w:t>communicates therapeutic supports. </w:t>
            </w:r>
            <w:hyperlink r:id="rId78">
              <w:r>
                <w:rPr>
                  <w:color w:val="6B9F24"/>
                  <w:sz w:val="22"/>
                  <w:u w:val="single" w:color="6B9F24"/>
                </w:rPr>
                <w:t>DDA policy 4.10</w:t>
              </w:r>
            </w:hyperlink>
            <w:r>
              <w:rPr>
                <w:color w:val="6B9F24"/>
                <w:sz w:val="22"/>
              </w:rPr>
              <w:t> </w:t>
            </w:r>
            <w:r>
              <w:rPr>
                <w:sz w:val="22"/>
              </w:rPr>
              <w:t>and contract referral process and setting types to look for settings that support the family cultural needs.</w:t>
            </w:r>
          </w:p>
          <w:p>
            <w:pPr>
              <w:pStyle w:val="TableParagraph"/>
              <w:spacing w:before="2"/>
              <w:ind w:left="107"/>
              <w:rPr>
                <w:sz w:val="22"/>
              </w:rPr>
            </w:pPr>
            <w:hyperlink r:id="rId23">
              <w:r>
                <w:rPr>
                  <w:color w:val="6B9F24"/>
                  <w:sz w:val="22"/>
                  <w:u w:val="single" w:color="6B9F24"/>
                </w:rPr>
                <w:t>Chapter 388-823-1095</w:t>
              </w:r>
              <w:r>
                <w:rPr>
                  <w:color w:val="6B9F24"/>
                  <w:sz w:val="22"/>
                </w:rPr>
                <w:t> </w:t>
              </w:r>
            </w:hyperlink>
            <w:r>
              <w:rPr>
                <w:sz w:val="22"/>
              </w:rPr>
              <w:t>WAC</w:t>
            </w:r>
          </w:p>
          <w:p>
            <w:pPr>
              <w:pStyle w:val="TableParagraph"/>
              <w:ind w:left="107"/>
              <w:rPr>
                <w:sz w:val="22"/>
              </w:rPr>
            </w:pPr>
            <w:r>
              <w:rPr>
                <w:sz w:val="22"/>
              </w:rPr>
              <w:t>my rights as a DDA client</w:t>
            </w:r>
          </w:p>
        </w:tc>
        <w:tc>
          <w:tcPr>
            <w:tcW w:w="1409" w:type="dxa"/>
          </w:tcPr>
          <w:p>
            <w:pPr>
              <w:pStyle w:val="TableParagraph"/>
              <w:ind w:left="107" w:right="341"/>
              <w:rPr>
                <w:sz w:val="22"/>
              </w:rPr>
            </w:pPr>
            <w:r>
              <w:rPr>
                <w:sz w:val="22"/>
              </w:rPr>
              <w:t>Partially Compliant</w:t>
            </w:r>
          </w:p>
        </w:tc>
        <w:tc>
          <w:tcPr>
            <w:tcW w:w="2895" w:type="dxa"/>
          </w:tcPr>
          <w:p>
            <w:pPr>
              <w:pStyle w:val="TableParagraph"/>
              <w:ind w:left="107" w:right="98"/>
              <w:rPr>
                <w:sz w:val="22"/>
              </w:rPr>
            </w:pPr>
            <w:r>
              <w:rPr>
                <w:sz w:val="22"/>
              </w:rPr>
              <w:t>Children’s Administration’s Division of Licensed Resources (DLR) licenses each of these settings. Licenses do not exceed 3 years. DLR and Child Protective Services (CPS) investigate complaints. Annual evaluations of Licensed Staffed Residential facilities are conducted by DDA Quality Assurance Managers or Performance Quality Improvement staff utilizing Children’s Staffed Residential Quality</w:t>
            </w:r>
            <w:r>
              <w:rPr>
                <w:spacing w:val="-10"/>
                <w:sz w:val="22"/>
              </w:rPr>
              <w:t> </w:t>
            </w:r>
            <w:r>
              <w:rPr>
                <w:sz w:val="22"/>
              </w:rPr>
              <w:t>Assurance</w:t>
            </w:r>
          </w:p>
          <w:p>
            <w:pPr>
              <w:pStyle w:val="TableParagraph"/>
              <w:spacing w:line="249" w:lineRule="exact"/>
              <w:ind w:left="107"/>
              <w:rPr>
                <w:sz w:val="22"/>
              </w:rPr>
            </w:pPr>
            <w:r>
              <w:rPr>
                <w:sz w:val="22"/>
              </w:rPr>
              <w:t>Assessment tool.</w:t>
            </w:r>
          </w:p>
        </w:tc>
        <w:tc>
          <w:tcPr>
            <w:tcW w:w="2458" w:type="dxa"/>
          </w:tcPr>
          <w:p>
            <w:pPr>
              <w:pStyle w:val="TableParagraph"/>
              <w:ind w:left="106" w:right="114"/>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1074" w:hRule="atLeast"/>
        </w:trPr>
        <w:tc>
          <w:tcPr>
            <w:tcW w:w="3432" w:type="dxa"/>
            <w:shd w:val="clear" w:color="auto" w:fill="D0E4CA"/>
          </w:tcPr>
          <w:p>
            <w:pPr>
              <w:pStyle w:val="TableParagraph"/>
              <w:ind w:left="107" w:right="411"/>
              <w:rPr>
                <w:b/>
                <w:sz w:val="22"/>
              </w:rPr>
            </w:pPr>
            <w:r>
              <w:rPr>
                <w:b/>
                <w:sz w:val="22"/>
              </w:rPr>
              <w:t>Individual choice regarding services and supports, and who provides them, is facilitated.</w:t>
            </w:r>
          </w:p>
        </w:tc>
        <w:tc>
          <w:tcPr>
            <w:tcW w:w="2748" w:type="dxa"/>
            <w:shd w:val="clear" w:color="auto" w:fill="D0E4CA"/>
          </w:tcPr>
          <w:p>
            <w:pPr>
              <w:pStyle w:val="TableParagraph"/>
              <w:ind w:left="107" w:right="277"/>
              <w:rPr>
                <w:sz w:val="22"/>
              </w:rPr>
            </w:pPr>
            <w:hyperlink r:id="rId78">
              <w:r>
                <w:rPr>
                  <w:color w:val="6B9F24"/>
                  <w:sz w:val="22"/>
                  <w:u w:val="single" w:color="6B9F24"/>
                </w:rPr>
                <w:t>Policy 4.10</w:t>
              </w:r>
              <w:r>
                <w:rPr>
                  <w:color w:val="6B9F24"/>
                  <w:sz w:val="22"/>
                </w:rPr>
                <w:t> </w:t>
              </w:r>
            </w:hyperlink>
            <w:r>
              <w:rPr>
                <w:sz w:val="22"/>
              </w:rPr>
              <w:t>and contract regarding referral process and setting types will look</w:t>
            </w:r>
          </w:p>
        </w:tc>
        <w:tc>
          <w:tcPr>
            <w:tcW w:w="1409" w:type="dxa"/>
            <w:shd w:val="clear" w:color="auto" w:fill="D0E4CA"/>
          </w:tcPr>
          <w:p>
            <w:pPr>
              <w:pStyle w:val="TableParagraph"/>
              <w:ind w:left="107" w:right="341"/>
              <w:rPr>
                <w:sz w:val="22"/>
              </w:rPr>
            </w:pPr>
            <w:r>
              <w:rPr>
                <w:sz w:val="22"/>
              </w:rPr>
              <w:t>Partially Compliant</w:t>
            </w:r>
          </w:p>
        </w:tc>
        <w:tc>
          <w:tcPr>
            <w:tcW w:w="2895" w:type="dxa"/>
            <w:shd w:val="clear" w:color="auto" w:fill="D0E4CA"/>
          </w:tcPr>
          <w:p>
            <w:pPr>
              <w:pStyle w:val="TableParagraph"/>
              <w:ind w:left="107" w:right="97"/>
              <w:rPr>
                <w:sz w:val="22"/>
              </w:rPr>
            </w:pPr>
            <w:r>
              <w:rPr>
                <w:sz w:val="22"/>
              </w:rPr>
              <w:t>Children’s Administration’s Division of Licensed Resources (DLR) licenses each</w:t>
            </w:r>
          </w:p>
          <w:p>
            <w:pPr>
              <w:pStyle w:val="TableParagraph"/>
              <w:spacing w:line="249" w:lineRule="exact"/>
              <w:ind w:left="107"/>
              <w:rPr>
                <w:sz w:val="22"/>
              </w:rPr>
            </w:pPr>
            <w:r>
              <w:rPr>
                <w:sz w:val="22"/>
              </w:rPr>
              <w:t>of these settings. Licenses do</w:t>
            </w:r>
          </w:p>
        </w:tc>
        <w:tc>
          <w:tcPr>
            <w:tcW w:w="2458" w:type="dxa"/>
            <w:shd w:val="clear" w:color="auto" w:fill="D0E4CA"/>
          </w:tcPr>
          <w:p>
            <w:pPr>
              <w:pStyle w:val="TableParagraph"/>
              <w:ind w:left="106" w:right="114"/>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w:t>
            </w:r>
            <w:r>
              <w:rPr>
                <w:spacing w:val="-7"/>
                <w:sz w:val="22"/>
              </w:rPr>
              <w:t> </w:t>
            </w:r>
            <w:r>
              <w:rPr>
                <w:sz w:val="22"/>
              </w:rPr>
              <w:t>rules</w:t>
            </w:r>
          </w:p>
          <w:p>
            <w:pPr>
              <w:pStyle w:val="TableParagraph"/>
              <w:spacing w:line="249" w:lineRule="exact"/>
              <w:ind w:left="106"/>
              <w:rPr>
                <w:sz w:val="22"/>
              </w:rPr>
            </w:pPr>
            <w:r>
              <w:rPr>
                <w:sz w:val="22"/>
              </w:rPr>
              <w:t>and adding language</w:t>
            </w:r>
            <w:r>
              <w:rPr>
                <w:spacing w:val="-8"/>
                <w:sz w:val="22"/>
              </w:rPr>
              <w:t> </w:t>
            </w:r>
            <w:r>
              <w:rPr>
                <w:sz w:val="22"/>
              </w:rPr>
              <w:t>to</w:t>
            </w:r>
          </w:p>
        </w:tc>
      </w:tr>
    </w:tbl>
    <w:p>
      <w:pPr>
        <w:pStyle w:val="BodyText"/>
        <w:spacing w:before="4"/>
        <w:rPr>
          <w:b/>
          <w:sz w:val="8"/>
        </w:rPr>
      </w:pPr>
      <w:r>
        <w:rPr/>
        <w:pict>
          <v:shape style="position:absolute;margin-left:70.559998pt;margin-top:7.3195pt;width:650.9pt;height:.1pt;mso-position-horizontal-relative:page;mso-position-vertical-relative:paragraph;z-index:-251594752;mso-wrap-distance-left:0;mso-wrap-distance-right:0" coordorigin="1411,146" coordsize="13018,0" path="m1411,146l14429,146e" filled="false" stroked="true" strokeweight=".481pt" strokecolor="#d9d9d9">
            <v:path arrowok="t"/>
            <v:stroke dashstyle="solid"/>
            <w10:wrap type="topAndBottom"/>
          </v:shape>
        </w:pict>
      </w:r>
    </w:p>
    <w:p>
      <w:pPr>
        <w:spacing w:after="0"/>
        <w:rPr>
          <w:sz w:val="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2"/>
        <w:gridCol w:w="2748"/>
        <w:gridCol w:w="1409"/>
        <w:gridCol w:w="2895"/>
        <w:gridCol w:w="2458"/>
      </w:tblGrid>
      <w:tr>
        <w:trPr>
          <w:trHeight w:val="1465" w:hRule="atLeast"/>
        </w:trPr>
        <w:tc>
          <w:tcPr>
            <w:tcW w:w="3432" w:type="dxa"/>
            <w:tcBorders>
              <w:bottom w:val="single" w:sz="18" w:space="0" w:color="4E8542"/>
            </w:tcBorders>
          </w:tcPr>
          <w:p>
            <w:pPr>
              <w:pStyle w:val="TableParagraph"/>
              <w:spacing w:line="292" w:lineRule="exact"/>
              <w:ind w:left="232"/>
              <w:rPr>
                <w:b/>
                <w:sz w:val="24"/>
              </w:rPr>
            </w:pPr>
            <w:r>
              <w:rPr>
                <w:b/>
                <w:sz w:val="24"/>
              </w:rPr>
              <w:t>Characteristics/Requirements</w:t>
            </w:r>
          </w:p>
        </w:tc>
        <w:tc>
          <w:tcPr>
            <w:tcW w:w="2748" w:type="dxa"/>
            <w:tcBorders>
              <w:bottom w:val="single" w:sz="18" w:space="0" w:color="4E8542"/>
            </w:tcBorders>
          </w:tcPr>
          <w:p>
            <w:pPr>
              <w:pStyle w:val="TableParagraph"/>
              <w:ind w:left="169" w:right="149" w:hanging="2"/>
              <w:jc w:val="center"/>
              <w:rPr>
                <w:b/>
                <w:sz w:val="24"/>
              </w:rPr>
            </w:pPr>
            <w:r>
              <w:rPr>
                <w:b/>
                <w:sz w:val="24"/>
              </w:rPr>
              <w:t>Licensed Staffed Residential, Child Foster Home, and Group Care Facilities</w:t>
            </w:r>
          </w:p>
          <w:p>
            <w:pPr>
              <w:pStyle w:val="TableParagraph"/>
              <w:spacing w:line="272" w:lineRule="exact" w:before="1"/>
              <w:ind w:left="539" w:right="519"/>
              <w:jc w:val="center"/>
              <w:rPr>
                <w:b/>
                <w:sz w:val="24"/>
              </w:rPr>
            </w:pPr>
            <w:r>
              <w:rPr>
                <w:b/>
                <w:sz w:val="24"/>
              </w:rPr>
              <w:t>State Evaluation</w:t>
            </w:r>
          </w:p>
        </w:tc>
        <w:tc>
          <w:tcPr>
            <w:tcW w:w="1409" w:type="dxa"/>
            <w:tcBorders>
              <w:bottom w:val="single" w:sz="18" w:space="0" w:color="4E8542"/>
            </w:tcBorders>
          </w:tcPr>
          <w:p>
            <w:pPr>
              <w:pStyle w:val="TableParagraph"/>
              <w:ind w:left="446" w:right="83" w:hanging="327"/>
              <w:rPr>
                <w:b/>
                <w:sz w:val="24"/>
              </w:rPr>
            </w:pPr>
            <w:r>
              <w:rPr>
                <w:b/>
                <w:sz w:val="24"/>
              </w:rPr>
              <w:t>Compliance Level</w:t>
            </w:r>
          </w:p>
        </w:tc>
        <w:tc>
          <w:tcPr>
            <w:tcW w:w="2895" w:type="dxa"/>
            <w:tcBorders>
              <w:bottom w:val="single" w:sz="18" w:space="0" w:color="4E8542"/>
            </w:tcBorders>
          </w:tcPr>
          <w:p>
            <w:pPr>
              <w:pStyle w:val="TableParagraph"/>
              <w:spacing w:line="292" w:lineRule="exact"/>
              <w:ind w:left="561"/>
              <w:rPr>
                <w:b/>
                <w:sz w:val="24"/>
              </w:rPr>
            </w:pPr>
            <w:r>
              <w:rPr>
                <w:b/>
                <w:sz w:val="24"/>
              </w:rPr>
              <w:t>Oversight Process</w:t>
            </w:r>
          </w:p>
        </w:tc>
        <w:tc>
          <w:tcPr>
            <w:tcW w:w="2458" w:type="dxa"/>
            <w:tcBorders>
              <w:bottom w:val="single" w:sz="18" w:space="0" w:color="4E8542"/>
            </w:tcBorders>
          </w:tcPr>
          <w:p>
            <w:pPr>
              <w:pStyle w:val="TableParagraph"/>
              <w:spacing w:line="292" w:lineRule="exact"/>
              <w:ind w:left="586"/>
              <w:rPr>
                <w:b/>
                <w:sz w:val="24"/>
              </w:rPr>
            </w:pPr>
            <w:r>
              <w:rPr>
                <w:b/>
                <w:sz w:val="24"/>
              </w:rPr>
              <w:t>Remediation</w:t>
            </w:r>
          </w:p>
        </w:tc>
      </w:tr>
      <w:tr>
        <w:trPr>
          <w:trHeight w:val="5614" w:hRule="atLeast"/>
        </w:trPr>
        <w:tc>
          <w:tcPr>
            <w:tcW w:w="3432" w:type="dxa"/>
            <w:tcBorders>
              <w:top w:val="single" w:sz="18" w:space="0" w:color="4E8542"/>
            </w:tcBorders>
            <w:shd w:val="clear" w:color="auto" w:fill="D0E4CA"/>
          </w:tcPr>
          <w:p>
            <w:pPr>
              <w:pStyle w:val="TableParagraph"/>
              <w:rPr>
                <w:rFonts w:ascii="Times New Roman"/>
                <w:sz w:val="22"/>
              </w:rPr>
            </w:pPr>
          </w:p>
        </w:tc>
        <w:tc>
          <w:tcPr>
            <w:tcW w:w="2748" w:type="dxa"/>
            <w:tcBorders>
              <w:top w:val="single" w:sz="18" w:space="0" w:color="4E8542"/>
            </w:tcBorders>
            <w:shd w:val="clear" w:color="auto" w:fill="D0E4CA"/>
          </w:tcPr>
          <w:p>
            <w:pPr>
              <w:pStyle w:val="TableParagraph"/>
              <w:spacing w:line="243" w:lineRule="exact"/>
              <w:ind w:left="107"/>
              <w:rPr>
                <w:sz w:val="22"/>
              </w:rPr>
            </w:pPr>
            <w:r>
              <w:rPr>
                <w:sz w:val="22"/>
              </w:rPr>
              <w:t>for settings that support the</w:t>
            </w:r>
          </w:p>
          <w:p>
            <w:pPr>
              <w:pStyle w:val="TableParagraph"/>
              <w:ind w:left="107"/>
              <w:rPr>
                <w:sz w:val="22"/>
              </w:rPr>
            </w:pPr>
            <w:r>
              <w:rPr>
                <w:sz w:val="22"/>
              </w:rPr>
              <w:t>family cultural needs.</w:t>
            </w:r>
          </w:p>
          <w:p>
            <w:pPr>
              <w:pStyle w:val="TableParagraph"/>
              <w:rPr>
                <w:b/>
                <w:sz w:val="22"/>
              </w:rPr>
            </w:pPr>
          </w:p>
          <w:p>
            <w:pPr>
              <w:pStyle w:val="TableParagraph"/>
              <w:ind w:left="107"/>
              <w:rPr>
                <w:sz w:val="22"/>
              </w:rPr>
            </w:pPr>
            <w:hyperlink r:id="rId23">
              <w:r>
                <w:rPr>
                  <w:color w:val="6B9F24"/>
                  <w:sz w:val="22"/>
                  <w:u w:val="single" w:color="6B9F24"/>
                </w:rPr>
                <w:t>Chapter 388-823-1095 </w:t>
              </w:r>
            </w:hyperlink>
            <w:r>
              <w:rPr>
                <w:color w:val="6B9F24"/>
                <w:sz w:val="22"/>
                <w:u w:val="single" w:color="6B9F24"/>
              </w:rPr>
              <w:t>WAC</w:t>
            </w:r>
          </w:p>
          <w:p>
            <w:pPr>
              <w:pStyle w:val="TableParagraph"/>
              <w:spacing w:before="1"/>
              <w:ind w:left="107"/>
              <w:rPr>
                <w:sz w:val="22"/>
              </w:rPr>
            </w:pPr>
            <w:r>
              <w:rPr>
                <w:sz w:val="22"/>
              </w:rPr>
              <w:t>my rights as a DDA client</w:t>
            </w:r>
          </w:p>
        </w:tc>
        <w:tc>
          <w:tcPr>
            <w:tcW w:w="1409" w:type="dxa"/>
            <w:tcBorders>
              <w:top w:val="single" w:sz="18" w:space="0" w:color="4E8542"/>
            </w:tcBorders>
            <w:shd w:val="clear" w:color="auto" w:fill="D0E4CA"/>
          </w:tcPr>
          <w:p>
            <w:pPr>
              <w:pStyle w:val="TableParagraph"/>
              <w:rPr>
                <w:rFonts w:ascii="Times New Roman"/>
                <w:sz w:val="22"/>
              </w:rPr>
            </w:pPr>
          </w:p>
        </w:tc>
        <w:tc>
          <w:tcPr>
            <w:tcW w:w="2895" w:type="dxa"/>
            <w:tcBorders>
              <w:top w:val="single" w:sz="18" w:space="0" w:color="4E8542"/>
            </w:tcBorders>
            <w:shd w:val="clear" w:color="auto" w:fill="D0E4CA"/>
          </w:tcPr>
          <w:p>
            <w:pPr>
              <w:pStyle w:val="TableParagraph"/>
              <w:spacing w:line="243" w:lineRule="exact"/>
              <w:ind w:left="107"/>
              <w:rPr>
                <w:sz w:val="22"/>
              </w:rPr>
            </w:pPr>
            <w:r>
              <w:rPr>
                <w:sz w:val="22"/>
              </w:rPr>
              <w:t>not exceed 3 years. DLR and</w:t>
            </w:r>
          </w:p>
          <w:p>
            <w:pPr>
              <w:pStyle w:val="TableParagraph"/>
              <w:ind w:left="107" w:right="112"/>
              <w:rPr>
                <w:sz w:val="22"/>
              </w:rPr>
            </w:pPr>
            <w:r>
              <w:rPr>
                <w:sz w:val="22"/>
              </w:rPr>
              <w:t>Child Protective Services (CPS) investigate complaints. Annual evaluations of Licensed Staffed Residential facilities are conducted by DDA Quality Assurance Managers or Performance Quality Improvement staff utilizing Children’s Staffed Residential Quality Assurance Assessment tool and applying the same standards as utilized for supported living to ensure HCBS</w:t>
            </w:r>
            <w:r>
              <w:rPr>
                <w:spacing w:val="-5"/>
                <w:sz w:val="22"/>
              </w:rPr>
              <w:t> </w:t>
            </w:r>
            <w:r>
              <w:rPr>
                <w:sz w:val="22"/>
              </w:rPr>
              <w:t>standards.</w:t>
            </w:r>
          </w:p>
          <w:p>
            <w:pPr>
              <w:pStyle w:val="TableParagraph"/>
              <w:spacing w:before="9"/>
              <w:rPr>
                <w:b/>
                <w:sz w:val="21"/>
              </w:rPr>
            </w:pPr>
          </w:p>
          <w:p>
            <w:pPr>
              <w:pStyle w:val="TableParagraph"/>
              <w:spacing w:line="270" w:lineRule="atLeast" w:before="1"/>
              <w:ind w:left="107" w:right="160"/>
              <w:rPr>
                <w:sz w:val="22"/>
              </w:rPr>
            </w:pPr>
            <w:r>
              <w:rPr>
                <w:sz w:val="22"/>
              </w:rPr>
              <w:t>On-site inspections ensure homes meet all licensing and certification requirements in WAC and RCW, including WAC 388-823-1095.</w:t>
            </w:r>
          </w:p>
        </w:tc>
        <w:tc>
          <w:tcPr>
            <w:tcW w:w="2458" w:type="dxa"/>
            <w:tcBorders>
              <w:top w:val="single" w:sz="18" w:space="0" w:color="4E8542"/>
            </w:tcBorders>
            <w:shd w:val="clear" w:color="auto" w:fill="D0E4CA"/>
          </w:tcPr>
          <w:p>
            <w:pPr>
              <w:pStyle w:val="TableParagraph"/>
              <w:spacing w:line="243" w:lineRule="exact"/>
              <w:ind w:left="106"/>
              <w:rPr>
                <w:sz w:val="22"/>
              </w:rPr>
            </w:pPr>
            <w:r>
              <w:rPr>
                <w:sz w:val="22"/>
              </w:rPr>
              <w:t>the contracts requiring</w:t>
            </w:r>
          </w:p>
          <w:p>
            <w:pPr>
              <w:pStyle w:val="TableParagraph"/>
              <w:ind w:left="106" w:right="228"/>
              <w:rPr>
                <w:sz w:val="22"/>
              </w:rPr>
            </w:pPr>
            <w:r>
              <w:rPr>
                <w:sz w:val="22"/>
              </w:rPr>
              <w:t>adherence to the WAC. See </w:t>
            </w:r>
            <w:r>
              <w:rPr>
                <w:color w:val="6B9F24"/>
                <w:sz w:val="22"/>
                <w:u w:val="single" w:color="6B9F24"/>
              </w:rPr>
              <w:t>Appendix C</w:t>
            </w:r>
            <w:r>
              <w:rPr>
                <w:sz w:val="22"/>
              </w:rPr>
              <w:t>.</w:t>
            </w:r>
          </w:p>
        </w:tc>
      </w:tr>
      <w:tr>
        <w:trPr>
          <w:trHeight w:val="1876" w:hRule="atLeast"/>
        </w:trPr>
        <w:tc>
          <w:tcPr>
            <w:tcW w:w="3432" w:type="dxa"/>
          </w:tcPr>
          <w:p>
            <w:pPr>
              <w:pStyle w:val="TableParagraph"/>
              <w:ind w:left="107" w:right="184"/>
              <w:rPr>
                <w:b/>
                <w:sz w:val="22"/>
              </w:rPr>
            </w:pPr>
            <w:r>
              <w:rPr>
                <w:b/>
                <w:sz w:val="22"/>
              </w:rPr>
              <w:t>The unit or room is a specific physical place that can be owned, rented or occupied under another legally enforceable agreement by the individual receiving services, and the individual has, at a</w:t>
            </w:r>
          </w:p>
          <w:p>
            <w:pPr>
              <w:pStyle w:val="TableParagraph"/>
              <w:spacing w:line="251" w:lineRule="exact"/>
              <w:ind w:left="107"/>
              <w:rPr>
                <w:b/>
                <w:sz w:val="22"/>
              </w:rPr>
            </w:pPr>
            <w:r>
              <w:rPr>
                <w:b/>
                <w:sz w:val="22"/>
              </w:rPr>
              <w:t>minimum, the same</w:t>
            </w:r>
          </w:p>
        </w:tc>
        <w:tc>
          <w:tcPr>
            <w:tcW w:w="2748" w:type="dxa"/>
          </w:tcPr>
          <w:p>
            <w:pPr>
              <w:pStyle w:val="TableParagraph"/>
              <w:spacing w:line="263" w:lineRule="exact"/>
              <w:ind w:left="107"/>
              <w:rPr>
                <w:sz w:val="22"/>
              </w:rPr>
            </w:pPr>
            <w:r>
              <w:rPr>
                <w:sz w:val="22"/>
              </w:rPr>
              <w:t>Not applicable.</w:t>
            </w:r>
          </w:p>
          <w:p>
            <w:pPr>
              <w:pStyle w:val="TableParagraph"/>
              <w:rPr>
                <w:b/>
                <w:sz w:val="22"/>
              </w:rPr>
            </w:pPr>
          </w:p>
          <w:p>
            <w:pPr>
              <w:pStyle w:val="TableParagraph"/>
              <w:ind w:left="107" w:right="102"/>
              <w:rPr>
                <w:sz w:val="22"/>
              </w:rPr>
            </w:pPr>
            <w:r>
              <w:rPr>
                <w:sz w:val="22"/>
              </w:rPr>
              <w:t>Child settings Chapters </w:t>
            </w:r>
            <w:hyperlink r:id="rId79">
              <w:r>
                <w:rPr>
                  <w:color w:val="6B9F24"/>
                  <w:sz w:val="22"/>
                  <w:u w:val="single" w:color="6B9F24"/>
                </w:rPr>
                <w:t>388-</w:t>
              </w:r>
            </w:hyperlink>
            <w:r>
              <w:rPr>
                <w:color w:val="6B9F24"/>
                <w:sz w:val="22"/>
              </w:rPr>
              <w:t> </w:t>
            </w:r>
            <w:hyperlink r:id="rId79">
              <w:r>
                <w:rPr>
                  <w:color w:val="6B9F24"/>
                  <w:sz w:val="22"/>
                  <w:u w:val="single" w:color="6B9F24"/>
                </w:rPr>
                <w:t>145</w:t>
              </w:r>
              <w:r>
                <w:rPr>
                  <w:sz w:val="22"/>
                </w:rPr>
                <w:t>, </w:t>
              </w:r>
            </w:hyperlink>
            <w:hyperlink r:id="rId80">
              <w:r>
                <w:rPr>
                  <w:color w:val="6B9F24"/>
                  <w:sz w:val="22"/>
                  <w:u w:val="single" w:color="6B9F24"/>
                </w:rPr>
                <w:t>388-148</w:t>
              </w:r>
              <w:r>
                <w:rPr>
                  <w:color w:val="6B9F24"/>
                  <w:sz w:val="22"/>
                </w:rPr>
                <w:t> </w:t>
              </w:r>
            </w:hyperlink>
            <w:r>
              <w:rPr>
                <w:sz w:val="22"/>
              </w:rPr>
              <w:t>and </w:t>
            </w:r>
            <w:hyperlink r:id="rId81">
              <w:r>
                <w:rPr>
                  <w:color w:val="6B9F24"/>
                  <w:sz w:val="22"/>
                  <w:u w:val="single" w:color="6B9F24"/>
                </w:rPr>
                <w:t>388-826</w:t>
              </w:r>
            </w:hyperlink>
          </w:p>
          <w:p>
            <w:pPr>
              <w:pStyle w:val="TableParagraph"/>
              <w:spacing w:before="1"/>
              <w:ind w:left="107" w:right="146"/>
              <w:rPr>
                <w:sz w:val="22"/>
              </w:rPr>
            </w:pPr>
            <w:r>
              <w:rPr>
                <w:sz w:val="22"/>
              </w:rPr>
              <w:t>WAC require notification of provider in writing.</w:t>
            </w:r>
          </w:p>
        </w:tc>
        <w:tc>
          <w:tcPr>
            <w:tcW w:w="1409" w:type="dxa"/>
          </w:tcPr>
          <w:p>
            <w:pPr>
              <w:pStyle w:val="TableParagraph"/>
              <w:ind w:left="107" w:right="341"/>
              <w:rPr>
                <w:sz w:val="22"/>
              </w:rPr>
            </w:pPr>
            <w:r>
              <w:rPr>
                <w:sz w:val="22"/>
              </w:rPr>
              <w:t>Fully Compliant</w:t>
            </w:r>
          </w:p>
        </w:tc>
        <w:tc>
          <w:tcPr>
            <w:tcW w:w="2895" w:type="dxa"/>
          </w:tcPr>
          <w:p>
            <w:pPr>
              <w:pStyle w:val="TableParagraph"/>
              <w:ind w:left="107" w:right="97"/>
              <w:rPr>
                <w:sz w:val="22"/>
              </w:rPr>
            </w:pPr>
            <w:r>
              <w:rPr>
                <w:sz w:val="22"/>
              </w:rPr>
              <w:t>Children’s Administration’s Division of Licensed Resources (DLR) licenses each of these settings. Licenses do not exceed 3 years. DLR and Child Protective Services</w:t>
            </w:r>
          </w:p>
          <w:p>
            <w:pPr>
              <w:pStyle w:val="TableParagraph"/>
              <w:spacing w:line="251" w:lineRule="exact"/>
              <w:ind w:left="107"/>
              <w:rPr>
                <w:sz w:val="22"/>
              </w:rPr>
            </w:pPr>
            <w:r>
              <w:rPr>
                <w:sz w:val="22"/>
              </w:rPr>
              <w:t>(CPS) investigate complaints.</w:t>
            </w:r>
          </w:p>
        </w:tc>
        <w:tc>
          <w:tcPr>
            <w:tcW w:w="2458" w:type="dxa"/>
          </w:tcPr>
          <w:p>
            <w:pPr>
              <w:pStyle w:val="TableParagraph"/>
              <w:rPr>
                <w:rFonts w:ascii="Times New Roman"/>
                <w:sz w:val="22"/>
              </w:rPr>
            </w:pPr>
          </w:p>
        </w:tc>
      </w:tr>
    </w:tbl>
    <w:p>
      <w:pPr>
        <w:pStyle w:val="BodyText"/>
        <w:spacing w:before="11"/>
        <w:rPr>
          <w:b/>
          <w:sz w:val="9"/>
        </w:rPr>
      </w:pPr>
      <w:r>
        <w:rPr/>
        <w:pict>
          <v:shape style="position:absolute;margin-left:70.559998pt;margin-top:8.2795pt;width:650.9pt;height:.1pt;mso-position-horizontal-relative:page;mso-position-vertical-relative:paragraph;z-index:-251593728;mso-wrap-distance-left:0;mso-wrap-distance-right:0" coordorigin="1411,166" coordsize="13018,0" path="m1411,166l14429,166e" filled="false" stroked="true" strokeweight=".481pt" strokecolor="#d9d9d9">
            <v:path arrowok="t"/>
            <v:stroke dashstyle="solid"/>
            <w10:wrap type="topAndBottom"/>
          </v:shape>
        </w:pict>
      </w:r>
    </w:p>
    <w:p>
      <w:pPr>
        <w:spacing w:after="0"/>
        <w:rPr>
          <w:sz w:val="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2"/>
        <w:gridCol w:w="2748"/>
        <w:gridCol w:w="1409"/>
        <w:gridCol w:w="2895"/>
        <w:gridCol w:w="2458"/>
      </w:tblGrid>
      <w:tr>
        <w:trPr>
          <w:trHeight w:val="1465" w:hRule="atLeast"/>
        </w:trPr>
        <w:tc>
          <w:tcPr>
            <w:tcW w:w="3432" w:type="dxa"/>
            <w:tcBorders>
              <w:bottom w:val="single" w:sz="18" w:space="0" w:color="4E8542"/>
            </w:tcBorders>
          </w:tcPr>
          <w:p>
            <w:pPr>
              <w:pStyle w:val="TableParagraph"/>
              <w:spacing w:line="292" w:lineRule="exact"/>
              <w:ind w:left="232"/>
              <w:rPr>
                <w:b/>
                <w:sz w:val="24"/>
              </w:rPr>
            </w:pPr>
            <w:r>
              <w:rPr>
                <w:b/>
                <w:sz w:val="24"/>
              </w:rPr>
              <w:t>Characteristics/Requirements</w:t>
            </w:r>
          </w:p>
        </w:tc>
        <w:tc>
          <w:tcPr>
            <w:tcW w:w="2748" w:type="dxa"/>
            <w:tcBorders>
              <w:bottom w:val="single" w:sz="18" w:space="0" w:color="4E8542"/>
            </w:tcBorders>
          </w:tcPr>
          <w:p>
            <w:pPr>
              <w:pStyle w:val="TableParagraph"/>
              <w:ind w:left="169" w:right="149" w:hanging="2"/>
              <w:jc w:val="center"/>
              <w:rPr>
                <w:b/>
                <w:sz w:val="24"/>
              </w:rPr>
            </w:pPr>
            <w:r>
              <w:rPr>
                <w:b/>
                <w:sz w:val="24"/>
              </w:rPr>
              <w:t>Licensed Staffed Residential, Child Foster Home, and Group Care Facilities</w:t>
            </w:r>
          </w:p>
          <w:p>
            <w:pPr>
              <w:pStyle w:val="TableParagraph"/>
              <w:spacing w:line="272" w:lineRule="exact" w:before="1"/>
              <w:ind w:left="539" w:right="519"/>
              <w:jc w:val="center"/>
              <w:rPr>
                <w:b/>
                <w:sz w:val="24"/>
              </w:rPr>
            </w:pPr>
            <w:r>
              <w:rPr>
                <w:b/>
                <w:sz w:val="24"/>
              </w:rPr>
              <w:t>State Evaluation</w:t>
            </w:r>
          </w:p>
        </w:tc>
        <w:tc>
          <w:tcPr>
            <w:tcW w:w="1409" w:type="dxa"/>
            <w:tcBorders>
              <w:bottom w:val="single" w:sz="18" w:space="0" w:color="4E8542"/>
            </w:tcBorders>
          </w:tcPr>
          <w:p>
            <w:pPr>
              <w:pStyle w:val="TableParagraph"/>
              <w:ind w:left="446" w:right="83" w:hanging="327"/>
              <w:rPr>
                <w:b/>
                <w:sz w:val="24"/>
              </w:rPr>
            </w:pPr>
            <w:r>
              <w:rPr>
                <w:b/>
                <w:sz w:val="24"/>
              </w:rPr>
              <w:t>Compliance Level</w:t>
            </w:r>
          </w:p>
        </w:tc>
        <w:tc>
          <w:tcPr>
            <w:tcW w:w="2895" w:type="dxa"/>
            <w:tcBorders>
              <w:bottom w:val="single" w:sz="18" w:space="0" w:color="4E8542"/>
            </w:tcBorders>
          </w:tcPr>
          <w:p>
            <w:pPr>
              <w:pStyle w:val="TableParagraph"/>
              <w:spacing w:line="292" w:lineRule="exact"/>
              <w:ind w:left="561"/>
              <w:rPr>
                <w:b/>
                <w:sz w:val="24"/>
              </w:rPr>
            </w:pPr>
            <w:r>
              <w:rPr>
                <w:b/>
                <w:sz w:val="24"/>
              </w:rPr>
              <w:t>Oversight Process</w:t>
            </w:r>
          </w:p>
        </w:tc>
        <w:tc>
          <w:tcPr>
            <w:tcW w:w="2458" w:type="dxa"/>
            <w:tcBorders>
              <w:bottom w:val="single" w:sz="18" w:space="0" w:color="4E8542"/>
            </w:tcBorders>
          </w:tcPr>
          <w:p>
            <w:pPr>
              <w:pStyle w:val="TableParagraph"/>
              <w:spacing w:line="292" w:lineRule="exact"/>
              <w:ind w:left="586"/>
              <w:rPr>
                <w:b/>
                <w:sz w:val="24"/>
              </w:rPr>
            </w:pPr>
            <w:r>
              <w:rPr>
                <w:b/>
                <w:sz w:val="24"/>
              </w:rPr>
              <w:t>Remediation</w:t>
            </w:r>
          </w:p>
        </w:tc>
      </w:tr>
      <w:tr>
        <w:trPr>
          <w:trHeight w:val="1853" w:hRule="atLeast"/>
        </w:trPr>
        <w:tc>
          <w:tcPr>
            <w:tcW w:w="3432" w:type="dxa"/>
            <w:tcBorders>
              <w:top w:val="single" w:sz="18" w:space="0" w:color="4E8542"/>
            </w:tcBorders>
          </w:tcPr>
          <w:p>
            <w:pPr>
              <w:pStyle w:val="TableParagraph"/>
              <w:spacing w:line="243" w:lineRule="exact"/>
              <w:ind w:left="107"/>
              <w:rPr>
                <w:b/>
                <w:sz w:val="22"/>
              </w:rPr>
            </w:pPr>
            <w:r>
              <w:rPr>
                <w:b/>
                <w:sz w:val="22"/>
              </w:rPr>
              <w:t>responsibilities and protections</w:t>
            </w:r>
          </w:p>
          <w:p>
            <w:pPr>
              <w:pStyle w:val="TableParagraph"/>
              <w:ind w:left="107" w:right="298"/>
              <w:rPr>
                <w:b/>
                <w:sz w:val="22"/>
              </w:rPr>
            </w:pPr>
            <w:r>
              <w:rPr>
                <w:b/>
                <w:sz w:val="22"/>
              </w:rPr>
              <w:t>from eviction that tenants have under the landlord tenant law of the State, county, city or other designated entity;</w:t>
            </w:r>
          </w:p>
        </w:tc>
        <w:tc>
          <w:tcPr>
            <w:tcW w:w="2748" w:type="dxa"/>
            <w:tcBorders>
              <w:top w:val="single" w:sz="18" w:space="0" w:color="4E8542"/>
            </w:tcBorders>
          </w:tcPr>
          <w:p>
            <w:pPr>
              <w:pStyle w:val="TableParagraph"/>
              <w:spacing w:line="243" w:lineRule="exact"/>
              <w:ind w:left="107"/>
              <w:rPr>
                <w:sz w:val="22"/>
              </w:rPr>
            </w:pPr>
            <w:r>
              <w:rPr>
                <w:sz w:val="22"/>
              </w:rPr>
              <w:t>Voluntary</w:t>
            </w:r>
            <w:r>
              <w:rPr>
                <w:spacing w:val="-6"/>
                <w:sz w:val="22"/>
              </w:rPr>
              <w:t> </w:t>
            </w:r>
            <w:r>
              <w:rPr>
                <w:sz w:val="22"/>
              </w:rPr>
              <w:t>Placement</w:t>
            </w:r>
          </w:p>
          <w:p>
            <w:pPr>
              <w:pStyle w:val="TableParagraph"/>
              <w:ind w:left="107" w:right="245"/>
              <w:rPr>
                <w:sz w:val="22"/>
              </w:rPr>
            </w:pPr>
            <w:r>
              <w:rPr>
                <w:sz w:val="22"/>
              </w:rPr>
              <w:t>Service (VPS) statement identifies that any party could choose to terminate this placement and child would return to</w:t>
            </w:r>
            <w:r>
              <w:rPr>
                <w:spacing w:val="-2"/>
                <w:sz w:val="22"/>
              </w:rPr>
              <w:t> </w:t>
            </w:r>
            <w:r>
              <w:rPr>
                <w:sz w:val="22"/>
              </w:rPr>
              <w:t>their</w:t>
            </w:r>
          </w:p>
          <w:p>
            <w:pPr>
              <w:pStyle w:val="TableParagraph"/>
              <w:spacing w:line="248" w:lineRule="exact"/>
              <w:ind w:left="107"/>
              <w:rPr>
                <w:sz w:val="22"/>
              </w:rPr>
            </w:pPr>
            <w:r>
              <w:rPr>
                <w:sz w:val="22"/>
              </w:rPr>
              <w:t>family’s home.</w:t>
            </w:r>
          </w:p>
        </w:tc>
        <w:tc>
          <w:tcPr>
            <w:tcW w:w="1409" w:type="dxa"/>
            <w:tcBorders>
              <w:top w:val="single" w:sz="18" w:space="0" w:color="4E8542"/>
            </w:tcBorders>
          </w:tcPr>
          <w:p>
            <w:pPr>
              <w:pStyle w:val="TableParagraph"/>
              <w:rPr>
                <w:rFonts w:ascii="Times New Roman"/>
                <w:sz w:val="22"/>
              </w:rPr>
            </w:pPr>
          </w:p>
        </w:tc>
        <w:tc>
          <w:tcPr>
            <w:tcW w:w="2895" w:type="dxa"/>
            <w:tcBorders>
              <w:top w:val="single" w:sz="18" w:space="0" w:color="4E8542"/>
            </w:tcBorders>
          </w:tcPr>
          <w:p>
            <w:pPr>
              <w:pStyle w:val="TableParagraph"/>
              <w:spacing w:before="11"/>
              <w:rPr>
                <w:b/>
                <w:sz w:val="19"/>
              </w:rPr>
            </w:pPr>
          </w:p>
          <w:p>
            <w:pPr>
              <w:pStyle w:val="TableParagraph"/>
              <w:ind w:left="107" w:right="160"/>
              <w:rPr>
                <w:sz w:val="22"/>
              </w:rPr>
            </w:pPr>
            <w:r>
              <w:rPr>
                <w:sz w:val="22"/>
              </w:rPr>
              <w:t>On-site inspections ensure homes meet all licensing and certification requirements in WAC and RCW, including WAC 388-823-1095.</w:t>
            </w:r>
          </w:p>
        </w:tc>
        <w:tc>
          <w:tcPr>
            <w:tcW w:w="2458" w:type="dxa"/>
            <w:tcBorders>
              <w:top w:val="single" w:sz="18" w:space="0" w:color="4E8542"/>
            </w:tcBorders>
          </w:tcPr>
          <w:p>
            <w:pPr>
              <w:pStyle w:val="TableParagraph"/>
              <w:rPr>
                <w:rFonts w:ascii="Times New Roman"/>
                <w:sz w:val="22"/>
              </w:rPr>
            </w:pPr>
          </w:p>
        </w:tc>
      </w:tr>
      <w:tr>
        <w:trPr>
          <w:trHeight w:val="5372" w:hRule="atLeast"/>
        </w:trPr>
        <w:tc>
          <w:tcPr>
            <w:tcW w:w="3432" w:type="dxa"/>
            <w:shd w:val="clear" w:color="auto" w:fill="D0E4CA"/>
          </w:tcPr>
          <w:p>
            <w:pPr>
              <w:pStyle w:val="TableParagraph"/>
              <w:spacing w:before="1"/>
              <w:ind w:left="107" w:right="305"/>
              <w:rPr>
                <w:b/>
                <w:sz w:val="22"/>
              </w:rPr>
            </w:pPr>
            <w:r>
              <w:rPr>
                <w:b/>
                <w:sz w:val="22"/>
              </w:rPr>
              <w:t>Privacy: Individuals have the freedom to furnish and decorate their sleeping or living units</w:t>
            </w:r>
          </w:p>
        </w:tc>
        <w:tc>
          <w:tcPr>
            <w:tcW w:w="2748" w:type="dxa"/>
            <w:shd w:val="clear" w:color="auto" w:fill="D0E4CA"/>
          </w:tcPr>
          <w:p>
            <w:pPr>
              <w:pStyle w:val="TableParagraph"/>
              <w:spacing w:before="1"/>
              <w:ind w:left="107" w:right="103"/>
              <w:rPr>
                <w:sz w:val="22"/>
              </w:rPr>
            </w:pPr>
            <w:r>
              <w:rPr>
                <w:sz w:val="22"/>
              </w:rPr>
              <w:t>This is specified in the Licensed Staffed Residential (LSR) contract</w:t>
            </w:r>
          </w:p>
        </w:tc>
        <w:tc>
          <w:tcPr>
            <w:tcW w:w="1409" w:type="dxa"/>
            <w:shd w:val="clear" w:color="auto" w:fill="D0E4CA"/>
          </w:tcPr>
          <w:p>
            <w:pPr>
              <w:pStyle w:val="TableParagraph"/>
              <w:spacing w:line="237" w:lineRule="auto" w:before="3"/>
              <w:ind w:left="107" w:right="341"/>
              <w:rPr>
                <w:sz w:val="22"/>
              </w:rPr>
            </w:pPr>
            <w:r>
              <w:rPr>
                <w:sz w:val="22"/>
              </w:rPr>
              <w:t>Fully Compliant</w:t>
            </w:r>
          </w:p>
        </w:tc>
        <w:tc>
          <w:tcPr>
            <w:tcW w:w="2895" w:type="dxa"/>
            <w:shd w:val="clear" w:color="auto" w:fill="D0E4CA"/>
          </w:tcPr>
          <w:p>
            <w:pPr>
              <w:pStyle w:val="TableParagraph"/>
              <w:spacing w:before="1"/>
              <w:ind w:left="107" w:right="98"/>
              <w:rPr>
                <w:sz w:val="22"/>
              </w:rPr>
            </w:pPr>
            <w:r>
              <w:rPr>
                <w:sz w:val="22"/>
              </w:rPr>
              <w:t>Children’s Administration’s Division of Licensed Resources (DLR) licenses each of these settings. Licenses do not exceed 3 years. DLR and Child Protective Services (CPS) investigate complaints. Annual evaluations of Licensed Staffed Residential facilities are conducted by DDA Quality Assurance Managers or Performance Quality Improvement staff utilizing Children’s Staffed Residential Quality Assurance Assessment tool and applying the same standards as utilized for supported living to ensure HCBS</w:t>
            </w:r>
            <w:r>
              <w:rPr>
                <w:spacing w:val="-5"/>
                <w:sz w:val="22"/>
              </w:rPr>
              <w:t> </w:t>
            </w:r>
            <w:r>
              <w:rPr>
                <w:sz w:val="22"/>
              </w:rPr>
              <w:t>standards.</w:t>
            </w:r>
          </w:p>
        </w:tc>
        <w:tc>
          <w:tcPr>
            <w:tcW w:w="2458" w:type="dxa"/>
            <w:shd w:val="clear" w:color="auto" w:fill="D0E4CA"/>
          </w:tcPr>
          <w:p>
            <w:pPr>
              <w:pStyle w:val="TableParagraph"/>
              <w:spacing w:before="1"/>
              <w:ind w:left="106" w:right="114"/>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rPr>
          <w:b/>
          <w:sz w:val="20"/>
        </w:rPr>
      </w:pPr>
    </w:p>
    <w:p>
      <w:pPr>
        <w:pStyle w:val="BodyText"/>
        <w:spacing w:before="11"/>
        <w:rPr>
          <w:b/>
          <w:sz w:val="11"/>
        </w:rPr>
      </w:pPr>
      <w:r>
        <w:rPr/>
        <w:pict>
          <v:shape style="position:absolute;margin-left:70.559998pt;margin-top:9.512468pt;width:650.9pt;height:.1pt;mso-position-horizontal-relative:page;mso-position-vertical-relative:paragraph;z-index:-251592704;mso-wrap-distance-left:0;mso-wrap-distance-right:0" coordorigin="1411,190" coordsize="13018,0" path="m1411,190l14429,190e" filled="false" stroked="true" strokeweight=".481pt" strokecolor="#d9d9d9">
            <v:path arrowok="t"/>
            <v:stroke dashstyle="solid"/>
            <w10:wrap type="topAndBottom"/>
          </v:shape>
        </w:pict>
      </w:r>
    </w:p>
    <w:p>
      <w:pPr>
        <w:spacing w:after="0"/>
        <w:rPr>
          <w:sz w:val="11"/>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2"/>
        <w:gridCol w:w="2748"/>
        <w:gridCol w:w="1409"/>
        <w:gridCol w:w="2895"/>
        <w:gridCol w:w="2458"/>
      </w:tblGrid>
      <w:tr>
        <w:trPr>
          <w:trHeight w:val="1465" w:hRule="atLeast"/>
        </w:trPr>
        <w:tc>
          <w:tcPr>
            <w:tcW w:w="3432" w:type="dxa"/>
            <w:tcBorders>
              <w:bottom w:val="single" w:sz="18" w:space="0" w:color="4E8542"/>
            </w:tcBorders>
          </w:tcPr>
          <w:p>
            <w:pPr>
              <w:pStyle w:val="TableParagraph"/>
              <w:spacing w:line="292" w:lineRule="exact"/>
              <w:ind w:left="232"/>
              <w:rPr>
                <w:b/>
                <w:sz w:val="24"/>
              </w:rPr>
            </w:pPr>
            <w:r>
              <w:rPr>
                <w:b/>
                <w:sz w:val="24"/>
              </w:rPr>
              <w:t>Characteristics/Requirements</w:t>
            </w:r>
          </w:p>
        </w:tc>
        <w:tc>
          <w:tcPr>
            <w:tcW w:w="2748" w:type="dxa"/>
            <w:tcBorders>
              <w:bottom w:val="single" w:sz="18" w:space="0" w:color="4E8542"/>
            </w:tcBorders>
          </w:tcPr>
          <w:p>
            <w:pPr>
              <w:pStyle w:val="TableParagraph"/>
              <w:ind w:left="169" w:right="149" w:hanging="2"/>
              <w:jc w:val="center"/>
              <w:rPr>
                <w:b/>
                <w:sz w:val="24"/>
              </w:rPr>
            </w:pPr>
            <w:r>
              <w:rPr>
                <w:b/>
                <w:sz w:val="24"/>
              </w:rPr>
              <w:t>Licensed Staffed Residential, Child Foster Home, and Group Care Facilities</w:t>
            </w:r>
          </w:p>
          <w:p>
            <w:pPr>
              <w:pStyle w:val="TableParagraph"/>
              <w:spacing w:line="272" w:lineRule="exact" w:before="1"/>
              <w:ind w:left="539" w:right="519"/>
              <w:jc w:val="center"/>
              <w:rPr>
                <w:b/>
                <w:sz w:val="24"/>
              </w:rPr>
            </w:pPr>
            <w:r>
              <w:rPr>
                <w:b/>
                <w:sz w:val="24"/>
              </w:rPr>
              <w:t>State Evaluation</w:t>
            </w:r>
          </w:p>
        </w:tc>
        <w:tc>
          <w:tcPr>
            <w:tcW w:w="1409" w:type="dxa"/>
            <w:tcBorders>
              <w:bottom w:val="single" w:sz="18" w:space="0" w:color="4E8542"/>
            </w:tcBorders>
          </w:tcPr>
          <w:p>
            <w:pPr>
              <w:pStyle w:val="TableParagraph"/>
              <w:ind w:left="446" w:right="83" w:hanging="327"/>
              <w:rPr>
                <w:b/>
                <w:sz w:val="24"/>
              </w:rPr>
            </w:pPr>
            <w:r>
              <w:rPr>
                <w:b/>
                <w:sz w:val="24"/>
              </w:rPr>
              <w:t>Compliance Level</w:t>
            </w:r>
          </w:p>
        </w:tc>
        <w:tc>
          <w:tcPr>
            <w:tcW w:w="2895" w:type="dxa"/>
            <w:tcBorders>
              <w:bottom w:val="single" w:sz="18" w:space="0" w:color="4E8542"/>
            </w:tcBorders>
          </w:tcPr>
          <w:p>
            <w:pPr>
              <w:pStyle w:val="TableParagraph"/>
              <w:spacing w:line="292" w:lineRule="exact"/>
              <w:ind w:left="561"/>
              <w:rPr>
                <w:b/>
                <w:sz w:val="24"/>
              </w:rPr>
            </w:pPr>
            <w:r>
              <w:rPr>
                <w:b/>
                <w:sz w:val="24"/>
              </w:rPr>
              <w:t>Oversight Process</w:t>
            </w:r>
          </w:p>
        </w:tc>
        <w:tc>
          <w:tcPr>
            <w:tcW w:w="2458" w:type="dxa"/>
            <w:tcBorders>
              <w:bottom w:val="single" w:sz="18" w:space="0" w:color="4E8542"/>
            </w:tcBorders>
          </w:tcPr>
          <w:p>
            <w:pPr>
              <w:pStyle w:val="TableParagraph"/>
              <w:spacing w:line="292" w:lineRule="exact"/>
              <w:ind w:left="586"/>
              <w:rPr>
                <w:b/>
                <w:sz w:val="24"/>
              </w:rPr>
            </w:pPr>
            <w:r>
              <w:rPr>
                <w:b/>
                <w:sz w:val="24"/>
              </w:rPr>
              <w:t>Remediation</w:t>
            </w:r>
          </w:p>
        </w:tc>
      </w:tr>
      <w:tr>
        <w:trPr>
          <w:trHeight w:val="1318" w:hRule="atLeast"/>
        </w:trPr>
        <w:tc>
          <w:tcPr>
            <w:tcW w:w="3432" w:type="dxa"/>
            <w:tcBorders>
              <w:top w:val="single" w:sz="18" w:space="0" w:color="4E8542"/>
            </w:tcBorders>
            <w:shd w:val="clear" w:color="auto" w:fill="D0E4CA"/>
          </w:tcPr>
          <w:p>
            <w:pPr>
              <w:pStyle w:val="TableParagraph"/>
              <w:rPr>
                <w:rFonts w:ascii="Times New Roman"/>
                <w:sz w:val="22"/>
              </w:rPr>
            </w:pPr>
          </w:p>
        </w:tc>
        <w:tc>
          <w:tcPr>
            <w:tcW w:w="2748" w:type="dxa"/>
            <w:tcBorders>
              <w:top w:val="single" w:sz="18" w:space="0" w:color="4E8542"/>
            </w:tcBorders>
            <w:shd w:val="clear" w:color="auto" w:fill="D0E4CA"/>
          </w:tcPr>
          <w:p>
            <w:pPr>
              <w:pStyle w:val="TableParagraph"/>
              <w:rPr>
                <w:rFonts w:ascii="Times New Roman"/>
                <w:sz w:val="22"/>
              </w:rPr>
            </w:pPr>
          </w:p>
        </w:tc>
        <w:tc>
          <w:tcPr>
            <w:tcW w:w="1409" w:type="dxa"/>
            <w:tcBorders>
              <w:top w:val="single" w:sz="18" w:space="0" w:color="4E8542"/>
            </w:tcBorders>
            <w:shd w:val="clear" w:color="auto" w:fill="D0E4CA"/>
          </w:tcPr>
          <w:p>
            <w:pPr>
              <w:pStyle w:val="TableParagraph"/>
              <w:rPr>
                <w:rFonts w:ascii="Times New Roman"/>
                <w:sz w:val="22"/>
              </w:rPr>
            </w:pPr>
          </w:p>
        </w:tc>
        <w:tc>
          <w:tcPr>
            <w:tcW w:w="2895" w:type="dxa"/>
            <w:tcBorders>
              <w:top w:val="single" w:sz="18" w:space="0" w:color="4E8542"/>
            </w:tcBorders>
            <w:shd w:val="clear" w:color="auto" w:fill="D0E4CA"/>
          </w:tcPr>
          <w:p>
            <w:pPr>
              <w:pStyle w:val="TableParagraph"/>
              <w:spacing w:line="243" w:lineRule="exact"/>
              <w:ind w:left="107"/>
              <w:rPr>
                <w:sz w:val="22"/>
              </w:rPr>
            </w:pPr>
            <w:r>
              <w:rPr>
                <w:sz w:val="22"/>
              </w:rPr>
              <w:t>On-site inspections ensure</w:t>
            </w:r>
          </w:p>
          <w:p>
            <w:pPr>
              <w:pStyle w:val="TableParagraph"/>
              <w:spacing w:line="270" w:lineRule="atLeast"/>
              <w:ind w:left="107" w:right="160"/>
              <w:rPr>
                <w:sz w:val="22"/>
              </w:rPr>
            </w:pPr>
            <w:r>
              <w:rPr>
                <w:sz w:val="22"/>
              </w:rPr>
              <w:t>homes meet all licensing and certification requirements in WAC and RCW, including WAC 388-823-1095.</w:t>
            </w:r>
          </w:p>
        </w:tc>
        <w:tc>
          <w:tcPr>
            <w:tcW w:w="2458" w:type="dxa"/>
            <w:tcBorders>
              <w:top w:val="single" w:sz="18" w:space="0" w:color="4E8542"/>
            </w:tcBorders>
            <w:shd w:val="clear" w:color="auto" w:fill="D0E4CA"/>
          </w:tcPr>
          <w:p>
            <w:pPr>
              <w:pStyle w:val="TableParagraph"/>
              <w:rPr>
                <w:rFonts w:ascii="Times New Roman"/>
                <w:sz w:val="22"/>
              </w:rPr>
            </w:pPr>
          </w:p>
        </w:tc>
      </w:tr>
      <w:tr>
        <w:trPr>
          <w:trHeight w:val="6172" w:hRule="atLeast"/>
        </w:trPr>
        <w:tc>
          <w:tcPr>
            <w:tcW w:w="3432" w:type="dxa"/>
          </w:tcPr>
          <w:p>
            <w:pPr>
              <w:pStyle w:val="TableParagraph"/>
              <w:ind w:left="107" w:right="183"/>
              <w:rPr>
                <w:b/>
                <w:sz w:val="22"/>
              </w:rPr>
            </w:pPr>
            <w:r>
              <w:rPr>
                <w:b/>
                <w:sz w:val="22"/>
              </w:rPr>
              <w:t>Individuals have the freedom and support to control their own schedules and activities, and have access to food at any time</w:t>
            </w:r>
          </w:p>
        </w:tc>
        <w:tc>
          <w:tcPr>
            <w:tcW w:w="2748" w:type="dxa"/>
          </w:tcPr>
          <w:p>
            <w:pPr>
              <w:pStyle w:val="TableParagraph"/>
              <w:spacing w:line="263" w:lineRule="exact"/>
              <w:ind w:left="107"/>
              <w:rPr>
                <w:sz w:val="22"/>
              </w:rPr>
            </w:pPr>
            <w:hyperlink r:id="rId82">
              <w:r>
                <w:rPr>
                  <w:color w:val="6B9F24"/>
                  <w:sz w:val="22"/>
                  <w:u w:val="single" w:color="6B9F24"/>
                </w:rPr>
                <w:t>Chapter 388-145-1790</w:t>
              </w:r>
              <w:r>
                <w:rPr>
                  <w:color w:val="6B9F24"/>
                  <w:sz w:val="22"/>
                </w:rPr>
                <w:t> </w:t>
              </w:r>
            </w:hyperlink>
            <w:r>
              <w:rPr>
                <w:sz w:val="22"/>
              </w:rPr>
              <w:t>WAC</w:t>
            </w:r>
          </w:p>
          <w:p>
            <w:pPr>
              <w:pStyle w:val="TableParagraph"/>
              <w:ind w:left="107" w:right="78"/>
              <w:rPr>
                <w:sz w:val="22"/>
              </w:rPr>
            </w:pPr>
            <w:r>
              <w:rPr>
                <w:sz w:val="22"/>
              </w:rPr>
              <w:t>Rule requires the contractor to post a menu. Clients can choose snack options. The evaluation tool asks the child if they go to the store with staff to pick out their own food.</w:t>
            </w:r>
          </w:p>
          <w:p>
            <w:pPr>
              <w:pStyle w:val="TableParagraph"/>
              <w:spacing w:before="11"/>
              <w:rPr>
                <w:b/>
                <w:sz w:val="21"/>
              </w:rPr>
            </w:pPr>
          </w:p>
          <w:p>
            <w:pPr>
              <w:pStyle w:val="TableParagraph"/>
              <w:spacing w:before="1"/>
              <w:ind w:left="107"/>
              <w:rPr>
                <w:sz w:val="22"/>
              </w:rPr>
            </w:pPr>
            <w:hyperlink r:id="rId83">
              <w:r>
                <w:rPr>
                  <w:color w:val="6B9F24"/>
                  <w:sz w:val="22"/>
                  <w:u w:val="single" w:color="6B9F24"/>
                </w:rPr>
                <w:t>Chapter 388-148-1515 WAC</w:t>
              </w:r>
            </w:hyperlink>
          </w:p>
          <w:p>
            <w:pPr>
              <w:pStyle w:val="TableParagraph"/>
              <w:ind w:left="107" w:right="156"/>
              <w:rPr>
                <w:sz w:val="22"/>
              </w:rPr>
            </w:pPr>
            <w:r>
              <w:rPr>
                <w:sz w:val="22"/>
              </w:rPr>
              <w:t>What are the requirements regarding food?</w:t>
            </w:r>
          </w:p>
          <w:p>
            <w:pPr>
              <w:pStyle w:val="TableParagraph"/>
              <w:spacing w:before="10"/>
              <w:rPr>
                <w:b/>
                <w:sz w:val="21"/>
              </w:rPr>
            </w:pPr>
          </w:p>
          <w:p>
            <w:pPr>
              <w:pStyle w:val="TableParagraph"/>
              <w:spacing w:before="1"/>
              <w:ind w:left="107"/>
              <w:rPr>
                <w:sz w:val="22"/>
              </w:rPr>
            </w:pPr>
            <w:hyperlink r:id="rId23">
              <w:r>
                <w:rPr>
                  <w:color w:val="6B9F24"/>
                  <w:sz w:val="22"/>
                  <w:u w:val="single" w:color="6B9F24"/>
                </w:rPr>
                <w:t>Chapter 388-823-1095</w:t>
              </w:r>
              <w:r>
                <w:rPr>
                  <w:color w:val="6B9F24"/>
                  <w:sz w:val="22"/>
                </w:rPr>
                <w:t> </w:t>
              </w:r>
            </w:hyperlink>
            <w:r>
              <w:rPr>
                <w:sz w:val="22"/>
              </w:rPr>
              <w:t>WAC</w:t>
            </w:r>
          </w:p>
          <w:p>
            <w:pPr>
              <w:pStyle w:val="TableParagraph"/>
              <w:ind w:left="107"/>
              <w:rPr>
                <w:sz w:val="22"/>
              </w:rPr>
            </w:pPr>
            <w:r>
              <w:rPr>
                <w:sz w:val="22"/>
              </w:rPr>
              <w:t>my rights as a DDA client</w:t>
            </w:r>
          </w:p>
        </w:tc>
        <w:tc>
          <w:tcPr>
            <w:tcW w:w="1409" w:type="dxa"/>
          </w:tcPr>
          <w:p>
            <w:pPr>
              <w:pStyle w:val="TableParagraph"/>
              <w:ind w:left="107" w:right="341"/>
              <w:rPr>
                <w:sz w:val="22"/>
              </w:rPr>
            </w:pPr>
            <w:r>
              <w:rPr>
                <w:sz w:val="22"/>
              </w:rPr>
              <w:t>Partially Compliant</w:t>
            </w:r>
          </w:p>
        </w:tc>
        <w:tc>
          <w:tcPr>
            <w:tcW w:w="2895" w:type="dxa"/>
          </w:tcPr>
          <w:p>
            <w:pPr>
              <w:pStyle w:val="TableParagraph"/>
              <w:ind w:left="107" w:right="98"/>
              <w:rPr>
                <w:sz w:val="22"/>
              </w:rPr>
            </w:pPr>
            <w:r>
              <w:rPr>
                <w:sz w:val="22"/>
              </w:rPr>
              <w:t>Children’s Administration’s Division of Licensed Resources (DLR) licenses each of these settings. Licenses do not exceed 3 years. DLR </w:t>
            </w:r>
            <w:r>
              <w:rPr>
                <w:spacing w:val="-3"/>
                <w:sz w:val="22"/>
              </w:rPr>
              <w:t>and </w:t>
            </w:r>
            <w:r>
              <w:rPr>
                <w:sz w:val="22"/>
              </w:rPr>
              <w:t>Child Protective Services (CPS) investigate complaints. Annual evaluations of Licensed Staffed Residential facilities are conducted by DDA Quality Assurance Managers or Performance Quality Improvement staff utilizing Children’s Staffed Residential Quality Assurance Assessment tool and applying the same standards as utilized for supported living to ensure HCBS</w:t>
            </w:r>
            <w:r>
              <w:rPr>
                <w:spacing w:val="-5"/>
                <w:sz w:val="22"/>
              </w:rPr>
              <w:t> </w:t>
            </w:r>
            <w:r>
              <w:rPr>
                <w:sz w:val="22"/>
              </w:rPr>
              <w:t>standards.</w:t>
            </w:r>
          </w:p>
          <w:p>
            <w:pPr>
              <w:pStyle w:val="TableParagraph"/>
              <w:spacing w:before="6"/>
              <w:rPr>
                <w:b/>
                <w:sz w:val="21"/>
              </w:rPr>
            </w:pPr>
          </w:p>
          <w:p>
            <w:pPr>
              <w:pStyle w:val="TableParagraph"/>
              <w:spacing w:before="1"/>
              <w:ind w:left="107" w:right="170"/>
              <w:rPr>
                <w:sz w:val="22"/>
              </w:rPr>
            </w:pPr>
            <w:r>
              <w:rPr>
                <w:sz w:val="22"/>
              </w:rPr>
              <w:t>On-site inspections ensure homes meet all licensing</w:t>
            </w:r>
            <w:r>
              <w:rPr>
                <w:spacing w:val="-10"/>
                <w:sz w:val="22"/>
              </w:rPr>
              <w:t> </w:t>
            </w:r>
            <w:r>
              <w:rPr>
                <w:sz w:val="22"/>
              </w:rPr>
              <w:t>and</w:t>
            </w:r>
          </w:p>
          <w:p>
            <w:pPr>
              <w:pStyle w:val="TableParagraph"/>
              <w:spacing w:line="250" w:lineRule="exact"/>
              <w:ind w:left="107"/>
              <w:rPr>
                <w:sz w:val="22"/>
              </w:rPr>
            </w:pPr>
            <w:r>
              <w:rPr>
                <w:sz w:val="22"/>
              </w:rPr>
              <w:t>certification requirements</w:t>
            </w:r>
            <w:r>
              <w:rPr>
                <w:spacing w:val="-9"/>
                <w:sz w:val="22"/>
              </w:rPr>
              <w:t> </w:t>
            </w:r>
            <w:r>
              <w:rPr>
                <w:spacing w:val="-3"/>
                <w:sz w:val="22"/>
              </w:rPr>
              <w:t>in</w:t>
            </w:r>
          </w:p>
        </w:tc>
        <w:tc>
          <w:tcPr>
            <w:tcW w:w="2458" w:type="dxa"/>
          </w:tcPr>
          <w:p>
            <w:pPr>
              <w:pStyle w:val="TableParagraph"/>
              <w:ind w:left="106" w:right="114"/>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spacing w:before="11"/>
        <w:rPr>
          <w:b/>
          <w:sz w:val="9"/>
        </w:rPr>
      </w:pPr>
      <w:r>
        <w:rPr/>
        <w:pict>
          <v:shape style="position:absolute;margin-left:70.559998pt;margin-top:8.2795pt;width:650.9pt;height:.1pt;mso-position-horizontal-relative:page;mso-position-vertical-relative:paragraph;z-index:-251591680;mso-wrap-distance-left:0;mso-wrap-distance-right:0" coordorigin="1411,166" coordsize="13018,0" path="m1411,166l14429,166e" filled="false" stroked="true" strokeweight=".481pt" strokecolor="#d9d9d9">
            <v:path arrowok="t"/>
            <v:stroke dashstyle="solid"/>
            <w10:wrap type="topAndBottom"/>
          </v:shape>
        </w:pict>
      </w:r>
    </w:p>
    <w:p>
      <w:pPr>
        <w:spacing w:after="0"/>
        <w:rPr>
          <w:sz w:val="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2"/>
        <w:gridCol w:w="2748"/>
        <w:gridCol w:w="1409"/>
        <w:gridCol w:w="2895"/>
        <w:gridCol w:w="2458"/>
      </w:tblGrid>
      <w:tr>
        <w:trPr>
          <w:trHeight w:val="1465" w:hRule="atLeast"/>
        </w:trPr>
        <w:tc>
          <w:tcPr>
            <w:tcW w:w="3432" w:type="dxa"/>
            <w:tcBorders>
              <w:bottom w:val="single" w:sz="18" w:space="0" w:color="4E8542"/>
            </w:tcBorders>
          </w:tcPr>
          <w:p>
            <w:pPr>
              <w:pStyle w:val="TableParagraph"/>
              <w:spacing w:line="292" w:lineRule="exact"/>
              <w:ind w:left="232"/>
              <w:rPr>
                <w:b/>
                <w:sz w:val="24"/>
              </w:rPr>
            </w:pPr>
            <w:r>
              <w:rPr>
                <w:b/>
                <w:sz w:val="24"/>
              </w:rPr>
              <w:t>Characteristics/Requirements</w:t>
            </w:r>
          </w:p>
        </w:tc>
        <w:tc>
          <w:tcPr>
            <w:tcW w:w="2748" w:type="dxa"/>
            <w:tcBorders>
              <w:bottom w:val="single" w:sz="18" w:space="0" w:color="4E8542"/>
            </w:tcBorders>
          </w:tcPr>
          <w:p>
            <w:pPr>
              <w:pStyle w:val="TableParagraph"/>
              <w:ind w:left="169" w:right="149" w:hanging="2"/>
              <w:jc w:val="center"/>
              <w:rPr>
                <w:b/>
                <w:sz w:val="24"/>
              </w:rPr>
            </w:pPr>
            <w:r>
              <w:rPr>
                <w:b/>
                <w:sz w:val="24"/>
              </w:rPr>
              <w:t>Licensed Staffed Residential, Child Foster Home, and Group Care Facilities</w:t>
            </w:r>
          </w:p>
          <w:p>
            <w:pPr>
              <w:pStyle w:val="TableParagraph"/>
              <w:spacing w:line="272" w:lineRule="exact" w:before="1"/>
              <w:ind w:left="539" w:right="519"/>
              <w:jc w:val="center"/>
              <w:rPr>
                <w:b/>
                <w:sz w:val="24"/>
              </w:rPr>
            </w:pPr>
            <w:r>
              <w:rPr>
                <w:b/>
                <w:sz w:val="24"/>
              </w:rPr>
              <w:t>State Evaluation</w:t>
            </w:r>
          </w:p>
        </w:tc>
        <w:tc>
          <w:tcPr>
            <w:tcW w:w="1409" w:type="dxa"/>
            <w:tcBorders>
              <w:bottom w:val="single" w:sz="18" w:space="0" w:color="4E8542"/>
            </w:tcBorders>
          </w:tcPr>
          <w:p>
            <w:pPr>
              <w:pStyle w:val="TableParagraph"/>
              <w:ind w:left="446" w:right="83" w:hanging="327"/>
              <w:rPr>
                <w:b/>
                <w:sz w:val="24"/>
              </w:rPr>
            </w:pPr>
            <w:r>
              <w:rPr>
                <w:b/>
                <w:sz w:val="24"/>
              </w:rPr>
              <w:t>Compliance Level</w:t>
            </w:r>
          </w:p>
        </w:tc>
        <w:tc>
          <w:tcPr>
            <w:tcW w:w="2895" w:type="dxa"/>
            <w:tcBorders>
              <w:bottom w:val="single" w:sz="18" w:space="0" w:color="4E8542"/>
            </w:tcBorders>
          </w:tcPr>
          <w:p>
            <w:pPr>
              <w:pStyle w:val="TableParagraph"/>
              <w:spacing w:line="292" w:lineRule="exact"/>
              <w:ind w:left="561"/>
              <w:rPr>
                <w:b/>
                <w:sz w:val="24"/>
              </w:rPr>
            </w:pPr>
            <w:r>
              <w:rPr>
                <w:b/>
                <w:sz w:val="24"/>
              </w:rPr>
              <w:t>Oversight Process</w:t>
            </w:r>
          </w:p>
        </w:tc>
        <w:tc>
          <w:tcPr>
            <w:tcW w:w="2458" w:type="dxa"/>
            <w:tcBorders>
              <w:bottom w:val="single" w:sz="18" w:space="0" w:color="4E8542"/>
            </w:tcBorders>
          </w:tcPr>
          <w:p>
            <w:pPr>
              <w:pStyle w:val="TableParagraph"/>
              <w:spacing w:line="292" w:lineRule="exact"/>
              <w:ind w:left="586"/>
              <w:rPr>
                <w:b/>
                <w:sz w:val="24"/>
              </w:rPr>
            </w:pPr>
            <w:r>
              <w:rPr>
                <w:b/>
                <w:sz w:val="24"/>
              </w:rPr>
              <w:t>Remediation</w:t>
            </w:r>
          </w:p>
        </w:tc>
      </w:tr>
      <w:tr>
        <w:trPr>
          <w:trHeight w:val="512" w:hRule="atLeast"/>
        </w:trPr>
        <w:tc>
          <w:tcPr>
            <w:tcW w:w="3432" w:type="dxa"/>
            <w:tcBorders>
              <w:top w:val="single" w:sz="18" w:space="0" w:color="4E8542"/>
            </w:tcBorders>
          </w:tcPr>
          <w:p>
            <w:pPr>
              <w:pStyle w:val="TableParagraph"/>
              <w:rPr>
                <w:rFonts w:ascii="Times New Roman"/>
                <w:sz w:val="22"/>
              </w:rPr>
            </w:pPr>
          </w:p>
        </w:tc>
        <w:tc>
          <w:tcPr>
            <w:tcW w:w="2748" w:type="dxa"/>
            <w:tcBorders>
              <w:top w:val="single" w:sz="18" w:space="0" w:color="4E8542"/>
            </w:tcBorders>
          </w:tcPr>
          <w:p>
            <w:pPr>
              <w:pStyle w:val="TableParagraph"/>
              <w:rPr>
                <w:rFonts w:ascii="Times New Roman"/>
                <w:sz w:val="22"/>
              </w:rPr>
            </w:pPr>
          </w:p>
        </w:tc>
        <w:tc>
          <w:tcPr>
            <w:tcW w:w="1409" w:type="dxa"/>
            <w:tcBorders>
              <w:top w:val="single" w:sz="18" w:space="0" w:color="4E8542"/>
            </w:tcBorders>
          </w:tcPr>
          <w:p>
            <w:pPr>
              <w:pStyle w:val="TableParagraph"/>
              <w:rPr>
                <w:rFonts w:ascii="Times New Roman"/>
                <w:sz w:val="22"/>
              </w:rPr>
            </w:pPr>
          </w:p>
        </w:tc>
        <w:tc>
          <w:tcPr>
            <w:tcW w:w="2895" w:type="dxa"/>
            <w:tcBorders>
              <w:top w:val="single" w:sz="18" w:space="0" w:color="4E8542"/>
            </w:tcBorders>
          </w:tcPr>
          <w:p>
            <w:pPr>
              <w:pStyle w:val="TableParagraph"/>
              <w:spacing w:line="243" w:lineRule="exact"/>
              <w:ind w:left="107"/>
              <w:rPr>
                <w:sz w:val="22"/>
              </w:rPr>
            </w:pPr>
            <w:r>
              <w:rPr>
                <w:sz w:val="22"/>
              </w:rPr>
              <w:t>WAC and RCW, including</w:t>
            </w:r>
          </w:p>
          <w:p>
            <w:pPr>
              <w:pStyle w:val="TableParagraph"/>
              <w:spacing w:line="249" w:lineRule="exact"/>
              <w:ind w:left="107"/>
              <w:rPr>
                <w:sz w:val="22"/>
              </w:rPr>
            </w:pPr>
            <w:r>
              <w:rPr>
                <w:sz w:val="22"/>
              </w:rPr>
              <w:t>WAC 388-823-1095.</w:t>
            </w:r>
          </w:p>
        </w:tc>
        <w:tc>
          <w:tcPr>
            <w:tcW w:w="2458" w:type="dxa"/>
            <w:tcBorders>
              <w:top w:val="single" w:sz="18" w:space="0" w:color="4E8542"/>
            </w:tcBorders>
          </w:tcPr>
          <w:p>
            <w:pPr>
              <w:pStyle w:val="TableParagraph"/>
              <w:rPr>
                <w:rFonts w:ascii="Times New Roman"/>
                <w:sz w:val="22"/>
              </w:rPr>
            </w:pPr>
          </w:p>
        </w:tc>
      </w:tr>
      <w:tr>
        <w:trPr>
          <w:trHeight w:val="6445" w:hRule="atLeast"/>
        </w:trPr>
        <w:tc>
          <w:tcPr>
            <w:tcW w:w="3432" w:type="dxa"/>
            <w:shd w:val="clear" w:color="auto" w:fill="D0E4CA"/>
          </w:tcPr>
          <w:p>
            <w:pPr>
              <w:pStyle w:val="TableParagraph"/>
              <w:ind w:left="107" w:right="424"/>
              <w:rPr>
                <w:b/>
                <w:sz w:val="22"/>
              </w:rPr>
            </w:pPr>
            <w:r>
              <w:rPr>
                <w:b/>
                <w:sz w:val="22"/>
              </w:rPr>
              <w:t>Individuals are able to have visitors of their choosing at any time</w:t>
            </w:r>
          </w:p>
        </w:tc>
        <w:tc>
          <w:tcPr>
            <w:tcW w:w="2748" w:type="dxa"/>
            <w:shd w:val="clear" w:color="auto" w:fill="D0E4CA"/>
          </w:tcPr>
          <w:p>
            <w:pPr>
              <w:pStyle w:val="TableParagraph"/>
              <w:ind w:left="107" w:right="71"/>
              <w:rPr>
                <w:sz w:val="22"/>
              </w:rPr>
            </w:pPr>
            <w:r>
              <w:rPr>
                <w:sz w:val="22"/>
              </w:rPr>
              <w:t>Supervised access- individuals can come over in reasonable time frames.</w:t>
            </w:r>
          </w:p>
          <w:p>
            <w:pPr>
              <w:pStyle w:val="TableParagraph"/>
              <w:ind w:left="107" w:right="175"/>
              <w:rPr>
                <w:sz w:val="22"/>
              </w:rPr>
            </w:pPr>
            <w:r>
              <w:rPr>
                <w:sz w:val="22"/>
              </w:rPr>
              <w:t>The rules state background checks are required if an individual over 18 years of age will be visiting the licensed settings.</w:t>
            </w:r>
          </w:p>
          <w:p>
            <w:pPr>
              <w:pStyle w:val="TableParagraph"/>
              <w:spacing w:before="10"/>
              <w:rPr>
                <w:b/>
                <w:sz w:val="21"/>
              </w:rPr>
            </w:pPr>
          </w:p>
          <w:p>
            <w:pPr>
              <w:pStyle w:val="TableParagraph"/>
              <w:spacing w:before="1"/>
              <w:ind w:left="107"/>
              <w:rPr>
                <w:sz w:val="22"/>
              </w:rPr>
            </w:pPr>
            <w:hyperlink r:id="rId23">
              <w:r>
                <w:rPr>
                  <w:color w:val="6B9F24"/>
                  <w:sz w:val="22"/>
                  <w:u w:val="single" w:color="6B9F24"/>
                </w:rPr>
                <w:t>Chapter 388-823-1095</w:t>
              </w:r>
              <w:r>
                <w:rPr>
                  <w:color w:val="6B9F24"/>
                  <w:sz w:val="22"/>
                </w:rPr>
                <w:t> </w:t>
              </w:r>
            </w:hyperlink>
            <w:r>
              <w:rPr>
                <w:sz w:val="22"/>
              </w:rPr>
              <w:t>WAC</w:t>
            </w:r>
          </w:p>
          <w:p>
            <w:pPr>
              <w:pStyle w:val="TableParagraph"/>
              <w:ind w:left="107"/>
              <w:rPr>
                <w:sz w:val="22"/>
              </w:rPr>
            </w:pPr>
            <w:r>
              <w:rPr>
                <w:sz w:val="22"/>
              </w:rPr>
              <w:t>my rights as a DDA client</w:t>
            </w:r>
          </w:p>
        </w:tc>
        <w:tc>
          <w:tcPr>
            <w:tcW w:w="1409" w:type="dxa"/>
            <w:shd w:val="clear" w:color="auto" w:fill="D0E4CA"/>
          </w:tcPr>
          <w:p>
            <w:pPr>
              <w:pStyle w:val="TableParagraph"/>
              <w:ind w:left="107" w:right="341"/>
              <w:rPr>
                <w:sz w:val="22"/>
              </w:rPr>
            </w:pPr>
            <w:r>
              <w:rPr>
                <w:sz w:val="22"/>
              </w:rPr>
              <w:t>Partially Compliant</w:t>
            </w:r>
          </w:p>
        </w:tc>
        <w:tc>
          <w:tcPr>
            <w:tcW w:w="2895" w:type="dxa"/>
            <w:shd w:val="clear" w:color="auto" w:fill="D0E4CA"/>
          </w:tcPr>
          <w:p>
            <w:pPr>
              <w:pStyle w:val="TableParagraph"/>
              <w:ind w:left="107" w:right="98"/>
              <w:rPr>
                <w:sz w:val="22"/>
              </w:rPr>
            </w:pPr>
            <w:r>
              <w:rPr>
                <w:sz w:val="22"/>
              </w:rPr>
              <w:t>Children’s Administration’s Division of Licensed Resources (DLR) licenses each of these settings. Licenses do not exceed 3 years. DLR and Child Protective Services (CPS) investigate complaints. Annual evaluations of Licensed Staffed Residential facilities are conducted by DDA Quality Assurance Managers or Performance Quality Improvement staff utilizing Children’s Staffed Residential Quality Assurance Assessment tool and applying the same standards as utilized for supported living to ensure HCBS</w:t>
            </w:r>
            <w:r>
              <w:rPr>
                <w:spacing w:val="-5"/>
                <w:sz w:val="22"/>
              </w:rPr>
              <w:t> </w:t>
            </w:r>
            <w:r>
              <w:rPr>
                <w:sz w:val="22"/>
              </w:rPr>
              <w:t>standards.</w:t>
            </w:r>
          </w:p>
          <w:p>
            <w:pPr>
              <w:pStyle w:val="TableParagraph"/>
              <w:ind w:left="107" w:right="160"/>
              <w:rPr>
                <w:sz w:val="22"/>
              </w:rPr>
            </w:pPr>
            <w:r>
              <w:rPr>
                <w:sz w:val="22"/>
              </w:rPr>
              <w:t>On-site inspections ensure homes meet all licensing and certification requirements in WAC and RCW, including</w:t>
            </w:r>
          </w:p>
          <w:p>
            <w:pPr>
              <w:pStyle w:val="TableParagraph"/>
              <w:spacing w:line="249" w:lineRule="exact"/>
              <w:ind w:left="107"/>
              <w:rPr>
                <w:sz w:val="22"/>
              </w:rPr>
            </w:pPr>
            <w:r>
              <w:rPr>
                <w:sz w:val="22"/>
              </w:rPr>
              <w:t>WAC 388-823-1095.</w:t>
            </w:r>
          </w:p>
        </w:tc>
        <w:tc>
          <w:tcPr>
            <w:tcW w:w="2458" w:type="dxa"/>
            <w:shd w:val="clear" w:color="auto" w:fill="D0E4CA"/>
          </w:tcPr>
          <w:p>
            <w:pPr>
              <w:pStyle w:val="TableParagraph"/>
              <w:ind w:left="106" w:right="114"/>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536" w:hRule="atLeast"/>
        </w:trPr>
        <w:tc>
          <w:tcPr>
            <w:tcW w:w="3432" w:type="dxa"/>
          </w:tcPr>
          <w:p>
            <w:pPr>
              <w:pStyle w:val="TableParagraph"/>
              <w:spacing w:line="267" w:lineRule="exact"/>
              <w:ind w:left="107"/>
              <w:rPr>
                <w:b/>
                <w:sz w:val="22"/>
              </w:rPr>
            </w:pPr>
            <w:r>
              <w:rPr>
                <w:b/>
                <w:sz w:val="22"/>
              </w:rPr>
              <w:t>The setting is physically accessible</w:t>
            </w:r>
          </w:p>
          <w:p>
            <w:pPr>
              <w:pStyle w:val="TableParagraph"/>
              <w:spacing w:line="249" w:lineRule="exact"/>
              <w:ind w:left="107"/>
              <w:rPr>
                <w:b/>
                <w:sz w:val="22"/>
              </w:rPr>
            </w:pPr>
            <w:r>
              <w:rPr>
                <w:b/>
                <w:sz w:val="22"/>
              </w:rPr>
              <w:t>to the individual</w:t>
            </w:r>
          </w:p>
        </w:tc>
        <w:tc>
          <w:tcPr>
            <w:tcW w:w="2748" w:type="dxa"/>
          </w:tcPr>
          <w:p>
            <w:pPr>
              <w:pStyle w:val="TableParagraph"/>
              <w:spacing w:line="267" w:lineRule="exact"/>
              <w:ind w:left="107"/>
              <w:rPr>
                <w:sz w:val="22"/>
              </w:rPr>
            </w:pPr>
            <w:hyperlink r:id="rId84">
              <w:r>
                <w:rPr>
                  <w:color w:val="6B9F24"/>
                  <w:sz w:val="22"/>
                  <w:u w:val="single" w:color="6B9F24"/>
                </w:rPr>
                <w:t>Chapter 388-145-1555</w:t>
              </w:r>
              <w:r>
                <w:rPr>
                  <w:color w:val="6B9F24"/>
                  <w:spacing w:val="-12"/>
                  <w:sz w:val="22"/>
                  <w:u w:val="single" w:color="6B9F24"/>
                </w:rPr>
                <w:t> </w:t>
              </w:r>
              <w:r>
                <w:rPr>
                  <w:color w:val="6B9F24"/>
                  <w:sz w:val="22"/>
                  <w:u w:val="single" w:color="6B9F24"/>
                </w:rPr>
                <w:t>WAC</w:t>
              </w:r>
            </w:hyperlink>
          </w:p>
          <w:p>
            <w:pPr>
              <w:pStyle w:val="TableParagraph"/>
              <w:spacing w:line="249" w:lineRule="exact"/>
              <w:ind w:left="107"/>
              <w:rPr>
                <w:sz w:val="22"/>
              </w:rPr>
            </w:pPr>
            <w:hyperlink r:id="rId85">
              <w:r>
                <w:rPr>
                  <w:color w:val="6B9F24"/>
                  <w:sz w:val="22"/>
                  <w:u w:val="single" w:color="6B9F24"/>
                </w:rPr>
                <w:t>Chapter 388-148-1440</w:t>
              </w:r>
              <w:r>
                <w:rPr>
                  <w:color w:val="6B9F24"/>
                  <w:spacing w:val="-12"/>
                  <w:sz w:val="22"/>
                  <w:u w:val="single" w:color="6B9F24"/>
                </w:rPr>
                <w:t> </w:t>
              </w:r>
              <w:r>
                <w:rPr>
                  <w:color w:val="6B9F24"/>
                  <w:sz w:val="22"/>
                  <w:u w:val="single" w:color="6B9F24"/>
                </w:rPr>
                <w:t>WAC</w:t>
              </w:r>
            </w:hyperlink>
          </w:p>
        </w:tc>
        <w:tc>
          <w:tcPr>
            <w:tcW w:w="1409" w:type="dxa"/>
          </w:tcPr>
          <w:p>
            <w:pPr>
              <w:pStyle w:val="TableParagraph"/>
              <w:spacing w:line="267" w:lineRule="exact"/>
              <w:ind w:left="107"/>
              <w:rPr>
                <w:sz w:val="22"/>
              </w:rPr>
            </w:pPr>
            <w:r>
              <w:rPr>
                <w:sz w:val="22"/>
              </w:rPr>
              <w:t>Partially</w:t>
            </w:r>
          </w:p>
          <w:p>
            <w:pPr>
              <w:pStyle w:val="TableParagraph"/>
              <w:spacing w:line="249" w:lineRule="exact"/>
              <w:ind w:left="107"/>
              <w:rPr>
                <w:sz w:val="22"/>
              </w:rPr>
            </w:pPr>
            <w:r>
              <w:rPr>
                <w:sz w:val="22"/>
              </w:rPr>
              <w:t>Compliant</w:t>
            </w:r>
          </w:p>
        </w:tc>
        <w:tc>
          <w:tcPr>
            <w:tcW w:w="2895" w:type="dxa"/>
          </w:tcPr>
          <w:p>
            <w:pPr>
              <w:pStyle w:val="TableParagraph"/>
              <w:spacing w:line="267" w:lineRule="exact"/>
              <w:ind w:left="107"/>
              <w:rPr>
                <w:sz w:val="22"/>
              </w:rPr>
            </w:pPr>
            <w:r>
              <w:rPr>
                <w:sz w:val="22"/>
              </w:rPr>
              <w:t>Children’s Administration’s</w:t>
            </w:r>
          </w:p>
          <w:p>
            <w:pPr>
              <w:pStyle w:val="TableParagraph"/>
              <w:spacing w:line="249" w:lineRule="exact"/>
              <w:ind w:left="107"/>
              <w:rPr>
                <w:sz w:val="22"/>
              </w:rPr>
            </w:pPr>
            <w:r>
              <w:rPr>
                <w:sz w:val="22"/>
              </w:rPr>
              <w:t>Division of Licensed</w:t>
            </w:r>
          </w:p>
        </w:tc>
        <w:tc>
          <w:tcPr>
            <w:tcW w:w="2458" w:type="dxa"/>
          </w:tcPr>
          <w:p>
            <w:pPr>
              <w:pStyle w:val="TableParagraph"/>
              <w:spacing w:line="267" w:lineRule="exact"/>
              <w:ind w:left="106"/>
              <w:rPr>
                <w:sz w:val="22"/>
              </w:rPr>
            </w:pPr>
            <w:r>
              <w:rPr>
                <w:sz w:val="22"/>
              </w:rPr>
              <w:t>Revising </w:t>
            </w:r>
            <w:hyperlink r:id="rId23">
              <w:r>
                <w:rPr>
                  <w:color w:val="6B9F24"/>
                  <w:sz w:val="22"/>
                  <w:u w:val="single" w:color="6B9F24"/>
                </w:rPr>
                <w:t>WAC 388-823-</w:t>
              </w:r>
            </w:hyperlink>
          </w:p>
          <w:p>
            <w:pPr>
              <w:pStyle w:val="TableParagraph"/>
              <w:spacing w:line="249" w:lineRule="exact"/>
              <w:ind w:left="106"/>
              <w:rPr>
                <w:sz w:val="22"/>
              </w:rPr>
            </w:pPr>
            <w:hyperlink r:id="rId23">
              <w:r>
                <w:rPr>
                  <w:color w:val="6B9F24"/>
                  <w:sz w:val="22"/>
                  <w:u w:val="single" w:color="6B9F24"/>
                </w:rPr>
                <w:t>1095</w:t>
              </w:r>
              <w:r>
                <w:rPr>
                  <w:color w:val="6B9F24"/>
                  <w:sz w:val="22"/>
                </w:rPr>
                <w:t> </w:t>
              </w:r>
            </w:hyperlink>
            <w:r>
              <w:rPr>
                <w:sz w:val="22"/>
              </w:rPr>
              <w:t>to include all rights</w:t>
            </w:r>
          </w:p>
        </w:tc>
      </w:tr>
    </w:tbl>
    <w:p>
      <w:pPr>
        <w:pStyle w:val="BodyText"/>
        <w:spacing w:before="4"/>
        <w:rPr>
          <w:b/>
          <w:sz w:val="8"/>
        </w:rPr>
      </w:pPr>
      <w:r>
        <w:rPr/>
        <w:pict>
          <v:shape style="position:absolute;margin-left:70.559998pt;margin-top:7.3195pt;width:650.9pt;height:.1pt;mso-position-horizontal-relative:page;mso-position-vertical-relative:paragraph;z-index:-251590656;mso-wrap-distance-left:0;mso-wrap-distance-right:0" coordorigin="1411,146" coordsize="13018,0" path="m1411,146l14429,146e" filled="false" stroked="true" strokeweight=".481pt" strokecolor="#d9d9d9">
            <v:path arrowok="t"/>
            <v:stroke dashstyle="solid"/>
            <w10:wrap type="topAndBottom"/>
          </v:shape>
        </w:pict>
      </w:r>
    </w:p>
    <w:p>
      <w:pPr>
        <w:spacing w:after="0"/>
        <w:rPr>
          <w:sz w:val="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2"/>
        <w:gridCol w:w="2748"/>
        <w:gridCol w:w="1409"/>
        <w:gridCol w:w="2895"/>
        <w:gridCol w:w="2458"/>
      </w:tblGrid>
      <w:tr>
        <w:trPr>
          <w:trHeight w:val="1465" w:hRule="atLeast"/>
        </w:trPr>
        <w:tc>
          <w:tcPr>
            <w:tcW w:w="3432" w:type="dxa"/>
            <w:tcBorders>
              <w:bottom w:val="single" w:sz="18" w:space="0" w:color="4E8542"/>
            </w:tcBorders>
          </w:tcPr>
          <w:p>
            <w:pPr>
              <w:pStyle w:val="TableParagraph"/>
              <w:spacing w:line="292" w:lineRule="exact"/>
              <w:ind w:left="232"/>
              <w:rPr>
                <w:b/>
                <w:sz w:val="24"/>
              </w:rPr>
            </w:pPr>
            <w:r>
              <w:rPr>
                <w:b/>
                <w:sz w:val="24"/>
              </w:rPr>
              <w:t>Characteristics/Requirements</w:t>
            </w:r>
          </w:p>
        </w:tc>
        <w:tc>
          <w:tcPr>
            <w:tcW w:w="2748" w:type="dxa"/>
            <w:tcBorders>
              <w:bottom w:val="single" w:sz="18" w:space="0" w:color="4E8542"/>
            </w:tcBorders>
          </w:tcPr>
          <w:p>
            <w:pPr>
              <w:pStyle w:val="TableParagraph"/>
              <w:ind w:left="169" w:right="149" w:hanging="2"/>
              <w:jc w:val="center"/>
              <w:rPr>
                <w:b/>
                <w:sz w:val="24"/>
              </w:rPr>
            </w:pPr>
            <w:r>
              <w:rPr>
                <w:b/>
                <w:sz w:val="24"/>
              </w:rPr>
              <w:t>Licensed Staffed Residential, Child Foster Home, and Group Care Facilities</w:t>
            </w:r>
          </w:p>
          <w:p>
            <w:pPr>
              <w:pStyle w:val="TableParagraph"/>
              <w:spacing w:line="272" w:lineRule="exact" w:before="1"/>
              <w:ind w:left="539" w:right="519"/>
              <w:jc w:val="center"/>
              <w:rPr>
                <w:b/>
                <w:sz w:val="24"/>
              </w:rPr>
            </w:pPr>
            <w:r>
              <w:rPr>
                <w:b/>
                <w:sz w:val="24"/>
              </w:rPr>
              <w:t>State Evaluation</w:t>
            </w:r>
          </w:p>
        </w:tc>
        <w:tc>
          <w:tcPr>
            <w:tcW w:w="1409" w:type="dxa"/>
            <w:tcBorders>
              <w:bottom w:val="single" w:sz="18" w:space="0" w:color="4E8542"/>
            </w:tcBorders>
          </w:tcPr>
          <w:p>
            <w:pPr>
              <w:pStyle w:val="TableParagraph"/>
              <w:ind w:left="446" w:right="83" w:hanging="327"/>
              <w:rPr>
                <w:b/>
                <w:sz w:val="24"/>
              </w:rPr>
            </w:pPr>
            <w:r>
              <w:rPr>
                <w:b/>
                <w:sz w:val="24"/>
              </w:rPr>
              <w:t>Compliance Level</w:t>
            </w:r>
          </w:p>
        </w:tc>
        <w:tc>
          <w:tcPr>
            <w:tcW w:w="2895" w:type="dxa"/>
            <w:tcBorders>
              <w:bottom w:val="single" w:sz="18" w:space="0" w:color="4E8542"/>
            </w:tcBorders>
          </w:tcPr>
          <w:p>
            <w:pPr>
              <w:pStyle w:val="TableParagraph"/>
              <w:spacing w:line="292" w:lineRule="exact"/>
              <w:ind w:left="561"/>
              <w:rPr>
                <w:b/>
                <w:sz w:val="24"/>
              </w:rPr>
            </w:pPr>
            <w:r>
              <w:rPr>
                <w:b/>
                <w:sz w:val="24"/>
              </w:rPr>
              <w:t>Oversight Process</w:t>
            </w:r>
          </w:p>
        </w:tc>
        <w:tc>
          <w:tcPr>
            <w:tcW w:w="2458" w:type="dxa"/>
            <w:tcBorders>
              <w:bottom w:val="single" w:sz="18" w:space="0" w:color="4E8542"/>
            </w:tcBorders>
          </w:tcPr>
          <w:p>
            <w:pPr>
              <w:pStyle w:val="TableParagraph"/>
              <w:spacing w:line="292" w:lineRule="exact"/>
              <w:ind w:left="586"/>
              <w:rPr>
                <w:b/>
                <w:sz w:val="24"/>
              </w:rPr>
            </w:pPr>
            <w:r>
              <w:rPr>
                <w:b/>
                <w:sz w:val="24"/>
              </w:rPr>
              <w:t>Remediation</w:t>
            </w:r>
          </w:p>
        </w:tc>
      </w:tr>
      <w:tr>
        <w:trPr>
          <w:trHeight w:val="6152" w:hRule="atLeast"/>
        </w:trPr>
        <w:tc>
          <w:tcPr>
            <w:tcW w:w="3432" w:type="dxa"/>
            <w:tcBorders>
              <w:top w:val="single" w:sz="18" w:space="0" w:color="4E8542"/>
            </w:tcBorders>
          </w:tcPr>
          <w:p>
            <w:pPr>
              <w:pStyle w:val="TableParagraph"/>
              <w:rPr>
                <w:rFonts w:ascii="Times New Roman"/>
                <w:sz w:val="22"/>
              </w:rPr>
            </w:pPr>
          </w:p>
        </w:tc>
        <w:tc>
          <w:tcPr>
            <w:tcW w:w="2748" w:type="dxa"/>
            <w:tcBorders>
              <w:top w:val="single" w:sz="18" w:space="0" w:color="4E8542"/>
            </w:tcBorders>
          </w:tcPr>
          <w:p>
            <w:pPr>
              <w:pStyle w:val="TableParagraph"/>
              <w:rPr>
                <w:b/>
                <w:sz w:val="26"/>
              </w:rPr>
            </w:pPr>
          </w:p>
          <w:p>
            <w:pPr>
              <w:pStyle w:val="TableParagraph"/>
              <w:ind w:left="107" w:right="201"/>
              <w:rPr>
                <w:sz w:val="22"/>
              </w:rPr>
            </w:pPr>
            <w:r>
              <w:rPr>
                <w:sz w:val="22"/>
              </w:rPr>
              <w:t>As part of the person centered service planning process, participants are provided with options that meet their physical accessibility requirements. If a participant’s needs change regarding accessibility, the case manager works with the resident and facility to accommodate the resident’s needs. As a part of the inspection process, licensors also look at residents and their assessments to make sure the setting, including physical plant requirements, is meeting their needs.</w:t>
            </w:r>
          </w:p>
        </w:tc>
        <w:tc>
          <w:tcPr>
            <w:tcW w:w="1409" w:type="dxa"/>
            <w:tcBorders>
              <w:top w:val="single" w:sz="18" w:space="0" w:color="4E8542"/>
            </w:tcBorders>
          </w:tcPr>
          <w:p>
            <w:pPr>
              <w:pStyle w:val="TableParagraph"/>
              <w:rPr>
                <w:rFonts w:ascii="Times New Roman"/>
                <w:sz w:val="22"/>
              </w:rPr>
            </w:pPr>
          </w:p>
        </w:tc>
        <w:tc>
          <w:tcPr>
            <w:tcW w:w="2895" w:type="dxa"/>
            <w:tcBorders>
              <w:top w:val="single" w:sz="18" w:space="0" w:color="4E8542"/>
            </w:tcBorders>
          </w:tcPr>
          <w:p>
            <w:pPr>
              <w:pStyle w:val="TableParagraph"/>
              <w:spacing w:line="243" w:lineRule="exact"/>
              <w:ind w:left="107"/>
              <w:rPr>
                <w:sz w:val="22"/>
              </w:rPr>
            </w:pPr>
            <w:r>
              <w:rPr>
                <w:sz w:val="22"/>
              </w:rPr>
              <w:t>Resources (DLR) licenses each</w:t>
            </w:r>
          </w:p>
          <w:p>
            <w:pPr>
              <w:pStyle w:val="TableParagraph"/>
              <w:ind w:left="107" w:right="112"/>
              <w:rPr>
                <w:sz w:val="22"/>
              </w:rPr>
            </w:pPr>
            <w:r>
              <w:rPr>
                <w:sz w:val="22"/>
              </w:rPr>
              <w:t>of these settings. Licenses do not exceed 3 years. DLR and Child Protective Services (CPS) investigate complaints. Annual evaluations of Licensed Staffed Residential facilities are conducted by DDA Quality Assurance Managers or Performance Quality Improvement staff utilizing Children’s Staffed Residential Quality Assurance Assessment tool and applying the same standards as utilized for supported living to ensure HCBS</w:t>
            </w:r>
            <w:r>
              <w:rPr>
                <w:spacing w:val="-5"/>
                <w:sz w:val="22"/>
              </w:rPr>
              <w:t> </w:t>
            </w:r>
            <w:r>
              <w:rPr>
                <w:sz w:val="22"/>
              </w:rPr>
              <w:t>standards.</w:t>
            </w:r>
          </w:p>
          <w:p>
            <w:pPr>
              <w:pStyle w:val="TableParagraph"/>
              <w:spacing w:before="11"/>
              <w:rPr>
                <w:b/>
                <w:sz w:val="21"/>
              </w:rPr>
            </w:pPr>
          </w:p>
          <w:p>
            <w:pPr>
              <w:pStyle w:val="TableParagraph"/>
              <w:spacing w:before="1"/>
              <w:ind w:left="107" w:right="160"/>
              <w:rPr>
                <w:sz w:val="22"/>
              </w:rPr>
            </w:pPr>
            <w:r>
              <w:rPr>
                <w:sz w:val="22"/>
              </w:rPr>
              <w:t>On-site inspections ensure homes meet all licensing and certification requirements in WAC and RCW, including</w:t>
            </w:r>
          </w:p>
          <w:p>
            <w:pPr>
              <w:pStyle w:val="TableParagraph"/>
              <w:spacing w:line="249" w:lineRule="exact" w:before="1"/>
              <w:ind w:left="107"/>
              <w:rPr>
                <w:sz w:val="22"/>
              </w:rPr>
            </w:pPr>
            <w:r>
              <w:rPr>
                <w:sz w:val="22"/>
              </w:rPr>
              <w:t>WAC 388-823-1095.</w:t>
            </w:r>
          </w:p>
        </w:tc>
        <w:tc>
          <w:tcPr>
            <w:tcW w:w="2458" w:type="dxa"/>
            <w:tcBorders>
              <w:top w:val="single" w:sz="18" w:space="0" w:color="4E8542"/>
            </w:tcBorders>
          </w:tcPr>
          <w:p>
            <w:pPr>
              <w:pStyle w:val="TableParagraph"/>
              <w:spacing w:line="243" w:lineRule="exact"/>
              <w:ind w:left="106"/>
              <w:jc w:val="both"/>
              <w:rPr>
                <w:sz w:val="22"/>
              </w:rPr>
            </w:pPr>
            <w:r>
              <w:rPr>
                <w:sz w:val="22"/>
              </w:rPr>
              <w:t>listed in the HCBS rules</w:t>
            </w:r>
          </w:p>
          <w:p>
            <w:pPr>
              <w:pStyle w:val="TableParagraph"/>
              <w:ind w:left="106" w:right="237"/>
              <w:jc w:val="both"/>
              <w:rPr>
                <w:sz w:val="22"/>
              </w:rPr>
            </w:pPr>
            <w:r>
              <w:rPr>
                <w:sz w:val="22"/>
              </w:rPr>
              <w:t>and adding language to the contracts requiring adherence to the WAC. See </w:t>
            </w:r>
            <w:r>
              <w:rPr>
                <w:color w:val="6B9F24"/>
                <w:sz w:val="22"/>
                <w:u w:val="single" w:color="6B9F24"/>
              </w:rPr>
              <w:t>Appendix C</w:t>
            </w:r>
            <w:r>
              <w:rPr>
                <w:sz w:val="22"/>
              </w:rPr>
              <w:t>.</w:t>
            </w:r>
          </w:p>
        </w:tc>
      </w:tr>
      <w:tr>
        <w:trPr>
          <w:trHeight w:val="1343" w:hRule="atLeast"/>
        </w:trPr>
        <w:tc>
          <w:tcPr>
            <w:tcW w:w="3432" w:type="dxa"/>
            <w:shd w:val="clear" w:color="auto" w:fill="D0E4CA"/>
          </w:tcPr>
          <w:p>
            <w:pPr>
              <w:pStyle w:val="TableParagraph"/>
              <w:ind w:left="107" w:right="340"/>
              <w:rPr>
                <w:b/>
                <w:sz w:val="22"/>
              </w:rPr>
            </w:pPr>
            <w:r>
              <w:rPr>
                <w:b/>
                <w:sz w:val="22"/>
              </w:rPr>
              <w:t>The setting that is located in a building that is also a publicly or privately -operated facility that provides inpatient institutional</w:t>
            </w:r>
          </w:p>
          <w:p>
            <w:pPr>
              <w:pStyle w:val="TableParagraph"/>
              <w:spacing w:line="250" w:lineRule="exact"/>
              <w:ind w:left="107"/>
              <w:rPr>
                <w:b/>
                <w:sz w:val="22"/>
              </w:rPr>
            </w:pPr>
            <w:r>
              <w:rPr>
                <w:b/>
                <w:sz w:val="22"/>
              </w:rPr>
              <w:t>treatment, or in a building on the</w:t>
            </w:r>
          </w:p>
        </w:tc>
        <w:tc>
          <w:tcPr>
            <w:tcW w:w="2748" w:type="dxa"/>
            <w:shd w:val="clear" w:color="auto" w:fill="D0E4CA"/>
          </w:tcPr>
          <w:p>
            <w:pPr>
              <w:pStyle w:val="TableParagraph"/>
              <w:ind w:left="107" w:right="132"/>
              <w:rPr>
                <w:sz w:val="22"/>
              </w:rPr>
            </w:pPr>
            <w:r>
              <w:rPr>
                <w:sz w:val="22"/>
              </w:rPr>
              <w:t>N/A – None are attached to institutions.</w:t>
            </w:r>
          </w:p>
        </w:tc>
        <w:tc>
          <w:tcPr>
            <w:tcW w:w="1409" w:type="dxa"/>
            <w:shd w:val="clear" w:color="auto" w:fill="D0E4CA"/>
          </w:tcPr>
          <w:p>
            <w:pPr>
              <w:pStyle w:val="TableParagraph"/>
              <w:ind w:left="107" w:right="341"/>
              <w:rPr>
                <w:sz w:val="22"/>
              </w:rPr>
            </w:pPr>
            <w:r>
              <w:rPr>
                <w:sz w:val="22"/>
              </w:rPr>
              <w:t>Fully Compliant</w:t>
            </w:r>
          </w:p>
        </w:tc>
        <w:tc>
          <w:tcPr>
            <w:tcW w:w="2895" w:type="dxa"/>
            <w:shd w:val="clear" w:color="auto" w:fill="D0E4CA"/>
          </w:tcPr>
          <w:p>
            <w:pPr>
              <w:pStyle w:val="TableParagraph"/>
              <w:rPr>
                <w:rFonts w:ascii="Times New Roman"/>
                <w:sz w:val="22"/>
              </w:rPr>
            </w:pPr>
          </w:p>
        </w:tc>
        <w:tc>
          <w:tcPr>
            <w:tcW w:w="2458" w:type="dxa"/>
            <w:shd w:val="clear" w:color="auto" w:fill="D0E4CA"/>
          </w:tcPr>
          <w:p>
            <w:pPr>
              <w:pStyle w:val="TableParagraph"/>
              <w:rPr>
                <w:rFonts w:ascii="Times New Roman"/>
                <w:sz w:val="22"/>
              </w:rPr>
            </w:pPr>
          </w:p>
        </w:tc>
      </w:tr>
    </w:tbl>
    <w:p>
      <w:pPr>
        <w:pStyle w:val="BodyText"/>
        <w:spacing w:before="11"/>
        <w:rPr>
          <w:b/>
          <w:sz w:val="9"/>
        </w:rPr>
      </w:pPr>
      <w:r>
        <w:rPr/>
        <w:pict>
          <v:shape style="position:absolute;margin-left:70.559998pt;margin-top:8.2795pt;width:650.9pt;height:.1pt;mso-position-horizontal-relative:page;mso-position-vertical-relative:paragraph;z-index:-251589632;mso-wrap-distance-left:0;mso-wrap-distance-right:0" coordorigin="1411,166" coordsize="13018,0" path="m1411,166l14429,166e" filled="false" stroked="true" strokeweight=".481pt" strokecolor="#d9d9d9">
            <v:path arrowok="t"/>
            <v:stroke dashstyle="solid"/>
            <w10:wrap type="topAndBottom"/>
          </v:shape>
        </w:pict>
      </w:r>
    </w:p>
    <w:p>
      <w:pPr>
        <w:spacing w:after="0"/>
        <w:rPr>
          <w:sz w:val="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32"/>
        <w:gridCol w:w="2748"/>
        <w:gridCol w:w="1409"/>
        <w:gridCol w:w="2895"/>
        <w:gridCol w:w="2458"/>
      </w:tblGrid>
      <w:tr>
        <w:trPr>
          <w:trHeight w:val="1465" w:hRule="atLeast"/>
        </w:trPr>
        <w:tc>
          <w:tcPr>
            <w:tcW w:w="3432" w:type="dxa"/>
            <w:tcBorders>
              <w:bottom w:val="single" w:sz="18" w:space="0" w:color="4E8542"/>
            </w:tcBorders>
          </w:tcPr>
          <w:p>
            <w:pPr>
              <w:pStyle w:val="TableParagraph"/>
              <w:spacing w:line="292" w:lineRule="exact"/>
              <w:ind w:left="232"/>
              <w:rPr>
                <w:b/>
                <w:sz w:val="24"/>
              </w:rPr>
            </w:pPr>
            <w:r>
              <w:rPr>
                <w:b/>
                <w:sz w:val="24"/>
              </w:rPr>
              <w:t>Characteristics/Requirements</w:t>
            </w:r>
          </w:p>
        </w:tc>
        <w:tc>
          <w:tcPr>
            <w:tcW w:w="2748" w:type="dxa"/>
            <w:tcBorders>
              <w:bottom w:val="single" w:sz="18" w:space="0" w:color="4E8542"/>
            </w:tcBorders>
          </w:tcPr>
          <w:p>
            <w:pPr>
              <w:pStyle w:val="TableParagraph"/>
              <w:ind w:left="169" w:right="149" w:hanging="2"/>
              <w:jc w:val="center"/>
              <w:rPr>
                <w:b/>
                <w:sz w:val="24"/>
              </w:rPr>
            </w:pPr>
            <w:r>
              <w:rPr>
                <w:b/>
                <w:sz w:val="24"/>
              </w:rPr>
              <w:t>Licensed Staffed Residential, Child Foster Home, and Group Care Facilities</w:t>
            </w:r>
          </w:p>
          <w:p>
            <w:pPr>
              <w:pStyle w:val="TableParagraph"/>
              <w:spacing w:line="272" w:lineRule="exact" w:before="1"/>
              <w:ind w:left="539" w:right="519"/>
              <w:jc w:val="center"/>
              <w:rPr>
                <w:b/>
                <w:sz w:val="24"/>
              </w:rPr>
            </w:pPr>
            <w:r>
              <w:rPr>
                <w:b/>
                <w:sz w:val="24"/>
              </w:rPr>
              <w:t>State Evaluation</w:t>
            </w:r>
          </w:p>
        </w:tc>
        <w:tc>
          <w:tcPr>
            <w:tcW w:w="1409" w:type="dxa"/>
            <w:tcBorders>
              <w:bottom w:val="single" w:sz="18" w:space="0" w:color="4E8542"/>
            </w:tcBorders>
          </w:tcPr>
          <w:p>
            <w:pPr>
              <w:pStyle w:val="TableParagraph"/>
              <w:ind w:left="446" w:right="83" w:hanging="327"/>
              <w:rPr>
                <w:b/>
                <w:sz w:val="24"/>
              </w:rPr>
            </w:pPr>
            <w:r>
              <w:rPr>
                <w:b/>
                <w:sz w:val="24"/>
              </w:rPr>
              <w:t>Compliance Level</w:t>
            </w:r>
          </w:p>
        </w:tc>
        <w:tc>
          <w:tcPr>
            <w:tcW w:w="2895" w:type="dxa"/>
            <w:tcBorders>
              <w:bottom w:val="single" w:sz="18" w:space="0" w:color="4E8542"/>
            </w:tcBorders>
          </w:tcPr>
          <w:p>
            <w:pPr>
              <w:pStyle w:val="TableParagraph"/>
              <w:spacing w:line="292" w:lineRule="exact"/>
              <w:ind w:left="561"/>
              <w:rPr>
                <w:b/>
                <w:sz w:val="24"/>
              </w:rPr>
            </w:pPr>
            <w:r>
              <w:rPr>
                <w:b/>
                <w:sz w:val="24"/>
              </w:rPr>
              <w:t>Oversight Process</w:t>
            </w:r>
          </w:p>
        </w:tc>
        <w:tc>
          <w:tcPr>
            <w:tcW w:w="2458" w:type="dxa"/>
            <w:tcBorders>
              <w:bottom w:val="single" w:sz="18" w:space="0" w:color="4E8542"/>
            </w:tcBorders>
          </w:tcPr>
          <w:p>
            <w:pPr>
              <w:pStyle w:val="TableParagraph"/>
              <w:spacing w:line="292" w:lineRule="exact"/>
              <w:ind w:left="586"/>
              <w:rPr>
                <w:b/>
                <w:sz w:val="24"/>
              </w:rPr>
            </w:pPr>
            <w:r>
              <w:rPr>
                <w:b/>
                <w:sz w:val="24"/>
              </w:rPr>
              <w:t>Remediation</w:t>
            </w:r>
          </w:p>
        </w:tc>
      </w:tr>
      <w:tr>
        <w:trPr>
          <w:trHeight w:val="1856" w:hRule="atLeast"/>
        </w:trPr>
        <w:tc>
          <w:tcPr>
            <w:tcW w:w="3432" w:type="dxa"/>
            <w:tcBorders>
              <w:top w:val="single" w:sz="18" w:space="0" w:color="4E8542"/>
            </w:tcBorders>
            <w:shd w:val="clear" w:color="auto" w:fill="D0E4CA"/>
          </w:tcPr>
          <w:p>
            <w:pPr>
              <w:pStyle w:val="TableParagraph"/>
              <w:spacing w:line="243" w:lineRule="exact"/>
              <w:ind w:left="107"/>
              <w:rPr>
                <w:b/>
                <w:sz w:val="22"/>
              </w:rPr>
            </w:pPr>
            <w:r>
              <w:rPr>
                <w:b/>
                <w:sz w:val="22"/>
              </w:rPr>
              <w:t>grounds of, or immediately</w:t>
            </w:r>
          </w:p>
          <w:p>
            <w:pPr>
              <w:pStyle w:val="TableParagraph"/>
              <w:ind w:left="107" w:right="129"/>
              <w:rPr>
                <w:b/>
                <w:sz w:val="22"/>
              </w:rPr>
            </w:pPr>
            <w:r>
              <w:rPr>
                <w:b/>
                <w:sz w:val="22"/>
              </w:rPr>
              <w:t>adjacent to, a public institution, or any other setting that has the effect of isolating individuals receiving Medicaid HCBS from the broader community of individuals</w:t>
            </w:r>
          </w:p>
          <w:p>
            <w:pPr>
              <w:pStyle w:val="TableParagraph"/>
              <w:spacing w:line="250" w:lineRule="exact"/>
              <w:ind w:left="107"/>
              <w:rPr>
                <w:b/>
                <w:sz w:val="22"/>
              </w:rPr>
            </w:pPr>
            <w:r>
              <w:rPr>
                <w:b/>
                <w:sz w:val="22"/>
              </w:rPr>
              <w:t>not receiving HCBS.</w:t>
            </w:r>
          </w:p>
        </w:tc>
        <w:tc>
          <w:tcPr>
            <w:tcW w:w="2748" w:type="dxa"/>
            <w:tcBorders>
              <w:top w:val="single" w:sz="18" w:space="0" w:color="4E8542"/>
            </w:tcBorders>
            <w:shd w:val="clear" w:color="auto" w:fill="D0E4CA"/>
          </w:tcPr>
          <w:p>
            <w:pPr>
              <w:pStyle w:val="TableParagraph"/>
              <w:rPr>
                <w:rFonts w:ascii="Times New Roman"/>
                <w:sz w:val="22"/>
              </w:rPr>
            </w:pPr>
          </w:p>
        </w:tc>
        <w:tc>
          <w:tcPr>
            <w:tcW w:w="1409" w:type="dxa"/>
            <w:tcBorders>
              <w:top w:val="single" w:sz="18" w:space="0" w:color="4E8542"/>
            </w:tcBorders>
            <w:shd w:val="clear" w:color="auto" w:fill="D0E4CA"/>
          </w:tcPr>
          <w:p>
            <w:pPr>
              <w:pStyle w:val="TableParagraph"/>
              <w:rPr>
                <w:rFonts w:ascii="Times New Roman"/>
                <w:sz w:val="22"/>
              </w:rPr>
            </w:pPr>
          </w:p>
        </w:tc>
        <w:tc>
          <w:tcPr>
            <w:tcW w:w="2895" w:type="dxa"/>
            <w:tcBorders>
              <w:top w:val="single" w:sz="18" w:space="0" w:color="4E8542"/>
            </w:tcBorders>
            <w:shd w:val="clear" w:color="auto" w:fill="D0E4CA"/>
          </w:tcPr>
          <w:p>
            <w:pPr>
              <w:pStyle w:val="TableParagraph"/>
              <w:rPr>
                <w:rFonts w:ascii="Times New Roman"/>
                <w:sz w:val="22"/>
              </w:rPr>
            </w:pPr>
          </w:p>
        </w:tc>
        <w:tc>
          <w:tcPr>
            <w:tcW w:w="2458" w:type="dxa"/>
            <w:tcBorders>
              <w:top w:val="single" w:sz="18" w:space="0" w:color="4E8542"/>
            </w:tcBorders>
            <w:shd w:val="clear" w:color="auto" w:fill="D0E4CA"/>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3"/>
        </w:rPr>
      </w:pPr>
      <w:r>
        <w:rPr/>
        <w:pict>
          <v:shape style="position:absolute;margin-left:70.559998pt;margin-top:10.477781pt;width:650.9pt;height:.1pt;mso-position-horizontal-relative:page;mso-position-vertical-relative:paragraph;z-index:-251588608;mso-wrap-distance-left:0;mso-wrap-distance-right:0" coordorigin="1411,210" coordsize="13018,0" path="m1411,210l14429,210e" filled="false" stroked="true" strokeweight=".481pt" strokecolor="#d9d9d9">
            <v:path arrowok="t"/>
            <v:stroke dashstyle="solid"/>
            <w10:wrap type="topAndBottom"/>
          </v:shape>
        </w:pict>
      </w:r>
    </w:p>
    <w:p>
      <w:pPr>
        <w:spacing w:after="0"/>
        <w:rPr>
          <w:sz w:val="13"/>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1" w:right="2957" w:firstLine="0"/>
        <w:jc w:val="center"/>
        <w:rPr>
          <w:b/>
          <w:sz w:val="28"/>
        </w:rPr>
      </w:pPr>
      <w:bookmarkStart w:name="DDA Individual Supported Employment" w:id="55"/>
      <w:bookmarkEnd w:id="55"/>
      <w:r>
        <w:rPr/>
      </w:r>
      <w:bookmarkStart w:name="_bookmark24" w:id="56"/>
      <w:bookmarkEnd w:id="56"/>
      <w:r>
        <w:rPr/>
      </w:r>
      <w:r>
        <w:rPr>
          <w:b/>
          <w:sz w:val="28"/>
        </w:rPr>
        <w:t>DDA Individual Supported Employment</w:t>
      </w:r>
    </w:p>
    <w:p>
      <w:pPr>
        <w:pStyle w:val="BodyText"/>
        <w:spacing w:before="2"/>
        <w:rPr>
          <w:b/>
          <w:sz w:val="29"/>
        </w:rPr>
      </w:pPr>
    </w:p>
    <w:p>
      <w:pPr>
        <w:pStyle w:val="BodyText"/>
        <w:spacing w:line="276" w:lineRule="auto"/>
        <w:ind w:left="1059" w:right="1135"/>
      </w:pPr>
      <w:r>
        <w:rPr/>
        <w:t>Setting Description: DDA’s Individual Supported Employment services includes activities needed to gain and sustain minimum wage or higher paid employment and include intake, discovery, job preparation, marketing, job coaching, and job retention. Provider settings are located in integrated employment settings within the community, in business and in industry.</w:t>
      </w:r>
    </w:p>
    <w:p>
      <w:pPr>
        <w:pStyle w:val="BodyText"/>
        <w:spacing w:before="4"/>
        <w:rPr>
          <w:sz w:val="25"/>
        </w:rPr>
      </w:pPr>
    </w:p>
    <w:p>
      <w:pPr>
        <w:pStyle w:val="BodyText"/>
        <w:ind w:left="1059"/>
      </w:pPr>
      <w:r>
        <w:rPr/>
        <w:t>Number of Individuals Served: 5,853 at approximately 5,853 sites</w:t>
      </w:r>
    </w:p>
    <w:p>
      <w:pPr>
        <w:pStyle w:val="BodyText"/>
        <w:spacing w:before="9"/>
        <w:rPr>
          <w:sz w:val="28"/>
        </w:rPr>
      </w:pPr>
    </w:p>
    <w:p>
      <w:pPr>
        <w:spacing w:before="0" w:after="44"/>
        <w:ind w:left="2919" w:right="2957" w:firstLine="0"/>
        <w:jc w:val="center"/>
        <w:rPr>
          <w:b/>
          <w:sz w:val="24"/>
        </w:rPr>
      </w:pPr>
      <w:r>
        <w:rPr>
          <w:b/>
          <w:sz w:val="24"/>
        </w:rPr>
        <w:t>Characteristics/Requirements</w:t>
      </w: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22"/>
        <w:gridCol w:w="2858"/>
        <w:gridCol w:w="1408"/>
        <w:gridCol w:w="2819"/>
        <w:gridCol w:w="2430"/>
      </w:tblGrid>
      <w:tr>
        <w:trPr>
          <w:trHeight w:val="877" w:hRule="atLeast"/>
        </w:trPr>
        <w:tc>
          <w:tcPr>
            <w:tcW w:w="3422" w:type="dxa"/>
            <w:tcBorders>
              <w:bottom w:val="single" w:sz="18" w:space="0" w:color="4E8542"/>
            </w:tcBorders>
          </w:tcPr>
          <w:p>
            <w:pPr>
              <w:pStyle w:val="TableParagraph"/>
              <w:spacing w:line="292" w:lineRule="exact"/>
              <w:ind w:left="225"/>
              <w:rPr>
                <w:b/>
                <w:sz w:val="24"/>
              </w:rPr>
            </w:pPr>
            <w:r>
              <w:rPr>
                <w:b/>
                <w:sz w:val="24"/>
              </w:rPr>
              <w:t>Characteristics/Requirements</w:t>
            </w:r>
          </w:p>
        </w:tc>
        <w:tc>
          <w:tcPr>
            <w:tcW w:w="2858" w:type="dxa"/>
            <w:tcBorders>
              <w:bottom w:val="single" w:sz="18" w:space="0" w:color="4E8542"/>
            </w:tcBorders>
          </w:tcPr>
          <w:p>
            <w:pPr>
              <w:pStyle w:val="TableParagraph"/>
              <w:ind w:left="132" w:right="112"/>
              <w:jc w:val="center"/>
              <w:rPr>
                <w:b/>
                <w:sz w:val="24"/>
              </w:rPr>
            </w:pPr>
            <w:r>
              <w:rPr>
                <w:b/>
                <w:sz w:val="24"/>
              </w:rPr>
              <w:t>DDA Individual Supported Employment</w:t>
            </w:r>
          </w:p>
          <w:p>
            <w:pPr>
              <w:pStyle w:val="TableParagraph"/>
              <w:spacing w:line="272" w:lineRule="exact"/>
              <w:ind w:left="132" w:right="111"/>
              <w:jc w:val="center"/>
              <w:rPr>
                <w:b/>
                <w:sz w:val="24"/>
              </w:rPr>
            </w:pPr>
            <w:r>
              <w:rPr>
                <w:b/>
                <w:sz w:val="24"/>
              </w:rPr>
              <w:t>State Evaluation</w:t>
            </w:r>
          </w:p>
        </w:tc>
        <w:tc>
          <w:tcPr>
            <w:tcW w:w="1408" w:type="dxa"/>
            <w:tcBorders>
              <w:bottom w:val="single" w:sz="18" w:space="0" w:color="4E8542"/>
            </w:tcBorders>
          </w:tcPr>
          <w:p>
            <w:pPr>
              <w:pStyle w:val="TableParagraph"/>
              <w:ind w:left="446" w:right="82" w:hanging="327"/>
              <w:rPr>
                <w:b/>
                <w:sz w:val="24"/>
              </w:rPr>
            </w:pPr>
            <w:r>
              <w:rPr>
                <w:b/>
                <w:sz w:val="24"/>
              </w:rPr>
              <w:t>Compliance Level</w:t>
            </w:r>
          </w:p>
        </w:tc>
        <w:tc>
          <w:tcPr>
            <w:tcW w:w="2819" w:type="dxa"/>
            <w:tcBorders>
              <w:bottom w:val="single" w:sz="18" w:space="0" w:color="4E8542"/>
            </w:tcBorders>
          </w:tcPr>
          <w:p>
            <w:pPr>
              <w:pStyle w:val="TableParagraph"/>
              <w:spacing w:line="292" w:lineRule="exact"/>
              <w:ind w:left="524"/>
              <w:rPr>
                <w:b/>
                <w:sz w:val="24"/>
              </w:rPr>
            </w:pPr>
            <w:r>
              <w:rPr>
                <w:b/>
                <w:sz w:val="24"/>
              </w:rPr>
              <w:t>Oversight Process</w:t>
            </w:r>
          </w:p>
        </w:tc>
        <w:tc>
          <w:tcPr>
            <w:tcW w:w="2430" w:type="dxa"/>
            <w:tcBorders>
              <w:bottom w:val="single" w:sz="18" w:space="0" w:color="4E8542"/>
            </w:tcBorders>
          </w:tcPr>
          <w:p>
            <w:pPr>
              <w:pStyle w:val="TableParagraph"/>
              <w:spacing w:line="292" w:lineRule="exact"/>
              <w:ind w:left="575"/>
              <w:rPr>
                <w:b/>
                <w:sz w:val="24"/>
              </w:rPr>
            </w:pPr>
            <w:r>
              <w:rPr>
                <w:b/>
                <w:sz w:val="24"/>
              </w:rPr>
              <w:t>Remediation</w:t>
            </w:r>
          </w:p>
        </w:tc>
      </w:tr>
      <w:tr>
        <w:trPr>
          <w:trHeight w:val="5105" w:hRule="atLeast"/>
        </w:trPr>
        <w:tc>
          <w:tcPr>
            <w:tcW w:w="3422" w:type="dxa"/>
            <w:tcBorders>
              <w:top w:val="single" w:sz="18" w:space="0" w:color="4E8542"/>
            </w:tcBorders>
            <w:shd w:val="clear" w:color="auto" w:fill="D0E4CA"/>
          </w:tcPr>
          <w:p>
            <w:pPr>
              <w:pStyle w:val="TableParagraph"/>
              <w:spacing w:before="1"/>
              <w:ind w:left="107" w:right="178"/>
              <w:rPr>
                <w:b/>
                <w:sz w:val="22"/>
              </w:rPr>
            </w:pPr>
            <w:r>
              <w:rPr>
                <w:b/>
                <w:sz w:val="22"/>
              </w:rPr>
              <w:t>The setting is integrated in, and facilitates the individual’s full access to, the greater community, including opportunities to seek employment and work in competitive integrated settings, engage in community life, control personal resources, and receive services in the community, in the same manner as individuals without disabilities</w:t>
            </w:r>
          </w:p>
        </w:tc>
        <w:tc>
          <w:tcPr>
            <w:tcW w:w="2858" w:type="dxa"/>
            <w:tcBorders>
              <w:top w:val="single" w:sz="18" w:space="0" w:color="4E8542"/>
            </w:tcBorders>
            <w:shd w:val="clear" w:color="auto" w:fill="D0E4CA"/>
          </w:tcPr>
          <w:p>
            <w:pPr>
              <w:pStyle w:val="TableParagraph"/>
              <w:spacing w:before="1"/>
              <w:ind w:left="108"/>
              <w:rPr>
                <w:sz w:val="22"/>
              </w:rPr>
            </w:pPr>
            <w:hyperlink r:id="rId86">
              <w:r>
                <w:rPr>
                  <w:color w:val="6B9F24"/>
                  <w:sz w:val="22"/>
                  <w:u w:val="single" w:color="6B9F24"/>
                </w:rPr>
                <w:t>RCW 71A.10.015</w:t>
              </w:r>
            </w:hyperlink>
          </w:p>
          <w:p>
            <w:pPr>
              <w:pStyle w:val="TableParagraph"/>
              <w:rPr>
                <w:b/>
                <w:sz w:val="22"/>
              </w:rPr>
            </w:pPr>
          </w:p>
          <w:p>
            <w:pPr>
              <w:pStyle w:val="TableParagraph"/>
              <w:ind w:left="108"/>
              <w:rPr>
                <w:sz w:val="22"/>
              </w:rPr>
            </w:pPr>
            <w:hyperlink r:id="rId87">
              <w:r>
                <w:rPr>
                  <w:color w:val="6B9F24"/>
                  <w:sz w:val="22"/>
                  <w:u w:val="single" w:color="6B9F24"/>
                </w:rPr>
                <w:t>WAC 388-845-2100</w:t>
              </w:r>
            </w:hyperlink>
            <w:r>
              <w:rPr>
                <w:sz w:val="22"/>
              </w:rPr>
              <w:t>(1)(a-f)</w:t>
            </w:r>
          </w:p>
          <w:p>
            <w:pPr>
              <w:pStyle w:val="TableParagraph"/>
              <w:ind w:left="108" w:right="108"/>
              <w:rPr>
                <w:sz w:val="22"/>
              </w:rPr>
            </w:pPr>
            <w:r>
              <w:rPr>
                <w:sz w:val="22"/>
              </w:rPr>
              <w:t>Individual supported employment services include activities needed to sustain minimum wage pay or higher. These services are conducted in integrated business environments and include intake, discovery, job preparation, job marketing, and job coaching and job retention.</w:t>
            </w:r>
          </w:p>
          <w:p>
            <w:pPr>
              <w:pStyle w:val="TableParagraph"/>
              <w:spacing w:before="1"/>
              <w:rPr>
                <w:b/>
                <w:sz w:val="22"/>
              </w:rPr>
            </w:pPr>
          </w:p>
          <w:p>
            <w:pPr>
              <w:pStyle w:val="TableParagraph"/>
              <w:ind w:left="108" w:right="476"/>
              <w:rPr>
                <w:sz w:val="22"/>
              </w:rPr>
            </w:pPr>
            <w:hyperlink r:id="rId88">
              <w:r>
                <w:rPr>
                  <w:color w:val="6B9F24"/>
                  <w:w w:val="100"/>
                  <w:sz w:val="22"/>
                  <w:u w:val="single" w:color="6B9F24"/>
                </w:rPr>
                <w:t> </w:t>
              </w:r>
              <w:r>
                <w:rPr>
                  <w:color w:val="6B9F24"/>
                  <w:sz w:val="22"/>
                  <w:u w:val="single" w:color="6B9F24"/>
                </w:rPr>
                <w:t>DDA Policy 4.11</w:t>
              </w:r>
              <w:r>
                <w:rPr>
                  <w:color w:val="6B9F24"/>
                  <w:sz w:val="22"/>
                </w:rPr>
                <w:t> </w:t>
              </w:r>
            </w:hyperlink>
            <w:r>
              <w:rPr>
                <w:sz w:val="22"/>
              </w:rPr>
              <w:t>County Services for Working Age Adults</w:t>
            </w:r>
          </w:p>
        </w:tc>
        <w:tc>
          <w:tcPr>
            <w:tcW w:w="1408" w:type="dxa"/>
            <w:tcBorders>
              <w:top w:val="single" w:sz="18" w:space="0" w:color="4E8542"/>
            </w:tcBorders>
            <w:shd w:val="clear" w:color="auto" w:fill="D0E4CA"/>
          </w:tcPr>
          <w:p>
            <w:pPr>
              <w:pStyle w:val="TableParagraph"/>
              <w:spacing w:before="1"/>
              <w:ind w:left="108" w:right="339"/>
              <w:rPr>
                <w:sz w:val="22"/>
              </w:rPr>
            </w:pPr>
            <w:r>
              <w:rPr>
                <w:sz w:val="22"/>
              </w:rPr>
              <w:t>Fully Compliant</w:t>
            </w:r>
          </w:p>
        </w:tc>
        <w:tc>
          <w:tcPr>
            <w:tcW w:w="2819" w:type="dxa"/>
            <w:tcBorders>
              <w:top w:val="single" w:sz="18" w:space="0" w:color="4E8542"/>
            </w:tcBorders>
            <w:shd w:val="clear" w:color="auto" w:fill="D0E4CA"/>
          </w:tcPr>
          <w:p>
            <w:pPr>
              <w:pStyle w:val="TableParagraph"/>
              <w:spacing w:before="1"/>
              <w:ind w:left="106" w:right="84"/>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 service providers at minimum once per biennium 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 providers submit monthly</w:t>
            </w:r>
          </w:p>
          <w:p>
            <w:pPr>
              <w:pStyle w:val="TableParagraph"/>
              <w:spacing w:line="251" w:lineRule="exact"/>
              <w:ind w:left="106"/>
              <w:rPr>
                <w:sz w:val="22"/>
              </w:rPr>
            </w:pPr>
            <w:r>
              <w:rPr>
                <w:sz w:val="22"/>
              </w:rPr>
              <w:t>outcome information to</w:t>
            </w:r>
          </w:p>
        </w:tc>
        <w:tc>
          <w:tcPr>
            <w:tcW w:w="2430" w:type="dxa"/>
            <w:tcBorders>
              <w:top w:val="single" w:sz="18" w:space="0" w:color="4E8542"/>
            </w:tcBorders>
            <w:shd w:val="clear" w:color="auto" w:fill="D0E4CA"/>
          </w:tcPr>
          <w:p>
            <w:pPr>
              <w:pStyle w:val="TableParagraph"/>
              <w:spacing w:before="1"/>
              <w:ind w:left="110" w:right="8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spacing w:before="7"/>
        <w:rPr>
          <w:b/>
          <w:sz w:val="18"/>
        </w:rPr>
      </w:pPr>
      <w:r>
        <w:rPr/>
        <w:pict>
          <v:shape style="position:absolute;margin-left:70.559998pt;margin-top:13.5595pt;width:650.9pt;height:.1pt;mso-position-horizontal-relative:page;mso-position-vertical-relative:paragraph;z-index:-251587584;mso-wrap-distance-left:0;mso-wrap-distance-right:0" coordorigin="1411,271" coordsize="13018,0" path="m1411,271l14429,271e" filled="false" stroked="true" strokeweight=".481pt" strokecolor="#d9d9d9">
            <v:path arrowok="t"/>
            <v:stroke dashstyle="solid"/>
            <w10:wrap type="topAndBottom"/>
          </v:shape>
        </w:pict>
      </w:r>
    </w:p>
    <w:p>
      <w:pPr>
        <w:spacing w:after="0"/>
        <w:rPr>
          <w:sz w:val="1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22"/>
        <w:gridCol w:w="2858"/>
        <w:gridCol w:w="1408"/>
        <w:gridCol w:w="2819"/>
        <w:gridCol w:w="2430"/>
      </w:tblGrid>
      <w:tr>
        <w:trPr>
          <w:trHeight w:val="879" w:hRule="atLeast"/>
        </w:trPr>
        <w:tc>
          <w:tcPr>
            <w:tcW w:w="3422" w:type="dxa"/>
            <w:tcBorders>
              <w:bottom w:val="single" w:sz="18" w:space="0" w:color="4E8542"/>
            </w:tcBorders>
          </w:tcPr>
          <w:p>
            <w:pPr>
              <w:pStyle w:val="TableParagraph"/>
              <w:spacing w:line="292" w:lineRule="exact"/>
              <w:ind w:left="225"/>
              <w:rPr>
                <w:b/>
                <w:sz w:val="24"/>
              </w:rPr>
            </w:pPr>
            <w:r>
              <w:rPr>
                <w:b/>
                <w:sz w:val="24"/>
              </w:rPr>
              <w:t>Characteristics/Requirements</w:t>
            </w:r>
          </w:p>
        </w:tc>
        <w:tc>
          <w:tcPr>
            <w:tcW w:w="2858" w:type="dxa"/>
            <w:tcBorders>
              <w:bottom w:val="single" w:sz="18" w:space="0" w:color="4E8542"/>
            </w:tcBorders>
          </w:tcPr>
          <w:p>
            <w:pPr>
              <w:pStyle w:val="TableParagraph"/>
              <w:ind w:left="132" w:right="112"/>
              <w:jc w:val="center"/>
              <w:rPr>
                <w:b/>
                <w:sz w:val="24"/>
              </w:rPr>
            </w:pPr>
            <w:r>
              <w:rPr>
                <w:b/>
                <w:sz w:val="24"/>
              </w:rPr>
              <w:t>DDA Individual Supported Employment</w:t>
            </w:r>
          </w:p>
          <w:p>
            <w:pPr>
              <w:pStyle w:val="TableParagraph"/>
              <w:spacing w:line="274" w:lineRule="exact"/>
              <w:ind w:left="132" w:right="111"/>
              <w:jc w:val="center"/>
              <w:rPr>
                <w:b/>
                <w:sz w:val="24"/>
              </w:rPr>
            </w:pPr>
            <w:r>
              <w:rPr>
                <w:b/>
                <w:sz w:val="24"/>
              </w:rPr>
              <w:t>State Evaluation</w:t>
            </w:r>
          </w:p>
        </w:tc>
        <w:tc>
          <w:tcPr>
            <w:tcW w:w="1408" w:type="dxa"/>
            <w:tcBorders>
              <w:bottom w:val="single" w:sz="18" w:space="0" w:color="4E8542"/>
            </w:tcBorders>
          </w:tcPr>
          <w:p>
            <w:pPr>
              <w:pStyle w:val="TableParagraph"/>
              <w:ind w:left="446" w:right="82" w:hanging="327"/>
              <w:rPr>
                <w:b/>
                <w:sz w:val="24"/>
              </w:rPr>
            </w:pPr>
            <w:r>
              <w:rPr>
                <w:b/>
                <w:sz w:val="24"/>
              </w:rPr>
              <w:t>Compliance Level</w:t>
            </w:r>
          </w:p>
        </w:tc>
        <w:tc>
          <w:tcPr>
            <w:tcW w:w="2819" w:type="dxa"/>
            <w:tcBorders>
              <w:bottom w:val="single" w:sz="18" w:space="0" w:color="4E8542"/>
            </w:tcBorders>
          </w:tcPr>
          <w:p>
            <w:pPr>
              <w:pStyle w:val="TableParagraph"/>
              <w:spacing w:line="292" w:lineRule="exact"/>
              <w:ind w:left="524"/>
              <w:rPr>
                <w:b/>
                <w:sz w:val="24"/>
              </w:rPr>
            </w:pPr>
            <w:r>
              <w:rPr>
                <w:b/>
                <w:sz w:val="24"/>
              </w:rPr>
              <w:t>Oversight Process</w:t>
            </w:r>
          </w:p>
        </w:tc>
        <w:tc>
          <w:tcPr>
            <w:tcW w:w="2430" w:type="dxa"/>
            <w:tcBorders>
              <w:bottom w:val="single" w:sz="18" w:space="0" w:color="4E8542"/>
            </w:tcBorders>
          </w:tcPr>
          <w:p>
            <w:pPr>
              <w:pStyle w:val="TableParagraph"/>
              <w:spacing w:line="292" w:lineRule="exact"/>
              <w:ind w:left="575"/>
              <w:rPr>
                <w:b/>
                <w:sz w:val="24"/>
              </w:rPr>
            </w:pPr>
            <w:r>
              <w:rPr>
                <w:b/>
                <w:sz w:val="24"/>
              </w:rPr>
              <w:t>Remediation</w:t>
            </w:r>
          </w:p>
        </w:tc>
      </w:tr>
      <w:tr>
        <w:trPr>
          <w:trHeight w:val="8067" w:hRule="atLeast"/>
        </w:trPr>
        <w:tc>
          <w:tcPr>
            <w:tcW w:w="3422" w:type="dxa"/>
            <w:tcBorders>
              <w:top w:val="single" w:sz="18" w:space="0" w:color="4E8542"/>
            </w:tcBorders>
            <w:shd w:val="clear" w:color="auto" w:fill="D0E4CA"/>
          </w:tcPr>
          <w:p>
            <w:pPr>
              <w:pStyle w:val="TableParagraph"/>
              <w:rPr>
                <w:rFonts w:ascii="Times New Roman"/>
                <w:sz w:val="22"/>
              </w:rPr>
            </w:pPr>
          </w:p>
        </w:tc>
        <w:tc>
          <w:tcPr>
            <w:tcW w:w="2858" w:type="dxa"/>
            <w:tcBorders>
              <w:top w:val="single" w:sz="18" w:space="0" w:color="4E8542"/>
            </w:tcBorders>
            <w:shd w:val="clear" w:color="auto" w:fill="D0E4CA"/>
          </w:tcPr>
          <w:p>
            <w:pPr>
              <w:pStyle w:val="TableParagraph"/>
              <w:spacing w:line="243" w:lineRule="exact"/>
              <w:ind w:left="108"/>
              <w:rPr>
                <w:sz w:val="22"/>
              </w:rPr>
            </w:pPr>
            <w:hyperlink r:id="rId89">
              <w:r>
                <w:rPr>
                  <w:color w:val="6B9F24"/>
                  <w:sz w:val="22"/>
                  <w:u w:val="single" w:color="6B9F24"/>
                </w:rPr>
                <w:t>County Guidelines</w:t>
              </w:r>
              <w:r>
                <w:rPr>
                  <w:color w:val="6B9F24"/>
                  <w:sz w:val="22"/>
                </w:rPr>
                <w:t> </w:t>
              </w:r>
            </w:hyperlink>
            <w:r>
              <w:rPr>
                <w:sz w:val="22"/>
              </w:rPr>
              <w:t>inform</w:t>
            </w:r>
          </w:p>
          <w:p>
            <w:pPr>
              <w:pStyle w:val="TableParagraph"/>
              <w:ind w:left="108" w:right="127"/>
              <w:rPr>
                <w:sz w:val="22"/>
              </w:rPr>
            </w:pPr>
            <w:r>
              <w:rPr>
                <w:sz w:val="22"/>
              </w:rPr>
              <w:t>and direct county services, including employment, to include the following benefits of quality living: power and choice, relationships, status/contribution, integration, competence and health and safety.</w:t>
            </w:r>
          </w:p>
          <w:p>
            <w:pPr>
              <w:pStyle w:val="TableParagraph"/>
              <w:rPr>
                <w:b/>
                <w:sz w:val="22"/>
              </w:rPr>
            </w:pPr>
          </w:p>
          <w:p>
            <w:pPr>
              <w:pStyle w:val="TableParagraph"/>
              <w:ind w:left="108" w:right="80"/>
              <w:rPr>
                <w:sz w:val="22"/>
              </w:rPr>
            </w:pPr>
            <w:r>
              <w:rPr>
                <w:sz w:val="22"/>
              </w:rPr>
              <w:t>The State has completed a review of state statutes and regulations regarding individual supported employment and determined that those laws are in alignment with the HCBS setting requirements.</w:t>
            </w:r>
          </w:p>
        </w:tc>
        <w:tc>
          <w:tcPr>
            <w:tcW w:w="1408" w:type="dxa"/>
            <w:tcBorders>
              <w:top w:val="single" w:sz="18" w:space="0" w:color="4E8542"/>
            </w:tcBorders>
            <w:shd w:val="clear" w:color="auto" w:fill="D0E4CA"/>
          </w:tcPr>
          <w:p>
            <w:pPr>
              <w:pStyle w:val="TableParagraph"/>
              <w:rPr>
                <w:rFonts w:ascii="Times New Roman"/>
                <w:sz w:val="22"/>
              </w:rPr>
            </w:pPr>
          </w:p>
        </w:tc>
        <w:tc>
          <w:tcPr>
            <w:tcW w:w="2819" w:type="dxa"/>
            <w:tcBorders>
              <w:top w:val="single" w:sz="18" w:space="0" w:color="4E8542"/>
            </w:tcBorders>
            <w:shd w:val="clear" w:color="auto" w:fill="D0E4CA"/>
          </w:tcPr>
          <w:p>
            <w:pPr>
              <w:pStyle w:val="TableParagraph"/>
              <w:spacing w:line="243" w:lineRule="exact"/>
              <w:ind w:left="106"/>
              <w:rPr>
                <w:sz w:val="22"/>
              </w:rPr>
            </w:pPr>
            <w:r>
              <w:rPr>
                <w:sz w:val="22"/>
              </w:rPr>
              <w:t>counties and progress</w:t>
            </w:r>
          </w:p>
          <w:p>
            <w:pPr>
              <w:pStyle w:val="TableParagraph"/>
              <w:ind w:left="106" w:right="73"/>
              <w:rPr>
                <w:sz w:val="22"/>
              </w:rPr>
            </w:pPr>
            <w:r>
              <w:rPr>
                <w:sz w:val="22"/>
              </w:rPr>
              <w:t>reports to each client’s case resource manager on a semi- annual basis.</w:t>
            </w:r>
          </w:p>
          <w:p>
            <w:pPr>
              <w:pStyle w:val="TableParagraph"/>
              <w:ind w:left="106" w:right="129"/>
              <w:rPr>
                <w:sz w:val="22"/>
              </w:rPr>
            </w:pPr>
            <w:r>
              <w:rPr>
                <w:sz w:val="22"/>
              </w:rPr>
              <w:t>Each county completes a 16- page self-assessment tool every other year which assists DDA to prioritize site visits. DDA uses the county self-assessment tool as one of several methods of identifying priorities for site visits. Other considerations include:</w:t>
            </w:r>
          </w:p>
          <w:p>
            <w:pPr>
              <w:pStyle w:val="TableParagraph"/>
              <w:numPr>
                <w:ilvl w:val="0"/>
                <w:numId w:val="9"/>
              </w:numPr>
              <w:tabs>
                <w:tab w:pos="466" w:val="left" w:leader="none"/>
                <w:tab w:pos="467" w:val="left" w:leader="none"/>
              </w:tabs>
              <w:spacing w:line="240" w:lineRule="auto" w:before="0" w:after="0"/>
              <w:ind w:left="466" w:right="0" w:hanging="361"/>
              <w:jc w:val="left"/>
              <w:rPr>
                <w:sz w:val="22"/>
              </w:rPr>
            </w:pPr>
            <w:r>
              <w:rPr>
                <w:sz w:val="22"/>
              </w:rPr>
              <w:t>If county is</w:t>
            </w:r>
            <w:r>
              <w:rPr>
                <w:spacing w:val="-1"/>
                <w:sz w:val="22"/>
              </w:rPr>
              <w:t> </w:t>
            </w:r>
            <w:r>
              <w:rPr>
                <w:sz w:val="22"/>
              </w:rPr>
              <w:t>provider;</w:t>
            </w:r>
          </w:p>
          <w:p>
            <w:pPr>
              <w:pStyle w:val="TableParagraph"/>
              <w:numPr>
                <w:ilvl w:val="0"/>
                <w:numId w:val="9"/>
              </w:numPr>
              <w:tabs>
                <w:tab w:pos="466" w:val="left" w:leader="none"/>
                <w:tab w:pos="467" w:val="left" w:leader="none"/>
              </w:tabs>
              <w:spacing w:line="240" w:lineRule="auto" w:before="0" w:after="0"/>
              <w:ind w:left="466" w:right="147" w:hanging="360"/>
              <w:jc w:val="left"/>
              <w:rPr>
                <w:sz w:val="22"/>
              </w:rPr>
            </w:pPr>
            <w:r>
              <w:rPr>
                <w:sz w:val="22"/>
              </w:rPr>
              <w:t>If DDA regional or HQ staff identifies county as needing additional site monitoring;</w:t>
            </w:r>
          </w:p>
          <w:p>
            <w:pPr>
              <w:pStyle w:val="TableParagraph"/>
              <w:numPr>
                <w:ilvl w:val="0"/>
                <w:numId w:val="9"/>
              </w:numPr>
              <w:tabs>
                <w:tab w:pos="466" w:val="left" w:leader="none"/>
                <w:tab w:pos="467" w:val="left" w:leader="none"/>
              </w:tabs>
              <w:spacing w:line="240" w:lineRule="auto" w:before="0" w:after="0"/>
              <w:ind w:left="466" w:right="293" w:hanging="360"/>
              <w:jc w:val="left"/>
              <w:rPr>
                <w:sz w:val="22"/>
              </w:rPr>
            </w:pPr>
            <w:r>
              <w:rPr>
                <w:sz w:val="22"/>
              </w:rPr>
              <w:t>Every three years, all counties are</w:t>
            </w:r>
            <w:r>
              <w:rPr>
                <w:spacing w:val="-6"/>
                <w:sz w:val="22"/>
              </w:rPr>
              <w:t> </w:t>
            </w:r>
            <w:r>
              <w:rPr>
                <w:sz w:val="22"/>
              </w:rPr>
              <w:t>reviewed.</w:t>
            </w:r>
          </w:p>
          <w:p>
            <w:pPr>
              <w:pStyle w:val="TableParagraph"/>
              <w:spacing w:before="11"/>
              <w:rPr>
                <w:b/>
                <w:sz w:val="21"/>
              </w:rPr>
            </w:pPr>
          </w:p>
          <w:p>
            <w:pPr>
              <w:pStyle w:val="TableParagraph"/>
              <w:ind w:left="106" w:right="121"/>
              <w:rPr>
                <w:sz w:val="22"/>
              </w:rPr>
            </w:pPr>
            <w:r>
              <w:rPr>
                <w:sz w:val="22"/>
              </w:rPr>
              <w:t>DDA staff conduct on-site quality assessments to every county once every two years. DDA has 3 Regional Employment Specialists who assist with the quality assessments. Additionally,</w:t>
            </w:r>
          </w:p>
          <w:p>
            <w:pPr>
              <w:pStyle w:val="TableParagraph"/>
              <w:spacing w:line="251" w:lineRule="exact"/>
              <w:ind w:left="106"/>
              <w:rPr>
                <w:sz w:val="22"/>
              </w:rPr>
            </w:pPr>
            <w:r>
              <w:rPr>
                <w:sz w:val="22"/>
              </w:rPr>
              <w:t>DDA reviews outcome</w:t>
            </w:r>
          </w:p>
        </w:tc>
        <w:tc>
          <w:tcPr>
            <w:tcW w:w="2430" w:type="dxa"/>
            <w:tcBorders>
              <w:top w:val="single" w:sz="18" w:space="0" w:color="4E8542"/>
            </w:tcBorders>
            <w:shd w:val="clear" w:color="auto" w:fill="D0E4CA"/>
          </w:tcPr>
          <w:p>
            <w:pPr>
              <w:pStyle w:val="TableParagraph"/>
              <w:rPr>
                <w:rFonts w:ascii="Times New Roman"/>
                <w:sz w:val="22"/>
              </w:rPr>
            </w:pPr>
          </w:p>
        </w:tc>
      </w:tr>
    </w:tbl>
    <w:p>
      <w:pPr>
        <w:pStyle w:val="BodyText"/>
        <w:spacing w:before="8"/>
        <w:rPr>
          <w:b/>
          <w:sz w:val="12"/>
        </w:rPr>
      </w:pPr>
      <w:r>
        <w:rPr/>
        <w:pict>
          <v:shape style="position:absolute;margin-left:70.559998pt;margin-top:9.9595pt;width:650.9pt;height:.1pt;mso-position-horizontal-relative:page;mso-position-vertical-relative:paragraph;z-index:-251586560;mso-wrap-distance-left:0;mso-wrap-distance-right:0" coordorigin="1411,199" coordsize="13018,0" path="m1411,199l14429,199e" filled="false" stroked="true" strokeweight=".481pt" strokecolor="#d9d9d9">
            <v:path arrowok="t"/>
            <v:stroke dashstyle="solid"/>
            <w10:wrap type="topAndBottom"/>
          </v:shape>
        </w:pict>
      </w:r>
    </w:p>
    <w:p>
      <w:pPr>
        <w:spacing w:after="0"/>
        <w:rPr>
          <w:sz w:val="1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22"/>
        <w:gridCol w:w="2858"/>
        <w:gridCol w:w="1408"/>
        <w:gridCol w:w="2819"/>
        <w:gridCol w:w="2430"/>
      </w:tblGrid>
      <w:tr>
        <w:trPr>
          <w:trHeight w:val="879" w:hRule="atLeast"/>
        </w:trPr>
        <w:tc>
          <w:tcPr>
            <w:tcW w:w="3422" w:type="dxa"/>
            <w:tcBorders>
              <w:bottom w:val="single" w:sz="18" w:space="0" w:color="4E8542"/>
            </w:tcBorders>
          </w:tcPr>
          <w:p>
            <w:pPr>
              <w:pStyle w:val="TableParagraph"/>
              <w:spacing w:line="292" w:lineRule="exact"/>
              <w:ind w:left="225"/>
              <w:rPr>
                <w:b/>
                <w:sz w:val="24"/>
              </w:rPr>
            </w:pPr>
            <w:r>
              <w:rPr>
                <w:b/>
                <w:sz w:val="24"/>
              </w:rPr>
              <w:t>Characteristics/Requirements</w:t>
            </w:r>
          </w:p>
        </w:tc>
        <w:tc>
          <w:tcPr>
            <w:tcW w:w="2858" w:type="dxa"/>
            <w:tcBorders>
              <w:bottom w:val="single" w:sz="18" w:space="0" w:color="4E8542"/>
            </w:tcBorders>
          </w:tcPr>
          <w:p>
            <w:pPr>
              <w:pStyle w:val="TableParagraph"/>
              <w:ind w:left="132" w:right="112"/>
              <w:jc w:val="center"/>
              <w:rPr>
                <w:b/>
                <w:sz w:val="24"/>
              </w:rPr>
            </w:pPr>
            <w:r>
              <w:rPr>
                <w:b/>
                <w:sz w:val="24"/>
              </w:rPr>
              <w:t>DDA Individual Supported Employment</w:t>
            </w:r>
          </w:p>
          <w:p>
            <w:pPr>
              <w:pStyle w:val="TableParagraph"/>
              <w:spacing w:line="274" w:lineRule="exact"/>
              <w:ind w:left="132" w:right="111"/>
              <w:jc w:val="center"/>
              <w:rPr>
                <w:b/>
                <w:sz w:val="24"/>
              </w:rPr>
            </w:pPr>
            <w:r>
              <w:rPr>
                <w:b/>
                <w:sz w:val="24"/>
              </w:rPr>
              <w:t>State Evaluation</w:t>
            </w:r>
          </w:p>
        </w:tc>
        <w:tc>
          <w:tcPr>
            <w:tcW w:w="1408" w:type="dxa"/>
            <w:tcBorders>
              <w:bottom w:val="single" w:sz="18" w:space="0" w:color="4E8542"/>
            </w:tcBorders>
          </w:tcPr>
          <w:p>
            <w:pPr>
              <w:pStyle w:val="TableParagraph"/>
              <w:ind w:left="446" w:right="82" w:hanging="327"/>
              <w:rPr>
                <w:b/>
                <w:sz w:val="24"/>
              </w:rPr>
            </w:pPr>
            <w:r>
              <w:rPr>
                <w:b/>
                <w:sz w:val="24"/>
              </w:rPr>
              <w:t>Compliance Level</w:t>
            </w:r>
          </w:p>
        </w:tc>
        <w:tc>
          <w:tcPr>
            <w:tcW w:w="2819" w:type="dxa"/>
            <w:tcBorders>
              <w:bottom w:val="single" w:sz="18" w:space="0" w:color="4E8542"/>
            </w:tcBorders>
          </w:tcPr>
          <w:p>
            <w:pPr>
              <w:pStyle w:val="TableParagraph"/>
              <w:spacing w:line="292" w:lineRule="exact"/>
              <w:ind w:left="524"/>
              <w:rPr>
                <w:b/>
                <w:sz w:val="24"/>
              </w:rPr>
            </w:pPr>
            <w:r>
              <w:rPr>
                <w:b/>
                <w:sz w:val="24"/>
              </w:rPr>
              <w:t>Oversight Process</w:t>
            </w:r>
          </w:p>
        </w:tc>
        <w:tc>
          <w:tcPr>
            <w:tcW w:w="2430" w:type="dxa"/>
            <w:tcBorders>
              <w:bottom w:val="single" w:sz="18" w:space="0" w:color="4E8542"/>
            </w:tcBorders>
          </w:tcPr>
          <w:p>
            <w:pPr>
              <w:pStyle w:val="TableParagraph"/>
              <w:spacing w:line="292" w:lineRule="exact"/>
              <w:ind w:left="575"/>
              <w:rPr>
                <w:b/>
                <w:sz w:val="24"/>
              </w:rPr>
            </w:pPr>
            <w:r>
              <w:rPr>
                <w:b/>
                <w:sz w:val="24"/>
              </w:rPr>
              <w:t>Remediation</w:t>
            </w:r>
          </w:p>
        </w:tc>
      </w:tr>
      <w:tr>
        <w:trPr>
          <w:trHeight w:val="2391" w:hRule="atLeast"/>
        </w:trPr>
        <w:tc>
          <w:tcPr>
            <w:tcW w:w="3422" w:type="dxa"/>
            <w:tcBorders>
              <w:top w:val="single" w:sz="18" w:space="0" w:color="4E8542"/>
            </w:tcBorders>
            <w:shd w:val="clear" w:color="auto" w:fill="D0E4CA"/>
          </w:tcPr>
          <w:p>
            <w:pPr>
              <w:pStyle w:val="TableParagraph"/>
              <w:rPr>
                <w:rFonts w:ascii="Times New Roman"/>
                <w:sz w:val="22"/>
              </w:rPr>
            </w:pPr>
          </w:p>
        </w:tc>
        <w:tc>
          <w:tcPr>
            <w:tcW w:w="2858" w:type="dxa"/>
            <w:tcBorders>
              <w:top w:val="single" w:sz="18" w:space="0" w:color="4E8542"/>
            </w:tcBorders>
            <w:shd w:val="clear" w:color="auto" w:fill="D0E4CA"/>
          </w:tcPr>
          <w:p>
            <w:pPr>
              <w:pStyle w:val="TableParagraph"/>
              <w:rPr>
                <w:rFonts w:ascii="Times New Roman"/>
                <w:sz w:val="22"/>
              </w:rPr>
            </w:pPr>
          </w:p>
        </w:tc>
        <w:tc>
          <w:tcPr>
            <w:tcW w:w="1408" w:type="dxa"/>
            <w:tcBorders>
              <w:top w:val="single" w:sz="18" w:space="0" w:color="4E8542"/>
            </w:tcBorders>
            <w:shd w:val="clear" w:color="auto" w:fill="D0E4CA"/>
          </w:tcPr>
          <w:p>
            <w:pPr>
              <w:pStyle w:val="TableParagraph"/>
              <w:rPr>
                <w:rFonts w:ascii="Times New Roman"/>
                <w:sz w:val="22"/>
              </w:rPr>
            </w:pPr>
          </w:p>
        </w:tc>
        <w:tc>
          <w:tcPr>
            <w:tcW w:w="2819" w:type="dxa"/>
            <w:tcBorders>
              <w:top w:val="single" w:sz="18" w:space="0" w:color="4E8542"/>
            </w:tcBorders>
            <w:shd w:val="clear" w:color="auto" w:fill="D0E4CA"/>
          </w:tcPr>
          <w:p>
            <w:pPr>
              <w:pStyle w:val="TableParagraph"/>
              <w:spacing w:line="243" w:lineRule="exact"/>
              <w:ind w:left="106"/>
              <w:rPr>
                <w:sz w:val="22"/>
              </w:rPr>
            </w:pPr>
            <w:r>
              <w:rPr>
                <w:sz w:val="22"/>
              </w:rPr>
              <w:t>information for trends and</w:t>
            </w:r>
          </w:p>
          <w:p>
            <w:pPr>
              <w:pStyle w:val="TableParagraph"/>
              <w:ind w:left="106" w:right="391"/>
              <w:rPr>
                <w:sz w:val="22"/>
              </w:rPr>
            </w:pPr>
            <w:r>
              <w:rPr>
                <w:sz w:val="22"/>
              </w:rPr>
              <w:t>patterns on a county-by - county basis each month.</w:t>
            </w:r>
          </w:p>
          <w:p>
            <w:pPr>
              <w:pStyle w:val="TableParagraph"/>
              <w:spacing w:before="9"/>
              <w:rPr>
                <w:b/>
                <w:sz w:val="21"/>
              </w:rPr>
            </w:pPr>
          </w:p>
          <w:p>
            <w:pPr>
              <w:pStyle w:val="TableParagraph"/>
              <w:spacing w:line="270" w:lineRule="atLeast"/>
              <w:ind w:left="106" w:right="85"/>
              <w:rPr>
                <w:sz w:val="22"/>
              </w:rPr>
            </w:pPr>
            <w:r>
              <w:rPr>
                <w:sz w:val="22"/>
              </w:rPr>
              <w:t>On-site inspections ensure homes meet all licensing and certification requirements in WAC and RCW, including WAC 388-823-1095.</w:t>
            </w:r>
          </w:p>
        </w:tc>
        <w:tc>
          <w:tcPr>
            <w:tcW w:w="2430" w:type="dxa"/>
            <w:tcBorders>
              <w:top w:val="single" w:sz="18" w:space="0" w:color="4E8542"/>
            </w:tcBorders>
            <w:shd w:val="clear" w:color="auto" w:fill="D0E4CA"/>
          </w:tcPr>
          <w:p>
            <w:pPr>
              <w:pStyle w:val="TableParagraph"/>
              <w:rPr>
                <w:rFonts w:ascii="Times New Roman"/>
                <w:sz w:val="22"/>
              </w:rPr>
            </w:pPr>
          </w:p>
        </w:tc>
      </w:tr>
      <w:tr>
        <w:trPr>
          <w:trHeight w:val="5635" w:hRule="atLeast"/>
        </w:trPr>
        <w:tc>
          <w:tcPr>
            <w:tcW w:w="3422" w:type="dxa"/>
          </w:tcPr>
          <w:p>
            <w:pPr>
              <w:pStyle w:val="TableParagraph"/>
              <w:ind w:left="107" w:right="208"/>
              <w:rPr>
                <w:b/>
                <w:sz w:val="22"/>
              </w:rPr>
            </w:pPr>
            <w:r>
              <w:rPr>
                <w:b/>
                <w:sz w:val="22"/>
              </w:rPr>
              <w:t>The setting is selected by the Individual from among setting options including non-disability specific settings and an option for a private unit in a residential setting. The setting options are identified and documented in the person-centered service plan and are based on the individual’s needs, preferences, and, for residential settings, resources available for room and board.</w:t>
            </w:r>
          </w:p>
        </w:tc>
        <w:tc>
          <w:tcPr>
            <w:tcW w:w="2858" w:type="dxa"/>
          </w:tcPr>
          <w:p>
            <w:pPr>
              <w:pStyle w:val="TableParagraph"/>
              <w:ind w:left="108" w:right="76"/>
              <w:rPr>
                <w:sz w:val="22"/>
              </w:rPr>
            </w:pPr>
            <w:hyperlink r:id="rId23">
              <w:r>
                <w:rPr>
                  <w:color w:val="6B9F24"/>
                  <w:sz w:val="22"/>
                  <w:u w:val="single" w:color="6B9F24"/>
                </w:rPr>
                <w:t>WAC 388-823-1095</w:t>
              </w:r>
              <w:r>
                <w:rPr>
                  <w:color w:val="6B9F24"/>
                  <w:sz w:val="22"/>
                </w:rPr>
                <w:t> </w:t>
              </w:r>
            </w:hyperlink>
            <w:r>
              <w:rPr>
                <w:sz w:val="22"/>
              </w:rPr>
              <w:t>My rights as a DDA client.</w:t>
            </w:r>
          </w:p>
          <w:p>
            <w:pPr>
              <w:pStyle w:val="TableParagraph"/>
              <w:spacing w:before="7"/>
              <w:rPr>
                <w:b/>
                <w:sz w:val="21"/>
              </w:rPr>
            </w:pPr>
          </w:p>
          <w:p>
            <w:pPr>
              <w:pStyle w:val="TableParagraph"/>
              <w:spacing w:before="1"/>
              <w:ind w:left="108" w:right="202"/>
              <w:rPr>
                <w:sz w:val="22"/>
              </w:rPr>
            </w:pPr>
            <w:r>
              <w:rPr>
                <w:sz w:val="22"/>
              </w:rPr>
              <w:t>During the assessment process, it is the case manager’s responsibility to inform individuals of their options regarding settings and providers. Participants report via the Assessment Meeting Wrap–up and the Assessment Meeting Survey that they are informed of their options regarding services and providers.</w:t>
            </w:r>
          </w:p>
          <w:p>
            <w:pPr>
              <w:pStyle w:val="TableParagraph"/>
              <w:rPr>
                <w:b/>
                <w:sz w:val="22"/>
              </w:rPr>
            </w:pPr>
          </w:p>
          <w:p>
            <w:pPr>
              <w:pStyle w:val="TableParagraph"/>
              <w:ind w:left="108" w:right="326"/>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 include the following</w:t>
            </w:r>
          </w:p>
          <w:p>
            <w:pPr>
              <w:pStyle w:val="TableParagraph"/>
              <w:spacing w:line="248" w:lineRule="exact"/>
              <w:ind w:left="108"/>
              <w:rPr>
                <w:sz w:val="22"/>
              </w:rPr>
            </w:pPr>
            <w:r>
              <w:rPr>
                <w:sz w:val="22"/>
              </w:rPr>
              <w:t>benefits of quality living:</w:t>
            </w:r>
          </w:p>
        </w:tc>
        <w:tc>
          <w:tcPr>
            <w:tcW w:w="1408" w:type="dxa"/>
          </w:tcPr>
          <w:p>
            <w:pPr>
              <w:pStyle w:val="TableParagraph"/>
              <w:ind w:left="108" w:right="339"/>
              <w:rPr>
                <w:sz w:val="22"/>
              </w:rPr>
            </w:pPr>
            <w:r>
              <w:rPr>
                <w:sz w:val="22"/>
              </w:rPr>
              <w:t>Partially Compliant</w:t>
            </w:r>
          </w:p>
        </w:tc>
        <w:tc>
          <w:tcPr>
            <w:tcW w:w="2819" w:type="dxa"/>
          </w:tcPr>
          <w:p>
            <w:pPr>
              <w:pStyle w:val="TableParagraph"/>
              <w:ind w:left="106" w:right="84"/>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 service providers at minimum once per biennium 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 providers submit monthly outcome information to counties and progress</w:t>
            </w:r>
          </w:p>
          <w:p>
            <w:pPr>
              <w:pStyle w:val="TableParagraph"/>
              <w:spacing w:line="249" w:lineRule="exact"/>
              <w:ind w:left="106"/>
              <w:rPr>
                <w:sz w:val="22"/>
              </w:rPr>
            </w:pPr>
            <w:r>
              <w:rPr>
                <w:sz w:val="22"/>
              </w:rPr>
              <w:t>reports to each client’s case</w:t>
            </w:r>
          </w:p>
        </w:tc>
        <w:tc>
          <w:tcPr>
            <w:tcW w:w="2430" w:type="dxa"/>
          </w:tcPr>
          <w:p>
            <w:pPr>
              <w:pStyle w:val="TableParagraph"/>
              <w:ind w:left="110" w:right="82"/>
              <w:rPr>
                <w:sz w:val="22"/>
              </w:rPr>
            </w:pPr>
            <w:r>
              <w:rPr>
                <w:sz w:val="22"/>
              </w:rPr>
              <w:t>Revising WAC 388-823- 1095 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spacing w:before="1"/>
        <w:rPr>
          <w:b/>
          <w:sz w:val="14"/>
        </w:rPr>
      </w:pPr>
      <w:r>
        <w:rPr/>
        <w:pict>
          <v:shape style="position:absolute;margin-left:70.559998pt;margin-top:10.7995pt;width:650.9pt;height:.1pt;mso-position-horizontal-relative:page;mso-position-vertical-relative:paragraph;z-index:-251585536;mso-wrap-distance-left:0;mso-wrap-distance-right:0" coordorigin="1411,216" coordsize="13018,0" path="m1411,216l14429,216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22"/>
        <w:gridCol w:w="2858"/>
        <w:gridCol w:w="1408"/>
        <w:gridCol w:w="2819"/>
        <w:gridCol w:w="2430"/>
      </w:tblGrid>
      <w:tr>
        <w:trPr>
          <w:trHeight w:val="879" w:hRule="atLeast"/>
        </w:trPr>
        <w:tc>
          <w:tcPr>
            <w:tcW w:w="3422" w:type="dxa"/>
            <w:tcBorders>
              <w:bottom w:val="single" w:sz="18" w:space="0" w:color="4E8542"/>
            </w:tcBorders>
          </w:tcPr>
          <w:p>
            <w:pPr>
              <w:pStyle w:val="TableParagraph"/>
              <w:spacing w:line="292" w:lineRule="exact"/>
              <w:ind w:left="225"/>
              <w:rPr>
                <w:b/>
                <w:sz w:val="24"/>
              </w:rPr>
            </w:pPr>
            <w:r>
              <w:rPr>
                <w:b/>
                <w:sz w:val="24"/>
              </w:rPr>
              <w:t>Characteristics/Requirements</w:t>
            </w:r>
          </w:p>
        </w:tc>
        <w:tc>
          <w:tcPr>
            <w:tcW w:w="2858" w:type="dxa"/>
            <w:tcBorders>
              <w:bottom w:val="single" w:sz="18" w:space="0" w:color="4E8542"/>
            </w:tcBorders>
          </w:tcPr>
          <w:p>
            <w:pPr>
              <w:pStyle w:val="TableParagraph"/>
              <w:ind w:left="132" w:right="112"/>
              <w:jc w:val="center"/>
              <w:rPr>
                <w:b/>
                <w:sz w:val="24"/>
              </w:rPr>
            </w:pPr>
            <w:r>
              <w:rPr>
                <w:b/>
                <w:sz w:val="24"/>
              </w:rPr>
              <w:t>DDA Individual Supported Employment</w:t>
            </w:r>
          </w:p>
          <w:p>
            <w:pPr>
              <w:pStyle w:val="TableParagraph"/>
              <w:spacing w:line="274" w:lineRule="exact"/>
              <w:ind w:left="132" w:right="111"/>
              <w:jc w:val="center"/>
              <w:rPr>
                <w:b/>
                <w:sz w:val="24"/>
              </w:rPr>
            </w:pPr>
            <w:r>
              <w:rPr>
                <w:b/>
                <w:sz w:val="24"/>
              </w:rPr>
              <w:t>State Evaluation</w:t>
            </w:r>
          </w:p>
        </w:tc>
        <w:tc>
          <w:tcPr>
            <w:tcW w:w="1408" w:type="dxa"/>
            <w:tcBorders>
              <w:bottom w:val="single" w:sz="18" w:space="0" w:color="4E8542"/>
            </w:tcBorders>
          </w:tcPr>
          <w:p>
            <w:pPr>
              <w:pStyle w:val="TableParagraph"/>
              <w:ind w:left="446" w:right="82" w:hanging="327"/>
              <w:rPr>
                <w:b/>
                <w:sz w:val="24"/>
              </w:rPr>
            </w:pPr>
            <w:r>
              <w:rPr>
                <w:b/>
                <w:sz w:val="24"/>
              </w:rPr>
              <w:t>Compliance Level</w:t>
            </w:r>
          </w:p>
        </w:tc>
        <w:tc>
          <w:tcPr>
            <w:tcW w:w="2819" w:type="dxa"/>
            <w:tcBorders>
              <w:bottom w:val="single" w:sz="18" w:space="0" w:color="4E8542"/>
            </w:tcBorders>
          </w:tcPr>
          <w:p>
            <w:pPr>
              <w:pStyle w:val="TableParagraph"/>
              <w:spacing w:line="292" w:lineRule="exact"/>
              <w:ind w:left="524"/>
              <w:rPr>
                <w:b/>
                <w:sz w:val="24"/>
              </w:rPr>
            </w:pPr>
            <w:r>
              <w:rPr>
                <w:b/>
                <w:sz w:val="24"/>
              </w:rPr>
              <w:t>Oversight Process</w:t>
            </w:r>
          </w:p>
        </w:tc>
        <w:tc>
          <w:tcPr>
            <w:tcW w:w="2430" w:type="dxa"/>
            <w:tcBorders>
              <w:bottom w:val="single" w:sz="18" w:space="0" w:color="4E8542"/>
            </w:tcBorders>
          </w:tcPr>
          <w:p>
            <w:pPr>
              <w:pStyle w:val="TableParagraph"/>
              <w:spacing w:line="292" w:lineRule="exact"/>
              <w:ind w:left="575"/>
              <w:rPr>
                <w:b/>
                <w:sz w:val="24"/>
              </w:rPr>
            </w:pPr>
            <w:r>
              <w:rPr>
                <w:b/>
                <w:sz w:val="24"/>
              </w:rPr>
              <w:t>Remediation</w:t>
            </w:r>
          </w:p>
        </w:tc>
      </w:tr>
      <w:tr>
        <w:trPr>
          <w:trHeight w:val="6418" w:hRule="atLeast"/>
        </w:trPr>
        <w:tc>
          <w:tcPr>
            <w:tcW w:w="3422" w:type="dxa"/>
            <w:tcBorders>
              <w:top w:val="single" w:sz="18" w:space="0" w:color="4E8542"/>
            </w:tcBorders>
          </w:tcPr>
          <w:p>
            <w:pPr>
              <w:pStyle w:val="TableParagraph"/>
              <w:rPr>
                <w:rFonts w:ascii="Times New Roman"/>
                <w:sz w:val="22"/>
              </w:rPr>
            </w:pPr>
          </w:p>
        </w:tc>
        <w:tc>
          <w:tcPr>
            <w:tcW w:w="2858" w:type="dxa"/>
            <w:tcBorders>
              <w:top w:val="single" w:sz="18" w:space="0" w:color="4E8542"/>
            </w:tcBorders>
          </w:tcPr>
          <w:p>
            <w:pPr>
              <w:pStyle w:val="TableParagraph"/>
              <w:spacing w:line="243" w:lineRule="exact"/>
              <w:ind w:left="108"/>
              <w:rPr>
                <w:sz w:val="22"/>
              </w:rPr>
            </w:pPr>
            <w:r>
              <w:rPr>
                <w:sz w:val="22"/>
              </w:rPr>
              <w:t>power and choice,</w:t>
            </w:r>
          </w:p>
          <w:p>
            <w:pPr>
              <w:pStyle w:val="TableParagraph"/>
              <w:ind w:left="108" w:right="117"/>
              <w:rPr>
                <w:sz w:val="22"/>
              </w:rPr>
            </w:pPr>
            <w:r>
              <w:rPr>
                <w:sz w:val="22"/>
              </w:rPr>
              <w:t>relationships, status/contribution, integration, competence and health and safety.</w:t>
            </w:r>
          </w:p>
        </w:tc>
        <w:tc>
          <w:tcPr>
            <w:tcW w:w="1408" w:type="dxa"/>
            <w:tcBorders>
              <w:top w:val="single" w:sz="18" w:space="0" w:color="4E8542"/>
            </w:tcBorders>
          </w:tcPr>
          <w:p>
            <w:pPr>
              <w:pStyle w:val="TableParagraph"/>
              <w:rPr>
                <w:rFonts w:ascii="Times New Roman"/>
                <w:sz w:val="22"/>
              </w:rPr>
            </w:pPr>
          </w:p>
        </w:tc>
        <w:tc>
          <w:tcPr>
            <w:tcW w:w="2819" w:type="dxa"/>
            <w:tcBorders>
              <w:top w:val="single" w:sz="18" w:space="0" w:color="4E8542"/>
            </w:tcBorders>
          </w:tcPr>
          <w:p>
            <w:pPr>
              <w:pStyle w:val="TableParagraph"/>
              <w:spacing w:line="243" w:lineRule="exact"/>
              <w:ind w:left="106"/>
              <w:rPr>
                <w:sz w:val="22"/>
              </w:rPr>
            </w:pPr>
            <w:r>
              <w:rPr>
                <w:sz w:val="22"/>
              </w:rPr>
              <w:t>resource manager on a semi-</w:t>
            </w:r>
          </w:p>
          <w:p>
            <w:pPr>
              <w:pStyle w:val="TableParagraph"/>
              <w:ind w:left="106"/>
              <w:rPr>
                <w:sz w:val="22"/>
              </w:rPr>
            </w:pPr>
            <w:r>
              <w:rPr>
                <w:sz w:val="22"/>
              </w:rPr>
              <w:t>annual basis.</w:t>
            </w:r>
          </w:p>
          <w:p>
            <w:pPr>
              <w:pStyle w:val="TableParagraph"/>
              <w:spacing w:before="10"/>
              <w:rPr>
                <w:b/>
                <w:sz w:val="21"/>
              </w:rPr>
            </w:pPr>
          </w:p>
          <w:p>
            <w:pPr>
              <w:pStyle w:val="TableParagraph"/>
              <w:ind w:left="106" w:right="90"/>
              <w:rPr>
                <w:sz w:val="22"/>
              </w:rPr>
            </w:pPr>
            <w:r>
              <w:rPr>
                <w:sz w:val="22"/>
              </w:rPr>
              <w:t>Each county completes a 16- page self-assessment tool every other year which assists DDA to prioritize site visits. DDA staff conduct on- site quality assessments to every county once every two years. DDA has 3 Regional Employment Specialists who assist with the quality assessments. Additionally, DDA review outcome information for trends and patterns on a county-by - county basis monthly.</w:t>
            </w:r>
          </w:p>
          <w:p>
            <w:pPr>
              <w:pStyle w:val="TableParagraph"/>
              <w:spacing w:before="2"/>
              <w:rPr>
                <w:b/>
                <w:sz w:val="22"/>
              </w:rPr>
            </w:pPr>
          </w:p>
          <w:p>
            <w:pPr>
              <w:pStyle w:val="TableParagraph"/>
              <w:ind w:left="106" w:right="85"/>
              <w:rPr>
                <w:sz w:val="22"/>
              </w:rPr>
            </w:pPr>
            <w:r>
              <w:rPr>
                <w:sz w:val="22"/>
              </w:rPr>
              <w:t>On-site inspections ensure homes meet all licensing and certification requirements in WAC and RCW, including</w:t>
            </w:r>
          </w:p>
          <w:p>
            <w:pPr>
              <w:pStyle w:val="TableParagraph"/>
              <w:spacing w:line="248" w:lineRule="exact"/>
              <w:ind w:left="106"/>
              <w:rPr>
                <w:sz w:val="22"/>
              </w:rPr>
            </w:pPr>
            <w:r>
              <w:rPr>
                <w:sz w:val="22"/>
              </w:rPr>
              <w:t>WAC 388-823-1095.</w:t>
            </w:r>
          </w:p>
        </w:tc>
        <w:tc>
          <w:tcPr>
            <w:tcW w:w="2430" w:type="dxa"/>
            <w:tcBorders>
              <w:top w:val="single" w:sz="18" w:space="0" w:color="4E8542"/>
            </w:tcBorders>
          </w:tcPr>
          <w:p>
            <w:pPr>
              <w:pStyle w:val="TableParagraph"/>
              <w:rPr>
                <w:rFonts w:ascii="Times New Roman"/>
                <w:sz w:val="22"/>
              </w:rPr>
            </w:pPr>
          </w:p>
        </w:tc>
      </w:tr>
      <w:tr>
        <w:trPr>
          <w:trHeight w:val="1611" w:hRule="atLeast"/>
        </w:trPr>
        <w:tc>
          <w:tcPr>
            <w:tcW w:w="3422" w:type="dxa"/>
            <w:shd w:val="clear" w:color="auto" w:fill="D0E4CA"/>
          </w:tcPr>
          <w:p>
            <w:pPr>
              <w:pStyle w:val="TableParagraph"/>
              <w:spacing w:before="1"/>
              <w:ind w:left="107" w:right="227"/>
              <w:rPr>
                <w:b/>
                <w:sz w:val="22"/>
              </w:rPr>
            </w:pPr>
            <w:r>
              <w:rPr>
                <w:b/>
                <w:sz w:val="22"/>
              </w:rPr>
              <w:t>An individual’s essential personal rights of privacy, dignity and respect, and freedom from coercion and restraint are protected.</w:t>
            </w:r>
          </w:p>
        </w:tc>
        <w:tc>
          <w:tcPr>
            <w:tcW w:w="2858" w:type="dxa"/>
            <w:shd w:val="clear" w:color="auto" w:fill="D0E4CA"/>
          </w:tcPr>
          <w:p>
            <w:pPr>
              <w:pStyle w:val="TableParagraph"/>
              <w:spacing w:before="1"/>
              <w:ind w:left="108" w:right="76"/>
              <w:rPr>
                <w:sz w:val="22"/>
              </w:rPr>
            </w:pPr>
            <w:hyperlink r:id="rId23">
              <w:r>
                <w:rPr>
                  <w:color w:val="6B9F24"/>
                  <w:sz w:val="22"/>
                  <w:u w:val="single" w:color="6B9F24"/>
                </w:rPr>
                <w:t>WAC 388-823-1095</w:t>
              </w:r>
              <w:r>
                <w:rPr>
                  <w:color w:val="6B9F24"/>
                  <w:sz w:val="22"/>
                </w:rPr>
                <w:t> </w:t>
              </w:r>
            </w:hyperlink>
            <w:r>
              <w:rPr>
                <w:sz w:val="22"/>
              </w:rPr>
              <w:t>My rights as a DDA client.</w:t>
            </w:r>
          </w:p>
          <w:p>
            <w:pPr>
              <w:pStyle w:val="TableParagraph"/>
              <w:spacing w:before="9"/>
              <w:rPr>
                <w:b/>
                <w:sz w:val="21"/>
              </w:rPr>
            </w:pPr>
          </w:p>
          <w:p>
            <w:pPr>
              <w:pStyle w:val="TableParagraph"/>
              <w:spacing w:line="270" w:lineRule="atLeast"/>
              <w:ind w:left="108" w:right="326"/>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w:t>
            </w:r>
          </w:p>
        </w:tc>
        <w:tc>
          <w:tcPr>
            <w:tcW w:w="1408" w:type="dxa"/>
            <w:shd w:val="clear" w:color="auto" w:fill="D0E4CA"/>
          </w:tcPr>
          <w:p>
            <w:pPr>
              <w:pStyle w:val="TableParagraph"/>
              <w:spacing w:before="1"/>
              <w:ind w:left="108" w:right="339"/>
              <w:rPr>
                <w:sz w:val="22"/>
              </w:rPr>
            </w:pPr>
            <w:r>
              <w:rPr>
                <w:sz w:val="22"/>
              </w:rPr>
              <w:t>Partially Compliant</w:t>
            </w:r>
          </w:p>
        </w:tc>
        <w:tc>
          <w:tcPr>
            <w:tcW w:w="2819" w:type="dxa"/>
            <w:shd w:val="clear" w:color="auto" w:fill="D0E4CA"/>
          </w:tcPr>
          <w:p>
            <w:pPr>
              <w:pStyle w:val="TableParagraph"/>
              <w:spacing w:before="1"/>
              <w:ind w:left="106" w:right="129"/>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 service providers at</w:t>
            </w:r>
          </w:p>
          <w:p>
            <w:pPr>
              <w:pStyle w:val="TableParagraph"/>
              <w:spacing w:line="248" w:lineRule="exact"/>
              <w:ind w:left="106"/>
              <w:rPr>
                <w:sz w:val="22"/>
              </w:rPr>
            </w:pPr>
            <w:r>
              <w:rPr>
                <w:sz w:val="22"/>
              </w:rPr>
              <w:t>minimum once per biennium</w:t>
            </w:r>
          </w:p>
        </w:tc>
        <w:tc>
          <w:tcPr>
            <w:tcW w:w="2430" w:type="dxa"/>
            <w:shd w:val="clear" w:color="auto" w:fill="D0E4CA"/>
          </w:tcPr>
          <w:p>
            <w:pPr>
              <w:pStyle w:val="TableParagraph"/>
              <w:spacing w:before="1"/>
              <w:ind w:left="110" w:right="82"/>
              <w:rPr>
                <w:sz w:val="22"/>
              </w:rPr>
            </w:pPr>
            <w:r>
              <w:rPr>
                <w:sz w:val="22"/>
              </w:rPr>
              <w:t>Revising WAC 388-823- 1095 to include all rights listed in the HCBS rules and adding language to the contracts</w:t>
            </w:r>
            <w:r>
              <w:rPr>
                <w:spacing w:val="-2"/>
                <w:sz w:val="22"/>
              </w:rPr>
              <w:t> </w:t>
            </w:r>
            <w:r>
              <w:rPr>
                <w:sz w:val="22"/>
              </w:rPr>
              <w:t>requiring</w:t>
            </w:r>
          </w:p>
          <w:p>
            <w:pPr>
              <w:pStyle w:val="TableParagraph"/>
              <w:spacing w:line="248" w:lineRule="exact"/>
              <w:ind w:left="110"/>
              <w:rPr>
                <w:sz w:val="22"/>
              </w:rPr>
            </w:pPr>
            <w:r>
              <w:rPr>
                <w:sz w:val="22"/>
              </w:rPr>
              <w:t>adherence to the</w:t>
            </w:r>
            <w:r>
              <w:rPr>
                <w:spacing w:val="-6"/>
                <w:sz w:val="22"/>
              </w:rPr>
              <w:t> </w:t>
            </w:r>
            <w:r>
              <w:rPr>
                <w:sz w:val="22"/>
              </w:rPr>
              <w:t>WAC.</w:t>
            </w:r>
          </w:p>
        </w:tc>
      </w:tr>
    </w:tbl>
    <w:p>
      <w:pPr>
        <w:pStyle w:val="BodyText"/>
        <w:spacing w:before="1"/>
        <w:rPr>
          <w:b/>
          <w:sz w:val="14"/>
        </w:rPr>
      </w:pPr>
      <w:r>
        <w:rPr/>
        <w:pict>
          <v:shape style="position:absolute;margin-left:70.559998pt;margin-top:10.7995pt;width:650.9pt;height:.1pt;mso-position-horizontal-relative:page;mso-position-vertical-relative:paragraph;z-index:-251584512;mso-wrap-distance-left:0;mso-wrap-distance-right:0" coordorigin="1411,216" coordsize="13018,0" path="m1411,216l14429,216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22"/>
        <w:gridCol w:w="2858"/>
        <w:gridCol w:w="1408"/>
        <w:gridCol w:w="2819"/>
        <w:gridCol w:w="2430"/>
      </w:tblGrid>
      <w:tr>
        <w:trPr>
          <w:trHeight w:val="879" w:hRule="atLeast"/>
        </w:trPr>
        <w:tc>
          <w:tcPr>
            <w:tcW w:w="3422" w:type="dxa"/>
            <w:tcBorders>
              <w:bottom w:val="single" w:sz="18" w:space="0" w:color="4E8542"/>
            </w:tcBorders>
          </w:tcPr>
          <w:p>
            <w:pPr>
              <w:pStyle w:val="TableParagraph"/>
              <w:spacing w:line="292" w:lineRule="exact"/>
              <w:ind w:left="225"/>
              <w:rPr>
                <w:b/>
                <w:sz w:val="24"/>
              </w:rPr>
            </w:pPr>
            <w:r>
              <w:rPr>
                <w:b/>
                <w:sz w:val="24"/>
              </w:rPr>
              <w:t>Characteristics/Requirements</w:t>
            </w:r>
          </w:p>
        </w:tc>
        <w:tc>
          <w:tcPr>
            <w:tcW w:w="2858" w:type="dxa"/>
            <w:tcBorders>
              <w:bottom w:val="single" w:sz="18" w:space="0" w:color="4E8542"/>
            </w:tcBorders>
          </w:tcPr>
          <w:p>
            <w:pPr>
              <w:pStyle w:val="TableParagraph"/>
              <w:ind w:left="132" w:right="112"/>
              <w:jc w:val="center"/>
              <w:rPr>
                <w:b/>
                <w:sz w:val="24"/>
              </w:rPr>
            </w:pPr>
            <w:r>
              <w:rPr>
                <w:b/>
                <w:sz w:val="24"/>
              </w:rPr>
              <w:t>DDA Individual Supported Employment</w:t>
            </w:r>
          </w:p>
          <w:p>
            <w:pPr>
              <w:pStyle w:val="TableParagraph"/>
              <w:spacing w:line="274" w:lineRule="exact"/>
              <w:ind w:left="132" w:right="111"/>
              <w:jc w:val="center"/>
              <w:rPr>
                <w:b/>
                <w:sz w:val="24"/>
              </w:rPr>
            </w:pPr>
            <w:r>
              <w:rPr>
                <w:b/>
                <w:sz w:val="24"/>
              </w:rPr>
              <w:t>State Evaluation</w:t>
            </w:r>
          </w:p>
        </w:tc>
        <w:tc>
          <w:tcPr>
            <w:tcW w:w="1408" w:type="dxa"/>
            <w:tcBorders>
              <w:bottom w:val="single" w:sz="18" w:space="0" w:color="4E8542"/>
            </w:tcBorders>
          </w:tcPr>
          <w:p>
            <w:pPr>
              <w:pStyle w:val="TableParagraph"/>
              <w:ind w:left="446" w:right="82" w:hanging="327"/>
              <w:rPr>
                <w:b/>
                <w:sz w:val="24"/>
              </w:rPr>
            </w:pPr>
            <w:r>
              <w:rPr>
                <w:b/>
                <w:sz w:val="24"/>
              </w:rPr>
              <w:t>Compliance Level</w:t>
            </w:r>
          </w:p>
        </w:tc>
        <w:tc>
          <w:tcPr>
            <w:tcW w:w="2819" w:type="dxa"/>
            <w:tcBorders>
              <w:bottom w:val="single" w:sz="18" w:space="0" w:color="4E8542"/>
            </w:tcBorders>
          </w:tcPr>
          <w:p>
            <w:pPr>
              <w:pStyle w:val="TableParagraph"/>
              <w:spacing w:line="292" w:lineRule="exact"/>
              <w:ind w:left="524"/>
              <w:rPr>
                <w:b/>
                <w:sz w:val="24"/>
              </w:rPr>
            </w:pPr>
            <w:r>
              <w:rPr>
                <w:b/>
                <w:sz w:val="24"/>
              </w:rPr>
              <w:t>Oversight Process</w:t>
            </w:r>
          </w:p>
        </w:tc>
        <w:tc>
          <w:tcPr>
            <w:tcW w:w="2430" w:type="dxa"/>
            <w:tcBorders>
              <w:bottom w:val="single" w:sz="18" w:space="0" w:color="4E8542"/>
            </w:tcBorders>
          </w:tcPr>
          <w:p>
            <w:pPr>
              <w:pStyle w:val="TableParagraph"/>
              <w:spacing w:line="292" w:lineRule="exact"/>
              <w:ind w:left="575"/>
              <w:rPr>
                <w:b/>
                <w:sz w:val="24"/>
              </w:rPr>
            </w:pPr>
            <w:r>
              <w:rPr>
                <w:b/>
                <w:sz w:val="24"/>
              </w:rPr>
              <w:t>Remediation</w:t>
            </w:r>
          </w:p>
        </w:tc>
      </w:tr>
      <w:tr>
        <w:trPr>
          <w:trHeight w:val="253" w:hRule="atLeast"/>
        </w:trPr>
        <w:tc>
          <w:tcPr>
            <w:tcW w:w="3422" w:type="dxa"/>
            <w:vMerge w:val="restart"/>
            <w:tcBorders>
              <w:top w:val="single" w:sz="18" w:space="0" w:color="4E8542"/>
            </w:tcBorders>
            <w:shd w:val="clear" w:color="auto" w:fill="D0E4CA"/>
          </w:tcPr>
          <w:p>
            <w:pPr>
              <w:pStyle w:val="TableParagraph"/>
              <w:rPr>
                <w:rFonts w:ascii="Times New Roman"/>
                <w:sz w:val="22"/>
              </w:rPr>
            </w:pPr>
          </w:p>
        </w:tc>
        <w:tc>
          <w:tcPr>
            <w:tcW w:w="2858" w:type="dxa"/>
            <w:tcBorders>
              <w:top w:val="single" w:sz="18" w:space="0" w:color="4E8542"/>
              <w:bottom w:val="nil"/>
            </w:tcBorders>
            <w:shd w:val="clear" w:color="auto" w:fill="D0E4CA"/>
          </w:tcPr>
          <w:p>
            <w:pPr>
              <w:pStyle w:val="TableParagraph"/>
              <w:spacing w:line="233" w:lineRule="exact"/>
              <w:ind w:left="108"/>
              <w:rPr>
                <w:sz w:val="22"/>
              </w:rPr>
            </w:pPr>
            <w:r>
              <w:rPr>
                <w:sz w:val="22"/>
              </w:rPr>
              <w:t>include the following</w:t>
            </w:r>
          </w:p>
        </w:tc>
        <w:tc>
          <w:tcPr>
            <w:tcW w:w="1408" w:type="dxa"/>
            <w:vMerge w:val="restart"/>
            <w:tcBorders>
              <w:top w:val="single" w:sz="18" w:space="0" w:color="4E8542"/>
            </w:tcBorders>
            <w:shd w:val="clear" w:color="auto" w:fill="D0E4CA"/>
          </w:tcPr>
          <w:p>
            <w:pPr>
              <w:pStyle w:val="TableParagraph"/>
              <w:rPr>
                <w:rFonts w:ascii="Times New Roman"/>
                <w:sz w:val="22"/>
              </w:rPr>
            </w:pPr>
          </w:p>
        </w:tc>
        <w:tc>
          <w:tcPr>
            <w:tcW w:w="2819" w:type="dxa"/>
            <w:tcBorders>
              <w:top w:val="single" w:sz="18" w:space="0" w:color="4E8542"/>
              <w:bottom w:val="nil"/>
            </w:tcBorders>
            <w:shd w:val="clear" w:color="auto" w:fill="D0E4CA"/>
          </w:tcPr>
          <w:p>
            <w:pPr>
              <w:pStyle w:val="TableParagraph"/>
              <w:spacing w:line="233" w:lineRule="exact"/>
              <w:ind w:left="106"/>
              <w:rPr>
                <w:sz w:val="22"/>
              </w:rPr>
            </w:pPr>
            <w:r>
              <w:rPr>
                <w:sz w:val="22"/>
              </w:rPr>
              <w:t>to ensure that: all contract</w:t>
            </w:r>
          </w:p>
        </w:tc>
        <w:tc>
          <w:tcPr>
            <w:tcW w:w="2430" w:type="dxa"/>
            <w:tcBorders>
              <w:top w:val="single" w:sz="18" w:space="0" w:color="4E8542"/>
              <w:bottom w:val="nil"/>
            </w:tcBorders>
            <w:shd w:val="clear" w:color="auto" w:fill="D0E4CA"/>
          </w:tcPr>
          <w:p>
            <w:pPr>
              <w:pStyle w:val="TableParagraph"/>
              <w:spacing w:line="233" w:lineRule="exact"/>
              <w:ind w:left="110"/>
              <w:rPr>
                <w:sz w:val="22"/>
              </w:rPr>
            </w:pPr>
            <w:r>
              <w:rPr>
                <w:sz w:val="22"/>
              </w:rPr>
              <w:t>See </w:t>
            </w:r>
            <w:r>
              <w:rPr>
                <w:color w:val="6B9F24"/>
                <w:sz w:val="22"/>
                <w:u w:val="single" w:color="6B9F24"/>
              </w:rPr>
              <w:t>Appendix C.</w:t>
            </w: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spacing w:line="229" w:lineRule="exact"/>
              <w:ind w:left="108"/>
              <w:rPr>
                <w:sz w:val="22"/>
              </w:rPr>
            </w:pPr>
            <w:r>
              <w:rPr>
                <w:sz w:val="22"/>
              </w:rPr>
              <w:t>benefits of quality living:</w:t>
            </w: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obligations are adhered to</w:t>
            </w:r>
          </w:p>
        </w:tc>
        <w:tc>
          <w:tcPr>
            <w:tcW w:w="2430" w:type="dxa"/>
            <w:tcBorders>
              <w:top w:val="nil"/>
              <w:bottom w:val="nil"/>
            </w:tcBorders>
            <w:shd w:val="clear" w:color="auto" w:fill="D0E4CA"/>
          </w:tcPr>
          <w:p>
            <w:pPr>
              <w:pStyle w:val="TableParagraph"/>
              <w:rPr>
                <w:rFonts w:ascii="Times New Roman"/>
                <w:sz w:val="18"/>
              </w:rPr>
            </w:pPr>
          </w:p>
        </w:tc>
      </w:tr>
      <w:tr>
        <w:trPr>
          <w:trHeight w:val="247"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spacing w:line="228" w:lineRule="exact"/>
              <w:ind w:left="108"/>
              <w:rPr>
                <w:sz w:val="22"/>
              </w:rPr>
            </w:pPr>
            <w:r>
              <w:rPr>
                <w:sz w:val="22"/>
              </w:rPr>
              <w:t>power and choice,</w:t>
            </w: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8" w:lineRule="exact"/>
              <w:ind w:left="106"/>
              <w:rPr>
                <w:sz w:val="22"/>
              </w:rPr>
            </w:pPr>
            <w:r>
              <w:rPr>
                <w:sz w:val="22"/>
              </w:rPr>
              <w:t>including HCBS settings</w:t>
            </w:r>
          </w:p>
        </w:tc>
        <w:tc>
          <w:tcPr>
            <w:tcW w:w="2430" w:type="dxa"/>
            <w:tcBorders>
              <w:top w:val="nil"/>
              <w:bottom w:val="nil"/>
            </w:tcBorders>
            <w:shd w:val="clear" w:color="auto" w:fill="D0E4CA"/>
          </w:tcPr>
          <w:p>
            <w:pPr>
              <w:pStyle w:val="TableParagraph"/>
              <w:rPr>
                <w:rFonts w:ascii="Times New Roman"/>
                <w:sz w:val="18"/>
              </w:rPr>
            </w:pPr>
          </w:p>
        </w:tc>
      </w:tr>
      <w:tr>
        <w:trPr>
          <w:trHeight w:val="247"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spacing w:line="228" w:lineRule="exact"/>
              <w:ind w:left="108"/>
              <w:rPr>
                <w:sz w:val="22"/>
              </w:rPr>
            </w:pPr>
            <w:r>
              <w:rPr>
                <w:sz w:val="22"/>
              </w:rPr>
              <w:t>relationships,</w:t>
            </w: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8" w:lineRule="exact"/>
              <w:ind w:left="106"/>
              <w:rPr>
                <w:sz w:val="22"/>
              </w:rPr>
            </w:pPr>
            <w:r>
              <w:rPr>
                <w:sz w:val="22"/>
              </w:rPr>
              <w:t>compliance, that services to</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spacing w:line="229" w:lineRule="exact"/>
              <w:ind w:left="108"/>
              <w:rPr>
                <w:sz w:val="22"/>
              </w:rPr>
            </w:pPr>
            <w:r>
              <w:rPr>
                <w:sz w:val="22"/>
              </w:rPr>
              <w:t>status/contribution,</w:t>
            </w: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working age adults are</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spacing w:line="229" w:lineRule="exact"/>
              <w:ind w:left="108"/>
              <w:rPr>
                <w:sz w:val="22"/>
              </w:rPr>
            </w:pPr>
            <w:r>
              <w:rPr>
                <w:sz w:val="22"/>
              </w:rPr>
              <w:t>integration, competence,</w:t>
            </w: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consistent with DDA policy;</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spacing w:line="229" w:lineRule="exact"/>
              <w:ind w:left="108"/>
              <w:rPr>
                <w:sz w:val="22"/>
              </w:rPr>
            </w:pPr>
            <w:r>
              <w:rPr>
                <w:sz w:val="22"/>
              </w:rPr>
              <w:t>and health and safety.</w:t>
            </w: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each participant is gainfully</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employed at client’s</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identified job goal or has an</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individual employment plan.</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Additionally, service</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providers submit monthly</w:t>
            </w:r>
          </w:p>
        </w:tc>
        <w:tc>
          <w:tcPr>
            <w:tcW w:w="2430" w:type="dxa"/>
            <w:tcBorders>
              <w:top w:val="nil"/>
              <w:bottom w:val="nil"/>
            </w:tcBorders>
            <w:shd w:val="clear" w:color="auto" w:fill="D0E4CA"/>
          </w:tcPr>
          <w:p>
            <w:pPr>
              <w:pStyle w:val="TableParagraph"/>
              <w:rPr>
                <w:rFonts w:ascii="Times New Roman"/>
                <w:sz w:val="18"/>
              </w:rPr>
            </w:pPr>
          </w:p>
        </w:tc>
      </w:tr>
      <w:tr>
        <w:trPr>
          <w:trHeight w:val="247"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8" w:lineRule="exact"/>
              <w:ind w:left="106"/>
              <w:rPr>
                <w:sz w:val="22"/>
              </w:rPr>
            </w:pPr>
            <w:r>
              <w:rPr>
                <w:sz w:val="22"/>
              </w:rPr>
              <w:t>outcome information to</w:t>
            </w:r>
          </w:p>
        </w:tc>
        <w:tc>
          <w:tcPr>
            <w:tcW w:w="2430" w:type="dxa"/>
            <w:tcBorders>
              <w:top w:val="nil"/>
              <w:bottom w:val="nil"/>
            </w:tcBorders>
            <w:shd w:val="clear" w:color="auto" w:fill="D0E4CA"/>
          </w:tcPr>
          <w:p>
            <w:pPr>
              <w:pStyle w:val="TableParagraph"/>
              <w:rPr>
                <w:rFonts w:ascii="Times New Roman"/>
                <w:sz w:val="18"/>
              </w:rPr>
            </w:pPr>
          </w:p>
        </w:tc>
      </w:tr>
      <w:tr>
        <w:trPr>
          <w:trHeight w:val="247"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8" w:lineRule="exact"/>
              <w:ind w:left="106"/>
              <w:rPr>
                <w:sz w:val="22"/>
              </w:rPr>
            </w:pPr>
            <w:r>
              <w:rPr>
                <w:sz w:val="22"/>
              </w:rPr>
              <w:t>counties and progress</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reports to each client’s case</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resource manager on a semi-</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annual basis.</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Each county completes a 16-</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page self-assessment tool</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every other year which</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assists DDA to prioritize site</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visits. DDA staff conduct on-</w:t>
            </w:r>
          </w:p>
        </w:tc>
        <w:tc>
          <w:tcPr>
            <w:tcW w:w="2430" w:type="dxa"/>
            <w:tcBorders>
              <w:top w:val="nil"/>
              <w:bottom w:val="nil"/>
            </w:tcBorders>
            <w:shd w:val="clear" w:color="auto" w:fill="D0E4CA"/>
          </w:tcPr>
          <w:p>
            <w:pPr>
              <w:pStyle w:val="TableParagraph"/>
              <w:rPr>
                <w:rFonts w:ascii="Times New Roman"/>
                <w:sz w:val="18"/>
              </w:rPr>
            </w:pPr>
          </w:p>
        </w:tc>
      </w:tr>
      <w:tr>
        <w:trPr>
          <w:trHeight w:val="247"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8" w:lineRule="exact"/>
              <w:ind w:left="106"/>
              <w:rPr>
                <w:sz w:val="22"/>
              </w:rPr>
            </w:pPr>
            <w:r>
              <w:rPr>
                <w:sz w:val="22"/>
              </w:rPr>
              <w:t>site quality assessments to</w:t>
            </w:r>
          </w:p>
        </w:tc>
        <w:tc>
          <w:tcPr>
            <w:tcW w:w="2430" w:type="dxa"/>
            <w:tcBorders>
              <w:top w:val="nil"/>
              <w:bottom w:val="nil"/>
            </w:tcBorders>
            <w:shd w:val="clear" w:color="auto" w:fill="D0E4CA"/>
          </w:tcPr>
          <w:p>
            <w:pPr>
              <w:pStyle w:val="TableParagraph"/>
              <w:rPr>
                <w:rFonts w:ascii="Times New Roman"/>
                <w:sz w:val="18"/>
              </w:rPr>
            </w:pPr>
          </w:p>
        </w:tc>
      </w:tr>
      <w:tr>
        <w:trPr>
          <w:trHeight w:val="247"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8" w:lineRule="exact"/>
              <w:ind w:left="106"/>
              <w:rPr>
                <w:sz w:val="22"/>
              </w:rPr>
            </w:pPr>
            <w:r>
              <w:rPr>
                <w:sz w:val="22"/>
              </w:rPr>
              <w:t>every county once every two</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years. DDA has 3 Regional</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Employment Specialists who</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assist with the quality</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assessments. Additionally,</w:t>
            </w:r>
          </w:p>
        </w:tc>
        <w:tc>
          <w:tcPr>
            <w:tcW w:w="2430" w:type="dxa"/>
            <w:tcBorders>
              <w:top w:val="nil"/>
              <w:bottom w:val="nil"/>
            </w:tcBorders>
            <w:shd w:val="clear" w:color="auto" w:fill="D0E4CA"/>
          </w:tcPr>
          <w:p>
            <w:pPr>
              <w:pStyle w:val="TableParagraph"/>
              <w:rPr>
                <w:rFonts w:ascii="Times New Roman"/>
                <w:sz w:val="18"/>
              </w:rPr>
            </w:pPr>
          </w:p>
        </w:tc>
      </w:tr>
      <w:tr>
        <w:trPr>
          <w:trHeight w:val="248" w:hRule="atLeast"/>
        </w:trPr>
        <w:tc>
          <w:tcPr>
            <w:tcW w:w="3422" w:type="dxa"/>
            <w:vMerge/>
            <w:tcBorders>
              <w:top w:val="nil"/>
            </w:tcBorders>
            <w:shd w:val="clear" w:color="auto" w:fill="D0E4CA"/>
          </w:tcPr>
          <w:p>
            <w:pPr>
              <w:rPr>
                <w:sz w:val="2"/>
                <w:szCs w:val="2"/>
              </w:rPr>
            </w:pPr>
          </w:p>
        </w:tc>
        <w:tc>
          <w:tcPr>
            <w:tcW w:w="2858" w:type="dxa"/>
            <w:tcBorders>
              <w:top w:val="nil"/>
              <w:bottom w:val="nil"/>
            </w:tcBorders>
            <w:shd w:val="clear" w:color="auto" w:fill="D0E4CA"/>
          </w:tcPr>
          <w:p>
            <w:pPr>
              <w:pStyle w:val="TableParagraph"/>
              <w:rPr>
                <w:rFonts w:ascii="Times New Roman"/>
                <w:sz w:val="18"/>
              </w:rPr>
            </w:pPr>
          </w:p>
        </w:tc>
        <w:tc>
          <w:tcPr>
            <w:tcW w:w="1408" w:type="dxa"/>
            <w:vMerge/>
            <w:tcBorders>
              <w:top w:val="nil"/>
            </w:tcBorders>
            <w:shd w:val="clear" w:color="auto" w:fill="D0E4CA"/>
          </w:tcPr>
          <w:p>
            <w:pPr>
              <w:rPr>
                <w:sz w:val="2"/>
                <w:szCs w:val="2"/>
              </w:rPr>
            </w:pPr>
          </w:p>
        </w:tc>
        <w:tc>
          <w:tcPr>
            <w:tcW w:w="2819" w:type="dxa"/>
            <w:tcBorders>
              <w:top w:val="nil"/>
              <w:bottom w:val="nil"/>
            </w:tcBorders>
            <w:shd w:val="clear" w:color="auto" w:fill="D0E4CA"/>
          </w:tcPr>
          <w:p>
            <w:pPr>
              <w:pStyle w:val="TableParagraph"/>
              <w:spacing w:line="229" w:lineRule="exact"/>
              <w:ind w:left="106"/>
              <w:rPr>
                <w:sz w:val="22"/>
              </w:rPr>
            </w:pPr>
            <w:r>
              <w:rPr>
                <w:sz w:val="22"/>
              </w:rPr>
              <w:t>DDA review outcome</w:t>
            </w:r>
          </w:p>
        </w:tc>
        <w:tc>
          <w:tcPr>
            <w:tcW w:w="2430" w:type="dxa"/>
            <w:tcBorders>
              <w:top w:val="nil"/>
              <w:bottom w:val="nil"/>
            </w:tcBorders>
            <w:shd w:val="clear" w:color="auto" w:fill="D0E4CA"/>
          </w:tcPr>
          <w:p>
            <w:pPr>
              <w:pStyle w:val="TableParagraph"/>
              <w:rPr>
                <w:rFonts w:ascii="Times New Roman"/>
                <w:sz w:val="18"/>
              </w:rPr>
            </w:pPr>
          </w:p>
        </w:tc>
      </w:tr>
      <w:tr>
        <w:trPr>
          <w:trHeight w:val="239" w:hRule="atLeast"/>
        </w:trPr>
        <w:tc>
          <w:tcPr>
            <w:tcW w:w="3422" w:type="dxa"/>
            <w:vMerge/>
            <w:tcBorders>
              <w:top w:val="nil"/>
            </w:tcBorders>
            <w:shd w:val="clear" w:color="auto" w:fill="D0E4CA"/>
          </w:tcPr>
          <w:p>
            <w:pPr>
              <w:rPr>
                <w:sz w:val="2"/>
                <w:szCs w:val="2"/>
              </w:rPr>
            </w:pPr>
          </w:p>
        </w:tc>
        <w:tc>
          <w:tcPr>
            <w:tcW w:w="2858" w:type="dxa"/>
            <w:tcBorders>
              <w:top w:val="nil"/>
            </w:tcBorders>
            <w:shd w:val="clear" w:color="auto" w:fill="D0E4CA"/>
          </w:tcPr>
          <w:p>
            <w:pPr>
              <w:pStyle w:val="TableParagraph"/>
              <w:rPr>
                <w:rFonts w:ascii="Times New Roman"/>
                <w:sz w:val="16"/>
              </w:rPr>
            </w:pPr>
          </w:p>
        </w:tc>
        <w:tc>
          <w:tcPr>
            <w:tcW w:w="1408" w:type="dxa"/>
            <w:vMerge/>
            <w:tcBorders>
              <w:top w:val="nil"/>
            </w:tcBorders>
            <w:shd w:val="clear" w:color="auto" w:fill="D0E4CA"/>
          </w:tcPr>
          <w:p>
            <w:pPr>
              <w:rPr>
                <w:sz w:val="2"/>
                <w:szCs w:val="2"/>
              </w:rPr>
            </w:pPr>
          </w:p>
        </w:tc>
        <w:tc>
          <w:tcPr>
            <w:tcW w:w="2819" w:type="dxa"/>
            <w:tcBorders>
              <w:top w:val="nil"/>
            </w:tcBorders>
            <w:shd w:val="clear" w:color="auto" w:fill="D0E4CA"/>
          </w:tcPr>
          <w:p>
            <w:pPr>
              <w:pStyle w:val="TableParagraph"/>
              <w:spacing w:line="219" w:lineRule="exact"/>
              <w:ind w:left="106"/>
              <w:rPr>
                <w:sz w:val="22"/>
              </w:rPr>
            </w:pPr>
            <w:r>
              <w:rPr>
                <w:sz w:val="22"/>
              </w:rPr>
              <w:t>information for trends and</w:t>
            </w:r>
          </w:p>
        </w:tc>
        <w:tc>
          <w:tcPr>
            <w:tcW w:w="2430" w:type="dxa"/>
            <w:tcBorders>
              <w:top w:val="nil"/>
            </w:tcBorders>
            <w:shd w:val="clear" w:color="auto" w:fill="D0E4CA"/>
          </w:tcPr>
          <w:p>
            <w:pPr>
              <w:pStyle w:val="TableParagraph"/>
              <w:rPr>
                <w:rFonts w:ascii="Times New Roman"/>
                <w:sz w:val="16"/>
              </w:rPr>
            </w:pPr>
          </w:p>
        </w:tc>
      </w:tr>
    </w:tbl>
    <w:p>
      <w:pPr>
        <w:pStyle w:val="BodyText"/>
        <w:spacing w:before="8"/>
        <w:rPr>
          <w:b/>
          <w:sz w:val="15"/>
        </w:rPr>
      </w:pPr>
      <w:r>
        <w:rPr/>
        <w:pict>
          <v:shape style="position:absolute;margin-left:70.559998pt;margin-top:11.75950pt;width:650.9pt;height:.1pt;mso-position-horizontal-relative:page;mso-position-vertical-relative:paragraph;z-index:-251583488;mso-wrap-distance-left:0;mso-wrap-distance-right:0" coordorigin="1411,235" coordsize="13018,0" path="m1411,235l14429,235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22"/>
        <w:gridCol w:w="2858"/>
        <w:gridCol w:w="1408"/>
        <w:gridCol w:w="2819"/>
        <w:gridCol w:w="2430"/>
      </w:tblGrid>
      <w:tr>
        <w:trPr>
          <w:trHeight w:val="879" w:hRule="atLeast"/>
        </w:trPr>
        <w:tc>
          <w:tcPr>
            <w:tcW w:w="3422" w:type="dxa"/>
            <w:tcBorders>
              <w:bottom w:val="single" w:sz="18" w:space="0" w:color="4E8542"/>
            </w:tcBorders>
          </w:tcPr>
          <w:p>
            <w:pPr>
              <w:pStyle w:val="TableParagraph"/>
              <w:spacing w:line="292" w:lineRule="exact"/>
              <w:ind w:left="225"/>
              <w:rPr>
                <w:b/>
                <w:sz w:val="24"/>
              </w:rPr>
            </w:pPr>
            <w:r>
              <w:rPr>
                <w:b/>
                <w:sz w:val="24"/>
              </w:rPr>
              <w:t>Characteristics/Requirements</w:t>
            </w:r>
          </w:p>
        </w:tc>
        <w:tc>
          <w:tcPr>
            <w:tcW w:w="2858" w:type="dxa"/>
            <w:tcBorders>
              <w:bottom w:val="single" w:sz="18" w:space="0" w:color="4E8542"/>
            </w:tcBorders>
          </w:tcPr>
          <w:p>
            <w:pPr>
              <w:pStyle w:val="TableParagraph"/>
              <w:ind w:left="132" w:right="112"/>
              <w:jc w:val="center"/>
              <w:rPr>
                <w:b/>
                <w:sz w:val="24"/>
              </w:rPr>
            </w:pPr>
            <w:r>
              <w:rPr>
                <w:b/>
                <w:sz w:val="24"/>
              </w:rPr>
              <w:t>DDA Individual Supported Employment</w:t>
            </w:r>
          </w:p>
          <w:p>
            <w:pPr>
              <w:pStyle w:val="TableParagraph"/>
              <w:spacing w:line="274" w:lineRule="exact"/>
              <w:ind w:left="132" w:right="111"/>
              <w:jc w:val="center"/>
              <w:rPr>
                <w:b/>
                <w:sz w:val="24"/>
              </w:rPr>
            </w:pPr>
            <w:r>
              <w:rPr>
                <w:b/>
                <w:sz w:val="24"/>
              </w:rPr>
              <w:t>State Evaluation</w:t>
            </w:r>
          </w:p>
        </w:tc>
        <w:tc>
          <w:tcPr>
            <w:tcW w:w="1408" w:type="dxa"/>
            <w:tcBorders>
              <w:bottom w:val="single" w:sz="18" w:space="0" w:color="4E8542"/>
            </w:tcBorders>
          </w:tcPr>
          <w:p>
            <w:pPr>
              <w:pStyle w:val="TableParagraph"/>
              <w:ind w:left="446" w:right="82" w:hanging="327"/>
              <w:rPr>
                <w:b/>
                <w:sz w:val="24"/>
              </w:rPr>
            </w:pPr>
            <w:r>
              <w:rPr>
                <w:b/>
                <w:sz w:val="24"/>
              </w:rPr>
              <w:t>Compliance Level</w:t>
            </w:r>
          </w:p>
        </w:tc>
        <w:tc>
          <w:tcPr>
            <w:tcW w:w="2819" w:type="dxa"/>
            <w:tcBorders>
              <w:bottom w:val="single" w:sz="18" w:space="0" w:color="4E8542"/>
            </w:tcBorders>
          </w:tcPr>
          <w:p>
            <w:pPr>
              <w:pStyle w:val="TableParagraph"/>
              <w:spacing w:line="292" w:lineRule="exact"/>
              <w:ind w:left="524"/>
              <w:rPr>
                <w:b/>
                <w:sz w:val="24"/>
              </w:rPr>
            </w:pPr>
            <w:r>
              <w:rPr>
                <w:b/>
                <w:sz w:val="24"/>
              </w:rPr>
              <w:t>Oversight Process</w:t>
            </w:r>
          </w:p>
        </w:tc>
        <w:tc>
          <w:tcPr>
            <w:tcW w:w="2430" w:type="dxa"/>
            <w:tcBorders>
              <w:bottom w:val="single" w:sz="18" w:space="0" w:color="4E8542"/>
            </w:tcBorders>
          </w:tcPr>
          <w:p>
            <w:pPr>
              <w:pStyle w:val="TableParagraph"/>
              <w:spacing w:line="292" w:lineRule="exact"/>
              <w:ind w:left="575"/>
              <w:rPr>
                <w:b/>
                <w:sz w:val="24"/>
              </w:rPr>
            </w:pPr>
            <w:r>
              <w:rPr>
                <w:b/>
                <w:sz w:val="24"/>
              </w:rPr>
              <w:t>Remediation</w:t>
            </w:r>
          </w:p>
        </w:tc>
      </w:tr>
      <w:tr>
        <w:trPr>
          <w:trHeight w:val="2122" w:hRule="atLeast"/>
        </w:trPr>
        <w:tc>
          <w:tcPr>
            <w:tcW w:w="3422" w:type="dxa"/>
            <w:tcBorders>
              <w:top w:val="single" w:sz="18" w:space="0" w:color="4E8542"/>
            </w:tcBorders>
            <w:shd w:val="clear" w:color="auto" w:fill="D0E4CA"/>
          </w:tcPr>
          <w:p>
            <w:pPr>
              <w:pStyle w:val="TableParagraph"/>
              <w:rPr>
                <w:rFonts w:ascii="Times New Roman"/>
                <w:sz w:val="22"/>
              </w:rPr>
            </w:pPr>
          </w:p>
        </w:tc>
        <w:tc>
          <w:tcPr>
            <w:tcW w:w="2858" w:type="dxa"/>
            <w:tcBorders>
              <w:top w:val="single" w:sz="18" w:space="0" w:color="4E8542"/>
            </w:tcBorders>
            <w:shd w:val="clear" w:color="auto" w:fill="D0E4CA"/>
          </w:tcPr>
          <w:p>
            <w:pPr>
              <w:pStyle w:val="TableParagraph"/>
              <w:rPr>
                <w:rFonts w:ascii="Times New Roman"/>
                <w:sz w:val="22"/>
              </w:rPr>
            </w:pPr>
          </w:p>
        </w:tc>
        <w:tc>
          <w:tcPr>
            <w:tcW w:w="1408" w:type="dxa"/>
            <w:tcBorders>
              <w:top w:val="single" w:sz="18" w:space="0" w:color="4E8542"/>
            </w:tcBorders>
            <w:shd w:val="clear" w:color="auto" w:fill="D0E4CA"/>
          </w:tcPr>
          <w:p>
            <w:pPr>
              <w:pStyle w:val="TableParagraph"/>
              <w:rPr>
                <w:rFonts w:ascii="Times New Roman"/>
                <w:sz w:val="22"/>
              </w:rPr>
            </w:pPr>
          </w:p>
        </w:tc>
        <w:tc>
          <w:tcPr>
            <w:tcW w:w="2819" w:type="dxa"/>
            <w:tcBorders>
              <w:top w:val="single" w:sz="18" w:space="0" w:color="4E8542"/>
            </w:tcBorders>
            <w:shd w:val="clear" w:color="auto" w:fill="D0E4CA"/>
          </w:tcPr>
          <w:p>
            <w:pPr>
              <w:pStyle w:val="TableParagraph"/>
              <w:spacing w:line="243" w:lineRule="exact"/>
              <w:ind w:left="106"/>
              <w:rPr>
                <w:sz w:val="22"/>
              </w:rPr>
            </w:pPr>
            <w:r>
              <w:rPr>
                <w:sz w:val="22"/>
              </w:rPr>
              <w:t>patterns on a County-by -</w:t>
            </w:r>
          </w:p>
          <w:p>
            <w:pPr>
              <w:pStyle w:val="TableParagraph"/>
              <w:ind w:left="106"/>
              <w:rPr>
                <w:sz w:val="22"/>
              </w:rPr>
            </w:pPr>
            <w:r>
              <w:rPr>
                <w:sz w:val="22"/>
              </w:rPr>
              <w:t>County basis monthly.</w:t>
            </w:r>
          </w:p>
          <w:p>
            <w:pPr>
              <w:pStyle w:val="TableParagraph"/>
              <w:spacing w:before="9"/>
              <w:rPr>
                <w:b/>
                <w:sz w:val="21"/>
              </w:rPr>
            </w:pPr>
          </w:p>
          <w:p>
            <w:pPr>
              <w:pStyle w:val="TableParagraph"/>
              <w:spacing w:line="270" w:lineRule="atLeast"/>
              <w:ind w:left="106" w:right="85"/>
              <w:rPr>
                <w:sz w:val="22"/>
              </w:rPr>
            </w:pPr>
            <w:r>
              <w:rPr>
                <w:sz w:val="22"/>
              </w:rPr>
              <w:t>On-site inspections ensure homes meet all licensing and certification requirements in WAC and RCW, including WAC 388-823-1095.</w:t>
            </w:r>
          </w:p>
        </w:tc>
        <w:tc>
          <w:tcPr>
            <w:tcW w:w="2430" w:type="dxa"/>
            <w:tcBorders>
              <w:top w:val="single" w:sz="18" w:space="0" w:color="4E8542"/>
            </w:tcBorders>
            <w:shd w:val="clear" w:color="auto" w:fill="D0E4CA"/>
          </w:tcPr>
          <w:p>
            <w:pPr>
              <w:pStyle w:val="TableParagraph"/>
              <w:rPr>
                <w:rFonts w:ascii="Times New Roman"/>
                <w:sz w:val="22"/>
              </w:rPr>
            </w:pPr>
          </w:p>
        </w:tc>
      </w:tr>
      <w:tr>
        <w:trPr>
          <w:trHeight w:val="5637" w:hRule="atLeast"/>
        </w:trPr>
        <w:tc>
          <w:tcPr>
            <w:tcW w:w="3422" w:type="dxa"/>
          </w:tcPr>
          <w:p>
            <w:pPr>
              <w:pStyle w:val="TableParagraph"/>
              <w:ind w:left="107" w:right="244"/>
              <w:rPr>
                <w:b/>
                <w:sz w:val="22"/>
              </w:rPr>
            </w:pPr>
            <w:r>
              <w:rPr>
                <w:b/>
                <w:sz w:val="22"/>
              </w:rPr>
              <w:t>Individual initiative, autonomy, and independence in making life choices, including but not limited to, daily activities, physical environment, and with whom to interact are optimized and not regimented.</w:t>
            </w:r>
          </w:p>
        </w:tc>
        <w:tc>
          <w:tcPr>
            <w:tcW w:w="2858" w:type="dxa"/>
          </w:tcPr>
          <w:p>
            <w:pPr>
              <w:pStyle w:val="TableParagraph"/>
              <w:ind w:left="108" w:right="76"/>
              <w:rPr>
                <w:sz w:val="22"/>
              </w:rPr>
            </w:pPr>
            <w:hyperlink r:id="rId23">
              <w:r>
                <w:rPr>
                  <w:color w:val="6B9F24"/>
                  <w:sz w:val="22"/>
                  <w:u w:val="single" w:color="6B9F24"/>
                </w:rPr>
                <w:t>WAC 388-823-1095</w:t>
              </w:r>
              <w:r>
                <w:rPr>
                  <w:color w:val="6B9F24"/>
                  <w:sz w:val="22"/>
                </w:rPr>
                <w:t> </w:t>
              </w:r>
            </w:hyperlink>
            <w:r>
              <w:rPr>
                <w:sz w:val="22"/>
              </w:rPr>
              <w:t>My rights as a DDA client.</w:t>
            </w:r>
          </w:p>
          <w:p>
            <w:pPr>
              <w:pStyle w:val="TableParagraph"/>
              <w:spacing w:before="7"/>
              <w:rPr>
                <w:b/>
                <w:sz w:val="21"/>
              </w:rPr>
            </w:pPr>
          </w:p>
          <w:p>
            <w:pPr>
              <w:pStyle w:val="TableParagraph"/>
              <w:ind w:left="108" w:right="127"/>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 include the following benefits of quality living: power and choice, relationships, status/contribution, integration, competence and health and safety.</w:t>
            </w:r>
          </w:p>
        </w:tc>
        <w:tc>
          <w:tcPr>
            <w:tcW w:w="1408" w:type="dxa"/>
          </w:tcPr>
          <w:p>
            <w:pPr>
              <w:pStyle w:val="TableParagraph"/>
              <w:ind w:left="108" w:right="339"/>
              <w:rPr>
                <w:sz w:val="22"/>
              </w:rPr>
            </w:pPr>
            <w:r>
              <w:rPr>
                <w:sz w:val="22"/>
              </w:rPr>
              <w:t>Partially Compliant</w:t>
            </w:r>
          </w:p>
        </w:tc>
        <w:tc>
          <w:tcPr>
            <w:tcW w:w="2819" w:type="dxa"/>
          </w:tcPr>
          <w:p>
            <w:pPr>
              <w:pStyle w:val="TableParagraph"/>
              <w:ind w:left="106" w:right="84"/>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 service providers at minimum once per biennium 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 providers submit monthly outcome information to counties and progress</w:t>
            </w:r>
          </w:p>
          <w:p>
            <w:pPr>
              <w:pStyle w:val="TableParagraph"/>
              <w:spacing w:line="251" w:lineRule="exact"/>
              <w:ind w:left="106"/>
              <w:rPr>
                <w:sz w:val="22"/>
              </w:rPr>
            </w:pPr>
            <w:r>
              <w:rPr>
                <w:sz w:val="22"/>
              </w:rPr>
              <w:t>reports to each client’s case</w:t>
            </w:r>
          </w:p>
        </w:tc>
        <w:tc>
          <w:tcPr>
            <w:tcW w:w="2430" w:type="dxa"/>
          </w:tcPr>
          <w:p>
            <w:pPr>
              <w:pStyle w:val="TableParagraph"/>
              <w:ind w:left="110" w:right="82"/>
              <w:rPr>
                <w:sz w:val="22"/>
              </w:rPr>
            </w:pPr>
            <w:r>
              <w:rPr>
                <w:sz w:val="22"/>
              </w:rPr>
              <w:t>Revising WAC 388-823- 1095 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rPr>
          <w:b/>
          <w:sz w:val="20"/>
        </w:rPr>
      </w:pPr>
    </w:p>
    <w:p>
      <w:pPr>
        <w:pStyle w:val="BodyText"/>
        <w:spacing w:before="11"/>
        <w:rPr>
          <w:b/>
          <w:sz w:val="15"/>
        </w:rPr>
      </w:pPr>
      <w:r>
        <w:rPr/>
        <w:pict>
          <v:shape style="position:absolute;margin-left:70.559998pt;margin-top:11.912469pt;width:650.9pt;height:.1pt;mso-position-horizontal-relative:page;mso-position-vertical-relative:paragraph;z-index:-251582464;mso-wrap-distance-left:0;mso-wrap-distance-right:0" coordorigin="1411,238" coordsize="13018,0" path="m1411,238l14429,238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22"/>
        <w:gridCol w:w="2858"/>
        <w:gridCol w:w="1408"/>
        <w:gridCol w:w="2819"/>
        <w:gridCol w:w="2430"/>
      </w:tblGrid>
      <w:tr>
        <w:trPr>
          <w:trHeight w:val="879" w:hRule="atLeast"/>
        </w:trPr>
        <w:tc>
          <w:tcPr>
            <w:tcW w:w="3422" w:type="dxa"/>
            <w:tcBorders>
              <w:bottom w:val="single" w:sz="18" w:space="0" w:color="4E8542"/>
            </w:tcBorders>
          </w:tcPr>
          <w:p>
            <w:pPr>
              <w:pStyle w:val="TableParagraph"/>
              <w:spacing w:line="292" w:lineRule="exact"/>
              <w:ind w:left="225"/>
              <w:rPr>
                <w:b/>
                <w:sz w:val="24"/>
              </w:rPr>
            </w:pPr>
            <w:r>
              <w:rPr>
                <w:b/>
                <w:sz w:val="24"/>
              </w:rPr>
              <w:t>Characteristics/Requirements</w:t>
            </w:r>
          </w:p>
        </w:tc>
        <w:tc>
          <w:tcPr>
            <w:tcW w:w="2858" w:type="dxa"/>
            <w:tcBorders>
              <w:bottom w:val="single" w:sz="18" w:space="0" w:color="4E8542"/>
            </w:tcBorders>
          </w:tcPr>
          <w:p>
            <w:pPr>
              <w:pStyle w:val="TableParagraph"/>
              <w:ind w:left="132" w:right="112"/>
              <w:jc w:val="center"/>
              <w:rPr>
                <w:b/>
                <w:sz w:val="24"/>
              </w:rPr>
            </w:pPr>
            <w:r>
              <w:rPr>
                <w:b/>
                <w:sz w:val="24"/>
              </w:rPr>
              <w:t>DDA Individual Supported Employment</w:t>
            </w:r>
          </w:p>
          <w:p>
            <w:pPr>
              <w:pStyle w:val="TableParagraph"/>
              <w:spacing w:line="274" w:lineRule="exact"/>
              <w:ind w:left="132" w:right="111"/>
              <w:jc w:val="center"/>
              <w:rPr>
                <w:b/>
                <w:sz w:val="24"/>
              </w:rPr>
            </w:pPr>
            <w:r>
              <w:rPr>
                <w:b/>
                <w:sz w:val="24"/>
              </w:rPr>
              <w:t>State Evaluation</w:t>
            </w:r>
          </w:p>
        </w:tc>
        <w:tc>
          <w:tcPr>
            <w:tcW w:w="1408" w:type="dxa"/>
            <w:tcBorders>
              <w:bottom w:val="single" w:sz="18" w:space="0" w:color="4E8542"/>
            </w:tcBorders>
          </w:tcPr>
          <w:p>
            <w:pPr>
              <w:pStyle w:val="TableParagraph"/>
              <w:ind w:left="446" w:right="82" w:hanging="327"/>
              <w:rPr>
                <w:b/>
                <w:sz w:val="24"/>
              </w:rPr>
            </w:pPr>
            <w:r>
              <w:rPr>
                <w:b/>
                <w:sz w:val="24"/>
              </w:rPr>
              <w:t>Compliance Level</w:t>
            </w:r>
          </w:p>
        </w:tc>
        <w:tc>
          <w:tcPr>
            <w:tcW w:w="2819" w:type="dxa"/>
            <w:tcBorders>
              <w:bottom w:val="single" w:sz="18" w:space="0" w:color="4E8542"/>
            </w:tcBorders>
          </w:tcPr>
          <w:p>
            <w:pPr>
              <w:pStyle w:val="TableParagraph"/>
              <w:spacing w:line="292" w:lineRule="exact"/>
              <w:ind w:left="524"/>
              <w:rPr>
                <w:b/>
                <w:sz w:val="24"/>
              </w:rPr>
            </w:pPr>
            <w:r>
              <w:rPr>
                <w:b/>
                <w:sz w:val="24"/>
              </w:rPr>
              <w:t>Oversight Process</w:t>
            </w:r>
          </w:p>
        </w:tc>
        <w:tc>
          <w:tcPr>
            <w:tcW w:w="2430" w:type="dxa"/>
            <w:tcBorders>
              <w:bottom w:val="single" w:sz="18" w:space="0" w:color="4E8542"/>
            </w:tcBorders>
          </w:tcPr>
          <w:p>
            <w:pPr>
              <w:pStyle w:val="TableParagraph"/>
              <w:spacing w:line="292" w:lineRule="exact"/>
              <w:ind w:left="575"/>
              <w:rPr>
                <w:b/>
                <w:sz w:val="24"/>
              </w:rPr>
            </w:pPr>
            <w:r>
              <w:rPr>
                <w:b/>
                <w:sz w:val="24"/>
              </w:rPr>
              <w:t>Remediation</w:t>
            </w:r>
          </w:p>
        </w:tc>
      </w:tr>
      <w:tr>
        <w:trPr>
          <w:trHeight w:val="6418" w:hRule="atLeast"/>
        </w:trPr>
        <w:tc>
          <w:tcPr>
            <w:tcW w:w="3422" w:type="dxa"/>
            <w:tcBorders>
              <w:top w:val="single" w:sz="18" w:space="0" w:color="4E8542"/>
            </w:tcBorders>
          </w:tcPr>
          <w:p>
            <w:pPr>
              <w:pStyle w:val="TableParagraph"/>
              <w:rPr>
                <w:rFonts w:ascii="Times New Roman"/>
                <w:sz w:val="22"/>
              </w:rPr>
            </w:pPr>
          </w:p>
        </w:tc>
        <w:tc>
          <w:tcPr>
            <w:tcW w:w="2858" w:type="dxa"/>
            <w:tcBorders>
              <w:top w:val="single" w:sz="18" w:space="0" w:color="4E8542"/>
            </w:tcBorders>
          </w:tcPr>
          <w:p>
            <w:pPr>
              <w:pStyle w:val="TableParagraph"/>
              <w:rPr>
                <w:rFonts w:ascii="Times New Roman"/>
                <w:sz w:val="22"/>
              </w:rPr>
            </w:pPr>
          </w:p>
        </w:tc>
        <w:tc>
          <w:tcPr>
            <w:tcW w:w="1408" w:type="dxa"/>
            <w:tcBorders>
              <w:top w:val="single" w:sz="18" w:space="0" w:color="4E8542"/>
            </w:tcBorders>
          </w:tcPr>
          <w:p>
            <w:pPr>
              <w:pStyle w:val="TableParagraph"/>
              <w:rPr>
                <w:rFonts w:ascii="Times New Roman"/>
                <w:sz w:val="22"/>
              </w:rPr>
            </w:pPr>
          </w:p>
        </w:tc>
        <w:tc>
          <w:tcPr>
            <w:tcW w:w="2819" w:type="dxa"/>
            <w:tcBorders>
              <w:top w:val="single" w:sz="18" w:space="0" w:color="4E8542"/>
            </w:tcBorders>
          </w:tcPr>
          <w:p>
            <w:pPr>
              <w:pStyle w:val="TableParagraph"/>
              <w:spacing w:line="243" w:lineRule="exact"/>
              <w:ind w:left="106"/>
              <w:rPr>
                <w:sz w:val="22"/>
              </w:rPr>
            </w:pPr>
            <w:r>
              <w:rPr>
                <w:sz w:val="22"/>
              </w:rPr>
              <w:t>resource manager on a semi-</w:t>
            </w:r>
          </w:p>
          <w:p>
            <w:pPr>
              <w:pStyle w:val="TableParagraph"/>
              <w:ind w:left="106"/>
              <w:rPr>
                <w:sz w:val="22"/>
              </w:rPr>
            </w:pPr>
            <w:r>
              <w:rPr>
                <w:sz w:val="22"/>
              </w:rPr>
              <w:t>annual basis.</w:t>
            </w:r>
          </w:p>
          <w:p>
            <w:pPr>
              <w:pStyle w:val="TableParagraph"/>
              <w:spacing w:before="10"/>
              <w:rPr>
                <w:b/>
                <w:sz w:val="21"/>
              </w:rPr>
            </w:pPr>
          </w:p>
          <w:p>
            <w:pPr>
              <w:pStyle w:val="TableParagraph"/>
              <w:ind w:left="106" w:right="90"/>
              <w:rPr>
                <w:sz w:val="22"/>
              </w:rPr>
            </w:pPr>
            <w:r>
              <w:rPr>
                <w:sz w:val="22"/>
              </w:rPr>
              <w:t>Each county completes a 16- page self-assessment tool every other year which assists DDA to prioritize site visits. DDA staff conduct on- site quality assessments to every county once every two years. DDA has 3 Regional Employment Specialists who assist with the quality assessments. Additionally, DDA review outcome information for trends and patterns on a county-by - county basis monthly.</w:t>
            </w:r>
          </w:p>
          <w:p>
            <w:pPr>
              <w:pStyle w:val="TableParagraph"/>
              <w:spacing w:before="2"/>
              <w:rPr>
                <w:b/>
                <w:sz w:val="22"/>
              </w:rPr>
            </w:pPr>
          </w:p>
          <w:p>
            <w:pPr>
              <w:pStyle w:val="TableParagraph"/>
              <w:ind w:left="106" w:right="85"/>
              <w:rPr>
                <w:sz w:val="22"/>
              </w:rPr>
            </w:pPr>
            <w:r>
              <w:rPr>
                <w:sz w:val="22"/>
              </w:rPr>
              <w:t>On-site inspections ensure homes meet all licensing and certification requirements in WAC and RCW, including</w:t>
            </w:r>
          </w:p>
          <w:p>
            <w:pPr>
              <w:pStyle w:val="TableParagraph"/>
              <w:spacing w:line="248" w:lineRule="exact"/>
              <w:ind w:left="106"/>
              <w:rPr>
                <w:sz w:val="22"/>
              </w:rPr>
            </w:pPr>
            <w:r>
              <w:rPr>
                <w:sz w:val="22"/>
              </w:rPr>
              <w:t>WAC 388-823-1095.</w:t>
            </w:r>
          </w:p>
        </w:tc>
        <w:tc>
          <w:tcPr>
            <w:tcW w:w="2430" w:type="dxa"/>
            <w:tcBorders>
              <w:top w:val="single" w:sz="18" w:space="0" w:color="4E8542"/>
            </w:tcBorders>
          </w:tcPr>
          <w:p>
            <w:pPr>
              <w:pStyle w:val="TableParagraph"/>
              <w:rPr>
                <w:rFonts w:ascii="Times New Roman"/>
                <w:sz w:val="22"/>
              </w:rPr>
            </w:pPr>
          </w:p>
        </w:tc>
      </w:tr>
      <w:tr>
        <w:trPr>
          <w:trHeight w:val="1611" w:hRule="atLeast"/>
        </w:trPr>
        <w:tc>
          <w:tcPr>
            <w:tcW w:w="3422" w:type="dxa"/>
            <w:shd w:val="clear" w:color="auto" w:fill="D0E4CA"/>
          </w:tcPr>
          <w:p>
            <w:pPr>
              <w:pStyle w:val="TableParagraph"/>
              <w:spacing w:before="1"/>
              <w:ind w:left="107" w:right="401"/>
              <w:rPr>
                <w:b/>
                <w:sz w:val="22"/>
              </w:rPr>
            </w:pPr>
            <w:r>
              <w:rPr>
                <w:b/>
                <w:sz w:val="22"/>
              </w:rPr>
              <w:t>Individual choice regarding services and supports, and who provides them, is facilitated.</w:t>
            </w:r>
          </w:p>
        </w:tc>
        <w:tc>
          <w:tcPr>
            <w:tcW w:w="2858" w:type="dxa"/>
            <w:shd w:val="clear" w:color="auto" w:fill="D0E4CA"/>
          </w:tcPr>
          <w:p>
            <w:pPr>
              <w:pStyle w:val="TableParagraph"/>
              <w:spacing w:before="1"/>
              <w:ind w:left="108" w:right="76"/>
              <w:rPr>
                <w:sz w:val="22"/>
              </w:rPr>
            </w:pPr>
            <w:hyperlink r:id="rId23">
              <w:r>
                <w:rPr>
                  <w:color w:val="6B9F24"/>
                  <w:sz w:val="22"/>
                  <w:u w:val="single" w:color="6B9F24"/>
                </w:rPr>
                <w:t>WAC 388-823-1095</w:t>
              </w:r>
              <w:r>
                <w:rPr>
                  <w:color w:val="6B9F24"/>
                  <w:sz w:val="22"/>
                </w:rPr>
                <w:t> </w:t>
              </w:r>
            </w:hyperlink>
            <w:r>
              <w:rPr>
                <w:sz w:val="22"/>
              </w:rPr>
              <w:t>My rights as a DDA client.</w:t>
            </w:r>
          </w:p>
          <w:p>
            <w:pPr>
              <w:pStyle w:val="TableParagraph"/>
              <w:spacing w:before="9"/>
              <w:rPr>
                <w:b/>
                <w:sz w:val="21"/>
              </w:rPr>
            </w:pPr>
          </w:p>
          <w:p>
            <w:pPr>
              <w:pStyle w:val="TableParagraph"/>
              <w:spacing w:line="270" w:lineRule="atLeast"/>
              <w:ind w:left="108" w:right="326"/>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w:t>
            </w:r>
          </w:p>
        </w:tc>
        <w:tc>
          <w:tcPr>
            <w:tcW w:w="1408" w:type="dxa"/>
            <w:shd w:val="clear" w:color="auto" w:fill="D0E4CA"/>
          </w:tcPr>
          <w:p>
            <w:pPr>
              <w:pStyle w:val="TableParagraph"/>
              <w:spacing w:before="1"/>
              <w:ind w:left="108" w:right="339"/>
              <w:rPr>
                <w:sz w:val="22"/>
              </w:rPr>
            </w:pPr>
            <w:r>
              <w:rPr>
                <w:sz w:val="22"/>
              </w:rPr>
              <w:t>Partially Compliant</w:t>
            </w:r>
          </w:p>
        </w:tc>
        <w:tc>
          <w:tcPr>
            <w:tcW w:w="2819" w:type="dxa"/>
            <w:shd w:val="clear" w:color="auto" w:fill="D0E4CA"/>
          </w:tcPr>
          <w:p>
            <w:pPr>
              <w:pStyle w:val="TableParagraph"/>
              <w:spacing w:before="1"/>
              <w:ind w:left="106" w:right="129"/>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 service providers at</w:t>
            </w:r>
          </w:p>
          <w:p>
            <w:pPr>
              <w:pStyle w:val="TableParagraph"/>
              <w:spacing w:line="248" w:lineRule="exact"/>
              <w:ind w:left="106"/>
              <w:rPr>
                <w:sz w:val="22"/>
              </w:rPr>
            </w:pPr>
            <w:r>
              <w:rPr>
                <w:sz w:val="22"/>
              </w:rPr>
              <w:t>minimum once per biennium</w:t>
            </w:r>
          </w:p>
        </w:tc>
        <w:tc>
          <w:tcPr>
            <w:tcW w:w="2430" w:type="dxa"/>
            <w:shd w:val="clear" w:color="auto" w:fill="D0E4CA"/>
          </w:tcPr>
          <w:p>
            <w:pPr>
              <w:pStyle w:val="TableParagraph"/>
              <w:spacing w:before="1"/>
              <w:ind w:left="110" w:right="82"/>
              <w:rPr>
                <w:sz w:val="22"/>
              </w:rPr>
            </w:pPr>
            <w:r>
              <w:rPr>
                <w:sz w:val="22"/>
              </w:rPr>
              <w:t>Revising WAC 388-823- 1095 to include all rights listed in the HCBS rules and adding language to the contracts</w:t>
            </w:r>
            <w:r>
              <w:rPr>
                <w:spacing w:val="-2"/>
                <w:sz w:val="22"/>
              </w:rPr>
              <w:t> </w:t>
            </w:r>
            <w:r>
              <w:rPr>
                <w:sz w:val="22"/>
              </w:rPr>
              <w:t>requiring</w:t>
            </w:r>
          </w:p>
          <w:p>
            <w:pPr>
              <w:pStyle w:val="TableParagraph"/>
              <w:spacing w:line="248" w:lineRule="exact"/>
              <w:ind w:left="110"/>
              <w:rPr>
                <w:sz w:val="22"/>
              </w:rPr>
            </w:pPr>
            <w:r>
              <w:rPr>
                <w:sz w:val="22"/>
              </w:rPr>
              <w:t>adherence to the</w:t>
            </w:r>
            <w:r>
              <w:rPr>
                <w:spacing w:val="-6"/>
                <w:sz w:val="22"/>
              </w:rPr>
              <w:t> </w:t>
            </w:r>
            <w:r>
              <w:rPr>
                <w:sz w:val="22"/>
              </w:rPr>
              <w:t>WAC.</w:t>
            </w:r>
          </w:p>
        </w:tc>
      </w:tr>
    </w:tbl>
    <w:p>
      <w:pPr>
        <w:pStyle w:val="BodyText"/>
        <w:spacing w:before="1"/>
        <w:rPr>
          <w:b/>
          <w:sz w:val="14"/>
        </w:rPr>
      </w:pPr>
      <w:r>
        <w:rPr/>
        <w:pict>
          <v:shape style="position:absolute;margin-left:70.559998pt;margin-top:10.7995pt;width:650.9pt;height:.1pt;mso-position-horizontal-relative:page;mso-position-vertical-relative:paragraph;z-index:-251581440;mso-wrap-distance-left:0;mso-wrap-distance-right:0" coordorigin="1411,216" coordsize="13018,0" path="m1411,216l14429,216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22"/>
        <w:gridCol w:w="2858"/>
        <w:gridCol w:w="1408"/>
        <w:gridCol w:w="2819"/>
        <w:gridCol w:w="2430"/>
      </w:tblGrid>
      <w:tr>
        <w:trPr>
          <w:trHeight w:val="879" w:hRule="atLeast"/>
        </w:trPr>
        <w:tc>
          <w:tcPr>
            <w:tcW w:w="3422" w:type="dxa"/>
            <w:tcBorders>
              <w:bottom w:val="single" w:sz="18" w:space="0" w:color="4E8542"/>
            </w:tcBorders>
          </w:tcPr>
          <w:p>
            <w:pPr>
              <w:pStyle w:val="TableParagraph"/>
              <w:spacing w:line="292" w:lineRule="exact"/>
              <w:ind w:left="225"/>
              <w:rPr>
                <w:b/>
                <w:sz w:val="24"/>
              </w:rPr>
            </w:pPr>
            <w:r>
              <w:rPr>
                <w:b/>
                <w:sz w:val="24"/>
              </w:rPr>
              <w:t>Characteristics/Requirements</w:t>
            </w:r>
          </w:p>
        </w:tc>
        <w:tc>
          <w:tcPr>
            <w:tcW w:w="2858" w:type="dxa"/>
            <w:tcBorders>
              <w:bottom w:val="single" w:sz="18" w:space="0" w:color="4E8542"/>
            </w:tcBorders>
          </w:tcPr>
          <w:p>
            <w:pPr>
              <w:pStyle w:val="TableParagraph"/>
              <w:ind w:left="132" w:right="112"/>
              <w:jc w:val="center"/>
              <w:rPr>
                <w:b/>
                <w:sz w:val="24"/>
              </w:rPr>
            </w:pPr>
            <w:r>
              <w:rPr>
                <w:b/>
                <w:sz w:val="24"/>
              </w:rPr>
              <w:t>DDA Individual Supported Employment</w:t>
            </w:r>
          </w:p>
          <w:p>
            <w:pPr>
              <w:pStyle w:val="TableParagraph"/>
              <w:spacing w:line="274" w:lineRule="exact"/>
              <w:ind w:left="132" w:right="111"/>
              <w:jc w:val="center"/>
              <w:rPr>
                <w:b/>
                <w:sz w:val="24"/>
              </w:rPr>
            </w:pPr>
            <w:r>
              <w:rPr>
                <w:b/>
                <w:sz w:val="24"/>
              </w:rPr>
              <w:t>State Evaluation</w:t>
            </w:r>
          </w:p>
        </w:tc>
        <w:tc>
          <w:tcPr>
            <w:tcW w:w="1408" w:type="dxa"/>
            <w:tcBorders>
              <w:bottom w:val="single" w:sz="18" w:space="0" w:color="4E8542"/>
            </w:tcBorders>
          </w:tcPr>
          <w:p>
            <w:pPr>
              <w:pStyle w:val="TableParagraph"/>
              <w:ind w:left="446" w:right="82" w:hanging="327"/>
              <w:rPr>
                <w:b/>
                <w:sz w:val="24"/>
              </w:rPr>
            </w:pPr>
            <w:r>
              <w:rPr>
                <w:b/>
                <w:sz w:val="24"/>
              </w:rPr>
              <w:t>Compliance Level</w:t>
            </w:r>
          </w:p>
        </w:tc>
        <w:tc>
          <w:tcPr>
            <w:tcW w:w="2819" w:type="dxa"/>
            <w:tcBorders>
              <w:bottom w:val="single" w:sz="18" w:space="0" w:color="4E8542"/>
            </w:tcBorders>
          </w:tcPr>
          <w:p>
            <w:pPr>
              <w:pStyle w:val="TableParagraph"/>
              <w:spacing w:line="292" w:lineRule="exact"/>
              <w:ind w:left="524"/>
              <w:rPr>
                <w:b/>
                <w:sz w:val="24"/>
              </w:rPr>
            </w:pPr>
            <w:r>
              <w:rPr>
                <w:b/>
                <w:sz w:val="24"/>
              </w:rPr>
              <w:t>Oversight Process</w:t>
            </w:r>
          </w:p>
        </w:tc>
        <w:tc>
          <w:tcPr>
            <w:tcW w:w="2430" w:type="dxa"/>
            <w:tcBorders>
              <w:bottom w:val="single" w:sz="18" w:space="0" w:color="4E8542"/>
            </w:tcBorders>
          </w:tcPr>
          <w:p>
            <w:pPr>
              <w:pStyle w:val="TableParagraph"/>
              <w:spacing w:line="292" w:lineRule="exact"/>
              <w:ind w:left="575"/>
              <w:rPr>
                <w:b/>
                <w:sz w:val="24"/>
              </w:rPr>
            </w:pPr>
            <w:r>
              <w:rPr>
                <w:b/>
                <w:sz w:val="24"/>
              </w:rPr>
              <w:t>Remediation</w:t>
            </w:r>
          </w:p>
        </w:tc>
      </w:tr>
      <w:tr>
        <w:trPr>
          <w:trHeight w:val="8031" w:hRule="atLeast"/>
        </w:trPr>
        <w:tc>
          <w:tcPr>
            <w:tcW w:w="3422" w:type="dxa"/>
            <w:tcBorders>
              <w:top w:val="single" w:sz="18" w:space="0" w:color="4E8542"/>
            </w:tcBorders>
            <w:shd w:val="clear" w:color="auto" w:fill="D0E4CA"/>
          </w:tcPr>
          <w:p>
            <w:pPr>
              <w:pStyle w:val="TableParagraph"/>
              <w:rPr>
                <w:rFonts w:ascii="Times New Roman"/>
                <w:sz w:val="22"/>
              </w:rPr>
            </w:pPr>
          </w:p>
        </w:tc>
        <w:tc>
          <w:tcPr>
            <w:tcW w:w="2858" w:type="dxa"/>
            <w:tcBorders>
              <w:top w:val="single" w:sz="18" w:space="0" w:color="4E8542"/>
            </w:tcBorders>
            <w:shd w:val="clear" w:color="auto" w:fill="D0E4CA"/>
          </w:tcPr>
          <w:p>
            <w:pPr>
              <w:pStyle w:val="TableParagraph"/>
              <w:spacing w:line="243" w:lineRule="exact"/>
              <w:ind w:left="108"/>
              <w:rPr>
                <w:sz w:val="22"/>
              </w:rPr>
            </w:pPr>
            <w:r>
              <w:rPr>
                <w:sz w:val="22"/>
              </w:rPr>
              <w:t>include the following</w:t>
            </w:r>
          </w:p>
          <w:p>
            <w:pPr>
              <w:pStyle w:val="TableParagraph"/>
              <w:ind w:left="108" w:right="448"/>
              <w:rPr>
                <w:sz w:val="22"/>
              </w:rPr>
            </w:pPr>
            <w:r>
              <w:rPr>
                <w:sz w:val="22"/>
              </w:rPr>
              <w:t>benefits of quality living: power and choice, relationships, status/contribution, integration, competence, and health and safety.</w:t>
            </w:r>
          </w:p>
        </w:tc>
        <w:tc>
          <w:tcPr>
            <w:tcW w:w="1408" w:type="dxa"/>
            <w:tcBorders>
              <w:top w:val="single" w:sz="18" w:space="0" w:color="4E8542"/>
            </w:tcBorders>
            <w:shd w:val="clear" w:color="auto" w:fill="D0E4CA"/>
          </w:tcPr>
          <w:p>
            <w:pPr>
              <w:pStyle w:val="TableParagraph"/>
              <w:rPr>
                <w:rFonts w:ascii="Times New Roman"/>
                <w:sz w:val="22"/>
              </w:rPr>
            </w:pPr>
          </w:p>
        </w:tc>
        <w:tc>
          <w:tcPr>
            <w:tcW w:w="2819" w:type="dxa"/>
            <w:tcBorders>
              <w:top w:val="single" w:sz="18" w:space="0" w:color="4E8542"/>
            </w:tcBorders>
            <w:shd w:val="clear" w:color="auto" w:fill="D0E4CA"/>
          </w:tcPr>
          <w:p>
            <w:pPr>
              <w:pStyle w:val="TableParagraph"/>
              <w:spacing w:line="243" w:lineRule="exact"/>
              <w:ind w:left="106"/>
              <w:rPr>
                <w:sz w:val="22"/>
              </w:rPr>
            </w:pPr>
            <w:r>
              <w:rPr>
                <w:sz w:val="22"/>
              </w:rPr>
              <w:t>to ensure that: all contract</w:t>
            </w:r>
          </w:p>
          <w:p>
            <w:pPr>
              <w:pStyle w:val="TableParagraph"/>
              <w:ind w:left="106" w:right="73"/>
              <w:rPr>
                <w:sz w:val="22"/>
              </w:rPr>
            </w:pPr>
            <w:r>
              <w:rPr>
                <w:sz w:val="22"/>
              </w:rPr>
              <w:t>obligations are adhered to including HCBS settings compliance, that services to working age adults are consistent with DDA policy; each participant is gainfully employed at client’s identified job goal or has an individual employment plan. Additionally, service providers submit monthly outcome information to counties and progress reports to each client’s case resource manager on a semi- annual basis.</w:t>
            </w:r>
          </w:p>
          <w:p>
            <w:pPr>
              <w:pStyle w:val="TableParagraph"/>
              <w:spacing w:before="11"/>
              <w:rPr>
                <w:b/>
                <w:sz w:val="21"/>
              </w:rPr>
            </w:pPr>
          </w:p>
          <w:p>
            <w:pPr>
              <w:pStyle w:val="TableParagraph"/>
              <w:spacing w:before="1"/>
              <w:ind w:left="106" w:right="90"/>
              <w:rPr>
                <w:sz w:val="22"/>
              </w:rPr>
            </w:pPr>
            <w:r>
              <w:rPr>
                <w:sz w:val="22"/>
              </w:rPr>
              <w:t>Each county completes a 16- page self-assessment tool every other year which assists DDA to prioritize site visits. DDA staff conduct on- site quality assessments to every county once every two years. DDA has 3 Regional Employment Specialists who assist with the</w:t>
            </w:r>
            <w:r>
              <w:rPr>
                <w:spacing w:val="-6"/>
                <w:sz w:val="22"/>
              </w:rPr>
              <w:t> </w:t>
            </w:r>
            <w:r>
              <w:rPr>
                <w:sz w:val="22"/>
              </w:rPr>
              <w:t>quality</w:t>
            </w:r>
          </w:p>
          <w:p>
            <w:pPr>
              <w:pStyle w:val="TableParagraph"/>
              <w:spacing w:line="270" w:lineRule="atLeast"/>
              <w:ind w:left="106" w:right="322"/>
              <w:rPr>
                <w:sz w:val="22"/>
              </w:rPr>
            </w:pPr>
            <w:r>
              <w:rPr>
                <w:sz w:val="22"/>
              </w:rPr>
              <w:t>assessments. Additionally, DDA review</w:t>
            </w:r>
            <w:r>
              <w:rPr>
                <w:spacing w:val="-3"/>
                <w:sz w:val="22"/>
              </w:rPr>
              <w:t> </w:t>
            </w:r>
            <w:r>
              <w:rPr>
                <w:sz w:val="22"/>
              </w:rPr>
              <w:t>outcome</w:t>
            </w:r>
          </w:p>
        </w:tc>
        <w:tc>
          <w:tcPr>
            <w:tcW w:w="2430" w:type="dxa"/>
            <w:tcBorders>
              <w:top w:val="single" w:sz="18" w:space="0" w:color="4E8542"/>
            </w:tcBorders>
            <w:shd w:val="clear" w:color="auto" w:fill="D0E4CA"/>
          </w:tcPr>
          <w:p>
            <w:pPr>
              <w:pStyle w:val="TableParagraph"/>
              <w:spacing w:line="243" w:lineRule="exact"/>
              <w:ind w:left="110"/>
              <w:rPr>
                <w:sz w:val="22"/>
              </w:rPr>
            </w:pPr>
            <w:r>
              <w:rPr>
                <w:sz w:val="22"/>
              </w:rPr>
              <w:t>See </w:t>
            </w:r>
            <w:r>
              <w:rPr>
                <w:color w:val="6B9F24"/>
                <w:sz w:val="22"/>
                <w:u w:val="single" w:color="6B9F24"/>
              </w:rPr>
              <w:t>Appendix C</w:t>
            </w:r>
            <w:r>
              <w:rPr>
                <w:sz w:val="22"/>
              </w:rPr>
              <w:t>.</w:t>
            </w:r>
          </w:p>
        </w:tc>
      </w:tr>
    </w:tbl>
    <w:p>
      <w:pPr>
        <w:pStyle w:val="BodyText"/>
        <w:spacing w:before="8"/>
        <w:rPr>
          <w:b/>
          <w:sz w:val="15"/>
        </w:rPr>
      </w:pPr>
      <w:r>
        <w:rPr/>
        <w:pict>
          <v:shape style="position:absolute;margin-left:70.559998pt;margin-top:11.75950pt;width:650.9pt;height:.1pt;mso-position-horizontal-relative:page;mso-position-vertical-relative:paragraph;z-index:-251580416;mso-wrap-distance-left:0;mso-wrap-distance-right:0" coordorigin="1411,235" coordsize="13018,0" path="m1411,235l14429,235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22"/>
        <w:gridCol w:w="2858"/>
        <w:gridCol w:w="1408"/>
        <w:gridCol w:w="2819"/>
        <w:gridCol w:w="2430"/>
      </w:tblGrid>
      <w:tr>
        <w:trPr>
          <w:trHeight w:val="879" w:hRule="atLeast"/>
        </w:trPr>
        <w:tc>
          <w:tcPr>
            <w:tcW w:w="3422" w:type="dxa"/>
            <w:tcBorders>
              <w:bottom w:val="single" w:sz="18" w:space="0" w:color="4E8542"/>
            </w:tcBorders>
          </w:tcPr>
          <w:p>
            <w:pPr>
              <w:pStyle w:val="TableParagraph"/>
              <w:spacing w:line="292" w:lineRule="exact"/>
              <w:ind w:left="225"/>
              <w:rPr>
                <w:b/>
                <w:sz w:val="24"/>
              </w:rPr>
            </w:pPr>
            <w:r>
              <w:rPr>
                <w:b/>
                <w:sz w:val="24"/>
              </w:rPr>
              <w:t>Characteristics/Requirements</w:t>
            </w:r>
          </w:p>
        </w:tc>
        <w:tc>
          <w:tcPr>
            <w:tcW w:w="2858" w:type="dxa"/>
            <w:tcBorders>
              <w:bottom w:val="single" w:sz="18" w:space="0" w:color="4E8542"/>
            </w:tcBorders>
          </w:tcPr>
          <w:p>
            <w:pPr>
              <w:pStyle w:val="TableParagraph"/>
              <w:ind w:left="132" w:right="112"/>
              <w:jc w:val="center"/>
              <w:rPr>
                <w:b/>
                <w:sz w:val="24"/>
              </w:rPr>
            </w:pPr>
            <w:r>
              <w:rPr>
                <w:b/>
                <w:sz w:val="24"/>
              </w:rPr>
              <w:t>DDA Individual Supported Employment</w:t>
            </w:r>
          </w:p>
          <w:p>
            <w:pPr>
              <w:pStyle w:val="TableParagraph"/>
              <w:spacing w:line="274" w:lineRule="exact"/>
              <w:ind w:left="132" w:right="111"/>
              <w:jc w:val="center"/>
              <w:rPr>
                <w:b/>
                <w:sz w:val="24"/>
              </w:rPr>
            </w:pPr>
            <w:r>
              <w:rPr>
                <w:b/>
                <w:sz w:val="24"/>
              </w:rPr>
              <w:t>State Evaluation</w:t>
            </w:r>
          </w:p>
        </w:tc>
        <w:tc>
          <w:tcPr>
            <w:tcW w:w="1408" w:type="dxa"/>
            <w:tcBorders>
              <w:bottom w:val="single" w:sz="18" w:space="0" w:color="4E8542"/>
            </w:tcBorders>
          </w:tcPr>
          <w:p>
            <w:pPr>
              <w:pStyle w:val="TableParagraph"/>
              <w:ind w:left="446" w:right="82" w:hanging="327"/>
              <w:rPr>
                <w:b/>
                <w:sz w:val="24"/>
              </w:rPr>
            </w:pPr>
            <w:r>
              <w:rPr>
                <w:b/>
                <w:sz w:val="24"/>
              </w:rPr>
              <w:t>Compliance Level</w:t>
            </w:r>
          </w:p>
        </w:tc>
        <w:tc>
          <w:tcPr>
            <w:tcW w:w="2819" w:type="dxa"/>
            <w:tcBorders>
              <w:bottom w:val="single" w:sz="18" w:space="0" w:color="4E8542"/>
            </w:tcBorders>
          </w:tcPr>
          <w:p>
            <w:pPr>
              <w:pStyle w:val="TableParagraph"/>
              <w:spacing w:line="292" w:lineRule="exact"/>
              <w:ind w:left="524"/>
              <w:rPr>
                <w:b/>
                <w:sz w:val="24"/>
              </w:rPr>
            </w:pPr>
            <w:r>
              <w:rPr>
                <w:b/>
                <w:sz w:val="24"/>
              </w:rPr>
              <w:t>Oversight Process</w:t>
            </w:r>
          </w:p>
        </w:tc>
        <w:tc>
          <w:tcPr>
            <w:tcW w:w="2430" w:type="dxa"/>
            <w:tcBorders>
              <w:bottom w:val="single" w:sz="18" w:space="0" w:color="4E8542"/>
            </w:tcBorders>
          </w:tcPr>
          <w:p>
            <w:pPr>
              <w:pStyle w:val="TableParagraph"/>
              <w:spacing w:line="292" w:lineRule="exact"/>
              <w:ind w:left="575"/>
              <w:rPr>
                <w:b/>
                <w:sz w:val="24"/>
              </w:rPr>
            </w:pPr>
            <w:r>
              <w:rPr>
                <w:b/>
                <w:sz w:val="24"/>
              </w:rPr>
              <w:t>Remediation</w:t>
            </w:r>
          </w:p>
        </w:tc>
      </w:tr>
      <w:tr>
        <w:trPr>
          <w:trHeight w:val="2391" w:hRule="atLeast"/>
        </w:trPr>
        <w:tc>
          <w:tcPr>
            <w:tcW w:w="3422" w:type="dxa"/>
            <w:tcBorders>
              <w:top w:val="single" w:sz="18" w:space="0" w:color="4E8542"/>
            </w:tcBorders>
            <w:shd w:val="clear" w:color="auto" w:fill="D0E4CA"/>
          </w:tcPr>
          <w:p>
            <w:pPr>
              <w:pStyle w:val="TableParagraph"/>
              <w:rPr>
                <w:rFonts w:ascii="Times New Roman"/>
                <w:sz w:val="22"/>
              </w:rPr>
            </w:pPr>
          </w:p>
        </w:tc>
        <w:tc>
          <w:tcPr>
            <w:tcW w:w="2858" w:type="dxa"/>
            <w:tcBorders>
              <w:top w:val="single" w:sz="18" w:space="0" w:color="4E8542"/>
            </w:tcBorders>
            <w:shd w:val="clear" w:color="auto" w:fill="D0E4CA"/>
          </w:tcPr>
          <w:p>
            <w:pPr>
              <w:pStyle w:val="TableParagraph"/>
              <w:rPr>
                <w:rFonts w:ascii="Times New Roman"/>
                <w:sz w:val="22"/>
              </w:rPr>
            </w:pPr>
          </w:p>
        </w:tc>
        <w:tc>
          <w:tcPr>
            <w:tcW w:w="1408" w:type="dxa"/>
            <w:tcBorders>
              <w:top w:val="single" w:sz="18" w:space="0" w:color="4E8542"/>
            </w:tcBorders>
            <w:shd w:val="clear" w:color="auto" w:fill="D0E4CA"/>
          </w:tcPr>
          <w:p>
            <w:pPr>
              <w:pStyle w:val="TableParagraph"/>
              <w:rPr>
                <w:rFonts w:ascii="Times New Roman"/>
                <w:sz w:val="22"/>
              </w:rPr>
            </w:pPr>
          </w:p>
        </w:tc>
        <w:tc>
          <w:tcPr>
            <w:tcW w:w="2819" w:type="dxa"/>
            <w:tcBorders>
              <w:top w:val="single" w:sz="18" w:space="0" w:color="4E8542"/>
            </w:tcBorders>
            <w:shd w:val="clear" w:color="auto" w:fill="D0E4CA"/>
          </w:tcPr>
          <w:p>
            <w:pPr>
              <w:pStyle w:val="TableParagraph"/>
              <w:spacing w:line="243" w:lineRule="exact"/>
              <w:ind w:left="106"/>
              <w:rPr>
                <w:sz w:val="22"/>
              </w:rPr>
            </w:pPr>
            <w:r>
              <w:rPr>
                <w:sz w:val="22"/>
              </w:rPr>
              <w:t>information for trends and</w:t>
            </w:r>
          </w:p>
          <w:p>
            <w:pPr>
              <w:pStyle w:val="TableParagraph"/>
              <w:ind w:left="106" w:right="417"/>
              <w:rPr>
                <w:sz w:val="22"/>
              </w:rPr>
            </w:pPr>
            <w:r>
              <w:rPr>
                <w:sz w:val="22"/>
              </w:rPr>
              <w:t>patterns on a county-by - county basis monthly.</w:t>
            </w:r>
          </w:p>
          <w:p>
            <w:pPr>
              <w:pStyle w:val="TableParagraph"/>
              <w:spacing w:before="9"/>
              <w:rPr>
                <w:b/>
                <w:sz w:val="21"/>
              </w:rPr>
            </w:pPr>
          </w:p>
          <w:p>
            <w:pPr>
              <w:pStyle w:val="TableParagraph"/>
              <w:spacing w:line="270" w:lineRule="atLeast"/>
              <w:ind w:left="106" w:right="85"/>
              <w:rPr>
                <w:sz w:val="22"/>
              </w:rPr>
            </w:pPr>
            <w:r>
              <w:rPr>
                <w:sz w:val="22"/>
              </w:rPr>
              <w:t>On-site inspections ensure homes meet all licensing and certification requirements in WAC and RCW, including WAC 388-823-1095.</w:t>
            </w:r>
          </w:p>
        </w:tc>
        <w:tc>
          <w:tcPr>
            <w:tcW w:w="2430" w:type="dxa"/>
            <w:tcBorders>
              <w:top w:val="single" w:sz="18" w:space="0" w:color="4E8542"/>
            </w:tcBorders>
            <w:shd w:val="clear" w:color="auto" w:fill="D0E4CA"/>
          </w:tcPr>
          <w:p>
            <w:pPr>
              <w:pStyle w:val="TableParagraph"/>
              <w:rPr>
                <w:rFonts w:ascii="Times New Roman"/>
                <w:sz w:val="22"/>
              </w:rPr>
            </w:pPr>
          </w:p>
        </w:tc>
      </w:tr>
      <w:tr>
        <w:trPr>
          <w:trHeight w:val="5635" w:hRule="atLeast"/>
        </w:trPr>
        <w:tc>
          <w:tcPr>
            <w:tcW w:w="3422" w:type="dxa"/>
          </w:tcPr>
          <w:p>
            <w:pPr>
              <w:pStyle w:val="TableParagraph"/>
              <w:ind w:left="107" w:right="158"/>
              <w:rPr>
                <w:b/>
                <w:sz w:val="22"/>
              </w:rPr>
            </w:pPr>
            <w:r>
              <w:rPr>
                <w:b/>
                <w:sz w:val="22"/>
              </w:rPr>
              <w:t>The setting is physically accessible to the individual.</w:t>
            </w:r>
          </w:p>
        </w:tc>
        <w:tc>
          <w:tcPr>
            <w:tcW w:w="2858" w:type="dxa"/>
          </w:tcPr>
          <w:p>
            <w:pPr>
              <w:pStyle w:val="TableParagraph"/>
              <w:ind w:left="108" w:right="326"/>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 include the following benefits of quality living: power and choice, relationships, status/contribution, integration, competence, and health and safety.</w:t>
            </w:r>
          </w:p>
        </w:tc>
        <w:tc>
          <w:tcPr>
            <w:tcW w:w="1408" w:type="dxa"/>
          </w:tcPr>
          <w:p>
            <w:pPr>
              <w:pStyle w:val="TableParagraph"/>
              <w:ind w:left="108" w:right="339"/>
              <w:rPr>
                <w:sz w:val="22"/>
              </w:rPr>
            </w:pPr>
            <w:r>
              <w:rPr>
                <w:sz w:val="22"/>
              </w:rPr>
              <w:t>Partially Compliant</w:t>
            </w:r>
          </w:p>
        </w:tc>
        <w:tc>
          <w:tcPr>
            <w:tcW w:w="2819" w:type="dxa"/>
          </w:tcPr>
          <w:p>
            <w:pPr>
              <w:pStyle w:val="TableParagraph"/>
              <w:ind w:left="106" w:right="84"/>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 service providers at minimum once per biennium 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 providers submit monthly outcome information to counties and progress</w:t>
            </w:r>
          </w:p>
          <w:p>
            <w:pPr>
              <w:pStyle w:val="TableParagraph"/>
              <w:spacing w:line="249" w:lineRule="exact"/>
              <w:ind w:left="106"/>
              <w:rPr>
                <w:sz w:val="22"/>
              </w:rPr>
            </w:pPr>
            <w:r>
              <w:rPr>
                <w:sz w:val="22"/>
              </w:rPr>
              <w:t>reports to each client’s case</w:t>
            </w:r>
          </w:p>
        </w:tc>
        <w:tc>
          <w:tcPr>
            <w:tcW w:w="2430" w:type="dxa"/>
          </w:tcPr>
          <w:p>
            <w:pPr>
              <w:pStyle w:val="TableParagraph"/>
              <w:ind w:left="110" w:right="8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spacing w:before="1"/>
        <w:rPr>
          <w:b/>
          <w:sz w:val="14"/>
        </w:rPr>
      </w:pPr>
      <w:r>
        <w:rPr/>
        <w:pict>
          <v:shape style="position:absolute;margin-left:70.559998pt;margin-top:10.7995pt;width:650.9pt;height:.1pt;mso-position-horizontal-relative:page;mso-position-vertical-relative:paragraph;z-index:-251579392;mso-wrap-distance-left:0;mso-wrap-distance-right:0" coordorigin="1411,216" coordsize="13018,0" path="m1411,216l14429,216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22"/>
        <w:gridCol w:w="2858"/>
        <w:gridCol w:w="1408"/>
        <w:gridCol w:w="2819"/>
        <w:gridCol w:w="2430"/>
      </w:tblGrid>
      <w:tr>
        <w:trPr>
          <w:trHeight w:val="879" w:hRule="atLeast"/>
        </w:trPr>
        <w:tc>
          <w:tcPr>
            <w:tcW w:w="3422" w:type="dxa"/>
            <w:tcBorders>
              <w:bottom w:val="single" w:sz="18" w:space="0" w:color="4E8542"/>
            </w:tcBorders>
          </w:tcPr>
          <w:p>
            <w:pPr>
              <w:pStyle w:val="TableParagraph"/>
              <w:spacing w:line="292" w:lineRule="exact"/>
              <w:ind w:left="225"/>
              <w:rPr>
                <w:b/>
                <w:sz w:val="24"/>
              </w:rPr>
            </w:pPr>
            <w:r>
              <w:rPr>
                <w:b/>
                <w:sz w:val="24"/>
              </w:rPr>
              <w:t>Characteristics/Requirements</w:t>
            </w:r>
          </w:p>
        </w:tc>
        <w:tc>
          <w:tcPr>
            <w:tcW w:w="2858" w:type="dxa"/>
            <w:tcBorders>
              <w:bottom w:val="single" w:sz="18" w:space="0" w:color="4E8542"/>
            </w:tcBorders>
          </w:tcPr>
          <w:p>
            <w:pPr>
              <w:pStyle w:val="TableParagraph"/>
              <w:ind w:left="132" w:right="112"/>
              <w:jc w:val="center"/>
              <w:rPr>
                <w:b/>
                <w:sz w:val="24"/>
              </w:rPr>
            </w:pPr>
            <w:r>
              <w:rPr>
                <w:b/>
                <w:sz w:val="24"/>
              </w:rPr>
              <w:t>DDA Individual Supported Employment</w:t>
            </w:r>
          </w:p>
          <w:p>
            <w:pPr>
              <w:pStyle w:val="TableParagraph"/>
              <w:spacing w:line="274" w:lineRule="exact"/>
              <w:ind w:left="132" w:right="111"/>
              <w:jc w:val="center"/>
              <w:rPr>
                <w:b/>
                <w:sz w:val="24"/>
              </w:rPr>
            </w:pPr>
            <w:r>
              <w:rPr>
                <w:b/>
                <w:sz w:val="24"/>
              </w:rPr>
              <w:t>State Evaluation</w:t>
            </w:r>
          </w:p>
        </w:tc>
        <w:tc>
          <w:tcPr>
            <w:tcW w:w="1408" w:type="dxa"/>
            <w:tcBorders>
              <w:bottom w:val="single" w:sz="18" w:space="0" w:color="4E8542"/>
            </w:tcBorders>
          </w:tcPr>
          <w:p>
            <w:pPr>
              <w:pStyle w:val="TableParagraph"/>
              <w:ind w:left="446" w:right="82" w:hanging="327"/>
              <w:rPr>
                <w:b/>
                <w:sz w:val="24"/>
              </w:rPr>
            </w:pPr>
            <w:r>
              <w:rPr>
                <w:b/>
                <w:sz w:val="24"/>
              </w:rPr>
              <w:t>Compliance Level</w:t>
            </w:r>
          </w:p>
        </w:tc>
        <w:tc>
          <w:tcPr>
            <w:tcW w:w="2819" w:type="dxa"/>
            <w:tcBorders>
              <w:bottom w:val="single" w:sz="18" w:space="0" w:color="4E8542"/>
            </w:tcBorders>
          </w:tcPr>
          <w:p>
            <w:pPr>
              <w:pStyle w:val="TableParagraph"/>
              <w:spacing w:line="292" w:lineRule="exact"/>
              <w:ind w:left="524"/>
              <w:rPr>
                <w:b/>
                <w:sz w:val="24"/>
              </w:rPr>
            </w:pPr>
            <w:r>
              <w:rPr>
                <w:b/>
                <w:sz w:val="24"/>
              </w:rPr>
              <w:t>Oversight Process</w:t>
            </w:r>
          </w:p>
        </w:tc>
        <w:tc>
          <w:tcPr>
            <w:tcW w:w="2430" w:type="dxa"/>
            <w:tcBorders>
              <w:bottom w:val="single" w:sz="18" w:space="0" w:color="4E8542"/>
            </w:tcBorders>
          </w:tcPr>
          <w:p>
            <w:pPr>
              <w:pStyle w:val="TableParagraph"/>
              <w:spacing w:line="292" w:lineRule="exact"/>
              <w:ind w:left="575"/>
              <w:rPr>
                <w:b/>
                <w:sz w:val="24"/>
              </w:rPr>
            </w:pPr>
            <w:r>
              <w:rPr>
                <w:b/>
                <w:sz w:val="24"/>
              </w:rPr>
              <w:t>Remediation</w:t>
            </w:r>
          </w:p>
        </w:tc>
      </w:tr>
      <w:tr>
        <w:trPr>
          <w:trHeight w:val="6418" w:hRule="atLeast"/>
        </w:trPr>
        <w:tc>
          <w:tcPr>
            <w:tcW w:w="3422" w:type="dxa"/>
            <w:tcBorders>
              <w:top w:val="single" w:sz="18" w:space="0" w:color="4E8542"/>
            </w:tcBorders>
          </w:tcPr>
          <w:p>
            <w:pPr>
              <w:pStyle w:val="TableParagraph"/>
              <w:rPr>
                <w:rFonts w:ascii="Times New Roman"/>
                <w:sz w:val="22"/>
              </w:rPr>
            </w:pPr>
          </w:p>
        </w:tc>
        <w:tc>
          <w:tcPr>
            <w:tcW w:w="2858" w:type="dxa"/>
            <w:tcBorders>
              <w:top w:val="single" w:sz="18" w:space="0" w:color="4E8542"/>
            </w:tcBorders>
          </w:tcPr>
          <w:p>
            <w:pPr>
              <w:pStyle w:val="TableParagraph"/>
              <w:rPr>
                <w:rFonts w:ascii="Times New Roman"/>
                <w:sz w:val="22"/>
              </w:rPr>
            </w:pPr>
          </w:p>
        </w:tc>
        <w:tc>
          <w:tcPr>
            <w:tcW w:w="1408" w:type="dxa"/>
            <w:tcBorders>
              <w:top w:val="single" w:sz="18" w:space="0" w:color="4E8542"/>
            </w:tcBorders>
          </w:tcPr>
          <w:p>
            <w:pPr>
              <w:pStyle w:val="TableParagraph"/>
              <w:rPr>
                <w:rFonts w:ascii="Times New Roman"/>
                <w:sz w:val="22"/>
              </w:rPr>
            </w:pPr>
          </w:p>
        </w:tc>
        <w:tc>
          <w:tcPr>
            <w:tcW w:w="2819" w:type="dxa"/>
            <w:tcBorders>
              <w:top w:val="single" w:sz="18" w:space="0" w:color="4E8542"/>
            </w:tcBorders>
          </w:tcPr>
          <w:p>
            <w:pPr>
              <w:pStyle w:val="TableParagraph"/>
              <w:spacing w:line="243" w:lineRule="exact"/>
              <w:ind w:left="106"/>
              <w:rPr>
                <w:sz w:val="22"/>
              </w:rPr>
            </w:pPr>
            <w:r>
              <w:rPr>
                <w:sz w:val="22"/>
              </w:rPr>
              <w:t>resource manager on a semi-</w:t>
            </w:r>
          </w:p>
          <w:p>
            <w:pPr>
              <w:pStyle w:val="TableParagraph"/>
              <w:ind w:left="106"/>
              <w:rPr>
                <w:sz w:val="22"/>
              </w:rPr>
            </w:pPr>
            <w:r>
              <w:rPr>
                <w:sz w:val="22"/>
              </w:rPr>
              <w:t>annual basis.</w:t>
            </w:r>
          </w:p>
          <w:p>
            <w:pPr>
              <w:pStyle w:val="TableParagraph"/>
              <w:spacing w:before="10"/>
              <w:rPr>
                <w:b/>
                <w:sz w:val="21"/>
              </w:rPr>
            </w:pPr>
          </w:p>
          <w:p>
            <w:pPr>
              <w:pStyle w:val="TableParagraph"/>
              <w:ind w:left="106" w:right="90"/>
              <w:rPr>
                <w:sz w:val="22"/>
              </w:rPr>
            </w:pPr>
            <w:r>
              <w:rPr>
                <w:sz w:val="22"/>
              </w:rPr>
              <w:t>Each county completes a 16- page self-assessment tool every other year which assists DDA to prioritize site visits. DDA staff conduct on- site quality assessments to every county once every two years. DDA has 3 Regional Employment Specialists who assist with the quality assessments. Additionally, DDA review outcome information for trends and patterns on a county-by - county basis monthly.</w:t>
            </w:r>
          </w:p>
          <w:p>
            <w:pPr>
              <w:pStyle w:val="TableParagraph"/>
              <w:spacing w:before="2"/>
              <w:rPr>
                <w:b/>
                <w:sz w:val="22"/>
              </w:rPr>
            </w:pPr>
          </w:p>
          <w:p>
            <w:pPr>
              <w:pStyle w:val="TableParagraph"/>
              <w:ind w:left="106" w:right="85"/>
              <w:rPr>
                <w:sz w:val="22"/>
              </w:rPr>
            </w:pPr>
            <w:r>
              <w:rPr>
                <w:sz w:val="22"/>
              </w:rPr>
              <w:t>On-site inspections ensure homes meet all licensing and certification requirements in WAC and RCW, including</w:t>
            </w:r>
          </w:p>
          <w:p>
            <w:pPr>
              <w:pStyle w:val="TableParagraph"/>
              <w:spacing w:line="248" w:lineRule="exact"/>
              <w:ind w:left="106"/>
              <w:rPr>
                <w:sz w:val="22"/>
              </w:rPr>
            </w:pPr>
            <w:r>
              <w:rPr>
                <w:sz w:val="22"/>
              </w:rPr>
              <w:t>WAC 388-823-1095.</w:t>
            </w:r>
          </w:p>
        </w:tc>
        <w:tc>
          <w:tcPr>
            <w:tcW w:w="2430" w:type="dxa"/>
            <w:tcBorders>
              <w:top w:val="single" w:sz="18" w:space="0" w:color="4E8542"/>
            </w:tcBorders>
          </w:tcPr>
          <w:p>
            <w:pPr>
              <w:pStyle w:val="TableParagraph"/>
              <w:rPr>
                <w:rFonts w:ascii="Times New Roman"/>
                <w:sz w:val="22"/>
              </w:rPr>
            </w:pPr>
          </w:p>
        </w:tc>
      </w:tr>
      <w:tr>
        <w:trPr>
          <w:trHeight w:val="1611" w:hRule="atLeast"/>
        </w:trPr>
        <w:tc>
          <w:tcPr>
            <w:tcW w:w="3422" w:type="dxa"/>
            <w:shd w:val="clear" w:color="auto" w:fill="D0E4CA"/>
          </w:tcPr>
          <w:p>
            <w:pPr>
              <w:pStyle w:val="TableParagraph"/>
              <w:spacing w:before="1"/>
              <w:ind w:left="107" w:right="228"/>
              <w:rPr>
                <w:b/>
                <w:sz w:val="22"/>
              </w:rPr>
            </w:pPr>
            <w:r>
              <w:rPr>
                <w:b/>
                <w:sz w:val="22"/>
              </w:rPr>
              <w:t>The setting that is located in a building that is also a publicly or privately operated facility that provides inpatient institutional treatment, or in a building on the</w:t>
            </w:r>
          </w:p>
          <w:p>
            <w:pPr>
              <w:pStyle w:val="TableParagraph"/>
              <w:spacing w:line="248" w:lineRule="exact"/>
              <w:ind w:left="107"/>
              <w:rPr>
                <w:b/>
                <w:sz w:val="22"/>
              </w:rPr>
            </w:pPr>
            <w:r>
              <w:rPr>
                <w:b/>
                <w:sz w:val="22"/>
              </w:rPr>
              <w:t>grounds of, or immediately</w:t>
            </w:r>
          </w:p>
        </w:tc>
        <w:tc>
          <w:tcPr>
            <w:tcW w:w="2858" w:type="dxa"/>
            <w:shd w:val="clear" w:color="auto" w:fill="D0E4CA"/>
          </w:tcPr>
          <w:p>
            <w:pPr>
              <w:pStyle w:val="TableParagraph"/>
              <w:spacing w:before="1"/>
              <w:ind w:left="108" w:right="326"/>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 include the following benefits of quality living:</w:t>
            </w:r>
          </w:p>
          <w:p>
            <w:pPr>
              <w:pStyle w:val="TableParagraph"/>
              <w:spacing w:line="248" w:lineRule="exact"/>
              <w:ind w:left="108"/>
              <w:rPr>
                <w:sz w:val="22"/>
              </w:rPr>
            </w:pPr>
            <w:r>
              <w:rPr>
                <w:sz w:val="22"/>
              </w:rPr>
              <w:t>power and choice,</w:t>
            </w:r>
          </w:p>
        </w:tc>
        <w:tc>
          <w:tcPr>
            <w:tcW w:w="1408" w:type="dxa"/>
            <w:shd w:val="clear" w:color="auto" w:fill="D0E4CA"/>
          </w:tcPr>
          <w:p>
            <w:pPr>
              <w:pStyle w:val="TableParagraph"/>
              <w:spacing w:before="1"/>
              <w:ind w:left="108" w:right="339"/>
              <w:rPr>
                <w:sz w:val="22"/>
              </w:rPr>
            </w:pPr>
            <w:r>
              <w:rPr>
                <w:sz w:val="22"/>
              </w:rPr>
              <w:t>Fully Compliant</w:t>
            </w:r>
          </w:p>
        </w:tc>
        <w:tc>
          <w:tcPr>
            <w:tcW w:w="2819" w:type="dxa"/>
            <w:shd w:val="clear" w:color="auto" w:fill="D0E4CA"/>
          </w:tcPr>
          <w:p>
            <w:pPr>
              <w:pStyle w:val="TableParagraph"/>
              <w:spacing w:before="1"/>
              <w:ind w:left="106" w:right="129"/>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 service providers at</w:t>
            </w:r>
          </w:p>
          <w:p>
            <w:pPr>
              <w:pStyle w:val="TableParagraph"/>
              <w:spacing w:line="248" w:lineRule="exact"/>
              <w:ind w:left="106"/>
              <w:rPr>
                <w:sz w:val="22"/>
              </w:rPr>
            </w:pPr>
            <w:r>
              <w:rPr>
                <w:sz w:val="22"/>
              </w:rPr>
              <w:t>minimum once per biennium</w:t>
            </w:r>
          </w:p>
        </w:tc>
        <w:tc>
          <w:tcPr>
            <w:tcW w:w="2430" w:type="dxa"/>
            <w:shd w:val="clear" w:color="auto" w:fill="D0E4CA"/>
          </w:tcPr>
          <w:p>
            <w:pPr>
              <w:pStyle w:val="TableParagraph"/>
              <w:spacing w:before="1"/>
              <w:ind w:left="110" w:right="8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w:t>
            </w:r>
            <w:r>
              <w:rPr>
                <w:spacing w:val="-2"/>
                <w:sz w:val="22"/>
              </w:rPr>
              <w:t> </w:t>
            </w:r>
            <w:r>
              <w:rPr>
                <w:sz w:val="22"/>
              </w:rPr>
              <w:t>requiring</w:t>
            </w:r>
          </w:p>
          <w:p>
            <w:pPr>
              <w:pStyle w:val="TableParagraph"/>
              <w:spacing w:line="248" w:lineRule="exact"/>
              <w:ind w:left="110"/>
              <w:rPr>
                <w:sz w:val="22"/>
              </w:rPr>
            </w:pPr>
            <w:r>
              <w:rPr>
                <w:sz w:val="22"/>
              </w:rPr>
              <w:t>adherence to the</w:t>
            </w:r>
            <w:r>
              <w:rPr>
                <w:spacing w:val="-6"/>
                <w:sz w:val="22"/>
              </w:rPr>
              <w:t> </w:t>
            </w:r>
            <w:r>
              <w:rPr>
                <w:sz w:val="22"/>
              </w:rPr>
              <w:t>WAC.</w:t>
            </w:r>
          </w:p>
        </w:tc>
      </w:tr>
    </w:tbl>
    <w:p>
      <w:pPr>
        <w:pStyle w:val="BodyText"/>
        <w:spacing w:before="1"/>
        <w:rPr>
          <w:b/>
          <w:sz w:val="14"/>
        </w:rPr>
      </w:pPr>
      <w:r>
        <w:rPr/>
        <w:pict>
          <v:shape style="position:absolute;margin-left:70.559998pt;margin-top:10.7995pt;width:650.9pt;height:.1pt;mso-position-horizontal-relative:page;mso-position-vertical-relative:paragraph;z-index:-251578368;mso-wrap-distance-left:0;mso-wrap-distance-right:0" coordorigin="1411,216" coordsize="13018,0" path="m1411,216l14429,216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22"/>
        <w:gridCol w:w="2858"/>
        <w:gridCol w:w="1408"/>
        <w:gridCol w:w="2819"/>
        <w:gridCol w:w="2430"/>
      </w:tblGrid>
      <w:tr>
        <w:trPr>
          <w:trHeight w:val="879" w:hRule="atLeast"/>
        </w:trPr>
        <w:tc>
          <w:tcPr>
            <w:tcW w:w="3422" w:type="dxa"/>
            <w:tcBorders>
              <w:bottom w:val="single" w:sz="18" w:space="0" w:color="4E8542"/>
            </w:tcBorders>
          </w:tcPr>
          <w:p>
            <w:pPr>
              <w:pStyle w:val="TableParagraph"/>
              <w:spacing w:line="292" w:lineRule="exact"/>
              <w:ind w:left="225"/>
              <w:rPr>
                <w:b/>
                <w:sz w:val="24"/>
              </w:rPr>
            </w:pPr>
            <w:r>
              <w:rPr>
                <w:b/>
                <w:sz w:val="24"/>
              </w:rPr>
              <w:t>Characteristics/Requirements</w:t>
            </w:r>
          </w:p>
        </w:tc>
        <w:tc>
          <w:tcPr>
            <w:tcW w:w="2858" w:type="dxa"/>
            <w:tcBorders>
              <w:bottom w:val="single" w:sz="18" w:space="0" w:color="4E8542"/>
            </w:tcBorders>
          </w:tcPr>
          <w:p>
            <w:pPr>
              <w:pStyle w:val="TableParagraph"/>
              <w:ind w:left="132" w:right="112"/>
              <w:jc w:val="center"/>
              <w:rPr>
                <w:b/>
                <w:sz w:val="24"/>
              </w:rPr>
            </w:pPr>
            <w:r>
              <w:rPr>
                <w:b/>
                <w:sz w:val="24"/>
              </w:rPr>
              <w:t>DDA Individual Supported Employment</w:t>
            </w:r>
          </w:p>
          <w:p>
            <w:pPr>
              <w:pStyle w:val="TableParagraph"/>
              <w:spacing w:line="274" w:lineRule="exact"/>
              <w:ind w:left="132" w:right="111"/>
              <w:jc w:val="center"/>
              <w:rPr>
                <w:b/>
                <w:sz w:val="24"/>
              </w:rPr>
            </w:pPr>
            <w:r>
              <w:rPr>
                <w:b/>
                <w:sz w:val="24"/>
              </w:rPr>
              <w:t>State Evaluation</w:t>
            </w:r>
          </w:p>
        </w:tc>
        <w:tc>
          <w:tcPr>
            <w:tcW w:w="1408" w:type="dxa"/>
            <w:tcBorders>
              <w:bottom w:val="single" w:sz="18" w:space="0" w:color="4E8542"/>
            </w:tcBorders>
          </w:tcPr>
          <w:p>
            <w:pPr>
              <w:pStyle w:val="TableParagraph"/>
              <w:ind w:left="446" w:right="82" w:hanging="327"/>
              <w:rPr>
                <w:b/>
                <w:sz w:val="24"/>
              </w:rPr>
            </w:pPr>
            <w:r>
              <w:rPr>
                <w:b/>
                <w:sz w:val="24"/>
              </w:rPr>
              <w:t>Compliance Level</w:t>
            </w:r>
          </w:p>
        </w:tc>
        <w:tc>
          <w:tcPr>
            <w:tcW w:w="2819" w:type="dxa"/>
            <w:tcBorders>
              <w:bottom w:val="single" w:sz="18" w:space="0" w:color="4E8542"/>
            </w:tcBorders>
          </w:tcPr>
          <w:p>
            <w:pPr>
              <w:pStyle w:val="TableParagraph"/>
              <w:spacing w:line="292" w:lineRule="exact"/>
              <w:ind w:left="524"/>
              <w:rPr>
                <w:b/>
                <w:sz w:val="24"/>
              </w:rPr>
            </w:pPr>
            <w:r>
              <w:rPr>
                <w:b/>
                <w:sz w:val="24"/>
              </w:rPr>
              <w:t>Oversight Process</w:t>
            </w:r>
          </w:p>
        </w:tc>
        <w:tc>
          <w:tcPr>
            <w:tcW w:w="2430" w:type="dxa"/>
            <w:tcBorders>
              <w:bottom w:val="single" w:sz="18" w:space="0" w:color="4E8542"/>
            </w:tcBorders>
          </w:tcPr>
          <w:p>
            <w:pPr>
              <w:pStyle w:val="TableParagraph"/>
              <w:spacing w:line="292" w:lineRule="exact"/>
              <w:ind w:left="575"/>
              <w:rPr>
                <w:b/>
                <w:sz w:val="24"/>
              </w:rPr>
            </w:pPr>
            <w:r>
              <w:rPr>
                <w:b/>
                <w:sz w:val="24"/>
              </w:rPr>
              <w:t>Remediation</w:t>
            </w:r>
          </w:p>
        </w:tc>
      </w:tr>
      <w:tr>
        <w:trPr>
          <w:trHeight w:val="8031" w:hRule="atLeast"/>
        </w:trPr>
        <w:tc>
          <w:tcPr>
            <w:tcW w:w="3422" w:type="dxa"/>
            <w:tcBorders>
              <w:top w:val="single" w:sz="18" w:space="0" w:color="4E8542"/>
            </w:tcBorders>
            <w:shd w:val="clear" w:color="auto" w:fill="D0E4CA"/>
          </w:tcPr>
          <w:p>
            <w:pPr>
              <w:pStyle w:val="TableParagraph"/>
              <w:spacing w:line="243" w:lineRule="exact"/>
              <w:ind w:left="107"/>
              <w:rPr>
                <w:b/>
                <w:sz w:val="22"/>
              </w:rPr>
            </w:pPr>
            <w:r>
              <w:rPr>
                <w:b/>
                <w:sz w:val="22"/>
              </w:rPr>
              <w:t>adjacent to, a public institution, or</w:t>
            </w:r>
          </w:p>
          <w:p>
            <w:pPr>
              <w:pStyle w:val="TableParagraph"/>
              <w:ind w:left="107" w:right="169"/>
              <w:rPr>
                <w:b/>
                <w:sz w:val="22"/>
              </w:rPr>
            </w:pPr>
            <w:r>
              <w:rPr>
                <w:b/>
                <w:sz w:val="22"/>
              </w:rPr>
              <w:t>any other setting that has the effect of isolating individuals receiving Medicaid HCBS from the broader community of individuals not receiving HCBS.</w:t>
            </w:r>
          </w:p>
        </w:tc>
        <w:tc>
          <w:tcPr>
            <w:tcW w:w="2858" w:type="dxa"/>
            <w:tcBorders>
              <w:top w:val="single" w:sz="18" w:space="0" w:color="4E8542"/>
            </w:tcBorders>
            <w:shd w:val="clear" w:color="auto" w:fill="D0E4CA"/>
          </w:tcPr>
          <w:p>
            <w:pPr>
              <w:pStyle w:val="TableParagraph"/>
              <w:spacing w:line="243" w:lineRule="exact"/>
              <w:ind w:left="108"/>
              <w:rPr>
                <w:sz w:val="22"/>
              </w:rPr>
            </w:pPr>
            <w:r>
              <w:rPr>
                <w:sz w:val="22"/>
              </w:rPr>
              <w:t>relationships,</w:t>
            </w:r>
          </w:p>
          <w:p>
            <w:pPr>
              <w:pStyle w:val="TableParagraph"/>
              <w:ind w:left="108" w:right="117"/>
              <w:rPr>
                <w:sz w:val="22"/>
              </w:rPr>
            </w:pPr>
            <w:r>
              <w:rPr>
                <w:sz w:val="22"/>
              </w:rPr>
              <w:t>status/contribution, integration, competence and health and safety.</w:t>
            </w:r>
          </w:p>
          <w:p>
            <w:pPr>
              <w:pStyle w:val="TableParagraph"/>
              <w:spacing w:before="11"/>
              <w:rPr>
                <w:b/>
                <w:sz w:val="21"/>
              </w:rPr>
            </w:pPr>
          </w:p>
          <w:p>
            <w:pPr>
              <w:pStyle w:val="TableParagraph"/>
              <w:ind w:left="108" w:right="115"/>
              <w:rPr>
                <w:sz w:val="22"/>
              </w:rPr>
            </w:pPr>
            <w:r>
              <w:rPr>
                <w:sz w:val="22"/>
              </w:rPr>
              <w:t>Individual supported employment services are conducted in integrated business environments and include intake, discovery, job preparation, job marketing, and job coaching and job retention.</w:t>
            </w:r>
          </w:p>
        </w:tc>
        <w:tc>
          <w:tcPr>
            <w:tcW w:w="1408" w:type="dxa"/>
            <w:tcBorders>
              <w:top w:val="single" w:sz="18" w:space="0" w:color="4E8542"/>
            </w:tcBorders>
            <w:shd w:val="clear" w:color="auto" w:fill="D0E4CA"/>
          </w:tcPr>
          <w:p>
            <w:pPr>
              <w:pStyle w:val="TableParagraph"/>
              <w:rPr>
                <w:rFonts w:ascii="Times New Roman"/>
                <w:sz w:val="22"/>
              </w:rPr>
            </w:pPr>
          </w:p>
        </w:tc>
        <w:tc>
          <w:tcPr>
            <w:tcW w:w="2819" w:type="dxa"/>
            <w:tcBorders>
              <w:top w:val="single" w:sz="18" w:space="0" w:color="4E8542"/>
            </w:tcBorders>
            <w:shd w:val="clear" w:color="auto" w:fill="D0E4CA"/>
          </w:tcPr>
          <w:p>
            <w:pPr>
              <w:pStyle w:val="TableParagraph"/>
              <w:spacing w:line="243" w:lineRule="exact"/>
              <w:ind w:left="106"/>
              <w:rPr>
                <w:sz w:val="22"/>
              </w:rPr>
            </w:pPr>
            <w:r>
              <w:rPr>
                <w:sz w:val="22"/>
              </w:rPr>
              <w:t>to ensure that: all contract</w:t>
            </w:r>
          </w:p>
          <w:p>
            <w:pPr>
              <w:pStyle w:val="TableParagraph"/>
              <w:ind w:left="106" w:right="73"/>
              <w:rPr>
                <w:sz w:val="22"/>
              </w:rPr>
            </w:pPr>
            <w:r>
              <w:rPr>
                <w:sz w:val="22"/>
              </w:rPr>
              <w:t>obligations are adhered to including that services to working age adults are consistent with DDA policy; each participant is gainfully employed at client’s identified job goal or has an individual employment plan. Additionally, service providers submit monthly outcome information to counties and progress reports to each client’s case resource manager on a semi- annual basis.</w:t>
            </w:r>
          </w:p>
          <w:p>
            <w:pPr>
              <w:pStyle w:val="TableParagraph"/>
              <w:spacing w:before="11"/>
              <w:rPr>
                <w:b/>
                <w:sz w:val="21"/>
              </w:rPr>
            </w:pPr>
          </w:p>
          <w:p>
            <w:pPr>
              <w:pStyle w:val="TableParagraph"/>
              <w:ind w:left="106" w:right="90"/>
              <w:rPr>
                <w:sz w:val="22"/>
              </w:rPr>
            </w:pPr>
            <w:r>
              <w:rPr>
                <w:sz w:val="22"/>
              </w:rPr>
              <w:t>Each county completes a 16- page self-assessment tool every other year which assists DDA to prioritize site visits. DDA staff conduct on- site quality assessments to every county once every two years. DDA has 3 Regional Employment Specialists who assist with the quality assessments.</w:t>
            </w:r>
            <w:r>
              <w:rPr>
                <w:spacing w:val="-4"/>
                <w:sz w:val="22"/>
              </w:rPr>
              <w:t> </w:t>
            </w:r>
            <w:r>
              <w:rPr>
                <w:sz w:val="22"/>
              </w:rPr>
              <w:t>Additionally,</w:t>
            </w:r>
          </w:p>
          <w:p>
            <w:pPr>
              <w:pStyle w:val="TableParagraph"/>
              <w:spacing w:line="270" w:lineRule="atLeast"/>
              <w:ind w:left="106" w:right="294"/>
              <w:rPr>
                <w:sz w:val="22"/>
              </w:rPr>
            </w:pPr>
            <w:r>
              <w:rPr>
                <w:sz w:val="22"/>
              </w:rPr>
              <w:t>DDA review outcome information for trends</w:t>
            </w:r>
            <w:r>
              <w:rPr>
                <w:spacing w:val="-7"/>
                <w:sz w:val="22"/>
              </w:rPr>
              <w:t> </w:t>
            </w:r>
            <w:r>
              <w:rPr>
                <w:sz w:val="22"/>
              </w:rPr>
              <w:t>and</w:t>
            </w:r>
          </w:p>
        </w:tc>
        <w:tc>
          <w:tcPr>
            <w:tcW w:w="2430" w:type="dxa"/>
            <w:tcBorders>
              <w:top w:val="single" w:sz="18" w:space="0" w:color="4E8542"/>
            </w:tcBorders>
            <w:shd w:val="clear" w:color="auto" w:fill="D0E4CA"/>
          </w:tcPr>
          <w:p>
            <w:pPr>
              <w:pStyle w:val="TableParagraph"/>
              <w:spacing w:line="243" w:lineRule="exact"/>
              <w:ind w:left="110"/>
              <w:rPr>
                <w:sz w:val="22"/>
              </w:rPr>
            </w:pPr>
            <w:r>
              <w:rPr>
                <w:sz w:val="22"/>
              </w:rPr>
              <w:t>See </w:t>
            </w:r>
            <w:r>
              <w:rPr>
                <w:color w:val="6B9F24"/>
                <w:sz w:val="22"/>
                <w:u w:val="single" w:color="6B9F24"/>
              </w:rPr>
              <w:t>Appendix C</w:t>
            </w:r>
            <w:r>
              <w:rPr>
                <w:sz w:val="22"/>
              </w:rPr>
              <w:t>.</w:t>
            </w:r>
          </w:p>
        </w:tc>
      </w:tr>
    </w:tbl>
    <w:p>
      <w:pPr>
        <w:pStyle w:val="BodyText"/>
        <w:spacing w:before="8"/>
        <w:rPr>
          <w:b/>
          <w:sz w:val="15"/>
        </w:rPr>
      </w:pPr>
      <w:r>
        <w:rPr/>
        <w:pict>
          <v:shape style="position:absolute;margin-left:70.559998pt;margin-top:11.75950pt;width:650.9pt;height:.1pt;mso-position-horizontal-relative:page;mso-position-vertical-relative:paragraph;z-index:-251577344;mso-wrap-distance-left:0;mso-wrap-distance-right:0" coordorigin="1411,235" coordsize="13018,0" path="m1411,235l14429,235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22"/>
        <w:gridCol w:w="2858"/>
        <w:gridCol w:w="1408"/>
        <w:gridCol w:w="2819"/>
        <w:gridCol w:w="2430"/>
      </w:tblGrid>
      <w:tr>
        <w:trPr>
          <w:trHeight w:val="879" w:hRule="atLeast"/>
        </w:trPr>
        <w:tc>
          <w:tcPr>
            <w:tcW w:w="3422" w:type="dxa"/>
            <w:tcBorders>
              <w:bottom w:val="single" w:sz="18" w:space="0" w:color="4E8542"/>
            </w:tcBorders>
          </w:tcPr>
          <w:p>
            <w:pPr>
              <w:pStyle w:val="TableParagraph"/>
              <w:spacing w:line="292" w:lineRule="exact"/>
              <w:ind w:left="225"/>
              <w:rPr>
                <w:b/>
                <w:sz w:val="24"/>
              </w:rPr>
            </w:pPr>
            <w:r>
              <w:rPr>
                <w:b/>
                <w:sz w:val="24"/>
              </w:rPr>
              <w:t>Characteristics/Requirements</w:t>
            </w:r>
          </w:p>
        </w:tc>
        <w:tc>
          <w:tcPr>
            <w:tcW w:w="2858" w:type="dxa"/>
            <w:tcBorders>
              <w:bottom w:val="single" w:sz="18" w:space="0" w:color="4E8542"/>
            </w:tcBorders>
          </w:tcPr>
          <w:p>
            <w:pPr>
              <w:pStyle w:val="TableParagraph"/>
              <w:ind w:left="132" w:right="112"/>
              <w:jc w:val="center"/>
              <w:rPr>
                <w:b/>
                <w:sz w:val="24"/>
              </w:rPr>
            </w:pPr>
            <w:r>
              <w:rPr>
                <w:b/>
                <w:sz w:val="24"/>
              </w:rPr>
              <w:t>DDA Individual Supported Employment</w:t>
            </w:r>
          </w:p>
          <w:p>
            <w:pPr>
              <w:pStyle w:val="TableParagraph"/>
              <w:spacing w:line="274" w:lineRule="exact"/>
              <w:ind w:left="132" w:right="111"/>
              <w:jc w:val="center"/>
              <w:rPr>
                <w:b/>
                <w:sz w:val="24"/>
              </w:rPr>
            </w:pPr>
            <w:r>
              <w:rPr>
                <w:b/>
                <w:sz w:val="24"/>
              </w:rPr>
              <w:t>State Evaluation</w:t>
            </w:r>
          </w:p>
        </w:tc>
        <w:tc>
          <w:tcPr>
            <w:tcW w:w="1408" w:type="dxa"/>
            <w:tcBorders>
              <w:bottom w:val="single" w:sz="18" w:space="0" w:color="4E8542"/>
            </w:tcBorders>
          </w:tcPr>
          <w:p>
            <w:pPr>
              <w:pStyle w:val="TableParagraph"/>
              <w:ind w:left="446" w:right="82" w:hanging="327"/>
              <w:rPr>
                <w:b/>
                <w:sz w:val="24"/>
              </w:rPr>
            </w:pPr>
            <w:r>
              <w:rPr>
                <w:b/>
                <w:sz w:val="24"/>
              </w:rPr>
              <w:t>Compliance Level</w:t>
            </w:r>
          </w:p>
        </w:tc>
        <w:tc>
          <w:tcPr>
            <w:tcW w:w="2819" w:type="dxa"/>
            <w:tcBorders>
              <w:bottom w:val="single" w:sz="18" w:space="0" w:color="4E8542"/>
            </w:tcBorders>
          </w:tcPr>
          <w:p>
            <w:pPr>
              <w:pStyle w:val="TableParagraph"/>
              <w:spacing w:line="292" w:lineRule="exact"/>
              <w:ind w:left="524"/>
              <w:rPr>
                <w:b/>
                <w:sz w:val="24"/>
              </w:rPr>
            </w:pPr>
            <w:r>
              <w:rPr>
                <w:b/>
                <w:sz w:val="24"/>
              </w:rPr>
              <w:t>Oversight Process</w:t>
            </w:r>
          </w:p>
        </w:tc>
        <w:tc>
          <w:tcPr>
            <w:tcW w:w="2430" w:type="dxa"/>
            <w:tcBorders>
              <w:bottom w:val="single" w:sz="18" w:space="0" w:color="4E8542"/>
            </w:tcBorders>
          </w:tcPr>
          <w:p>
            <w:pPr>
              <w:pStyle w:val="TableParagraph"/>
              <w:spacing w:line="292" w:lineRule="exact"/>
              <w:ind w:left="575"/>
              <w:rPr>
                <w:b/>
                <w:sz w:val="24"/>
              </w:rPr>
            </w:pPr>
            <w:r>
              <w:rPr>
                <w:b/>
                <w:sz w:val="24"/>
              </w:rPr>
              <w:t>Remediation</w:t>
            </w:r>
          </w:p>
        </w:tc>
      </w:tr>
      <w:tr>
        <w:trPr>
          <w:trHeight w:val="2122" w:hRule="atLeast"/>
        </w:trPr>
        <w:tc>
          <w:tcPr>
            <w:tcW w:w="3422" w:type="dxa"/>
            <w:tcBorders>
              <w:top w:val="single" w:sz="18" w:space="0" w:color="4E8542"/>
            </w:tcBorders>
            <w:shd w:val="clear" w:color="auto" w:fill="D0E4CA"/>
          </w:tcPr>
          <w:p>
            <w:pPr>
              <w:pStyle w:val="TableParagraph"/>
              <w:rPr>
                <w:rFonts w:ascii="Times New Roman"/>
                <w:sz w:val="22"/>
              </w:rPr>
            </w:pPr>
          </w:p>
        </w:tc>
        <w:tc>
          <w:tcPr>
            <w:tcW w:w="2858" w:type="dxa"/>
            <w:tcBorders>
              <w:top w:val="single" w:sz="18" w:space="0" w:color="4E8542"/>
            </w:tcBorders>
            <w:shd w:val="clear" w:color="auto" w:fill="D0E4CA"/>
          </w:tcPr>
          <w:p>
            <w:pPr>
              <w:pStyle w:val="TableParagraph"/>
              <w:rPr>
                <w:rFonts w:ascii="Times New Roman"/>
                <w:sz w:val="22"/>
              </w:rPr>
            </w:pPr>
          </w:p>
        </w:tc>
        <w:tc>
          <w:tcPr>
            <w:tcW w:w="1408" w:type="dxa"/>
            <w:tcBorders>
              <w:top w:val="single" w:sz="18" w:space="0" w:color="4E8542"/>
            </w:tcBorders>
            <w:shd w:val="clear" w:color="auto" w:fill="D0E4CA"/>
          </w:tcPr>
          <w:p>
            <w:pPr>
              <w:pStyle w:val="TableParagraph"/>
              <w:rPr>
                <w:rFonts w:ascii="Times New Roman"/>
                <w:sz w:val="22"/>
              </w:rPr>
            </w:pPr>
          </w:p>
        </w:tc>
        <w:tc>
          <w:tcPr>
            <w:tcW w:w="2819" w:type="dxa"/>
            <w:tcBorders>
              <w:top w:val="single" w:sz="18" w:space="0" w:color="4E8542"/>
            </w:tcBorders>
            <w:shd w:val="clear" w:color="auto" w:fill="D0E4CA"/>
          </w:tcPr>
          <w:p>
            <w:pPr>
              <w:pStyle w:val="TableParagraph"/>
              <w:spacing w:line="243" w:lineRule="exact"/>
              <w:ind w:left="106"/>
              <w:rPr>
                <w:sz w:val="22"/>
              </w:rPr>
            </w:pPr>
            <w:r>
              <w:rPr>
                <w:sz w:val="22"/>
              </w:rPr>
              <w:t>patterns on a county-by -</w:t>
            </w:r>
          </w:p>
          <w:p>
            <w:pPr>
              <w:pStyle w:val="TableParagraph"/>
              <w:ind w:left="106"/>
              <w:rPr>
                <w:sz w:val="22"/>
              </w:rPr>
            </w:pPr>
            <w:r>
              <w:rPr>
                <w:sz w:val="22"/>
              </w:rPr>
              <w:t>county basis monthly.</w:t>
            </w:r>
          </w:p>
          <w:p>
            <w:pPr>
              <w:pStyle w:val="TableParagraph"/>
              <w:spacing w:before="9"/>
              <w:rPr>
                <w:b/>
                <w:sz w:val="21"/>
              </w:rPr>
            </w:pPr>
          </w:p>
          <w:p>
            <w:pPr>
              <w:pStyle w:val="TableParagraph"/>
              <w:spacing w:line="270" w:lineRule="atLeast"/>
              <w:ind w:left="106" w:right="85"/>
              <w:rPr>
                <w:sz w:val="22"/>
              </w:rPr>
            </w:pPr>
            <w:r>
              <w:rPr>
                <w:sz w:val="22"/>
              </w:rPr>
              <w:t>On-site inspections ensure homes meet all licensing and certification requirements in WAC and RCW, including WAC 388-823-1095.</w:t>
            </w:r>
          </w:p>
        </w:tc>
        <w:tc>
          <w:tcPr>
            <w:tcW w:w="2430" w:type="dxa"/>
            <w:tcBorders>
              <w:top w:val="single" w:sz="18" w:space="0" w:color="4E8542"/>
            </w:tcBorders>
            <w:shd w:val="clear" w:color="auto" w:fill="D0E4CA"/>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9"/>
        </w:rPr>
      </w:pPr>
      <w:r>
        <w:rPr/>
        <w:pict>
          <v:shape style="position:absolute;margin-left:70.559998pt;margin-top:14.23075pt;width:650.9pt;height:.1pt;mso-position-horizontal-relative:page;mso-position-vertical-relative:paragraph;z-index:-251576320;mso-wrap-distance-left:0;mso-wrap-distance-right:0" coordorigin="1411,285" coordsize="13018,0" path="m1411,285l14429,285e" filled="false" stroked="true" strokeweight=".481pt" strokecolor="#d9d9d9">
            <v:path arrowok="t"/>
            <v:stroke dashstyle="solid"/>
            <w10:wrap type="topAndBottom"/>
          </v:shape>
        </w:pict>
      </w:r>
    </w:p>
    <w:p>
      <w:pPr>
        <w:spacing w:after="0"/>
        <w:rPr>
          <w:sz w:val="1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0" w:right="2957" w:firstLine="0"/>
        <w:jc w:val="center"/>
        <w:rPr>
          <w:b/>
          <w:sz w:val="28"/>
        </w:rPr>
      </w:pPr>
      <w:bookmarkStart w:name="DDA Group Supported Employment" w:id="57"/>
      <w:bookmarkEnd w:id="57"/>
      <w:r>
        <w:rPr/>
      </w:r>
      <w:bookmarkStart w:name="_bookmark25" w:id="58"/>
      <w:bookmarkEnd w:id="58"/>
      <w:r>
        <w:rPr/>
      </w:r>
      <w:r>
        <w:rPr>
          <w:b/>
          <w:sz w:val="28"/>
        </w:rPr>
        <w:t>DDA Group Supported Employment</w:t>
      </w:r>
    </w:p>
    <w:p>
      <w:pPr>
        <w:pStyle w:val="BodyText"/>
        <w:spacing w:before="2"/>
        <w:rPr>
          <w:b/>
          <w:sz w:val="29"/>
        </w:rPr>
      </w:pPr>
    </w:p>
    <w:p>
      <w:pPr>
        <w:pStyle w:val="BodyText"/>
        <w:spacing w:line="276" w:lineRule="auto"/>
        <w:ind w:left="1060" w:right="1192"/>
      </w:pPr>
      <w:r>
        <w:rPr/>
        <w:t>Setting Description: DDA’s Group Supported Employment services are a step on the pathway toward gainful employment in an integrated setting and includes supports and paid training in an integrated business setting, supervised by a qualified employment provider during working hours, grouping of no more than eight workers with disabilities and individualized support to obtain gainful employment. Provider settings are located in integrated business and industry settings for groups of not more than eight workers with disabilities.</w:t>
      </w:r>
    </w:p>
    <w:p>
      <w:pPr>
        <w:pStyle w:val="BodyText"/>
        <w:spacing w:before="5"/>
        <w:rPr>
          <w:sz w:val="25"/>
        </w:rPr>
      </w:pPr>
    </w:p>
    <w:p>
      <w:pPr>
        <w:pStyle w:val="BodyText"/>
        <w:ind w:left="1060"/>
      </w:pPr>
      <w:r>
        <w:rPr/>
        <w:t>Number of Individuals Served: 1,034 at approximately 258 sites</w:t>
      </w:r>
    </w:p>
    <w:p>
      <w:pPr>
        <w:pStyle w:val="BodyText"/>
        <w:spacing w:before="7"/>
        <w:rPr>
          <w:sz w:val="28"/>
        </w:rPr>
      </w:pPr>
    </w:p>
    <w:p>
      <w:pPr>
        <w:spacing w:before="0" w:after="46"/>
        <w:ind w:left="2919" w:right="2957" w:firstLine="0"/>
        <w:jc w:val="center"/>
        <w:rPr>
          <w:b/>
          <w:sz w:val="24"/>
        </w:rPr>
      </w:pPr>
      <w:r>
        <w:rPr>
          <w:b/>
          <w:sz w:val="24"/>
        </w:rPr>
        <w:t>Characteristics/Requirements</w:t>
      </w: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7"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7" w:right="274"/>
              <w:jc w:val="center"/>
              <w:rPr>
                <w:b/>
                <w:sz w:val="24"/>
              </w:rPr>
            </w:pPr>
            <w:r>
              <w:rPr>
                <w:b/>
                <w:sz w:val="24"/>
              </w:rPr>
              <w:t>DDA Group Supported Employment</w:t>
            </w:r>
          </w:p>
          <w:p>
            <w:pPr>
              <w:pStyle w:val="TableParagraph"/>
              <w:spacing w:line="272"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4834" w:hRule="atLeast"/>
        </w:trPr>
        <w:tc>
          <w:tcPr>
            <w:tcW w:w="3456" w:type="dxa"/>
            <w:tcBorders>
              <w:top w:val="single" w:sz="18" w:space="0" w:color="4E8542"/>
            </w:tcBorders>
            <w:shd w:val="clear" w:color="auto" w:fill="D0E4CA"/>
          </w:tcPr>
          <w:p>
            <w:pPr>
              <w:pStyle w:val="TableParagraph"/>
              <w:spacing w:before="1"/>
              <w:ind w:left="107" w:right="212"/>
              <w:rPr>
                <w:b/>
                <w:sz w:val="22"/>
              </w:rPr>
            </w:pPr>
            <w:r>
              <w:rPr>
                <w:b/>
                <w:sz w:val="22"/>
              </w:rPr>
              <w:t>The setting is integrated in, and facilitates the individual’s full access to, the greater community, including opportunities to seek employment and work in competitive integrated settings, engage in community life, control personal resources, and receive services in the community, in the same manner as individuals without disabilities.</w:t>
            </w:r>
          </w:p>
        </w:tc>
        <w:tc>
          <w:tcPr>
            <w:tcW w:w="2825" w:type="dxa"/>
            <w:tcBorders>
              <w:top w:val="single" w:sz="18" w:space="0" w:color="4E8542"/>
            </w:tcBorders>
            <w:shd w:val="clear" w:color="auto" w:fill="D0E4CA"/>
          </w:tcPr>
          <w:p>
            <w:pPr>
              <w:pStyle w:val="TableParagraph"/>
              <w:spacing w:before="1"/>
              <w:ind w:left="107"/>
              <w:rPr>
                <w:sz w:val="22"/>
              </w:rPr>
            </w:pPr>
            <w:hyperlink r:id="rId86">
              <w:r>
                <w:rPr>
                  <w:color w:val="6B9F24"/>
                  <w:sz w:val="22"/>
                  <w:u w:val="single" w:color="6B9F24"/>
                </w:rPr>
                <w:t>RCW 71A.10.015</w:t>
              </w:r>
            </w:hyperlink>
          </w:p>
          <w:p>
            <w:pPr>
              <w:pStyle w:val="TableParagraph"/>
              <w:rPr>
                <w:b/>
                <w:sz w:val="22"/>
              </w:rPr>
            </w:pPr>
          </w:p>
          <w:p>
            <w:pPr>
              <w:pStyle w:val="TableParagraph"/>
              <w:ind w:left="107"/>
              <w:rPr>
                <w:sz w:val="22"/>
              </w:rPr>
            </w:pPr>
            <w:hyperlink r:id="rId87">
              <w:r>
                <w:rPr>
                  <w:color w:val="6B9F24"/>
                  <w:sz w:val="22"/>
                  <w:u w:val="single" w:color="6B9F24"/>
                </w:rPr>
                <w:t>WAC 388-845-2100(</w:t>
              </w:r>
            </w:hyperlink>
            <w:r>
              <w:rPr>
                <w:sz w:val="22"/>
              </w:rPr>
              <w:t>2)(a-d)</w:t>
            </w:r>
          </w:p>
          <w:p>
            <w:pPr>
              <w:pStyle w:val="TableParagraph"/>
              <w:ind w:left="107" w:right="135"/>
              <w:rPr>
                <w:sz w:val="22"/>
              </w:rPr>
            </w:pPr>
            <w:r>
              <w:rPr>
                <w:sz w:val="22"/>
              </w:rPr>
              <w:t>Group supported employment services are a step on your pathway toward gainful employment in an integrated setting and include supports and paid training in an integrated business setting, supervision by a qualified employment provider during working hours, groupings of no more than eight workers with disabilities and individualized supports to</w:t>
            </w:r>
          </w:p>
          <w:p>
            <w:pPr>
              <w:pStyle w:val="TableParagraph"/>
              <w:spacing w:line="248" w:lineRule="exact"/>
              <w:ind w:left="107"/>
              <w:rPr>
                <w:sz w:val="22"/>
              </w:rPr>
            </w:pPr>
            <w:r>
              <w:rPr>
                <w:sz w:val="22"/>
              </w:rPr>
              <w:t>obtain gainful employment.</w:t>
            </w:r>
          </w:p>
        </w:tc>
        <w:tc>
          <w:tcPr>
            <w:tcW w:w="1409" w:type="dxa"/>
            <w:tcBorders>
              <w:top w:val="single" w:sz="18" w:space="0" w:color="4E8542"/>
            </w:tcBorders>
            <w:shd w:val="clear" w:color="auto" w:fill="D0E4CA"/>
          </w:tcPr>
          <w:p>
            <w:pPr>
              <w:pStyle w:val="TableParagraph"/>
              <w:spacing w:before="1"/>
              <w:ind w:left="107" w:right="341"/>
              <w:rPr>
                <w:sz w:val="22"/>
              </w:rPr>
            </w:pPr>
            <w:r>
              <w:rPr>
                <w:sz w:val="22"/>
              </w:rPr>
              <w:t>Fully Compliant</w:t>
            </w:r>
          </w:p>
        </w:tc>
        <w:tc>
          <w:tcPr>
            <w:tcW w:w="2820" w:type="dxa"/>
            <w:tcBorders>
              <w:top w:val="single" w:sz="18" w:space="0" w:color="4E8542"/>
            </w:tcBorders>
            <w:shd w:val="clear" w:color="auto" w:fill="D0E4CA"/>
          </w:tcPr>
          <w:p>
            <w:pPr>
              <w:pStyle w:val="TableParagraph"/>
              <w:spacing w:before="1"/>
              <w:ind w:left="104" w:right="87"/>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 service providers at minimum once per biennium 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w:t>
            </w:r>
          </w:p>
          <w:p>
            <w:pPr>
              <w:pStyle w:val="TableParagraph"/>
              <w:spacing w:line="248" w:lineRule="exact"/>
              <w:ind w:left="104"/>
              <w:rPr>
                <w:sz w:val="22"/>
              </w:rPr>
            </w:pPr>
            <w:r>
              <w:rPr>
                <w:sz w:val="22"/>
              </w:rPr>
              <w:t>providers submit monthly</w:t>
            </w:r>
          </w:p>
        </w:tc>
        <w:tc>
          <w:tcPr>
            <w:tcW w:w="2431" w:type="dxa"/>
            <w:tcBorders>
              <w:top w:val="single" w:sz="18" w:space="0" w:color="4E8542"/>
            </w:tcBorders>
            <w:shd w:val="clear" w:color="auto" w:fill="D0E4CA"/>
          </w:tcPr>
          <w:p>
            <w:pPr>
              <w:pStyle w:val="TableParagraph"/>
              <w:spacing w:before="1"/>
              <w:ind w:left="107" w:right="86"/>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spacing w:before="5"/>
        <w:rPr>
          <w:b/>
          <w:sz w:val="15"/>
        </w:rPr>
      </w:pPr>
      <w:r>
        <w:rPr/>
        <w:pict>
          <v:shape style="position:absolute;margin-left:70.559998pt;margin-top:11.6395pt;width:650.9pt;height:.1pt;mso-position-horizontal-relative:page;mso-position-vertical-relative:paragraph;z-index:-251575296;mso-wrap-distance-left:0;mso-wrap-distance-right:0" coordorigin="1411,233" coordsize="13018,0" path="m1411,233l14429,233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7" w:right="274"/>
              <w:jc w:val="center"/>
              <w:rPr>
                <w:b/>
                <w:sz w:val="24"/>
              </w:rPr>
            </w:pPr>
            <w:r>
              <w:rPr>
                <w:b/>
                <w:sz w:val="24"/>
              </w:rPr>
              <w:t>DDA Group Supported Employment</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8067" w:hRule="atLeast"/>
        </w:trPr>
        <w:tc>
          <w:tcPr>
            <w:tcW w:w="3456" w:type="dxa"/>
            <w:tcBorders>
              <w:top w:val="single" w:sz="18" w:space="0" w:color="4E8542"/>
            </w:tcBorders>
            <w:shd w:val="clear" w:color="auto" w:fill="D0E4CA"/>
          </w:tcPr>
          <w:p>
            <w:pPr>
              <w:pStyle w:val="TableParagraph"/>
              <w:rPr>
                <w:rFonts w:ascii="Times New Roman"/>
                <w:sz w:val="22"/>
              </w:rPr>
            </w:pPr>
          </w:p>
        </w:tc>
        <w:tc>
          <w:tcPr>
            <w:tcW w:w="2825" w:type="dxa"/>
            <w:tcBorders>
              <w:top w:val="single" w:sz="18" w:space="0" w:color="4E8542"/>
            </w:tcBorders>
            <w:shd w:val="clear" w:color="auto" w:fill="D0E4CA"/>
          </w:tcPr>
          <w:p>
            <w:pPr>
              <w:pStyle w:val="TableParagraph"/>
              <w:spacing w:before="11"/>
              <w:rPr>
                <w:b/>
                <w:sz w:val="19"/>
              </w:rPr>
            </w:pPr>
          </w:p>
          <w:p>
            <w:pPr>
              <w:pStyle w:val="TableParagraph"/>
              <w:ind w:left="107" w:right="444"/>
              <w:rPr>
                <w:sz w:val="22"/>
              </w:rPr>
            </w:pPr>
            <w:hyperlink r:id="rId88">
              <w:r>
                <w:rPr>
                  <w:color w:val="6B9F24"/>
                  <w:w w:val="100"/>
                  <w:sz w:val="22"/>
                  <w:u w:val="single" w:color="6B9F24"/>
                </w:rPr>
                <w:t> </w:t>
              </w:r>
              <w:r>
                <w:rPr>
                  <w:color w:val="6B9F24"/>
                  <w:sz w:val="22"/>
                  <w:u w:val="single" w:color="6B9F24"/>
                </w:rPr>
                <w:t>DDA Policy 4.11</w:t>
              </w:r>
              <w:r>
                <w:rPr>
                  <w:color w:val="6B9F24"/>
                  <w:sz w:val="22"/>
                </w:rPr>
                <w:t> </w:t>
              </w:r>
            </w:hyperlink>
            <w:r>
              <w:rPr>
                <w:sz w:val="22"/>
              </w:rPr>
              <w:t>County Services for Working Age Adults</w:t>
            </w:r>
          </w:p>
          <w:p>
            <w:pPr>
              <w:pStyle w:val="TableParagraph"/>
              <w:spacing w:before="11"/>
              <w:rPr>
                <w:b/>
                <w:sz w:val="21"/>
              </w:rPr>
            </w:pPr>
          </w:p>
          <w:p>
            <w:pPr>
              <w:pStyle w:val="TableParagraph"/>
              <w:ind w:left="107" w:right="95"/>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 include the following benefits of quality living: power and choice, relationships, status/contribution, integration, competence and health and safety.</w:t>
            </w:r>
          </w:p>
          <w:p>
            <w:pPr>
              <w:pStyle w:val="TableParagraph"/>
              <w:rPr>
                <w:b/>
                <w:sz w:val="22"/>
              </w:rPr>
            </w:pPr>
          </w:p>
          <w:p>
            <w:pPr>
              <w:pStyle w:val="TableParagraph"/>
              <w:ind w:left="107" w:right="111"/>
              <w:rPr>
                <w:sz w:val="22"/>
              </w:rPr>
            </w:pPr>
            <w:r>
              <w:rPr>
                <w:sz w:val="22"/>
              </w:rPr>
              <w:t>The State has completed a review of state laws and regulations regarding group supported employment settings. All rules and regulations regarding this setting are in alignment with federal HCBS setting regulations.</w:t>
            </w:r>
          </w:p>
        </w:tc>
        <w:tc>
          <w:tcPr>
            <w:tcW w:w="1409" w:type="dxa"/>
            <w:tcBorders>
              <w:top w:val="single" w:sz="18" w:space="0" w:color="4E8542"/>
            </w:tcBorders>
            <w:shd w:val="clear" w:color="auto" w:fill="D0E4CA"/>
          </w:tcPr>
          <w:p>
            <w:pPr>
              <w:pStyle w:val="TableParagraph"/>
              <w:rPr>
                <w:rFonts w:ascii="Times New Roman"/>
                <w:sz w:val="22"/>
              </w:rPr>
            </w:pPr>
          </w:p>
        </w:tc>
        <w:tc>
          <w:tcPr>
            <w:tcW w:w="2820" w:type="dxa"/>
            <w:tcBorders>
              <w:top w:val="single" w:sz="18" w:space="0" w:color="4E8542"/>
            </w:tcBorders>
            <w:shd w:val="clear" w:color="auto" w:fill="D0E4CA"/>
          </w:tcPr>
          <w:p>
            <w:pPr>
              <w:pStyle w:val="TableParagraph"/>
              <w:spacing w:line="243" w:lineRule="exact"/>
              <w:ind w:left="104"/>
              <w:rPr>
                <w:sz w:val="22"/>
              </w:rPr>
            </w:pPr>
            <w:r>
              <w:rPr>
                <w:sz w:val="22"/>
              </w:rPr>
              <w:t>outcome information to</w:t>
            </w:r>
          </w:p>
          <w:p>
            <w:pPr>
              <w:pStyle w:val="TableParagraph"/>
              <w:ind w:left="104" w:right="76"/>
              <w:rPr>
                <w:sz w:val="22"/>
              </w:rPr>
            </w:pPr>
            <w:r>
              <w:rPr>
                <w:sz w:val="22"/>
              </w:rPr>
              <w:t>Counties and progress reports to each client’s case resource manager on a semi- annual basis.</w:t>
            </w:r>
          </w:p>
          <w:p>
            <w:pPr>
              <w:pStyle w:val="TableParagraph"/>
              <w:spacing w:before="11"/>
              <w:rPr>
                <w:b/>
                <w:sz w:val="21"/>
              </w:rPr>
            </w:pPr>
          </w:p>
          <w:p>
            <w:pPr>
              <w:pStyle w:val="TableParagraph"/>
              <w:ind w:left="104" w:right="132"/>
              <w:rPr>
                <w:sz w:val="22"/>
              </w:rPr>
            </w:pPr>
            <w:r>
              <w:rPr>
                <w:sz w:val="22"/>
              </w:rPr>
              <w:t>Each county completes a 16- page self-assessment tool every other year which assists DDA to prioritize site visits. DDA uses the county self-assessment tool as one of several methods of identifying priorities for site visits. Other considerations include:</w:t>
            </w:r>
          </w:p>
          <w:p>
            <w:pPr>
              <w:pStyle w:val="TableParagraph"/>
              <w:numPr>
                <w:ilvl w:val="0"/>
                <w:numId w:val="10"/>
              </w:numPr>
              <w:tabs>
                <w:tab w:pos="464" w:val="left" w:leader="none"/>
                <w:tab w:pos="465" w:val="left" w:leader="none"/>
              </w:tabs>
              <w:spacing w:line="240" w:lineRule="auto" w:before="0" w:after="0"/>
              <w:ind w:left="464" w:right="0" w:hanging="361"/>
              <w:jc w:val="left"/>
              <w:rPr>
                <w:sz w:val="22"/>
              </w:rPr>
            </w:pPr>
            <w:r>
              <w:rPr>
                <w:sz w:val="22"/>
              </w:rPr>
              <w:t>If county is</w:t>
            </w:r>
            <w:r>
              <w:rPr>
                <w:spacing w:val="-1"/>
                <w:sz w:val="22"/>
              </w:rPr>
              <w:t> </w:t>
            </w:r>
            <w:r>
              <w:rPr>
                <w:sz w:val="22"/>
              </w:rPr>
              <w:t>provider;</w:t>
            </w:r>
          </w:p>
          <w:p>
            <w:pPr>
              <w:pStyle w:val="TableParagraph"/>
              <w:numPr>
                <w:ilvl w:val="0"/>
                <w:numId w:val="10"/>
              </w:numPr>
              <w:tabs>
                <w:tab w:pos="464" w:val="left" w:leader="none"/>
                <w:tab w:pos="465" w:val="left" w:leader="none"/>
              </w:tabs>
              <w:spacing w:line="240" w:lineRule="auto" w:before="1" w:after="0"/>
              <w:ind w:left="464" w:right="150" w:hanging="360"/>
              <w:jc w:val="left"/>
              <w:rPr>
                <w:sz w:val="22"/>
              </w:rPr>
            </w:pPr>
            <w:r>
              <w:rPr>
                <w:sz w:val="22"/>
              </w:rPr>
              <w:t>If DDA regional or HQ staff identifies county as needing additional site monitoring;</w:t>
            </w:r>
          </w:p>
          <w:p>
            <w:pPr>
              <w:pStyle w:val="TableParagraph"/>
              <w:numPr>
                <w:ilvl w:val="0"/>
                <w:numId w:val="10"/>
              </w:numPr>
              <w:tabs>
                <w:tab w:pos="464" w:val="left" w:leader="none"/>
                <w:tab w:pos="465" w:val="left" w:leader="none"/>
              </w:tabs>
              <w:spacing w:line="240" w:lineRule="auto" w:before="0" w:after="0"/>
              <w:ind w:left="464" w:right="296" w:hanging="360"/>
              <w:jc w:val="left"/>
              <w:rPr>
                <w:sz w:val="22"/>
              </w:rPr>
            </w:pPr>
            <w:r>
              <w:rPr>
                <w:sz w:val="22"/>
              </w:rPr>
              <w:t>Every three years, all counties are</w:t>
            </w:r>
            <w:r>
              <w:rPr>
                <w:spacing w:val="-6"/>
                <w:sz w:val="22"/>
              </w:rPr>
              <w:t> </w:t>
            </w:r>
            <w:r>
              <w:rPr>
                <w:sz w:val="22"/>
              </w:rPr>
              <w:t>reviewed.</w:t>
            </w:r>
          </w:p>
          <w:p>
            <w:pPr>
              <w:pStyle w:val="TableParagraph"/>
              <w:ind w:left="104" w:right="124"/>
              <w:rPr>
                <w:sz w:val="22"/>
              </w:rPr>
            </w:pPr>
            <w:r>
              <w:rPr>
                <w:sz w:val="22"/>
              </w:rPr>
              <w:t>DDA staff conduct on-site quality assessments to every county once every two years. DDA has 3 Regional Employment Specialists who assist with the quality</w:t>
            </w:r>
          </w:p>
          <w:p>
            <w:pPr>
              <w:pStyle w:val="TableParagraph"/>
              <w:spacing w:line="251" w:lineRule="exact"/>
              <w:ind w:left="104"/>
              <w:rPr>
                <w:sz w:val="22"/>
              </w:rPr>
            </w:pPr>
            <w:r>
              <w:rPr>
                <w:sz w:val="22"/>
              </w:rPr>
              <w:t>assessments. Additionally,</w:t>
            </w:r>
          </w:p>
        </w:tc>
        <w:tc>
          <w:tcPr>
            <w:tcW w:w="2431" w:type="dxa"/>
            <w:tcBorders>
              <w:top w:val="single" w:sz="18" w:space="0" w:color="4E8542"/>
            </w:tcBorders>
            <w:shd w:val="clear" w:color="auto" w:fill="D0E4CA"/>
          </w:tcPr>
          <w:p>
            <w:pPr>
              <w:pStyle w:val="TableParagraph"/>
              <w:rPr>
                <w:rFonts w:ascii="Times New Roman"/>
                <w:sz w:val="22"/>
              </w:rPr>
            </w:pPr>
          </w:p>
        </w:tc>
      </w:tr>
    </w:tbl>
    <w:p>
      <w:pPr>
        <w:pStyle w:val="BodyText"/>
        <w:spacing w:before="8"/>
        <w:rPr>
          <w:b/>
          <w:sz w:val="12"/>
        </w:rPr>
      </w:pPr>
      <w:r>
        <w:rPr/>
        <w:pict>
          <v:shape style="position:absolute;margin-left:70.559998pt;margin-top:9.9595pt;width:650.9pt;height:.1pt;mso-position-horizontal-relative:page;mso-position-vertical-relative:paragraph;z-index:-251574272;mso-wrap-distance-left:0;mso-wrap-distance-right:0" coordorigin="1411,199" coordsize="13018,0" path="m1411,199l14429,199e" filled="false" stroked="true" strokeweight=".481pt" strokecolor="#d9d9d9">
            <v:path arrowok="t"/>
            <v:stroke dashstyle="solid"/>
            <w10:wrap type="topAndBottom"/>
          </v:shape>
        </w:pict>
      </w:r>
    </w:p>
    <w:p>
      <w:pPr>
        <w:spacing w:after="0"/>
        <w:rPr>
          <w:sz w:val="1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7" w:right="274"/>
              <w:jc w:val="center"/>
              <w:rPr>
                <w:b/>
                <w:sz w:val="24"/>
              </w:rPr>
            </w:pPr>
            <w:r>
              <w:rPr>
                <w:b/>
                <w:sz w:val="24"/>
              </w:rPr>
              <w:t>DDA Group Supported Employment</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2660" w:hRule="atLeast"/>
        </w:trPr>
        <w:tc>
          <w:tcPr>
            <w:tcW w:w="3456" w:type="dxa"/>
            <w:tcBorders>
              <w:top w:val="single" w:sz="18" w:space="0" w:color="4E8542"/>
            </w:tcBorders>
            <w:shd w:val="clear" w:color="auto" w:fill="D0E4CA"/>
          </w:tcPr>
          <w:p>
            <w:pPr>
              <w:pStyle w:val="TableParagraph"/>
              <w:rPr>
                <w:rFonts w:ascii="Times New Roman"/>
                <w:sz w:val="22"/>
              </w:rPr>
            </w:pPr>
          </w:p>
        </w:tc>
        <w:tc>
          <w:tcPr>
            <w:tcW w:w="2825" w:type="dxa"/>
            <w:tcBorders>
              <w:top w:val="single" w:sz="18" w:space="0" w:color="4E8542"/>
            </w:tcBorders>
            <w:shd w:val="clear" w:color="auto" w:fill="D0E4CA"/>
          </w:tcPr>
          <w:p>
            <w:pPr>
              <w:pStyle w:val="TableParagraph"/>
              <w:rPr>
                <w:rFonts w:ascii="Times New Roman"/>
                <w:sz w:val="22"/>
              </w:rPr>
            </w:pPr>
          </w:p>
        </w:tc>
        <w:tc>
          <w:tcPr>
            <w:tcW w:w="1409" w:type="dxa"/>
            <w:tcBorders>
              <w:top w:val="single" w:sz="18" w:space="0" w:color="4E8542"/>
            </w:tcBorders>
            <w:shd w:val="clear" w:color="auto" w:fill="D0E4CA"/>
          </w:tcPr>
          <w:p>
            <w:pPr>
              <w:pStyle w:val="TableParagraph"/>
              <w:rPr>
                <w:rFonts w:ascii="Times New Roman"/>
                <w:sz w:val="22"/>
              </w:rPr>
            </w:pPr>
          </w:p>
        </w:tc>
        <w:tc>
          <w:tcPr>
            <w:tcW w:w="2820" w:type="dxa"/>
            <w:tcBorders>
              <w:top w:val="single" w:sz="18" w:space="0" w:color="4E8542"/>
            </w:tcBorders>
            <w:shd w:val="clear" w:color="auto" w:fill="D0E4CA"/>
          </w:tcPr>
          <w:p>
            <w:pPr>
              <w:pStyle w:val="TableParagraph"/>
              <w:spacing w:line="243" w:lineRule="exact"/>
              <w:ind w:left="104"/>
              <w:rPr>
                <w:sz w:val="22"/>
              </w:rPr>
            </w:pPr>
            <w:r>
              <w:rPr>
                <w:sz w:val="22"/>
              </w:rPr>
              <w:t>DDA review outcome</w:t>
            </w:r>
          </w:p>
          <w:p>
            <w:pPr>
              <w:pStyle w:val="TableParagraph"/>
              <w:ind w:left="104" w:right="290"/>
              <w:rPr>
                <w:sz w:val="22"/>
              </w:rPr>
            </w:pPr>
            <w:r>
              <w:rPr>
                <w:sz w:val="22"/>
              </w:rPr>
              <w:t>information for trends and patterns on a county-by - county basis monthly.</w:t>
            </w:r>
          </w:p>
          <w:p>
            <w:pPr>
              <w:pStyle w:val="TableParagraph"/>
              <w:spacing w:before="9"/>
              <w:rPr>
                <w:b/>
                <w:sz w:val="21"/>
              </w:rPr>
            </w:pPr>
          </w:p>
          <w:p>
            <w:pPr>
              <w:pStyle w:val="TableParagraph"/>
              <w:spacing w:line="270" w:lineRule="atLeast"/>
              <w:ind w:left="104" w:right="88"/>
              <w:rPr>
                <w:sz w:val="22"/>
              </w:rPr>
            </w:pPr>
            <w:r>
              <w:rPr>
                <w:sz w:val="22"/>
              </w:rPr>
              <w:t>On-site inspections ensure homes meet all licensing and certification requirements in WAC and RCW, including WAC 388-823-1095.</w:t>
            </w:r>
          </w:p>
        </w:tc>
        <w:tc>
          <w:tcPr>
            <w:tcW w:w="2431" w:type="dxa"/>
            <w:tcBorders>
              <w:top w:val="single" w:sz="18" w:space="0" w:color="4E8542"/>
            </w:tcBorders>
            <w:shd w:val="clear" w:color="auto" w:fill="D0E4CA"/>
          </w:tcPr>
          <w:p>
            <w:pPr>
              <w:pStyle w:val="TableParagraph"/>
              <w:rPr>
                <w:rFonts w:ascii="Times New Roman"/>
                <w:sz w:val="22"/>
              </w:rPr>
            </w:pPr>
          </w:p>
        </w:tc>
      </w:tr>
      <w:tr>
        <w:trPr>
          <w:trHeight w:val="5366" w:hRule="atLeast"/>
        </w:trPr>
        <w:tc>
          <w:tcPr>
            <w:tcW w:w="3456" w:type="dxa"/>
          </w:tcPr>
          <w:p>
            <w:pPr>
              <w:pStyle w:val="TableParagraph"/>
              <w:ind w:left="106" w:right="242"/>
              <w:rPr>
                <w:b/>
                <w:sz w:val="22"/>
              </w:rPr>
            </w:pPr>
            <w:r>
              <w:rPr>
                <w:b/>
                <w:sz w:val="22"/>
              </w:rPr>
              <w:t>The setting is selected by the individual from among setting options including non-disability specific settings and an option for a private unit in a residential setting. The setting options are identified and documented in the person-centered service plan and are based on the individual’s needs, preferences, and, for residential settings, resources available for room and board.</w:t>
            </w:r>
          </w:p>
        </w:tc>
        <w:tc>
          <w:tcPr>
            <w:tcW w:w="2825" w:type="dxa"/>
          </w:tcPr>
          <w:p>
            <w:pPr>
              <w:pStyle w:val="TableParagraph"/>
              <w:spacing w:line="264" w:lineRule="exact"/>
              <w:ind w:left="107"/>
              <w:rPr>
                <w:sz w:val="22"/>
              </w:rPr>
            </w:pPr>
            <w:hyperlink r:id="rId23">
              <w:r>
                <w:rPr>
                  <w:color w:val="6B9F24"/>
                  <w:sz w:val="22"/>
                  <w:u w:val="single" w:color="6B9F24"/>
                </w:rPr>
                <w:t>WAC 388-823-1095</w:t>
              </w:r>
              <w:r>
                <w:rPr>
                  <w:color w:val="6B9F24"/>
                  <w:sz w:val="22"/>
                </w:rPr>
                <w:t> </w:t>
              </w:r>
            </w:hyperlink>
            <w:r>
              <w:rPr>
                <w:sz w:val="22"/>
              </w:rPr>
              <w:t>My</w:t>
            </w:r>
          </w:p>
          <w:p>
            <w:pPr>
              <w:pStyle w:val="TableParagraph"/>
              <w:ind w:left="107"/>
              <w:rPr>
                <w:sz w:val="22"/>
              </w:rPr>
            </w:pPr>
            <w:r>
              <w:rPr>
                <w:sz w:val="22"/>
              </w:rPr>
              <w:t>rights as a DDA client.</w:t>
            </w:r>
          </w:p>
          <w:p>
            <w:pPr>
              <w:pStyle w:val="TableParagraph"/>
              <w:rPr>
                <w:b/>
                <w:sz w:val="22"/>
              </w:rPr>
            </w:pPr>
          </w:p>
          <w:p>
            <w:pPr>
              <w:pStyle w:val="TableParagraph"/>
              <w:ind w:left="107" w:right="170"/>
              <w:rPr>
                <w:sz w:val="22"/>
              </w:rPr>
            </w:pPr>
            <w:r>
              <w:rPr>
                <w:sz w:val="22"/>
              </w:rPr>
              <w:t>During the assessment process, it is the case manager’s responsibility to inform individuals of their options regarding settings and providers. Participants report via the Assessment Meeting Wrap–up and the Assessment Meeting Survey that they are informed of their options regarding services and providers.</w:t>
            </w:r>
          </w:p>
          <w:p>
            <w:pPr>
              <w:pStyle w:val="TableParagraph"/>
              <w:spacing w:before="9"/>
              <w:rPr>
                <w:b/>
                <w:sz w:val="21"/>
              </w:rPr>
            </w:pPr>
          </w:p>
          <w:p>
            <w:pPr>
              <w:pStyle w:val="TableParagraph"/>
              <w:spacing w:line="270" w:lineRule="atLeast" w:before="1"/>
              <w:ind w:left="107" w:right="294"/>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 include the following</w:t>
            </w:r>
          </w:p>
        </w:tc>
        <w:tc>
          <w:tcPr>
            <w:tcW w:w="1409" w:type="dxa"/>
          </w:tcPr>
          <w:p>
            <w:pPr>
              <w:pStyle w:val="TableParagraph"/>
              <w:ind w:left="107" w:right="341"/>
              <w:rPr>
                <w:sz w:val="22"/>
              </w:rPr>
            </w:pPr>
            <w:r>
              <w:rPr>
                <w:sz w:val="22"/>
              </w:rPr>
              <w:t>Partially Compliant</w:t>
            </w:r>
          </w:p>
        </w:tc>
        <w:tc>
          <w:tcPr>
            <w:tcW w:w="2820" w:type="dxa"/>
          </w:tcPr>
          <w:p>
            <w:pPr>
              <w:pStyle w:val="TableParagraph"/>
              <w:ind w:left="104" w:right="87"/>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 service providers at minimum once per biennium 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 providers submit monthly outcome information to</w:t>
            </w:r>
          </w:p>
          <w:p>
            <w:pPr>
              <w:pStyle w:val="TableParagraph"/>
              <w:spacing w:line="249" w:lineRule="exact"/>
              <w:ind w:left="104"/>
              <w:rPr>
                <w:sz w:val="22"/>
              </w:rPr>
            </w:pPr>
            <w:r>
              <w:rPr>
                <w:sz w:val="22"/>
              </w:rPr>
              <w:t>counties and progress</w:t>
            </w:r>
          </w:p>
        </w:tc>
        <w:tc>
          <w:tcPr>
            <w:tcW w:w="2431" w:type="dxa"/>
          </w:tcPr>
          <w:p>
            <w:pPr>
              <w:pStyle w:val="TableParagraph"/>
              <w:ind w:left="107" w:right="86"/>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spacing w:before="1"/>
        <w:rPr>
          <w:b/>
          <w:sz w:val="14"/>
        </w:rPr>
      </w:pPr>
      <w:r>
        <w:rPr/>
        <w:pict>
          <v:shape style="position:absolute;margin-left:70.559998pt;margin-top:10.7995pt;width:650.9pt;height:.1pt;mso-position-horizontal-relative:page;mso-position-vertical-relative:paragraph;z-index:-251573248;mso-wrap-distance-left:0;mso-wrap-distance-right:0" coordorigin="1411,216" coordsize="13018,0" path="m1411,216l14429,216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7" w:right="274"/>
              <w:jc w:val="center"/>
              <w:rPr>
                <w:b/>
                <w:sz w:val="24"/>
              </w:rPr>
            </w:pPr>
            <w:r>
              <w:rPr>
                <w:b/>
                <w:sz w:val="24"/>
              </w:rPr>
              <w:t>DDA Group Supported Employment</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6687" w:hRule="atLeast"/>
        </w:trPr>
        <w:tc>
          <w:tcPr>
            <w:tcW w:w="3456" w:type="dxa"/>
            <w:tcBorders>
              <w:top w:val="single" w:sz="18" w:space="0" w:color="4E8542"/>
            </w:tcBorders>
          </w:tcPr>
          <w:p>
            <w:pPr>
              <w:pStyle w:val="TableParagraph"/>
              <w:rPr>
                <w:rFonts w:ascii="Times New Roman"/>
                <w:sz w:val="22"/>
              </w:rPr>
            </w:pPr>
          </w:p>
        </w:tc>
        <w:tc>
          <w:tcPr>
            <w:tcW w:w="2825" w:type="dxa"/>
            <w:tcBorders>
              <w:top w:val="single" w:sz="18" w:space="0" w:color="4E8542"/>
            </w:tcBorders>
          </w:tcPr>
          <w:p>
            <w:pPr>
              <w:pStyle w:val="TableParagraph"/>
              <w:spacing w:line="243" w:lineRule="exact"/>
              <w:ind w:left="107"/>
              <w:rPr>
                <w:sz w:val="22"/>
              </w:rPr>
            </w:pPr>
            <w:r>
              <w:rPr>
                <w:sz w:val="22"/>
              </w:rPr>
              <w:t>benefits of quality living:</w:t>
            </w:r>
          </w:p>
          <w:p>
            <w:pPr>
              <w:pStyle w:val="TableParagraph"/>
              <w:ind w:left="107" w:right="416"/>
              <w:rPr>
                <w:sz w:val="22"/>
              </w:rPr>
            </w:pPr>
            <w:r>
              <w:rPr>
                <w:sz w:val="22"/>
              </w:rPr>
              <w:t>power and choice, relationships, status/contribution, integration, competence, and health and safety.</w:t>
            </w:r>
          </w:p>
        </w:tc>
        <w:tc>
          <w:tcPr>
            <w:tcW w:w="1409" w:type="dxa"/>
            <w:tcBorders>
              <w:top w:val="single" w:sz="18" w:space="0" w:color="4E8542"/>
            </w:tcBorders>
          </w:tcPr>
          <w:p>
            <w:pPr>
              <w:pStyle w:val="TableParagraph"/>
              <w:rPr>
                <w:rFonts w:ascii="Times New Roman"/>
                <w:sz w:val="22"/>
              </w:rPr>
            </w:pPr>
          </w:p>
        </w:tc>
        <w:tc>
          <w:tcPr>
            <w:tcW w:w="2820" w:type="dxa"/>
            <w:tcBorders>
              <w:top w:val="single" w:sz="18" w:space="0" w:color="4E8542"/>
            </w:tcBorders>
          </w:tcPr>
          <w:p>
            <w:pPr>
              <w:pStyle w:val="TableParagraph"/>
              <w:spacing w:line="243" w:lineRule="exact"/>
              <w:ind w:left="104"/>
              <w:rPr>
                <w:sz w:val="22"/>
              </w:rPr>
            </w:pPr>
            <w:r>
              <w:rPr>
                <w:sz w:val="22"/>
              </w:rPr>
              <w:t>reports to each client’s case</w:t>
            </w:r>
          </w:p>
          <w:p>
            <w:pPr>
              <w:pStyle w:val="TableParagraph"/>
              <w:ind w:left="104" w:right="76"/>
              <w:rPr>
                <w:sz w:val="22"/>
              </w:rPr>
            </w:pPr>
            <w:r>
              <w:rPr>
                <w:sz w:val="22"/>
              </w:rPr>
              <w:t>resource manager on a semi- annual basis.</w:t>
            </w:r>
          </w:p>
          <w:p>
            <w:pPr>
              <w:pStyle w:val="TableParagraph"/>
              <w:spacing w:before="10"/>
              <w:rPr>
                <w:b/>
                <w:sz w:val="21"/>
              </w:rPr>
            </w:pPr>
          </w:p>
          <w:p>
            <w:pPr>
              <w:pStyle w:val="TableParagraph"/>
              <w:ind w:left="104" w:right="70"/>
              <w:rPr>
                <w:sz w:val="22"/>
              </w:rPr>
            </w:pPr>
            <w:r>
              <w:rPr>
                <w:sz w:val="22"/>
              </w:rPr>
              <w:t>Each county completes a 16- page self-assessment tool every other year which assists DDA to prioritize site visits. DDA staff conducts on- site quality assessments to every county once every two years. DDA has 3 Regional Employment Specialists who assist with the quality assessments. Additionally, DDA review outcome information for trends and patterns on a county-by - county basis monthly.</w:t>
            </w:r>
          </w:p>
          <w:p>
            <w:pPr>
              <w:pStyle w:val="TableParagraph"/>
              <w:spacing w:before="2"/>
              <w:rPr>
                <w:b/>
                <w:sz w:val="22"/>
              </w:rPr>
            </w:pPr>
          </w:p>
          <w:p>
            <w:pPr>
              <w:pStyle w:val="TableParagraph"/>
              <w:ind w:left="104" w:right="88"/>
              <w:rPr>
                <w:sz w:val="22"/>
              </w:rPr>
            </w:pPr>
            <w:r>
              <w:rPr>
                <w:sz w:val="22"/>
              </w:rPr>
              <w:t>On-site inspections ensure homes meet all licensing and certification requirements in WAC and RCW, including</w:t>
            </w:r>
          </w:p>
          <w:p>
            <w:pPr>
              <w:pStyle w:val="TableParagraph"/>
              <w:spacing w:line="248" w:lineRule="exact"/>
              <w:ind w:left="104"/>
              <w:rPr>
                <w:sz w:val="22"/>
              </w:rPr>
            </w:pPr>
            <w:r>
              <w:rPr>
                <w:sz w:val="22"/>
              </w:rPr>
              <w:t>WAC 388-823-1095.</w:t>
            </w:r>
          </w:p>
        </w:tc>
        <w:tc>
          <w:tcPr>
            <w:tcW w:w="2431" w:type="dxa"/>
            <w:tcBorders>
              <w:top w:val="single" w:sz="18" w:space="0" w:color="4E8542"/>
            </w:tcBorders>
          </w:tcPr>
          <w:p>
            <w:pPr>
              <w:pStyle w:val="TableParagraph"/>
              <w:rPr>
                <w:rFonts w:ascii="Times New Roman"/>
                <w:sz w:val="22"/>
              </w:rPr>
            </w:pPr>
          </w:p>
        </w:tc>
      </w:tr>
      <w:tr>
        <w:trPr>
          <w:trHeight w:val="1343" w:hRule="atLeast"/>
        </w:trPr>
        <w:tc>
          <w:tcPr>
            <w:tcW w:w="3456" w:type="dxa"/>
            <w:shd w:val="clear" w:color="auto" w:fill="D0E4CA"/>
          </w:tcPr>
          <w:p>
            <w:pPr>
              <w:pStyle w:val="TableParagraph"/>
              <w:spacing w:before="1"/>
              <w:ind w:left="107" w:right="261"/>
              <w:rPr>
                <w:b/>
                <w:sz w:val="22"/>
              </w:rPr>
            </w:pPr>
            <w:r>
              <w:rPr>
                <w:b/>
                <w:sz w:val="22"/>
              </w:rPr>
              <w:t>An individual’s essential personal rights of privacy, dignity and respect, and freedom from coercion and restraint are</w:t>
            </w:r>
          </w:p>
          <w:p>
            <w:pPr>
              <w:pStyle w:val="TableParagraph"/>
              <w:spacing w:line="248" w:lineRule="exact"/>
              <w:ind w:left="107"/>
              <w:rPr>
                <w:b/>
                <w:sz w:val="22"/>
              </w:rPr>
            </w:pPr>
            <w:r>
              <w:rPr>
                <w:b/>
                <w:sz w:val="22"/>
              </w:rPr>
              <w:t>protected.</w:t>
            </w:r>
          </w:p>
        </w:tc>
        <w:tc>
          <w:tcPr>
            <w:tcW w:w="2825" w:type="dxa"/>
            <w:shd w:val="clear" w:color="auto" w:fill="D0E4CA"/>
          </w:tcPr>
          <w:p>
            <w:pPr>
              <w:pStyle w:val="TableParagraph"/>
              <w:spacing w:line="267" w:lineRule="exact" w:before="1"/>
              <w:ind w:left="107"/>
              <w:rPr>
                <w:sz w:val="22"/>
              </w:rPr>
            </w:pPr>
            <w:hyperlink r:id="rId23">
              <w:r>
                <w:rPr>
                  <w:color w:val="6B9F24"/>
                  <w:sz w:val="22"/>
                  <w:u w:val="single" w:color="6B9F24"/>
                </w:rPr>
                <w:t>WAC 388-823-1095</w:t>
              </w:r>
              <w:r>
                <w:rPr>
                  <w:color w:val="6B9F24"/>
                  <w:sz w:val="22"/>
                </w:rPr>
                <w:t> </w:t>
              </w:r>
            </w:hyperlink>
            <w:r>
              <w:rPr>
                <w:sz w:val="22"/>
              </w:rPr>
              <w:t>My</w:t>
            </w:r>
          </w:p>
          <w:p>
            <w:pPr>
              <w:pStyle w:val="TableParagraph"/>
              <w:spacing w:line="267" w:lineRule="exact"/>
              <w:ind w:left="107"/>
              <w:rPr>
                <w:sz w:val="22"/>
              </w:rPr>
            </w:pPr>
            <w:r>
              <w:rPr>
                <w:sz w:val="22"/>
              </w:rPr>
              <w:t>rights as a DDA client.</w:t>
            </w:r>
          </w:p>
          <w:p>
            <w:pPr>
              <w:pStyle w:val="TableParagraph"/>
              <w:spacing w:before="11"/>
              <w:rPr>
                <w:b/>
                <w:sz w:val="21"/>
              </w:rPr>
            </w:pPr>
          </w:p>
          <w:p>
            <w:pPr>
              <w:pStyle w:val="TableParagraph"/>
              <w:spacing w:line="270" w:lineRule="atLeast"/>
              <w:ind w:left="107" w:right="294"/>
              <w:rPr>
                <w:sz w:val="22"/>
              </w:rPr>
            </w:pPr>
            <w:hyperlink r:id="rId89">
              <w:r>
                <w:rPr>
                  <w:color w:val="6B9F24"/>
                  <w:sz w:val="22"/>
                  <w:u w:val="single" w:color="6B9F24"/>
                </w:rPr>
                <w:t>County Guidelines</w:t>
              </w:r>
              <w:r>
                <w:rPr>
                  <w:color w:val="6B9F24"/>
                  <w:sz w:val="22"/>
                </w:rPr>
                <w:t> </w:t>
              </w:r>
            </w:hyperlink>
            <w:r>
              <w:rPr>
                <w:sz w:val="22"/>
              </w:rPr>
              <w:t>inform and direct county services,</w:t>
            </w:r>
          </w:p>
        </w:tc>
        <w:tc>
          <w:tcPr>
            <w:tcW w:w="1409" w:type="dxa"/>
            <w:shd w:val="clear" w:color="auto" w:fill="D0E4CA"/>
          </w:tcPr>
          <w:p>
            <w:pPr>
              <w:pStyle w:val="TableParagraph"/>
              <w:spacing w:line="237" w:lineRule="auto" w:before="3"/>
              <w:ind w:left="107" w:right="341"/>
              <w:rPr>
                <w:sz w:val="22"/>
              </w:rPr>
            </w:pPr>
            <w:r>
              <w:rPr>
                <w:sz w:val="22"/>
              </w:rPr>
              <w:t>Partially Compliant</w:t>
            </w:r>
          </w:p>
        </w:tc>
        <w:tc>
          <w:tcPr>
            <w:tcW w:w="2820" w:type="dxa"/>
            <w:shd w:val="clear" w:color="auto" w:fill="D0E4CA"/>
          </w:tcPr>
          <w:p>
            <w:pPr>
              <w:pStyle w:val="TableParagraph"/>
              <w:spacing w:before="1"/>
              <w:ind w:left="104" w:right="132"/>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w:t>
            </w:r>
          </w:p>
          <w:p>
            <w:pPr>
              <w:pStyle w:val="TableParagraph"/>
              <w:spacing w:line="248" w:lineRule="exact"/>
              <w:ind w:left="104"/>
              <w:rPr>
                <w:sz w:val="22"/>
              </w:rPr>
            </w:pPr>
            <w:r>
              <w:rPr>
                <w:sz w:val="22"/>
              </w:rPr>
              <w:t>service providers at</w:t>
            </w:r>
          </w:p>
        </w:tc>
        <w:tc>
          <w:tcPr>
            <w:tcW w:w="2431" w:type="dxa"/>
            <w:shd w:val="clear" w:color="auto" w:fill="D0E4CA"/>
          </w:tcPr>
          <w:p>
            <w:pPr>
              <w:pStyle w:val="TableParagraph"/>
              <w:spacing w:before="1"/>
              <w:ind w:left="107" w:right="86"/>
              <w:rPr>
                <w:sz w:val="22"/>
              </w:rPr>
            </w:pPr>
            <w:r>
              <w:rPr>
                <w:sz w:val="22"/>
              </w:rPr>
              <w:t>Revising WAC 388-823- 1095 to include all rights listed in the HCBS rules and adding language to</w:t>
            </w:r>
          </w:p>
        </w:tc>
      </w:tr>
    </w:tbl>
    <w:p>
      <w:pPr>
        <w:pStyle w:val="BodyText"/>
        <w:spacing w:before="1"/>
        <w:rPr>
          <w:b/>
          <w:sz w:val="14"/>
        </w:rPr>
      </w:pPr>
      <w:r>
        <w:rPr/>
        <w:pict>
          <v:shape style="position:absolute;margin-left:70.559998pt;margin-top:10.7995pt;width:650.9pt;height:.1pt;mso-position-horizontal-relative:page;mso-position-vertical-relative:paragraph;z-index:-251572224;mso-wrap-distance-left:0;mso-wrap-distance-right:0" coordorigin="1411,216" coordsize="13018,0" path="m1411,216l14429,216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7" w:right="274"/>
              <w:jc w:val="center"/>
              <w:rPr>
                <w:b/>
                <w:sz w:val="24"/>
              </w:rPr>
            </w:pPr>
            <w:r>
              <w:rPr>
                <w:b/>
                <w:sz w:val="24"/>
              </w:rPr>
              <w:t>DDA Group Supported Employment</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8031" w:hRule="atLeast"/>
        </w:trPr>
        <w:tc>
          <w:tcPr>
            <w:tcW w:w="3456" w:type="dxa"/>
            <w:tcBorders>
              <w:top w:val="single" w:sz="18" w:space="0" w:color="4E8542"/>
            </w:tcBorders>
            <w:shd w:val="clear" w:color="auto" w:fill="D0E4CA"/>
          </w:tcPr>
          <w:p>
            <w:pPr>
              <w:pStyle w:val="TableParagraph"/>
              <w:rPr>
                <w:rFonts w:ascii="Times New Roman"/>
                <w:sz w:val="22"/>
              </w:rPr>
            </w:pPr>
          </w:p>
        </w:tc>
        <w:tc>
          <w:tcPr>
            <w:tcW w:w="2825" w:type="dxa"/>
            <w:tcBorders>
              <w:top w:val="single" w:sz="18" w:space="0" w:color="4E8542"/>
            </w:tcBorders>
            <w:shd w:val="clear" w:color="auto" w:fill="D0E4CA"/>
          </w:tcPr>
          <w:p>
            <w:pPr>
              <w:pStyle w:val="TableParagraph"/>
              <w:spacing w:line="243" w:lineRule="exact"/>
              <w:ind w:left="107"/>
              <w:rPr>
                <w:sz w:val="22"/>
              </w:rPr>
            </w:pPr>
            <w:r>
              <w:rPr>
                <w:sz w:val="22"/>
              </w:rPr>
              <w:t>including employment, to</w:t>
            </w:r>
          </w:p>
          <w:p>
            <w:pPr>
              <w:pStyle w:val="TableParagraph"/>
              <w:ind w:left="107" w:right="416"/>
              <w:rPr>
                <w:sz w:val="22"/>
              </w:rPr>
            </w:pPr>
            <w:r>
              <w:rPr>
                <w:sz w:val="22"/>
              </w:rPr>
              <w:t>include the following benefits of quality living: power and choice, relationships, status/contribution, integration, competence, and health and safety.</w:t>
            </w:r>
          </w:p>
        </w:tc>
        <w:tc>
          <w:tcPr>
            <w:tcW w:w="1409" w:type="dxa"/>
            <w:tcBorders>
              <w:top w:val="single" w:sz="18" w:space="0" w:color="4E8542"/>
            </w:tcBorders>
            <w:shd w:val="clear" w:color="auto" w:fill="D0E4CA"/>
          </w:tcPr>
          <w:p>
            <w:pPr>
              <w:pStyle w:val="TableParagraph"/>
              <w:rPr>
                <w:rFonts w:ascii="Times New Roman"/>
                <w:sz w:val="22"/>
              </w:rPr>
            </w:pPr>
          </w:p>
        </w:tc>
        <w:tc>
          <w:tcPr>
            <w:tcW w:w="2820" w:type="dxa"/>
            <w:tcBorders>
              <w:top w:val="single" w:sz="18" w:space="0" w:color="4E8542"/>
            </w:tcBorders>
            <w:shd w:val="clear" w:color="auto" w:fill="D0E4CA"/>
          </w:tcPr>
          <w:p>
            <w:pPr>
              <w:pStyle w:val="TableParagraph"/>
              <w:spacing w:line="243" w:lineRule="exact"/>
              <w:ind w:left="104"/>
              <w:rPr>
                <w:sz w:val="22"/>
              </w:rPr>
            </w:pPr>
            <w:r>
              <w:rPr>
                <w:sz w:val="22"/>
              </w:rPr>
              <w:t>minimum once per biennium</w:t>
            </w:r>
          </w:p>
          <w:p>
            <w:pPr>
              <w:pStyle w:val="TableParagraph"/>
              <w:ind w:left="104" w:right="76"/>
              <w:rPr>
                <w:sz w:val="22"/>
              </w:rPr>
            </w:pPr>
            <w:r>
              <w:rPr>
                <w:sz w:val="22"/>
              </w:rPr>
              <w:t>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 providers submit monthly outcome information to counties and progress reports to each client’s case resource manager on a semi- annual basis.</w:t>
            </w:r>
          </w:p>
          <w:p>
            <w:pPr>
              <w:pStyle w:val="TableParagraph"/>
              <w:spacing w:before="12"/>
              <w:rPr>
                <w:b/>
                <w:sz w:val="21"/>
              </w:rPr>
            </w:pPr>
          </w:p>
          <w:p>
            <w:pPr>
              <w:pStyle w:val="TableParagraph"/>
              <w:ind w:left="104" w:right="70"/>
              <w:rPr>
                <w:sz w:val="22"/>
              </w:rPr>
            </w:pPr>
            <w:r>
              <w:rPr>
                <w:sz w:val="22"/>
              </w:rPr>
              <w:t>Each county completes a 16- page self-assessment tool every other year which assists DDA to prioritize site visits. DDA staff conducts on- site quality assessments to every county once every two years. DDA has 3 Regional Employment Specialists who assist with the quality</w:t>
            </w:r>
          </w:p>
          <w:p>
            <w:pPr>
              <w:pStyle w:val="TableParagraph"/>
              <w:spacing w:line="249" w:lineRule="exact"/>
              <w:ind w:left="104"/>
              <w:rPr>
                <w:sz w:val="22"/>
              </w:rPr>
            </w:pPr>
            <w:r>
              <w:rPr>
                <w:sz w:val="22"/>
              </w:rPr>
              <w:t>assessments. Additionally,</w:t>
            </w:r>
          </w:p>
        </w:tc>
        <w:tc>
          <w:tcPr>
            <w:tcW w:w="2431" w:type="dxa"/>
            <w:tcBorders>
              <w:top w:val="single" w:sz="18" w:space="0" w:color="4E8542"/>
            </w:tcBorders>
            <w:shd w:val="clear" w:color="auto" w:fill="D0E4CA"/>
          </w:tcPr>
          <w:p>
            <w:pPr>
              <w:pStyle w:val="TableParagraph"/>
              <w:spacing w:line="243" w:lineRule="exact"/>
              <w:ind w:left="107"/>
              <w:rPr>
                <w:sz w:val="22"/>
              </w:rPr>
            </w:pPr>
            <w:r>
              <w:rPr>
                <w:sz w:val="22"/>
              </w:rPr>
              <w:t>the contracts requiring</w:t>
            </w:r>
          </w:p>
          <w:p>
            <w:pPr>
              <w:pStyle w:val="TableParagraph"/>
              <w:ind w:left="107" w:right="200"/>
              <w:rPr>
                <w:sz w:val="22"/>
              </w:rPr>
            </w:pPr>
            <w:r>
              <w:rPr>
                <w:sz w:val="22"/>
              </w:rPr>
              <w:t>adherence to the WAC. See </w:t>
            </w:r>
            <w:r>
              <w:rPr>
                <w:color w:val="6B9F24"/>
                <w:sz w:val="22"/>
                <w:u w:val="single" w:color="6B9F24"/>
              </w:rPr>
              <w:t>Appendix C</w:t>
            </w:r>
            <w:r>
              <w:rPr>
                <w:sz w:val="22"/>
              </w:rPr>
              <w:t>.</w:t>
            </w:r>
          </w:p>
        </w:tc>
      </w:tr>
    </w:tbl>
    <w:p>
      <w:pPr>
        <w:pStyle w:val="BodyText"/>
        <w:spacing w:before="8"/>
        <w:rPr>
          <w:b/>
          <w:sz w:val="15"/>
        </w:rPr>
      </w:pPr>
      <w:r>
        <w:rPr/>
        <w:pict>
          <v:shape style="position:absolute;margin-left:70.559998pt;margin-top:11.75950pt;width:650.9pt;height:.1pt;mso-position-horizontal-relative:page;mso-position-vertical-relative:paragraph;z-index:-251571200;mso-wrap-distance-left:0;mso-wrap-distance-right:0" coordorigin="1411,235" coordsize="13018,0" path="m1411,235l14429,235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7" w:right="274"/>
              <w:jc w:val="center"/>
              <w:rPr>
                <w:b/>
                <w:sz w:val="24"/>
              </w:rPr>
            </w:pPr>
            <w:r>
              <w:rPr>
                <w:b/>
                <w:sz w:val="24"/>
              </w:rPr>
              <w:t>DDA Group Supported Employment</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2660" w:hRule="atLeast"/>
        </w:trPr>
        <w:tc>
          <w:tcPr>
            <w:tcW w:w="3456" w:type="dxa"/>
            <w:tcBorders>
              <w:top w:val="single" w:sz="18" w:space="0" w:color="4E8542"/>
            </w:tcBorders>
            <w:shd w:val="clear" w:color="auto" w:fill="D0E4CA"/>
          </w:tcPr>
          <w:p>
            <w:pPr>
              <w:pStyle w:val="TableParagraph"/>
              <w:rPr>
                <w:rFonts w:ascii="Times New Roman"/>
                <w:sz w:val="22"/>
              </w:rPr>
            </w:pPr>
          </w:p>
        </w:tc>
        <w:tc>
          <w:tcPr>
            <w:tcW w:w="2825" w:type="dxa"/>
            <w:tcBorders>
              <w:top w:val="single" w:sz="18" w:space="0" w:color="4E8542"/>
            </w:tcBorders>
            <w:shd w:val="clear" w:color="auto" w:fill="D0E4CA"/>
          </w:tcPr>
          <w:p>
            <w:pPr>
              <w:pStyle w:val="TableParagraph"/>
              <w:rPr>
                <w:rFonts w:ascii="Times New Roman"/>
                <w:sz w:val="22"/>
              </w:rPr>
            </w:pPr>
          </w:p>
        </w:tc>
        <w:tc>
          <w:tcPr>
            <w:tcW w:w="1409" w:type="dxa"/>
            <w:tcBorders>
              <w:top w:val="single" w:sz="18" w:space="0" w:color="4E8542"/>
            </w:tcBorders>
            <w:shd w:val="clear" w:color="auto" w:fill="D0E4CA"/>
          </w:tcPr>
          <w:p>
            <w:pPr>
              <w:pStyle w:val="TableParagraph"/>
              <w:rPr>
                <w:rFonts w:ascii="Times New Roman"/>
                <w:sz w:val="22"/>
              </w:rPr>
            </w:pPr>
          </w:p>
        </w:tc>
        <w:tc>
          <w:tcPr>
            <w:tcW w:w="2820" w:type="dxa"/>
            <w:tcBorders>
              <w:top w:val="single" w:sz="18" w:space="0" w:color="4E8542"/>
            </w:tcBorders>
            <w:shd w:val="clear" w:color="auto" w:fill="D0E4CA"/>
          </w:tcPr>
          <w:p>
            <w:pPr>
              <w:pStyle w:val="TableParagraph"/>
              <w:spacing w:line="243" w:lineRule="exact"/>
              <w:ind w:left="104"/>
              <w:rPr>
                <w:sz w:val="22"/>
              </w:rPr>
            </w:pPr>
            <w:r>
              <w:rPr>
                <w:sz w:val="22"/>
              </w:rPr>
              <w:t>DDA review outcome</w:t>
            </w:r>
          </w:p>
          <w:p>
            <w:pPr>
              <w:pStyle w:val="TableParagraph"/>
              <w:ind w:left="104" w:right="290"/>
              <w:rPr>
                <w:sz w:val="22"/>
              </w:rPr>
            </w:pPr>
            <w:r>
              <w:rPr>
                <w:sz w:val="22"/>
              </w:rPr>
              <w:t>information for trends and patterns on a county -by- county basis monthly.</w:t>
            </w:r>
          </w:p>
          <w:p>
            <w:pPr>
              <w:pStyle w:val="TableParagraph"/>
              <w:spacing w:before="9"/>
              <w:rPr>
                <w:b/>
                <w:sz w:val="21"/>
              </w:rPr>
            </w:pPr>
          </w:p>
          <w:p>
            <w:pPr>
              <w:pStyle w:val="TableParagraph"/>
              <w:spacing w:line="270" w:lineRule="atLeast"/>
              <w:ind w:left="104" w:right="88"/>
              <w:rPr>
                <w:sz w:val="22"/>
              </w:rPr>
            </w:pPr>
            <w:r>
              <w:rPr>
                <w:sz w:val="22"/>
              </w:rPr>
              <w:t>On-site inspections ensure homes meet all licensing and certification requirements in WAC and RCW, including WAC 388-823-1095.</w:t>
            </w:r>
          </w:p>
        </w:tc>
        <w:tc>
          <w:tcPr>
            <w:tcW w:w="2431" w:type="dxa"/>
            <w:tcBorders>
              <w:top w:val="single" w:sz="18" w:space="0" w:color="4E8542"/>
            </w:tcBorders>
            <w:shd w:val="clear" w:color="auto" w:fill="D0E4CA"/>
          </w:tcPr>
          <w:p>
            <w:pPr>
              <w:pStyle w:val="TableParagraph"/>
              <w:rPr>
                <w:rFonts w:ascii="Times New Roman"/>
                <w:sz w:val="22"/>
              </w:rPr>
            </w:pPr>
          </w:p>
        </w:tc>
      </w:tr>
      <w:tr>
        <w:trPr>
          <w:trHeight w:val="5366" w:hRule="atLeast"/>
        </w:trPr>
        <w:tc>
          <w:tcPr>
            <w:tcW w:w="3456" w:type="dxa"/>
          </w:tcPr>
          <w:p>
            <w:pPr>
              <w:pStyle w:val="TableParagraph"/>
              <w:ind w:left="107" w:right="278"/>
              <w:rPr>
                <w:b/>
                <w:sz w:val="22"/>
              </w:rPr>
            </w:pPr>
            <w:r>
              <w:rPr>
                <w:b/>
                <w:sz w:val="22"/>
              </w:rPr>
              <w:t>Individual initiative, autonomy, and independence in making life choices, including but not limited to, daily activities, physical environment, and with whom to interact are optimized and not regimented.</w:t>
            </w:r>
          </w:p>
        </w:tc>
        <w:tc>
          <w:tcPr>
            <w:tcW w:w="2825" w:type="dxa"/>
          </w:tcPr>
          <w:p>
            <w:pPr>
              <w:pStyle w:val="TableParagraph"/>
              <w:spacing w:line="264" w:lineRule="exact"/>
              <w:ind w:left="107"/>
              <w:rPr>
                <w:sz w:val="22"/>
              </w:rPr>
            </w:pPr>
            <w:hyperlink r:id="rId23">
              <w:r>
                <w:rPr>
                  <w:color w:val="6B9F24"/>
                  <w:sz w:val="22"/>
                  <w:u w:val="single" w:color="6B9F24"/>
                </w:rPr>
                <w:t>WAC 388-823-1095</w:t>
              </w:r>
              <w:r>
                <w:rPr>
                  <w:color w:val="6B9F24"/>
                  <w:sz w:val="22"/>
                </w:rPr>
                <w:t> </w:t>
              </w:r>
            </w:hyperlink>
            <w:r>
              <w:rPr>
                <w:sz w:val="22"/>
              </w:rPr>
              <w:t>My</w:t>
            </w:r>
          </w:p>
          <w:p>
            <w:pPr>
              <w:pStyle w:val="TableParagraph"/>
              <w:ind w:left="107"/>
              <w:rPr>
                <w:sz w:val="22"/>
              </w:rPr>
            </w:pPr>
            <w:r>
              <w:rPr>
                <w:sz w:val="22"/>
              </w:rPr>
              <w:t>rights as a DDA client.</w:t>
            </w:r>
          </w:p>
          <w:p>
            <w:pPr>
              <w:pStyle w:val="TableParagraph"/>
              <w:rPr>
                <w:b/>
                <w:sz w:val="22"/>
              </w:rPr>
            </w:pPr>
          </w:p>
          <w:p>
            <w:pPr>
              <w:pStyle w:val="TableParagraph"/>
              <w:ind w:left="107" w:right="294"/>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 include the following benefits of quality living: power and choice, relationships, status/contribution, integration, competence, and health and safety.</w:t>
            </w:r>
          </w:p>
        </w:tc>
        <w:tc>
          <w:tcPr>
            <w:tcW w:w="1409" w:type="dxa"/>
          </w:tcPr>
          <w:p>
            <w:pPr>
              <w:pStyle w:val="TableParagraph"/>
              <w:ind w:left="107" w:right="341"/>
              <w:rPr>
                <w:sz w:val="22"/>
              </w:rPr>
            </w:pPr>
            <w:r>
              <w:rPr>
                <w:sz w:val="22"/>
              </w:rPr>
              <w:t>Partially Compliant</w:t>
            </w:r>
          </w:p>
        </w:tc>
        <w:tc>
          <w:tcPr>
            <w:tcW w:w="2820" w:type="dxa"/>
          </w:tcPr>
          <w:p>
            <w:pPr>
              <w:pStyle w:val="TableParagraph"/>
              <w:ind w:left="104" w:right="87"/>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 service providers at minimum once per biennium to ensure that: all contract obligations are adhere to including HCBS settings compliance, that services to working age adults are consistent with DDA policy; each participant is gainfully employed at client’s identified job goal or has an individual employment plan. Additionally, service providers submit monthly outcome information to</w:t>
            </w:r>
          </w:p>
          <w:p>
            <w:pPr>
              <w:pStyle w:val="TableParagraph"/>
              <w:spacing w:line="249" w:lineRule="exact"/>
              <w:ind w:left="104"/>
              <w:rPr>
                <w:sz w:val="22"/>
              </w:rPr>
            </w:pPr>
            <w:r>
              <w:rPr>
                <w:sz w:val="22"/>
              </w:rPr>
              <w:t>counties and progress</w:t>
            </w:r>
          </w:p>
        </w:tc>
        <w:tc>
          <w:tcPr>
            <w:tcW w:w="2431" w:type="dxa"/>
          </w:tcPr>
          <w:p>
            <w:pPr>
              <w:pStyle w:val="TableParagraph"/>
              <w:ind w:left="107" w:right="86"/>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spacing w:before="1"/>
        <w:rPr>
          <w:b/>
          <w:sz w:val="14"/>
        </w:rPr>
      </w:pPr>
      <w:r>
        <w:rPr/>
        <w:pict>
          <v:shape style="position:absolute;margin-left:70.559998pt;margin-top:10.7995pt;width:650.9pt;height:.1pt;mso-position-horizontal-relative:page;mso-position-vertical-relative:paragraph;z-index:-251570176;mso-wrap-distance-left:0;mso-wrap-distance-right:0" coordorigin="1411,216" coordsize="13018,0" path="m1411,216l14429,216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7" w:right="274"/>
              <w:jc w:val="center"/>
              <w:rPr>
                <w:b/>
                <w:sz w:val="24"/>
              </w:rPr>
            </w:pPr>
            <w:r>
              <w:rPr>
                <w:b/>
                <w:sz w:val="24"/>
              </w:rPr>
              <w:t>DDA Group Supported Employment</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6687" w:hRule="atLeast"/>
        </w:trPr>
        <w:tc>
          <w:tcPr>
            <w:tcW w:w="3456" w:type="dxa"/>
            <w:tcBorders>
              <w:top w:val="single" w:sz="18" w:space="0" w:color="4E8542"/>
            </w:tcBorders>
          </w:tcPr>
          <w:p>
            <w:pPr>
              <w:pStyle w:val="TableParagraph"/>
              <w:rPr>
                <w:rFonts w:ascii="Times New Roman"/>
                <w:sz w:val="22"/>
              </w:rPr>
            </w:pPr>
          </w:p>
        </w:tc>
        <w:tc>
          <w:tcPr>
            <w:tcW w:w="2825" w:type="dxa"/>
            <w:tcBorders>
              <w:top w:val="single" w:sz="18" w:space="0" w:color="4E8542"/>
            </w:tcBorders>
          </w:tcPr>
          <w:p>
            <w:pPr>
              <w:pStyle w:val="TableParagraph"/>
              <w:rPr>
                <w:rFonts w:ascii="Times New Roman"/>
                <w:sz w:val="22"/>
              </w:rPr>
            </w:pPr>
          </w:p>
        </w:tc>
        <w:tc>
          <w:tcPr>
            <w:tcW w:w="1409" w:type="dxa"/>
            <w:tcBorders>
              <w:top w:val="single" w:sz="18" w:space="0" w:color="4E8542"/>
            </w:tcBorders>
          </w:tcPr>
          <w:p>
            <w:pPr>
              <w:pStyle w:val="TableParagraph"/>
              <w:rPr>
                <w:rFonts w:ascii="Times New Roman"/>
                <w:sz w:val="22"/>
              </w:rPr>
            </w:pPr>
          </w:p>
        </w:tc>
        <w:tc>
          <w:tcPr>
            <w:tcW w:w="2820" w:type="dxa"/>
            <w:tcBorders>
              <w:top w:val="single" w:sz="18" w:space="0" w:color="4E8542"/>
            </w:tcBorders>
          </w:tcPr>
          <w:p>
            <w:pPr>
              <w:pStyle w:val="TableParagraph"/>
              <w:spacing w:line="243" w:lineRule="exact"/>
              <w:ind w:left="104"/>
              <w:rPr>
                <w:sz w:val="22"/>
              </w:rPr>
            </w:pPr>
            <w:r>
              <w:rPr>
                <w:sz w:val="22"/>
              </w:rPr>
              <w:t>reports to each client’s case</w:t>
            </w:r>
          </w:p>
          <w:p>
            <w:pPr>
              <w:pStyle w:val="TableParagraph"/>
              <w:ind w:left="104" w:right="76"/>
              <w:rPr>
                <w:sz w:val="22"/>
              </w:rPr>
            </w:pPr>
            <w:r>
              <w:rPr>
                <w:sz w:val="22"/>
              </w:rPr>
              <w:t>resource manager on a semi- annual basis.</w:t>
            </w:r>
          </w:p>
          <w:p>
            <w:pPr>
              <w:pStyle w:val="TableParagraph"/>
              <w:spacing w:before="10"/>
              <w:rPr>
                <w:b/>
                <w:sz w:val="21"/>
              </w:rPr>
            </w:pPr>
          </w:p>
          <w:p>
            <w:pPr>
              <w:pStyle w:val="TableParagraph"/>
              <w:ind w:left="104" w:right="70"/>
              <w:rPr>
                <w:sz w:val="22"/>
              </w:rPr>
            </w:pPr>
            <w:r>
              <w:rPr>
                <w:sz w:val="22"/>
              </w:rPr>
              <w:t>Each county completes a 16- page self-assessment tool every other year which assists DDA to prioritize site visits. DDA staff conducts on- site quality assessments to every county once every two years. DDA has 3 Regional Employment Specialists who assist with the quality assessments. Additionally, DDA review outcome information for trends and patterns on a county -by- county basis monthly.</w:t>
            </w:r>
          </w:p>
          <w:p>
            <w:pPr>
              <w:pStyle w:val="TableParagraph"/>
              <w:spacing w:before="2"/>
              <w:rPr>
                <w:b/>
                <w:sz w:val="22"/>
              </w:rPr>
            </w:pPr>
          </w:p>
          <w:p>
            <w:pPr>
              <w:pStyle w:val="TableParagraph"/>
              <w:ind w:left="104" w:right="88"/>
              <w:rPr>
                <w:sz w:val="22"/>
              </w:rPr>
            </w:pPr>
            <w:r>
              <w:rPr>
                <w:sz w:val="22"/>
              </w:rPr>
              <w:t>On-site inspections ensure homes meet all licensing and certification requirements in WAC and RCW, including</w:t>
            </w:r>
          </w:p>
          <w:p>
            <w:pPr>
              <w:pStyle w:val="TableParagraph"/>
              <w:spacing w:line="248" w:lineRule="exact"/>
              <w:ind w:left="104"/>
              <w:rPr>
                <w:sz w:val="22"/>
              </w:rPr>
            </w:pPr>
            <w:r>
              <w:rPr>
                <w:sz w:val="22"/>
              </w:rPr>
              <w:t>WAC 388-823-1095.</w:t>
            </w:r>
          </w:p>
        </w:tc>
        <w:tc>
          <w:tcPr>
            <w:tcW w:w="2431" w:type="dxa"/>
            <w:tcBorders>
              <w:top w:val="single" w:sz="18" w:space="0" w:color="4E8542"/>
            </w:tcBorders>
          </w:tcPr>
          <w:p>
            <w:pPr>
              <w:pStyle w:val="TableParagraph"/>
              <w:rPr>
                <w:rFonts w:ascii="Times New Roman"/>
                <w:sz w:val="22"/>
              </w:rPr>
            </w:pPr>
          </w:p>
        </w:tc>
      </w:tr>
      <w:tr>
        <w:trPr>
          <w:trHeight w:val="1343" w:hRule="atLeast"/>
        </w:trPr>
        <w:tc>
          <w:tcPr>
            <w:tcW w:w="3456" w:type="dxa"/>
            <w:shd w:val="clear" w:color="auto" w:fill="D0E4CA"/>
          </w:tcPr>
          <w:p>
            <w:pPr>
              <w:pStyle w:val="TableParagraph"/>
              <w:spacing w:before="1"/>
              <w:ind w:left="107" w:right="435"/>
              <w:rPr>
                <w:b/>
                <w:sz w:val="22"/>
              </w:rPr>
            </w:pPr>
            <w:r>
              <w:rPr>
                <w:b/>
                <w:sz w:val="22"/>
              </w:rPr>
              <w:t>Individual choice regarding services and supports, and who provides them, is facilitated.</w:t>
            </w:r>
          </w:p>
        </w:tc>
        <w:tc>
          <w:tcPr>
            <w:tcW w:w="2825" w:type="dxa"/>
            <w:shd w:val="clear" w:color="auto" w:fill="D0E4CA"/>
          </w:tcPr>
          <w:p>
            <w:pPr>
              <w:pStyle w:val="TableParagraph"/>
              <w:spacing w:line="267" w:lineRule="exact" w:before="1"/>
              <w:ind w:left="107"/>
              <w:rPr>
                <w:sz w:val="22"/>
              </w:rPr>
            </w:pPr>
            <w:hyperlink r:id="rId23">
              <w:r>
                <w:rPr>
                  <w:color w:val="6B9F24"/>
                  <w:sz w:val="22"/>
                  <w:u w:val="single" w:color="6B9F24"/>
                </w:rPr>
                <w:t>WAC 388-823-1095</w:t>
              </w:r>
              <w:r>
                <w:rPr>
                  <w:color w:val="6B9F24"/>
                  <w:sz w:val="22"/>
                </w:rPr>
                <w:t> </w:t>
              </w:r>
            </w:hyperlink>
            <w:r>
              <w:rPr>
                <w:sz w:val="22"/>
              </w:rPr>
              <w:t>My</w:t>
            </w:r>
          </w:p>
          <w:p>
            <w:pPr>
              <w:pStyle w:val="TableParagraph"/>
              <w:spacing w:line="267" w:lineRule="exact"/>
              <w:ind w:left="107"/>
              <w:rPr>
                <w:sz w:val="22"/>
              </w:rPr>
            </w:pPr>
            <w:r>
              <w:rPr>
                <w:sz w:val="22"/>
              </w:rPr>
              <w:t>rights as a DDA client.</w:t>
            </w:r>
          </w:p>
          <w:p>
            <w:pPr>
              <w:pStyle w:val="TableParagraph"/>
              <w:spacing w:before="11"/>
              <w:rPr>
                <w:b/>
                <w:sz w:val="21"/>
              </w:rPr>
            </w:pPr>
          </w:p>
          <w:p>
            <w:pPr>
              <w:pStyle w:val="TableParagraph"/>
              <w:spacing w:line="270" w:lineRule="atLeast"/>
              <w:ind w:left="107" w:right="294"/>
              <w:rPr>
                <w:sz w:val="22"/>
              </w:rPr>
            </w:pPr>
            <w:hyperlink r:id="rId89">
              <w:r>
                <w:rPr>
                  <w:color w:val="6B9F24"/>
                  <w:sz w:val="22"/>
                  <w:u w:val="single" w:color="6B9F24"/>
                </w:rPr>
                <w:t>County Guidelines</w:t>
              </w:r>
              <w:r>
                <w:rPr>
                  <w:color w:val="6B9F24"/>
                  <w:sz w:val="22"/>
                </w:rPr>
                <w:t> </w:t>
              </w:r>
            </w:hyperlink>
            <w:r>
              <w:rPr>
                <w:sz w:val="22"/>
              </w:rPr>
              <w:t>inform and direct county services,</w:t>
            </w:r>
          </w:p>
        </w:tc>
        <w:tc>
          <w:tcPr>
            <w:tcW w:w="1409" w:type="dxa"/>
            <w:shd w:val="clear" w:color="auto" w:fill="D0E4CA"/>
          </w:tcPr>
          <w:p>
            <w:pPr>
              <w:pStyle w:val="TableParagraph"/>
              <w:spacing w:line="237" w:lineRule="auto" w:before="3"/>
              <w:ind w:left="107" w:right="341"/>
              <w:rPr>
                <w:sz w:val="22"/>
              </w:rPr>
            </w:pPr>
            <w:r>
              <w:rPr>
                <w:sz w:val="22"/>
              </w:rPr>
              <w:t>Partially Compliant</w:t>
            </w:r>
          </w:p>
        </w:tc>
        <w:tc>
          <w:tcPr>
            <w:tcW w:w="2820" w:type="dxa"/>
            <w:shd w:val="clear" w:color="auto" w:fill="D0E4CA"/>
          </w:tcPr>
          <w:p>
            <w:pPr>
              <w:pStyle w:val="TableParagraph"/>
              <w:spacing w:before="1"/>
              <w:ind w:left="104" w:right="132"/>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w:t>
            </w:r>
          </w:p>
          <w:p>
            <w:pPr>
              <w:pStyle w:val="TableParagraph"/>
              <w:spacing w:line="248" w:lineRule="exact"/>
              <w:ind w:left="104"/>
              <w:rPr>
                <w:sz w:val="22"/>
              </w:rPr>
            </w:pPr>
            <w:r>
              <w:rPr>
                <w:sz w:val="22"/>
              </w:rPr>
              <w:t>service providers at</w:t>
            </w:r>
          </w:p>
        </w:tc>
        <w:tc>
          <w:tcPr>
            <w:tcW w:w="2431" w:type="dxa"/>
            <w:shd w:val="clear" w:color="auto" w:fill="D0E4CA"/>
          </w:tcPr>
          <w:p>
            <w:pPr>
              <w:pStyle w:val="TableParagraph"/>
              <w:spacing w:before="1"/>
              <w:ind w:left="107" w:right="86"/>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w:t>
            </w:r>
          </w:p>
        </w:tc>
      </w:tr>
    </w:tbl>
    <w:p>
      <w:pPr>
        <w:pStyle w:val="BodyText"/>
        <w:spacing w:before="1"/>
        <w:rPr>
          <w:b/>
          <w:sz w:val="14"/>
        </w:rPr>
      </w:pPr>
      <w:r>
        <w:rPr/>
        <w:pict>
          <v:shape style="position:absolute;margin-left:70.559998pt;margin-top:10.7995pt;width:650.9pt;height:.1pt;mso-position-horizontal-relative:page;mso-position-vertical-relative:paragraph;z-index:-251569152;mso-wrap-distance-left:0;mso-wrap-distance-right:0" coordorigin="1411,216" coordsize="13018,0" path="m1411,216l14429,216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7" w:right="274"/>
              <w:jc w:val="center"/>
              <w:rPr>
                <w:b/>
                <w:sz w:val="24"/>
              </w:rPr>
            </w:pPr>
            <w:r>
              <w:rPr>
                <w:b/>
                <w:sz w:val="24"/>
              </w:rPr>
              <w:t>DDA Group Supported Employment</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8031" w:hRule="atLeast"/>
        </w:trPr>
        <w:tc>
          <w:tcPr>
            <w:tcW w:w="3456" w:type="dxa"/>
            <w:tcBorders>
              <w:top w:val="single" w:sz="18" w:space="0" w:color="4E8542"/>
            </w:tcBorders>
            <w:shd w:val="clear" w:color="auto" w:fill="D0E4CA"/>
          </w:tcPr>
          <w:p>
            <w:pPr>
              <w:pStyle w:val="TableParagraph"/>
              <w:rPr>
                <w:rFonts w:ascii="Times New Roman"/>
                <w:sz w:val="22"/>
              </w:rPr>
            </w:pPr>
          </w:p>
        </w:tc>
        <w:tc>
          <w:tcPr>
            <w:tcW w:w="2825" w:type="dxa"/>
            <w:tcBorders>
              <w:top w:val="single" w:sz="18" w:space="0" w:color="4E8542"/>
            </w:tcBorders>
            <w:shd w:val="clear" w:color="auto" w:fill="D0E4CA"/>
          </w:tcPr>
          <w:p>
            <w:pPr>
              <w:pStyle w:val="TableParagraph"/>
              <w:spacing w:line="243" w:lineRule="exact"/>
              <w:ind w:left="107"/>
              <w:rPr>
                <w:sz w:val="22"/>
              </w:rPr>
            </w:pPr>
            <w:r>
              <w:rPr>
                <w:sz w:val="22"/>
              </w:rPr>
              <w:t>including employment, to</w:t>
            </w:r>
          </w:p>
          <w:p>
            <w:pPr>
              <w:pStyle w:val="TableParagraph"/>
              <w:ind w:left="107" w:right="416"/>
              <w:rPr>
                <w:sz w:val="22"/>
              </w:rPr>
            </w:pPr>
            <w:r>
              <w:rPr>
                <w:sz w:val="22"/>
              </w:rPr>
              <w:t>include the following benefits of quality living: power and choice, relationships, status/contribution, integration, competence, and health and safety.</w:t>
            </w:r>
          </w:p>
        </w:tc>
        <w:tc>
          <w:tcPr>
            <w:tcW w:w="1409" w:type="dxa"/>
            <w:tcBorders>
              <w:top w:val="single" w:sz="18" w:space="0" w:color="4E8542"/>
            </w:tcBorders>
            <w:shd w:val="clear" w:color="auto" w:fill="D0E4CA"/>
          </w:tcPr>
          <w:p>
            <w:pPr>
              <w:pStyle w:val="TableParagraph"/>
              <w:rPr>
                <w:rFonts w:ascii="Times New Roman"/>
                <w:sz w:val="22"/>
              </w:rPr>
            </w:pPr>
          </w:p>
        </w:tc>
        <w:tc>
          <w:tcPr>
            <w:tcW w:w="2820" w:type="dxa"/>
            <w:tcBorders>
              <w:top w:val="single" w:sz="18" w:space="0" w:color="4E8542"/>
            </w:tcBorders>
            <w:shd w:val="clear" w:color="auto" w:fill="D0E4CA"/>
          </w:tcPr>
          <w:p>
            <w:pPr>
              <w:pStyle w:val="TableParagraph"/>
              <w:spacing w:line="243" w:lineRule="exact"/>
              <w:ind w:left="104"/>
              <w:rPr>
                <w:sz w:val="22"/>
              </w:rPr>
            </w:pPr>
            <w:r>
              <w:rPr>
                <w:sz w:val="22"/>
              </w:rPr>
              <w:t>minimum once per biennium</w:t>
            </w:r>
          </w:p>
          <w:p>
            <w:pPr>
              <w:pStyle w:val="TableParagraph"/>
              <w:ind w:left="104" w:right="76"/>
              <w:rPr>
                <w:sz w:val="22"/>
              </w:rPr>
            </w:pPr>
            <w:r>
              <w:rPr>
                <w:sz w:val="22"/>
              </w:rPr>
              <w:t>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 providers submit monthly outcome information to counties and progress reports to each client’s case resource manager on a semi- annual basis.</w:t>
            </w:r>
          </w:p>
          <w:p>
            <w:pPr>
              <w:pStyle w:val="TableParagraph"/>
              <w:spacing w:before="12"/>
              <w:rPr>
                <w:b/>
                <w:sz w:val="21"/>
              </w:rPr>
            </w:pPr>
          </w:p>
          <w:p>
            <w:pPr>
              <w:pStyle w:val="TableParagraph"/>
              <w:ind w:left="104" w:right="70"/>
              <w:rPr>
                <w:sz w:val="22"/>
              </w:rPr>
            </w:pPr>
            <w:r>
              <w:rPr>
                <w:sz w:val="22"/>
              </w:rPr>
              <w:t>Each county completes a 16- page self-assessment tool every other year which assists DDA to prioritize site visits. DDA staff conducts on- site quality assessments to every county once every two years. DDA has 3 Regional Employment Specialists who assist with the quality</w:t>
            </w:r>
          </w:p>
          <w:p>
            <w:pPr>
              <w:pStyle w:val="TableParagraph"/>
              <w:spacing w:line="249" w:lineRule="exact"/>
              <w:ind w:left="104"/>
              <w:rPr>
                <w:sz w:val="22"/>
              </w:rPr>
            </w:pPr>
            <w:r>
              <w:rPr>
                <w:sz w:val="22"/>
              </w:rPr>
              <w:t>assessments. Additionally,</w:t>
            </w:r>
          </w:p>
        </w:tc>
        <w:tc>
          <w:tcPr>
            <w:tcW w:w="2431" w:type="dxa"/>
            <w:tcBorders>
              <w:top w:val="single" w:sz="18" w:space="0" w:color="4E8542"/>
            </w:tcBorders>
            <w:shd w:val="clear" w:color="auto" w:fill="D0E4CA"/>
          </w:tcPr>
          <w:p>
            <w:pPr>
              <w:pStyle w:val="TableParagraph"/>
              <w:spacing w:line="243" w:lineRule="exact"/>
              <w:ind w:left="107"/>
              <w:rPr>
                <w:sz w:val="22"/>
              </w:rPr>
            </w:pPr>
            <w:r>
              <w:rPr>
                <w:sz w:val="22"/>
              </w:rPr>
              <w:t>the contracts requiring</w:t>
            </w:r>
          </w:p>
          <w:p>
            <w:pPr>
              <w:pStyle w:val="TableParagraph"/>
              <w:ind w:left="107" w:right="200"/>
              <w:rPr>
                <w:sz w:val="22"/>
              </w:rPr>
            </w:pPr>
            <w:r>
              <w:rPr>
                <w:sz w:val="22"/>
              </w:rPr>
              <w:t>adherence to the WAC. See </w:t>
            </w:r>
            <w:r>
              <w:rPr>
                <w:color w:val="6B9F24"/>
                <w:sz w:val="22"/>
                <w:u w:val="single" w:color="6B9F24"/>
              </w:rPr>
              <w:t>Appendix C.</w:t>
            </w:r>
          </w:p>
        </w:tc>
      </w:tr>
    </w:tbl>
    <w:p>
      <w:pPr>
        <w:pStyle w:val="BodyText"/>
        <w:spacing w:before="8"/>
        <w:rPr>
          <w:b/>
          <w:sz w:val="15"/>
        </w:rPr>
      </w:pPr>
      <w:r>
        <w:rPr/>
        <w:pict>
          <v:shape style="position:absolute;margin-left:70.559998pt;margin-top:11.75950pt;width:650.9pt;height:.1pt;mso-position-horizontal-relative:page;mso-position-vertical-relative:paragraph;z-index:-251568128;mso-wrap-distance-left:0;mso-wrap-distance-right:0" coordorigin="1411,235" coordsize="13018,0" path="m1411,235l14429,235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7" w:right="274"/>
              <w:jc w:val="center"/>
              <w:rPr>
                <w:b/>
                <w:sz w:val="24"/>
              </w:rPr>
            </w:pPr>
            <w:r>
              <w:rPr>
                <w:b/>
                <w:sz w:val="24"/>
              </w:rPr>
              <w:t>DDA Group Supported Employment</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2660" w:hRule="atLeast"/>
        </w:trPr>
        <w:tc>
          <w:tcPr>
            <w:tcW w:w="3456" w:type="dxa"/>
            <w:tcBorders>
              <w:top w:val="single" w:sz="18" w:space="0" w:color="4E8542"/>
            </w:tcBorders>
            <w:shd w:val="clear" w:color="auto" w:fill="D0E4CA"/>
          </w:tcPr>
          <w:p>
            <w:pPr>
              <w:pStyle w:val="TableParagraph"/>
              <w:rPr>
                <w:rFonts w:ascii="Times New Roman"/>
                <w:sz w:val="22"/>
              </w:rPr>
            </w:pPr>
          </w:p>
        </w:tc>
        <w:tc>
          <w:tcPr>
            <w:tcW w:w="2825" w:type="dxa"/>
            <w:tcBorders>
              <w:top w:val="single" w:sz="18" w:space="0" w:color="4E8542"/>
            </w:tcBorders>
            <w:shd w:val="clear" w:color="auto" w:fill="D0E4CA"/>
          </w:tcPr>
          <w:p>
            <w:pPr>
              <w:pStyle w:val="TableParagraph"/>
              <w:rPr>
                <w:rFonts w:ascii="Times New Roman"/>
                <w:sz w:val="22"/>
              </w:rPr>
            </w:pPr>
          </w:p>
        </w:tc>
        <w:tc>
          <w:tcPr>
            <w:tcW w:w="1409" w:type="dxa"/>
            <w:tcBorders>
              <w:top w:val="single" w:sz="18" w:space="0" w:color="4E8542"/>
            </w:tcBorders>
            <w:shd w:val="clear" w:color="auto" w:fill="D0E4CA"/>
          </w:tcPr>
          <w:p>
            <w:pPr>
              <w:pStyle w:val="TableParagraph"/>
              <w:rPr>
                <w:rFonts w:ascii="Times New Roman"/>
                <w:sz w:val="22"/>
              </w:rPr>
            </w:pPr>
          </w:p>
        </w:tc>
        <w:tc>
          <w:tcPr>
            <w:tcW w:w="2820" w:type="dxa"/>
            <w:tcBorders>
              <w:top w:val="single" w:sz="18" w:space="0" w:color="4E8542"/>
            </w:tcBorders>
            <w:shd w:val="clear" w:color="auto" w:fill="D0E4CA"/>
          </w:tcPr>
          <w:p>
            <w:pPr>
              <w:pStyle w:val="TableParagraph"/>
              <w:spacing w:line="243" w:lineRule="exact"/>
              <w:ind w:left="104"/>
              <w:rPr>
                <w:sz w:val="22"/>
              </w:rPr>
            </w:pPr>
            <w:r>
              <w:rPr>
                <w:sz w:val="22"/>
              </w:rPr>
              <w:t>DDA review outcome</w:t>
            </w:r>
          </w:p>
          <w:p>
            <w:pPr>
              <w:pStyle w:val="TableParagraph"/>
              <w:ind w:left="104" w:right="290"/>
              <w:rPr>
                <w:sz w:val="22"/>
              </w:rPr>
            </w:pPr>
            <w:r>
              <w:rPr>
                <w:sz w:val="22"/>
              </w:rPr>
              <w:t>information for trends and patterns on a county -by- county basis monthly.</w:t>
            </w:r>
          </w:p>
          <w:p>
            <w:pPr>
              <w:pStyle w:val="TableParagraph"/>
              <w:spacing w:before="9"/>
              <w:rPr>
                <w:b/>
                <w:sz w:val="21"/>
              </w:rPr>
            </w:pPr>
          </w:p>
          <w:p>
            <w:pPr>
              <w:pStyle w:val="TableParagraph"/>
              <w:spacing w:line="270" w:lineRule="atLeast"/>
              <w:ind w:left="104" w:right="88"/>
              <w:rPr>
                <w:sz w:val="22"/>
              </w:rPr>
            </w:pPr>
            <w:r>
              <w:rPr>
                <w:sz w:val="22"/>
              </w:rPr>
              <w:t>On-site inspections ensure homes meet all licensing and certification requirements in WAC and RCW, including WAC 388-823-1095.</w:t>
            </w:r>
          </w:p>
        </w:tc>
        <w:tc>
          <w:tcPr>
            <w:tcW w:w="2431" w:type="dxa"/>
            <w:tcBorders>
              <w:top w:val="single" w:sz="18" w:space="0" w:color="4E8542"/>
            </w:tcBorders>
            <w:shd w:val="clear" w:color="auto" w:fill="D0E4CA"/>
          </w:tcPr>
          <w:p>
            <w:pPr>
              <w:pStyle w:val="TableParagraph"/>
              <w:rPr>
                <w:rFonts w:ascii="Times New Roman"/>
                <w:sz w:val="22"/>
              </w:rPr>
            </w:pPr>
          </w:p>
        </w:tc>
      </w:tr>
      <w:tr>
        <w:trPr>
          <w:trHeight w:val="5366" w:hRule="atLeast"/>
        </w:trPr>
        <w:tc>
          <w:tcPr>
            <w:tcW w:w="3456" w:type="dxa"/>
          </w:tcPr>
          <w:p>
            <w:pPr>
              <w:pStyle w:val="TableParagraph"/>
              <w:ind w:left="107" w:right="192"/>
              <w:rPr>
                <w:b/>
                <w:sz w:val="22"/>
              </w:rPr>
            </w:pPr>
            <w:r>
              <w:rPr>
                <w:b/>
                <w:sz w:val="22"/>
              </w:rPr>
              <w:t>The setting is physically accessible to the individual.</w:t>
            </w:r>
          </w:p>
        </w:tc>
        <w:tc>
          <w:tcPr>
            <w:tcW w:w="2825" w:type="dxa"/>
          </w:tcPr>
          <w:p>
            <w:pPr>
              <w:pStyle w:val="TableParagraph"/>
              <w:ind w:left="107" w:right="294"/>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 include the following benefits of quality living: power and choice, relationships, status/contribution, integration, competence, and health and safety.</w:t>
            </w:r>
          </w:p>
        </w:tc>
        <w:tc>
          <w:tcPr>
            <w:tcW w:w="1409" w:type="dxa"/>
          </w:tcPr>
          <w:p>
            <w:pPr>
              <w:pStyle w:val="TableParagraph"/>
              <w:ind w:left="107" w:right="341"/>
              <w:rPr>
                <w:sz w:val="22"/>
              </w:rPr>
            </w:pPr>
            <w:r>
              <w:rPr>
                <w:sz w:val="22"/>
              </w:rPr>
              <w:t>Partially Compliant</w:t>
            </w:r>
          </w:p>
        </w:tc>
        <w:tc>
          <w:tcPr>
            <w:tcW w:w="2820" w:type="dxa"/>
          </w:tcPr>
          <w:p>
            <w:pPr>
              <w:pStyle w:val="TableParagraph"/>
              <w:ind w:left="104" w:right="87"/>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 service providers at minimum once per biennium 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 providers submit monthly outcome information to</w:t>
            </w:r>
          </w:p>
          <w:p>
            <w:pPr>
              <w:pStyle w:val="TableParagraph"/>
              <w:spacing w:line="249" w:lineRule="exact"/>
              <w:ind w:left="104"/>
              <w:rPr>
                <w:sz w:val="22"/>
              </w:rPr>
            </w:pPr>
            <w:r>
              <w:rPr>
                <w:sz w:val="22"/>
              </w:rPr>
              <w:t>counties and progress</w:t>
            </w:r>
          </w:p>
        </w:tc>
        <w:tc>
          <w:tcPr>
            <w:tcW w:w="2431" w:type="dxa"/>
          </w:tcPr>
          <w:p>
            <w:pPr>
              <w:pStyle w:val="TableParagraph"/>
              <w:ind w:left="107" w:right="86"/>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spacing w:before="1"/>
        <w:rPr>
          <w:b/>
          <w:sz w:val="14"/>
        </w:rPr>
      </w:pPr>
      <w:r>
        <w:rPr/>
        <w:pict>
          <v:shape style="position:absolute;margin-left:70.559998pt;margin-top:10.7995pt;width:650.9pt;height:.1pt;mso-position-horizontal-relative:page;mso-position-vertical-relative:paragraph;z-index:-251567104;mso-wrap-distance-left:0;mso-wrap-distance-right:0" coordorigin="1411,216" coordsize="13018,0" path="m1411,216l14429,216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7" w:right="274"/>
              <w:jc w:val="center"/>
              <w:rPr>
                <w:b/>
                <w:sz w:val="24"/>
              </w:rPr>
            </w:pPr>
            <w:r>
              <w:rPr>
                <w:b/>
                <w:sz w:val="24"/>
              </w:rPr>
              <w:t>DDA Group Supported Employment</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6687" w:hRule="atLeast"/>
        </w:trPr>
        <w:tc>
          <w:tcPr>
            <w:tcW w:w="3456" w:type="dxa"/>
            <w:tcBorders>
              <w:top w:val="single" w:sz="18" w:space="0" w:color="4E8542"/>
            </w:tcBorders>
          </w:tcPr>
          <w:p>
            <w:pPr>
              <w:pStyle w:val="TableParagraph"/>
              <w:rPr>
                <w:rFonts w:ascii="Times New Roman"/>
                <w:sz w:val="22"/>
              </w:rPr>
            </w:pPr>
          </w:p>
        </w:tc>
        <w:tc>
          <w:tcPr>
            <w:tcW w:w="2825" w:type="dxa"/>
            <w:tcBorders>
              <w:top w:val="single" w:sz="18" w:space="0" w:color="4E8542"/>
            </w:tcBorders>
          </w:tcPr>
          <w:p>
            <w:pPr>
              <w:pStyle w:val="TableParagraph"/>
              <w:rPr>
                <w:rFonts w:ascii="Times New Roman"/>
                <w:sz w:val="22"/>
              </w:rPr>
            </w:pPr>
          </w:p>
        </w:tc>
        <w:tc>
          <w:tcPr>
            <w:tcW w:w="1409" w:type="dxa"/>
            <w:tcBorders>
              <w:top w:val="single" w:sz="18" w:space="0" w:color="4E8542"/>
            </w:tcBorders>
          </w:tcPr>
          <w:p>
            <w:pPr>
              <w:pStyle w:val="TableParagraph"/>
              <w:rPr>
                <w:rFonts w:ascii="Times New Roman"/>
                <w:sz w:val="22"/>
              </w:rPr>
            </w:pPr>
          </w:p>
        </w:tc>
        <w:tc>
          <w:tcPr>
            <w:tcW w:w="2820" w:type="dxa"/>
            <w:tcBorders>
              <w:top w:val="single" w:sz="18" w:space="0" w:color="4E8542"/>
            </w:tcBorders>
          </w:tcPr>
          <w:p>
            <w:pPr>
              <w:pStyle w:val="TableParagraph"/>
              <w:spacing w:line="243" w:lineRule="exact"/>
              <w:ind w:left="104"/>
              <w:rPr>
                <w:sz w:val="22"/>
              </w:rPr>
            </w:pPr>
            <w:r>
              <w:rPr>
                <w:sz w:val="22"/>
              </w:rPr>
              <w:t>reports to each client’s case</w:t>
            </w:r>
          </w:p>
          <w:p>
            <w:pPr>
              <w:pStyle w:val="TableParagraph"/>
              <w:ind w:left="104" w:right="76"/>
              <w:rPr>
                <w:sz w:val="22"/>
              </w:rPr>
            </w:pPr>
            <w:r>
              <w:rPr>
                <w:sz w:val="22"/>
              </w:rPr>
              <w:t>resource manager on a semi- annual basis.</w:t>
            </w:r>
          </w:p>
          <w:p>
            <w:pPr>
              <w:pStyle w:val="TableParagraph"/>
              <w:spacing w:before="10"/>
              <w:rPr>
                <w:b/>
                <w:sz w:val="21"/>
              </w:rPr>
            </w:pPr>
          </w:p>
          <w:p>
            <w:pPr>
              <w:pStyle w:val="TableParagraph"/>
              <w:ind w:left="104" w:right="70"/>
              <w:rPr>
                <w:sz w:val="22"/>
              </w:rPr>
            </w:pPr>
            <w:r>
              <w:rPr>
                <w:sz w:val="22"/>
              </w:rPr>
              <w:t>Each county completes a 16- page self-assessment tool every other year which assists DDA to prioritize site visits. DDA staff conducts on- site quality assessments to every county once every two years. DDA has 3 Regional Employment Specialists who assist with the quality assessments. Additionally, DDA review outcome information for trends and patterns on a county -by- county basis monthly.</w:t>
            </w:r>
          </w:p>
          <w:p>
            <w:pPr>
              <w:pStyle w:val="TableParagraph"/>
              <w:spacing w:before="2"/>
              <w:rPr>
                <w:b/>
                <w:sz w:val="22"/>
              </w:rPr>
            </w:pPr>
          </w:p>
          <w:p>
            <w:pPr>
              <w:pStyle w:val="TableParagraph"/>
              <w:ind w:left="104" w:right="88"/>
              <w:rPr>
                <w:sz w:val="22"/>
              </w:rPr>
            </w:pPr>
            <w:r>
              <w:rPr>
                <w:sz w:val="22"/>
              </w:rPr>
              <w:t>On-site inspections ensure homes meet all licensing and certification requirements in WAC and RCW, including</w:t>
            </w:r>
          </w:p>
          <w:p>
            <w:pPr>
              <w:pStyle w:val="TableParagraph"/>
              <w:spacing w:line="248" w:lineRule="exact"/>
              <w:ind w:left="104"/>
              <w:rPr>
                <w:sz w:val="22"/>
              </w:rPr>
            </w:pPr>
            <w:r>
              <w:rPr>
                <w:sz w:val="22"/>
              </w:rPr>
              <w:t>WAC 388-823-1095.</w:t>
            </w:r>
          </w:p>
        </w:tc>
        <w:tc>
          <w:tcPr>
            <w:tcW w:w="2431" w:type="dxa"/>
            <w:tcBorders>
              <w:top w:val="single" w:sz="18" w:space="0" w:color="4E8542"/>
            </w:tcBorders>
          </w:tcPr>
          <w:p>
            <w:pPr>
              <w:pStyle w:val="TableParagraph"/>
              <w:rPr>
                <w:rFonts w:ascii="Times New Roman"/>
                <w:sz w:val="22"/>
              </w:rPr>
            </w:pPr>
          </w:p>
        </w:tc>
      </w:tr>
      <w:tr>
        <w:trPr>
          <w:trHeight w:val="1343" w:hRule="atLeast"/>
        </w:trPr>
        <w:tc>
          <w:tcPr>
            <w:tcW w:w="3456" w:type="dxa"/>
            <w:shd w:val="clear" w:color="auto" w:fill="D0E4CA"/>
          </w:tcPr>
          <w:p>
            <w:pPr>
              <w:pStyle w:val="TableParagraph"/>
              <w:spacing w:before="1"/>
              <w:ind w:left="107" w:right="364"/>
              <w:rPr>
                <w:b/>
                <w:sz w:val="22"/>
              </w:rPr>
            </w:pPr>
            <w:r>
              <w:rPr>
                <w:b/>
                <w:sz w:val="22"/>
              </w:rPr>
              <w:t>The setting that is located in a building that is also a publicly or privately operated facility that provides inpatient institutional</w:t>
            </w:r>
          </w:p>
          <w:p>
            <w:pPr>
              <w:pStyle w:val="TableParagraph"/>
              <w:spacing w:line="248" w:lineRule="exact"/>
              <w:ind w:left="107"/>
              <w:rPr>
                <w:b/>
                <w:sz w:val="22"/>
              </w:rPr>
            </w:pPr>
            <w:r>
              <w:rPr>
                <w:b/>
                <w:sz w:val="22"/>
              </w:rPr>
              <w:t>treatment, or in a building on the</w:t>
            </w:r>
          </w:p>
        </w:tc>
        <w:tc>
          <w:tcPr>
            <w:tcW w:w="2825" w:type="dxa"/>
            <w:shd w:val="clear" w:color="auto" w:fill="D0E4CA"/>
          </w:tcPr>
          <w:p>
            <w:pPr>
              <w:pStyle w:val="TableParagraph"/>
              <w:spacing w:before="1"/>
              <w:ind w:left="107" w:right="294"/>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 include the following</w:t>
            </w:r>
          </w:p>
          <w:p>
            <w:pPr>
              <w:pStyle w:val="TableParagraph"/>
              <w:spacing w:line="248" w:lineRule="exact"/>
              <w:ind w:left="107"/>
              <w:rPr>
                <w:sz w:val="22"/>
              </w:rPr>
            </w:pPr>
            <w:r>
              <w:rPr>
                <w:sz w:val="22"/>
              </w:rPr>
              <w:t>benefits of quality living:</w:t>
            </w:r>
          </w:p>
        </w:tc>
        <w:tc>
          <w:tcPr>
            <w:tcW w:w="1409" w:type="dxa"/>
            <w:shd w:val="clear" w:color="auto" w:fill="D0E4CA"/>
          </w:tcPr>
          <w:p>
            <w:pPr>
              <w:pStyle w:val="TableParagraph"/>
              <w:spacing w:line="237" w:lineRule="auto" w:before="3"/>
              <w:ind w:left="107" w:right="341"/>
              <w:rPr>
                <w:sz w:val="22"/>
              </w:rPr>
            </w:pPr>
            <w:r>
              <w:rPr>
                <w:sz w:val="22"/>
              </w:rPr>
              <w:t>Fully Compliant</w:t>
            </w:r>
          </w:p>
        </w:tc>
        <w:tc>
          <w:tcPr>
            <w:tcW w:w="2820" w:type="dxa"/>
            <w:shd w:val="clear" w:color="auto" w:fill="D0E4CA"/>
          </w:tcPr>
          <w:p>
            <w:pPr>
              <w:pStyle w:val="TableParagraph"/>
              <w:spacing w:before="1"/>
              <w:ind w:left="104" w:right="132"/>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w:t>
            </w:r>
          </w:p>
          <w:p>
            <w:pPr>
              <w:pStyle w:val="TableParagraph"/>
              <w:spacing w:line="248" w:lineRule="exact"/>
              <w:ind w:left="104"/>
              <w:rPr>
                <w:sz w:val="22"/>
              </w:rPr>
            </w:pPr>
            <w:r>
              <w:rPr>
                <w:sz w:val="22"/>
              </w:rPr>
              <w:t>service providers at</w:t>
            </w:r>
          </w:p>
        </w:tc>
        <w:tc>
          <w:tcPr>
            <w:tcW w:w="2431" w:type="dxa"/>
            <w:shd w:val="clear" w:color="auto" w:fill="D0E4CA"/>
          </w:tcPr>
          <w:p>
            <w:pPr>
              <w:pStyle w:val="TableParagraph"/>
              <w:spacing w:before="1"/>
              <w:ind w:left="107" w:right="86"/>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w:t>
            </w:r>
          </w:p>
        </w:tc>
      </w:tr>
    </w:tbl>
    <w:p>
      <w:pPr>
        <w:pStyle w:val="BodyText"/>
        <w:spacing w:before="1"/>
        <w:rPr>
          <w:b/>
          <w:sz w:val="14"/>
        </w:rPr>
      </w:pPr>
      <w:r>
        <w:rPr/>
        <w:pict>
          <v:shape style="position:absolute;margin-left:70.559998pt;margin-top:10.7995pt;width:650.9pt;height:.1pt;mso-position-horizontal-relative:page;mso-position-vertical-relative:paragraph;z-index:-251566080;mso-wrap-distance-left:0;mso-wrap-distance-right:0" coordorigin="1411,216" coordsize="13018,0" path="m1411,216l14429,216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7" w:right="274"/>
              <w:jc w:val="center"/>
              <w:rPr>
                <w:b/>
                <w:sz w:val="24"/>
              </w:rPr>
            </w:pPr>
            <w:r>
              <w:rPr>
                <w:b/>
                <w:sz w:val="24"/>
              </w:rPr>
              <w:t>DDA Group Supported Employment</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8031" w:hRule="atLeast"/>
        </w:trPr>
        <w:tc>
          <w:tcPr>
            <w:tcW w:w="3456" w:type="dxa"/>
            <w:tcBorders>
              <w:top w:val="single" w:sz="18" w:space="0" w:color="4E8542"/>
            </w:tcBorders>
            <w:shd w:val="clear" w:color="auto" w:fill="D0E4CA"/>
          </w:tcPr>
          <w:p>
            <w:pPr>
              <w:pStyle w:val="TableParagraph"/>
              <w:spacing w:line="243" w:lineRule="exact"/>
              <w:ind w:left="107"/>
              <w:rPr>
                <w:b/>
                <w:sz w:val="22"/>
              </w:rPr>
            </w:pPr>
            <w:r>
              <w:rPr>
                <w:b/>
                <w:sz w:val="22"/>
              </w:rPr>
              <w:t>grounds of, or immediately</w:t>
            </w:r>
          </w:p>
          <w:p>
            <w:pPr>
              <w:pStyle w:val="TableParagraph"/>
              <w:ind w:left="107" w:right="153"/>
              <w:rPr>
                <w:b/>
                <w:sz w:val="22"/>
              </w:rPr>
            </w:pPr>
            <w:r>
              <w:rPr>
                <w:b/>
                <w:sz w:val="22"/>
              </w:rPr>
              <w:t>adjacent to, a public institution, or any other setting that has the effect of isolating individuals receiving Medicaid HCBS from the broader community of individuals not receiving HCBS.</w:t>
            </w:r>
          </w:p>
        </w:tc>
        <w:tc>
          <w:tcPr>
            <w:tcW w:w="2825" w:type="dxa"/>
            <w:tcBorders>
              <w:top w:val="single" w:sz="18" w:space="0" w:color="4E8542"/>
            </w:tcBorders>
            <w:shd w:val="clear" w:color="auto" w:fill="D0E4CA"/>
          </w:tcPr>
          <w:p>
            <w:pPr>
              <w:pStyle w:val="TableParagraph"/>
              <w:spacing w:line="243" w:lineRule="exact"/>
              <w:ind w:left="107"/>
              <w:rPr>
                <w:sz w:val="22"/>
              </w:rPr>
            </w:pPr>
            <w:r>
              <w:rPr>
                <w:sz w:val="22"/>
              </w:rPr>
              <w:t>power and choice,</w:t>
            </w:r>
          </w:p>
          <w:p>
            <w:pPr>
              <w:pStyle w:val="TableParagraph"/>
              <w:ind w:left="107" w:right="416"/>
              <w:rPr>
                <w:sz w:val="22"/>
              </w:rPr>
            </w:pPr>
            <w:r>
              <w:rPr>
                <w:sz w:val="22"/>
              </w:rPr>
              <w:t>relationships, status/contribution, integration, competence, and health and safety.</w:t>
            </w:r>
          </w:p>
          <w:p>
            <w:pPr>
              <w:pStyle w:val="TableParagraph"/>
              <w:spacing w:before="11"/>
              <w:rPr>
                <w:b/>
                <w:sz w:val="21"/>
              </w:rPr>
            </w:pPr>
          </w:p>
          <w:p>
            <w:pPr>
              <w:pStyle w:val="TableParagraph"/>
              <w:ind w:left="107"/>
              <w:rPr>
                <w:sz w:val="22"/>
              </w:rPr>
            </w:pPr>
            <w:hyperlink r:id="rId87">
              <w:r>
                <w:rPr>
                  <w:color w:val="6B9F24"/>
                  <w:sz w:val="22"/>
                  <w:u w:val="single" w:color="6B9F24"/>
                </w:rPr>
                <w:t>WAC 388-845-2100</w:t>
              </w:r>
            </w:hyperlink>
            <w:r>
              <w:rPr>
                <w:sz w:val="22"/>
              </w:rPr>
              <w:t>(2)(a-d)</w:t>
            </w:r>
          </w:p>
          <w:p>
            <w:pPr>
              <w:pStyle w:val="TableParagraph"/>
              <w:ind w:left="107" w:right="135"/>
              <w:rPr>
                <w:sz w:val="22"/>
              </w:rPr>
            </w:pPr>
            <w:r>
              <w:rPr>
                <w:sz w:val="22"/>
              </w:rPr>
              <w:t>Group supported employment services are a step on your pathway toward gainful employment in an integrated setting and include supports and paid training in an integrated business setting, supervision by a qualified employment provider during working hours, groupings of no more than eight workers with disabilities and individualized supports to obtain gainful employment.</w:t>
            </w:r>
          </w:p>
        </w:tc>
        <w:tc>
          <w:tcPr>
            <w:tcW w:w="1409" w:type="dxa"/>
            <w:tcBorders>
              <w:top w:val="single" w:sz="18" w:space="0" w:color="4E8542"/>
            </w:tcBorders>
            <w:shd w:val="clear" w:color="auto" w:fill="D0E4CA"/>
          </w:tcPr>
          <w:p>
            <w:pPr>
              <w:pStyle w:val="TableParagraph"/>
              <w:rPr>
                <w:rFonts w:ascii="Times New Roman"/>
                <w:sz w:val="22"/>
              </w:rPr>
            </w:pPr>
          </w:p>
        </w:tc>
        <w:tc>
          <w:tcPr>
            <w:tcW w:w="2820" w:type="dxa"/>
            <w:tcBorders>
              <w:top w:val="single" w:sz="18" w:space="0" w:color="4E8542"/>
            </w:tcBorders>
            <w:shd w:val="clear" w:color="auto" w:fill="D0E4CA"/>
          </w:tcPr>
          <w:p>
            <w:pPr>
              <w:pStyle w:val="TableParagraph"/>
              <w:spacing w:line="243" w:lineRule="exact"/>
              <w:ind w:left="104"/>
              <w:rPr>
                <w:sz w:val="22"/>
              </w:rPr>
            </w:pPr>
            <w:r>
              <w:rPr>
                <w:sz w:val="22"/>
              </w:rPr>
              <w:t>minimum once per biennium</w:t>
            </w:r>
          </w:p>
          <w:p>
            <w:pPr>
              <w:pStyle w:val="TableParagraph"/>
              <w:ind w:left="104" w:right="76"/>
              <w:rPr>
                <w:sz w:val="22"/>
              </w:rPr>
            </w:pPr>
            <w:r>
              <w:rPr>
                <w:sz w:val="22"/>
              </w:rPr>
              <w:t>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 providers submit monthly outcome information to counties and progress reports to each client’s case resource manager on a semi- annual basis.</w:t>
            </w:r>
          </w:p>
          <w:p>
            <w:pPr>
              <w:pStyle w:val="TableParagraph"/>
              <w:spacing w:before="12"/>
              <w:rPr>
                <w:b/>
                <w:sz w:val="21"/>
              </w:rPr>
            </w:pPr>
          </w:p>
          <w:p>
            <w:pPr>
              <w:pStyle w:val="TableParagraph"/>
              <w:ind w:left="104" w:right="70"/>
              <w:rPr>
                <w:sz w:val="22"/>
              </w:rPr>
            </w:pPr>
            <w:r>
              <w:rPr>
                <w:sz w:val="22"/>
              </w:rPr>
              <w:t>Each county completes a 16- page self-assessment tool every other year which assists DDA to prioritize site visits. DDA staff conducts on- site quality assessments to every county once every two years. DDA has 3 Regional Employment Specialists who assist with the quality</w:t>
            </w:r>
          </w:p>
          <w:p>
            <w:pPr>
              <w:pStyle w:val="TableParagraph"/>
              <w:spacing w:line="249" w:lineRule="exact"/>
              <w:ind w:left="104"/>
              <w:rPr>
                <w:sz w:val="22"/>
              </w:rPr>
            </w:pPr>
            <w:r>
              <w:rPr>
                <w:sz w:val="22"/>
              </w:rPr>
              <w:t>assessments. Additionally,</w:t>
            </w:r>
          </w:p>
        </w:tc>
        <w:tc>
          <w:tcPr>
            <w:tcW w:w="2431" w:type="dxa"/>
            <w:tcBorders>
              <w:top w:val="single" w:sz="18" w:space="0" w:color="4E8542"/>
            </w:tcBorders>
            <w:shd w:val="clear" w:color="auto" w:fill="D0E4CA"/>
          </w:tcPr>
          <w:p>
            <w:pPr>
              <w:pStyle w:val="TableParagraph"/>
              <w:spacing w:line="243" w:lineRule="exact"/>
              <w:ind w:left="107"/>
              <w:rPr>
                <w:sz w:val="22"/>
              </w:rPr>
            </w:pPr>
            <w:r>
              <w:rPr>
                <w:sz w:val="22"/>
              </w:rPr>
              <w:t>the contracts requiring</w:t>
            </w:r>
          </w:p>
          <w:p>
            <w:pPr>
              <w:pStyle w:val="TableParagraph"/>
              <w:ind w:left="107" w:right="200"/>
              <w:rPr>
                <w:sz w:val="22"/>
              </w:rPr>
            </w:pPr>
            <w:r>
              <w:rPr>
                <w:sz w:val="22"/>
              </w:rPr>
              <w:t>adherence to the WAC. See </w:t>
            </w:r>
            <w:r>
              <w:rPr>
                <w:color w:val="6B9F24"/>
                <w:sz w:val="22"/>
                <w:u w:val="single" w:color="6B9F24"/>
              </w:rPr>
              <w:t>Appendix C</w:t>
            </w:r>
            <w:r>
              <w:rPr>
                <w:sz w:val="22"/>
              </w:rPr>
              <w:t>.</w:t>
            </w:r>
          </w:p>
        </w:tc>
      </w:tr>
    </w:tbl>
    <w:p>
      <w:pPr>
        <w:pStyle w:val="BodyText"/>
        <w:spacing w:before="8"/>
        <w:rPr>
          <w:b/>
          <w:sz w:val="15"/>
        </w:rPr>
      </w:pPr>
      <w:r>
        <w:rPr/>
        <w:pict>
          <v:shape style="position:absolute;margin-left:70.559998pt;margin-top:11.75950pt;width:650.9pt;height:.1pt;mso-position-horizontal-relative:page;mso-position-vertical-relative:paragraph;z-index:-251565056;mso-wrap-distance-left:0;mso-wrap-distance-right:0" coordorigin="1411,235" coordsize="13018,0" path="m1411,235l14429,235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7" w:right="274"/>
              <w:jc w:val="center"/>
              <w:rPr>
                <w:b/>
                <w:sz w:val="24"/>
              </w:rPr>
            </w:pPr>
            <w:r>
              <w:rPr>
                <w:b/>
                <w:sz w:val="24"/>
              </w:rPr>
              <w:t>DDA Group Supported Employment</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2660" w:hRule="atLeast"/>
        </w:trPr>
        <w:tc>
          <w:tcPr>
            <w:tcW w:w="3456" w:type="dxa"/>
            <w:tcBorders>
              <w:top w:val="single" w:sz="18" w:space="0" w:color="4E8542"/>
            </w:tcBorders>
            <w:shd w:val="clear" w:color="auto" w:fill="D0E4CA"/>
          </w:tcPr>
          <w:p>
            <w:pPr>
              <w:pStyle w:val="TableParagraph"/>
              <w:rPr>
                <w:rFonts w:ascii="Times New Roman"/>
                <w:sz w:val="22"/>
              </w:rPr>
            </w:pPr>
          </w:p>
        </w:tc>
        <w:tc>
          <w:tcPr>
            <w:tcW w:w="2825" w:type="dxa"/>
            <w:tcBorders>
              <w:top w:val="single" w:sz="18" w:space="0" w:color="4E8542"/>
            </w:tcBorders>
            <w:shd w:val="clear" w:color="auto" w:fill="D0E4CA"/>
          </w:tcPr>
          <w:p>
            <w:pPr>
              <w:pStyle w:val="TableParagraph"/>
              <w:rPr>
                <w:rFonts w:ascii="Times New Roman"/>
                <w:sz w:val="22"/>
              </w:rPr>
            </w:pPr>
          </w:p>
        </w:tc>
        <w:tc>
          <w:tcPr>
            <w:tcW w:w="1409" w:type="dxa"/>
            <w:tcBorders>
              <w:top w:val="single" w:sz="18" w:space="0" w:color="4E8542"/>
            </w:tcBorders>
            <w:shd w:val="clear" w:color="auto" w:fill="D0E4CA"/>
          </w:tcPr>
          <w:p>
            <w:pPr>
              <w:pStyle w:val="TableParagraph"/>
              <w:rPr>
                <w:rFonts w:ascii="Times New Roman"/>
                <w:sz w:val="22"/>
              </w:rPr>
            </w:pPr>
          </w:p>
        </w:tc>
        <w:tc>
          <w:tcPr>
            <w:tcW w:w="2820" w:type="dxa"/>
            <w:tcBorders>
              <w:top w:val="single" w:sz="18" w:space="0" w:color="4E8542"/>
            </w:tcBorders>
            <w:shd w:val="clear" w:color="auto" w:fill="D0E4CA"/>
          </w:tcPr>
          <w:p>
            <w:pPr>
              <w:pStyle w:val="TableParagraph"/>
              <w:spacing w:line="243" w:lineRule="exact"/>
              <w:ind w:left="104"/>
              <w:rPr>
                <w:sz w:val="22"/>
              </w:rPr>
            </w:pPr>
            <w:r>
              <w:rPr>
                <w:sz w:val="22"/>
              </w:rPr>
              <w:t>DDA review outcome</w:t>
            </w:r>
          </w:p>
          <w:p>
            <w:pPr>
              <w:pStyle w:val="TableParagraph"/>
              <w:ind w:left="104" w:right="290"/>
              <w:rPr>
                <w:sz w:val="22"/>
              </w:rPr>
            </w:pPr>
            <w:r>
              <w:rPr>
                <w:sz w:val="22"/>
              </w:rPr>
              <w:t>information for trends and patterns on a county -by- county basis monthly.</w:t>
            </w:r>
          </w:p>
          <w:p>
            <w:pPr>
              <w:pStyle w:val="TableParagraph"/>
              <w:spacing w:before="9"/>
              <w:rPr>
                <w:b/>
                <w:sz w:val="21"/>
              </w:rPr>
            </w:pPr>
          </w:p>
          <w:p>
            <w:pPr>
              <w:pStyle w:val="TableParagraph"/>
              <w:spacing w:line="270" w:lineRule="atLeast"/>
              <w:ind w:left="104" w:right="88"/>
              <w:rPr>
                <w:sz w:val="22"/>
              </w:rPr>
            </w:pPr>
            <w:r>
              <w:rPr>
                <w:sz w:val="22"/>
              </w:rPr>
              <w:t>On-site inspections ensure homes meet all licensing and certification requirements in WAC and RCW, including WAC 388-823-1095.</w:t>
            </w:r>
          </w:p>
        </w:tc>
        <w:tc>
          <w:tcPr>
            <w:tcW w:w="2431" w:type="dxa"/>
            <w:tcBorders>
              <w:top w:val="single" w:sz="18" w:space="0" w:color="4E8542"/>
            </w:tcBorders>
            <w:shd w:val="clear" w:color="auto" w:fill="D0E4CA"/>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5"/>
        </w:rPr>
      </w:pPr>
      <w:r>
        <w:rPr/>
        <w:pict>
          <v:shape style="position:absolute;margin-left:70.559998pt;margin-top:11.764812pt;width:650.9pt;height:.1pt;mso-position-horizontal-relative:page;mso-position-vertical-relative:paragraph;z-index:-251564032;mso-wrap-distance-left:0;mso-wrap-distance-right:0" coordorigin="1411,235" coordsize="13018,0" path="m1411,235l14429,235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19" w:right="2957" w:firstLine="0"/>
        <w:jc w:val="center"/>
        <w:rPr>
          <w:b/>
          <w:sz w:val="28"/>
        </w:rPr>
      </w:pPr>
      <w:bookmarkStart w:name="DDA Community Inclusion" w:id="59"/>
      <w:bookmarkEnd w:id="59"/>
      <w:r>
        <w:rPr/>
      </w:r>
      <w:bookmarkStart w:name="_bookmark26" w:id="60"/>
      <w:bookmarkEnd w:id="60"/>
      <w:r>
        <w:rPr/>
      </w:r>
      <w:r>
        <w:rPr>
          <w:b/>
          <w:sz w:val="28"/>
        </w:rPr>
        <w:t>DDA Community Inclusion</w:t>
      </w:r>
    </w:p>
    <w:p>
      <w:pPr>
        <w:pStyle w:val="BodyText"/>
        <w:rPr>
          <w:b/>
          <w:sz w:val="28"/>
        </w:rPr>
      </w:pPr>
    </w:p>
    <w:p>
      <w:pPr>
        <w:pStyle w:val="BodyText"/>
        <w:spacing w:line="276" w:lineRule="auto" w:before="216"/>
        <w:ind w:left="1060" w:right="1124"/>
      </w:pPr>
      <w:r>
        <w:rPr/>
        <w:t>Setting Description: DDA Community Inclusion is an individualized service that provides clients with opportunities to engage in community- based activities that support socialization, education, recreation, and personal development. The purpose of this service is to assist the client to build and strengthen relationships with others in the community who are not paid to be with the person and for the client to learn, practice, and apply skills that promote greater independence and inclusion in their community. Services are provided in the community in integrated settings.</w:t>
      </w:r>
    </w:p>
    <w:p>
      <w:pPr>
        <w:pStyle w:val="BodyText"/>
        <w:spacing w:before="4"/>
        <w:rPr>
          <w:sz w:val="16"/>
        </w:rPr>
      </w:pPr>
    </w:p>
    <w:p>
      <w:pPr>
        <w:pStyle w:val="BodyText"/>
        <w:ind w:left="1060"/>
      </w:pPr>
      <w:r>
        <w:rPr/>
        <w:t>Number of individuals served: 982 and 982+ sites.</w:t>
      </w:r>
    </w:p>
    <w:p>
      <w:pPr>
        <w:pStyle w:val="BodyText"/>
        <w:spacing w:before="9"/>
        <w:rPr>
          <w:sz w:val="19"/>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73"/>
        <w:gridCol w:w="3533"/>
        <w:gridCol w:w="1438"/>
        <w:gridCol w:w="4208"/>
      </w:tblGrid>
      <w:tr>
        <w:trPr>
          <w:trHeight w:val="585" w:hRule="atLeast"/>
        </w:trPr>
        <w:tc>
          <w:tcPr>
            <w:tcW w:w="3773" w:type="dxa"/>
          </w:tcPr>
          <w:p>
            <w:pPr>
              <w:pStyle w:val="TableParagraph"/>
              <w:spacing w:line="292" w:lineRule="exact"/>
              <w:ind w:left="403"/>
              <w:rPr>
                <w:b/>
                <w:sz w:val="24"/>
              </w:rPr>
            </w:pPr>
            <w:r>
              <w:rPr>
                <w:b/>
                <w:sz w:val="24"/>
              </w:rPr>
              <w:t>Characteristics/Requirements</w:t>
            </w:r>
          </w:p>
        </w:tc>
        <w:tc>
          <w:tcPr>
            <w:tcW w:w="3533" w:type="dxa"/>
          </w:tcPr>
          <w:p>
            <w:pPr>
              <w:pStyle w:val="TableParagraph"/>
              <w:spacing w:line="292" w:lineRule="exact"/>
              <w:ind w:left="440" w:right="432"/>
              <w:jc w:val="center"/>
              <w:rPr>
                <w:b/>
                <w:sz w:val="24"/>
              </w:rPr>
            </w:pPr>
            <w:r>
              <w:rPr>
                <w:b/>
                <w:sz w:val="24"/>
              </w:rPr>
              <w:t>DDA Community Inclusion</w:t>
            </w:r>
          </w:p>
          <w:p>
            <w:pPr>
              <w:pStyle w:val="TableParagraph"/>
              <w:spacing w:line="273" w:lineRule="exact"/>
              <w:ind w:left="440" w:right="432"/>
              <w:jc w:val="center"/>
              <w:rPr>
                <w:b/>
                <w:sz w:val="24"/>
              </w:rPr>
            </w:pPr>
            <w:r>
              <w:rPr>
                <w:b/>
                <w:sz w:val="24"/>
              </w:rPr>
              <w:t>State Evaluation</w:t>
            </w:r>
          </w:p>
        </w:tc>
        <w:tc>
          <w:tcPr>
            <w:tcW w:w="1438" w:type="dxa"/>
          </w:tcPr>
          <w:p>
            <w:pPr>
              <w:pStyle w:val="TableParagraph"/>
              <w:spacing w:line="292" w:lineRule="exact"/>
              <w:ind w:left="115" w:right="106"/>
              <w:jc w:val="center"/>
              <w:rPr>
                <w:b/>
                <w:sz w:val="24"/>
              </w:rPr>
            </w:pPr>
            <w:r>
              <w:rPr>
                <w:b/>
                <w:sz w:val="24"/>
              </w:rPr>
              <w:t>Compliance</w:t>
            </w:r>
          </w:p>
          <w:p>
            <w:pPr>
              <w:pStyle w:val="TableParagraph"/>
              <w:spacing w:line="273" w:lineRule="exact"/>
              <w:ind w:left="110" w:right="106"/>
              <w:jc w:val="center"/>
              <w:rPr>
                <w:b/>
                <w:sz w:val="24"/>
              </w:rPr>
            </w:pPr>
            <w:r>
              <w:rPr>
                <w:b/>
                <w:sz w:val="24"/>
              </w:rPr>
              <w:t>Level</w:t>
            </w:r>
          </w:p>
        </w:tc>
        <w:tc>
          <w:tcPr>
            <w:tcW w:w="4208" w:type="dxa"/>
          </w:tcPr>
          <w:p>
            <w:pPr>
              <w:pStyle w:val="TableParagraph"/>
              <w:spacing w:line="292" w:lineRule="exact"/>
              <w:ind w:left="1215"/>
              <w:rPr>
                <w:b/>
                <w:sz w:val="24"/>
              </w:rPr>
            </w:pPr>
            <w:r>
              <w:rPr>
                <w:b/>
                <w:sz w:val="24"/>
              </w:rPr>
              <w:t>Oversight Process</w:t>
            </w:r>
          </w:p>
        </w:tc>
      </w:tr>
      <w:tr>
        <w:trPr>
          <w:trHeight w:val="5639" w:hRule="atLeast"/>
        </w:trPr>
        <w:tc>
          <w:tcPr>
            <w:tcW w:w="3773" w:type="dxa"/>
            <w:shd w:val="clear" w:color="auto" w:fill="D0E4CA"/>
          </w:tcPr>
          <w:p>
            <w:pPr>
              <w:pStyle w:val="TableParagraph"/>
              <w:ind w:left="107" w:right="108"/>
              <w:rPr>
                <w:b/>
                <w:sz w:val="22"/>
              </w:rPr>
            </w:pPr>
            <w:r>
              <w:rPr>
                <w:b/>
                <w:sz w:val="22"/>
              </w:rPr>
              <w:t>Individual choice regarding services and supports, and who provides them, is facilitated.</w:t>
            </w:r>
          </w:p>
        </w:tc>
        <w:tc>
          <w:tcPr>
            <w:tcW w:w="3533" w:type="dxa"/>
            <w:shd w:val="clear" w:color="auto" w:fill="D0E4CA"/>
          </w:tcPr>
          <w:p>
            <w:pPr>
              <w:pStyle w:val="TableParagraph"/>
              <w:spacing w:line="268" w:lineRule="exact"/>
              <w:ind w:left="107"/>
              <w:rPr>
                <w:sz w:val="22"/>
              </w:rPr>
            </w:pPr>
            <w:hyperlink r:id="rId86">
              <w:r>
                <w:rPr>
                  <w:color w:val="6B9F24"/>
                  <w:sz w:val="22"/>
                  <w:u w:val="single" w:color="6B9F24"/>
                </w:rPr>
                <w:t>RCW 71A.10.015</w:t>
              </w:r>
            </w:hyperlink>
          </w:p>
          <w:p>
            <w:pPr>
              <w:pStyle w:val="TableParagraph"/>
              <w:rPr>
                <w:sz w:val="22"/>
              </w:rPr>
            </w:pPr>
          </w:p>
          <w:p>
            <w:pPr>
              <w:pStyle w:val="TableParagraph"/>
              <w:ind w:left="107" w:right="185"/>
              <w:rPr>
                <w:sz w:val="22"/>
              </w:rPr>
            </w:pPr>
            <w:r>
              <w:rPr>
                <w:sz w:val="22"/>
              </w:rPr>
              <w:t>During the assessment process, it is the case manager’s responsibility to inform individuals of their options regarding settings and</w:t>
            </w:r>
            <w:r>
              <w:rPr>
                <w:spacing w:val="-7"/>
                <w:sz w:val="22"/>
              </w:rPr>
              <w:t> </w:t>
            </w:r>
            <w:r>
              <w:rPr>
                <w:sz w:val="22"/>
              </w:rPr>
              <w:t>providers.</w:t>
            </w:r>
          </w:p>
          <w:p>
            <w:pPr>
              <w:pStyle w:val="TableParagraph"/>
              <w:spacing w:before="1"/>
              <w:ind w:left="107" w:right="122"/>
              <w:rPr>
                <w:sz w:val="22"/>
              </w:rPr>
            </w:pPr>
            <w:r>
              <w:rPr>
                <w:sz w:val="22"/>
              </w:rPr>
              <w:t>Participants report via the Assessment Meeting Wrap–up and the Assessment Meeting Survey that they are informed of their options regarding services and</w:t>
            </w:r>
            <w:r>
              <w:rPr>
                <w:spacing w:val="-5"/>
                <w:sz w:val="22"/>
              </w:rPr>
              <w:t> </w:t>
            </w:r>
            <w:r>
              <w:rPr>
                <w:sz w:val="22"/>
              </w:rPr>
              <w:t>providers.</w:t>
            </w:r>
          </w:p>
          <w:p>
            <w:pPr>
              <w:pStyle w:val="TableParagraph"/>
              <w:spacing w:before="11"/>
              <w:rPr>
                <w:sz w:val="21"/>
              </w:rPr>
            </w:pPr>
          </w:p>
          <w:p>
            <w:pPr>
              <w:pStyle w:val="TableParagraph"/>
              <w:ind w:left="107" w:right="212"/>
              <w:rPr>
                <w:sz w:val="22"/>
              </w:rPr>
            </w:pPr>
            <w:hyperlink r:id="rId88">
              <w:r>
                <w:rPr>
                  <w:color w:val="6B9F24"/>
                  <w:sz w:val="22"/>
                  <w:u w:val="single" w:color="6B9F24"/>
                </w:rPr>
                <w:t>DDA Policy 4.11</w:t>
              </w:r>
              <w:r>
                <w:rPr>
                  <w:color w:val="6B9F24"/>
                  <w:sz w:val="22"/>
                </w:rPr>
                <w:t> </w:t>
              </w:r>
            </w:hyperlink>
            <w:r>
              <w:rPr>
                <w:sz w:val="22"/>
              </w:rPr>
              <w:t>County Services for Working Age Adults</w:t>
            </w:r>
          </w:p>
          <w:p>
            <w:pPr>
              <w:pStyle w:val="TableParagraph"/>
              <w:spacing w:before="1"/>
              <w:rPr>
                <w:sz w:val="22"/>
              </w:rPr>
            </w:pPr>
          </w:p>
          <w:p>
            <w:pPr>
              <w:pStyle w:val="TableParagraph"/>
              <w:ind w:left="107" w:right="160"/>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 include the following benefits of quality living: power and choice, relationships,</w:t>
            </w:r>
          </w:p>
        </w:tc>
        <w:tc>
          <w:tcPr>
            <w:tcW w:w="1438" w:type="dxa"/>
            <w:shd w:val="clear" w:color="auto" w:fill="D0E4CA"/>
          </w:tcPr>
          <w:p>
            <w:pPr>
              <w:pStyle w:val="TableParagraph"/>
              <w:ind w:left="107" w:right="380"/>
              <w:rPr>
                <w:sz w:val="22"/>
              </w:rPr>
            </w:pPr>
            <w:r>
              <w:rPr>
                <w:sz w:val="22"/>
              </w:rPr>
              <w:t>Fully Compliant</w:t>
            </w:r>
          </w:p>
        </w:tc>
        <w:tc>
          <w:tcPr>
            <w:tcW w:w="4208" w:type="dxa"/>
            <w:shd w:val="clear" w:color="auto" w:fill="D0E4CA"/>
          </w:tcPr>
          <w:p>
            <w:pPr>
              <w:pStyle w:val="TableParagraph"/>
              <w:ind w:left="107" w:right="142"/>
              <w:rPr>
                <w:sz w:val="22"/>
              </w:rPr>
            </w:pPr>
            <w:r>
              <w:rPr>
                <w:sz w:val="22"/>
              </w:rPr>
              <w:t>By contract and by </w:t>
            </w:r>
            <w:hyperlink r:id="rId88">
              <w:r>
                <w:rPr>
                  <w:color w:val="6B9F24"/>
                  <w:sz w:val="22"/>
                  <w:u w:val="single" w:color="6B9F24"/>
                </w:rPr>
                <w:t>DDA Policy 4.11</w:t>
              </w:r>
            </w:hyperlink>
            <w:r>
              <w:rPr>
                <w:color w:val="6B9F24"/>
                <w:sz w:val="22"/>
              </w:rPr>
              <w:t> </w:t>
            </w:r>
            <w:r>
              <w:rPr>
                <w:sz w:val="22"/>
              </w:rPr>
              <w:t>embedded in the contract, each county reviews their employment service providers at minimum once per biennium 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 providers submit monthly outcome information to counties and progress reports to each client’s case resource manager on a semi-annual</w:t>
            </w:r>
            <w:r>
              <w:rPr>
                <w:spacing w:val="-12"/>
                <w:sz w:val="22"/>
              </w:rPr>
              <w:t> </w:t>
            </w:r>
            <w:r>
              <w:rPr>
                <w:sz w:val="22"/>
              </w:rPr>
              <w:t>basis.</w:t>
            </w:r>
          </w:p>
          <w:p>
            <w:pPr>
              <w:pStyle w:val="TableParagraph"/>
              <w:rPr>
                <w:sz w:val="22"/>
              </w:rPr>
            </w:pPr>
          </w:p>
          <w:p>
            <w:pPr>
              <w:pStyle w:val="TableParagraph"/>
              <w:ind w:left="107" w:right="138"/>
              <w:rPr>
                <w:sz w:val="22"/>
              </w:rPr>
            </w:pPr>
            <w:r>
              <w:rPr>
                <w:sz w:val="22"/>
              </w:rPr>
              <w:t>Each county completes a 16-page self- assessment tool every other year which assists DDA to prioritize site visits. DDA uses the county self-assessment tool as one of several methods of identifying priorities for</w:t>
            </w:r>
          </w:p>
          <w:p>
            <w:pPr>
              <w:pStyle w:val="TableParagraph"/>
              <w:spacing w:line="248" w:lineRule="exact"/>
              <w:ind w:left="107"/>
              <w:rPr>
                <w:sz w:val="22"/>
              </w:rPr>
            </w:pPr>
            <w:r>
              <w:rPr>
                <w:sz w:val="22"/>
              </w:rPr>
              <w:t>site visits. Other considerations include:</w:t>
            </w:r>
          </w:p>
        </w:tc>
      </w:tr>
    </w:tbl>
    <w:p>
      <w:pPr>
        <w:pStyle w:val="BodyText"/>
        <w:rPr>
          <w:sz w:val="7"/>
        </w:rPr>
      </w:pPr>
      <w:r>
        <w:rPr/>
        <w:pict>
          <v:shape style="position:absolute;margin-left:70.559998pt;margin-top:6.4795pt;width:650.9pt;height:.1pt;mso-position-horizontal-relative:page;mso-position-vertical-relative:paragraph;z-index:-251563008;mso-wrap-distance-left:0;mso-wrap-distance-right:0" coordorigin="1411,130" coordsize="13018,0" path="m1411,130l14429,130e" filled="false" stroked="true" strokeweight=".481pt" strokecolor="#d9d9d9">
            <v:path arrowok="t"/>
            <v:stroke dashstyle="solid"/>
            <w10:wrap type="topAndBottom"/>
          </v:shape>
        </w:pict>
      </w:r>
    </w:p>
    <w:p>
      <w:pPr>
        <w:spacing w:after="0"/>
        <w:rPr>
          <w:sz w:val="7"/>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73"/>
        <w:gridCol w:w="3533"/>
        <w:gridCol w:w="1438"/>
        <w:gridCol w:w="4208"/>
      </w:tblGrid>
      <w:tr>
        <w:trPr>
          <w:trHeight w:val="4062" w:hRule="atLeast"/>
        </w:trPr>
        <w:tc>
          <w:tcPr>
            <w:tcW w:w="3773" w:type="dxa"/>
            <w:shd w:val="clear" w:color="auto" w:fill="D0E4CA"/>
          </w:tcPr>
          <w:p>
            <w:pPr>
              <w:pStyle w:val="TableParagraph"/>
              <w:rPr>
                <w:rFonts w:ascii="Times New Roman"/>
                <w:sz w:val="22"/>
              </w:rPr>
            </w:pPr>
          </w:p>
        </w:tc>
        <w:tc>
          <w:tcPr>
            <w:tcW w:w="3533" w:type="dxa"/>
            <w:shd w:val="clear" w:color="auto" w:fill="D0E4CA"/>
          </w:tcPr>
          <w:p>
            <w:pPr>
              <w:pStyle w:val="TableParagraph"/>
              <w:ind w:left="107" w:right="245"/>
              <w:rPr>
                <w:sz w:val="22"/>
              </w:rPr>
            </w:pPr>
            <w:r>
              <w:rPr>
                <w:sz w:val="22"/>
              </w:rPr>
              <w:t>status/contribution, integration, competence and health and safety.</w:t>
            </w:r>
          </w:p>
          <w:p>
            <w:pPr>
              <w:pStyle w:val="TableParagraph"/>
              <w:spacing w:before="12"/>
              <w:rPr>
                <w:b/>
                <w:sz w:val="21"/>
              </w:rPr>
            </w:pPr>
          </w:p>
          <w:p>
            <w:pPr>
              <w:pStyle w:val="TableParagraph"/>
              <w:ind w:left="107" w:right="144"/>
              <w:rPr>
                <w:sz w:val="22"/>
              </w:rPr>
            </w:pPr>
            <w:r>
              <w:rPr>
                <w:sz w:val="22"/>
              </w:rPr>
              <w:t>The State has completed a review of state statutes and regulations regarding community access and determined that those laws are in alignment with the HCBS setting requirements.</w:t>
            </w:r>
          </w:p>
        </w:tc>
        <w:tc>
          <w:tcPr>
            <w:tcW w:w="1438" w:type="dxa"/>
            <w:shd w:val="clear" w:color="auto" w:fill="D0E4CA"/>
          </w:tcPr>
          <w:p>
            <w:pPr>
              <w:pStyle w:val="TableParagraph"/>
              <w:rPr>
                <w:rFonts w:ascii="Times New Roman"/>
                <w:sz w:val="22"/>
              </w:rPr>
            </w:pPr>
          </w:p>
        </w:tc>
        <w:tc>
          <w:tcPr>
            <w:tcW w:w="4208" w:type="dxa"/>
            <w:shd w:val="clear" w:color="auto" w:fill="D0E4CA"/>
          </w:tcPr>
          <w:p>
            <w:pPr>
              <w:pStyle w:val="TableParagraph"/>
              <w:numPr>
                <w:ilvl w:val="0"/>
                <w:numId w:val="11"/>
              </w:numPr>
              <w:tabs>
                <w:tab w:pos="466" w:val="left" w:leader="none"/>
                <w:tab w:pos="467" w:val="left" w:leader="none"/>
              </w:tabs>
              <w:spacing w:line="280" w:lineRule="exact" w:before="0" w:after="0"/>
              <w:ind w:left="467" w:right="0" w:hanging="360"/>
              <w:jc w:val="left"/>
              <w:rPr>
                <w:sz w:val="22"/>
              </w:rPr>
            </w:pPr>
            <w:r>
              <w:rPr>
                <w:sz w:val="22"/>
              </w:rPr>
              <w:t>If county is provider;</w:t>
            </w:r>
          </w:p>
          <w:p>
            <w:pPr>
              <w:pStyle w:val="TableParagraph"/>
              <w:numPr>
                <w:ilvl w:val="0"/>
                <w:numId w:val="11"/>
              </w:numPr>
              <w:tabs>
                <w:tab w:pos="467" w:val="left" w:leader="none"/>
                <w:tab w:pos="468" w:val="left" w:leader="none"/>
              </w:tabs>
              <w:spacing w:line="240" w:lineRule="auto" w:before="0" w:after="0"/>
              <w:ind w:left="467" w:right="475" w:hanging="360"/>
              <w:jc w:val="left"/>
              <w:rPr>
                <w:sz w:val="22"/>
              </w:rPr>
            </w:pPr>
            <w:r>
              <w:rPr>
                <w:sz w:val="22"/>
              </w:rPr>
              <w:t>If DDA regional or HQ staff identifies county as needing additional site monitoring;</w:t>
            </w:r>
          </w:p>
          <w:p>
            <w:pPr>
              <w:pStyle w:val="TableParagraph"/>
              <w:numPr>
                <w:ilvl w:val="0"/>
                <w:numId w:val="11"/>
              </w:numPr>
              <w:tabs>
                <w:tab w:pos="467" w:val="left" w:leader="none"/>
                <w:tab w:pos="468" w:val="left" w:leader="none"/>
              </w:tabs>
              <w:spacing w:line="240" w:lineRule="auto" w:before="0" w:after="0"/>
              <w:ind w:left="467" w:right="711" w:hanging="360"/>
              <w:jc w:val="left"/>
              <w:rPr>
                <w:sz w:val="22"/>
              </w:rPr>
            </w:pPr>
            <w:r>
              <w:rPr>
                <w:sz w:val="22"/>
              </w:rPr>
              <w:t>Every three years, all counties are reviewed.</w:t>
            </w:r>
          </w:p>
          <w:p>
            <w:pPr>
              <w:pStyle w:val="TableParagraph"/>
              <w:spacing w:before="12"/>
              <w:rPr>
                <w:b/>
                <w:sz w:val="21"/>
              </w:rPr>
            </w:pPr>
          </w:p>
          <w:p>
            <w:pPr>
              <w:pStyle w:val="TableParagraph"/>
              <w:ind w:left="107" w:right="166"/>
              <w:rPr>
                <w:sz w:val="22"/>
              </w:rPr>
            </w:pPr>
            <w:r>
              <w:rPr>
                <w:sz w:val="22"/>
              </w:rPr>
              <w:t>DDA staff conducts on-site quality assessments to every county once every two years. DDA has 3 Regional Employment Specialists who assist with the quality assessments. Additionally, DDA review outcome information for trends and patterns on a county-by-county basis</w:t>
            </w:r>
          </w:p>
          <w:p>
            <w:pPr>
              <w:pStyle w:val="TableParagraph"/>
              <w:spacing w:line="249" w:lineRule="exact"/>
              <w:ind w:left="107"/>
              <w:rPr>
                <w:sz w:val="22"/>
              </w:rPr>
            </w:pPr>
            <w:r>
              <w:rPr>
                <w:sz w:val="22"/>
              </w:rPr>
              <w:t>monthly.</w:t>
            </w:r>
          </w:p>
        </w:tc>
      </w:tr>
      <w:tr>
        <w:trPr>
          <w:trHeight w:val="5104" w:hRule="atLeast"/>
        </w:trPr>
        <w:tc>
          <w:tcPr>
            <w:tcW w:w="3773" w:type="dxa"/>
          </w:tcPr>
          <w:p>
            <w:pPr>
              <w:pStyle w:val="TableParagraph"/>
              <w:ind w:left="107" w:right="233"/>
              <w:rPr>
                <w:b/>
                <w:sz w:val="22"/>
              </w:rPr>
            </w:pPr>
            <w:r>
              <w:rPr>
                <w:b/>
                <w:sz w:val="22"/>
              </w:rPr>
              <w:t>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 degree of access as individuals not receiving Medicaid HCBS.</w:t>
            </w:r>
          </w:p>
        </w:tc>
        <w:tc>
          <w:tcPr>
            <w:tcW w:w="3533" w:type="dxa"/>
          </w:tcPr>
          <w:p>
            <w:pPr>
              <w:pStyle w:val="TableParagraph"/>
              <w:ind w:left="107" w:right="236"/>
              <w:rPr>
                <w:sz w:val="22"/>
              </w:rPr>
            </w:pPr>
            <w:r>
              <w:rPr>
                <w:sz w:val="22"/>
              </w:rPr>
              <w:t>The settings are integrated into the greater community and do not preclude access to the community.</w:t>
            </w:r>
          </w:p>
          <w:p>
            <w:pPr>
              <w:pStyle w:val="TableParagraph"/>
              <w:rPr>
                <w:b/>
                <w:sz w:val="22"/>
              </w:rPr>
            </w:pPr>
          </w:p>
          <w:p>
            <w:pPr>
              <w:pStyle w:val="TableParagraph"/>
              <w:ind w:left="107" w:right="102"/>
              <w:rPr>
                <w:sz w:val="22"/>
              </w:rPr>
            </w:pPr>
            <w:r>
              <w:rPr>
                <w:sz w:val="22"/>
              </w:rPr>
              <w:t>Washington's legislature  </w:t>
            </w:r>
            <w:r>
              <w:rPr>
                <w:spacing w:val="-2"/>
                <w:sz w:val="22"/>
              </w:rPr>
              <w:t>has </w:t>
            </w:r>
            <w:r>
              <w:rPr>
                <w:sz w:val="22"/>
              </w:rPr>
              <w:t>codified its intent that choice, participation, privacy, and the opportunity to engage in religious, political, recreational, and other social activities foster a sense of self- worth and enhance the quality of life for long-term care</w:t>
            </w:r>
            <w:r>
              <w:rPr>
                <w:spacing w:val="-1"/>
                <w:sz w:val="22"/>
              </w:rPr>
              <w:t> </w:t>
            </w:r>
            <w:r>
              <w:rPr>
                <w:sz w:val="22"/>
              </w:rPr>
              <w:t>participants.</w:t>
            </w:r>
          </w:p>
          <w:p>
            <w:pPr>
              <w:pStyle w:val="TableParagraph"/>
              <w:spacing w:before="11"/>
              <w:rPr>
                <w:b/>
                <w:sz w:val="21"/>
              </w:rPr>
            </w:pPr>
          </w:p>
          <w:p>
            <w:pPr>
              <w:pStyle w:val="TableParagraph"/>
              <w:ind w:left="107" w:right="96"/>
              <w:rPr>
                <w:sz w:val="22"/>
              </w:rPr>
            </w:pPr>
            <w:r>
              <w:rPr>
                <w:sz w:val="22"/>
              </w:rPr>
              <w:t>Washington State Law provides clear protections of rights. </w:t>
            </w:r>
            <w:hyperlink r:id="rId90">
              <w:r>
                <w:rPr>
                  <w:color w:val="6B9F24"/>
                  <w:sz w:val="22"/>
                  <w:u w:val="single" w:color="6B9F24"/>
                </w:rPr>
                <w:t>Chapter 49.60</w:t>
              </w:r>
            </w:hyperlink>
            <w:r>
              <w:rPr>
                <w:color w:val="6B9F24"/>
                <w:sz w:val="22"/>
              </w:rPr>
              <w:t> </w:t>
            </w:r>
            <w:r>
              <w:rPr>
                <w:sz w:val="22"/>
              </w:rPr>
              <w:t>of the Revised Code of Washington (RCW) is the state's law against discrimination and which created</w:t>
            </w:r>
          </w:p>
          <w:p>
            <w:pPr>
              <w:pStyle w:val="TableParagraph"/>
              <w:spacing w:line="251" w:lineRule="exact"/>
              <w:ind w:left="107"/>
              <w:rPr>
                <w:sz w:val="22"/>
              </w:rPr>
            </w:pPr>
            <w:r>
              <w:rPr>
                <w:sz w:val="22"/>
              </w:rPr>
              <w:t>the Washington State Human Rights</w:t>
            </w:r>
          </w:p>
        </w:tc>
        <w:tc>
          <w:tcPr>
            <w:tcW w:w="1438" w:type="dxa"/>
          </w:tcPr>
          <w:p>
            <w:pPr>
              <w:pStyle w:val="TableParagraph"/>
              <w:ind w:left="107" w:right="380"/>
              <w:rPr>
                <w:sz w:val="22"/>
              </w:rPr>
            </w:pPr>
            <w:r>
              <w:rPr>
                <w:sz w:val="22"/>
              </w:rPr>
              <w:t>Fully Compliant</w:t>
            </w:r>
          </w:p>
        </w:tc>
        <w:tc>
          <w:tcPr>
            <w:tcW w:w="4208" w:type="dxa"/>
          </w:tcPr>
          <w:p>
            <w:pPr>
              <w:pStyle w:val="TableParagraph"/>
              <w:ind w:left="106" w:right="142"/>
              <w:rPr>
                <w:sz w:val="22"/>
              </w:rPr>
            </w:pPr>
            <w:r>
              <w:rPr>
                <w:sz w:val="22"/>
              </w:rPr>
              <w:t>By contract and by </w:t>
            </w:r>
            <w:hyperlink r:id="rId88">
              <w:r>
                <w:rPr>
                  <w:color w:val="6B9F24"/>
                  <w:sz w:val="22"/>
                  <w:u w:val="single" w:color="6B9F24"/>
                </w:rPr>
                <w:t>DDA Policy 4.11</w:t>
              </w:r>
            </w:hyperlink>
            <w:r>
              <w:rPr>
                <w:color w:val="6B9F24"/>
                <w:sz w:val="22"/>
              </w:rPr>
              <w:t> </w:t>
            </w:r>
            <w:r>
              <w:rPr>
                <w:sz w:val="22"/>
              </w:rPr>
              <w:t>embedded in the contract, each county reviews their employment service providers at minimum once per biennium 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 providers submit monthly outcome information to counties and progress reports to each client’s case resource manager on a semi-annual</w:t>
            </w:r>
            <w:r>
              <w:rPr>
                <w:spacing w:val="-12"/>
                <w:sz w:val="22"/>
              </w:rPr>
              <w:t> </w:t>
            </w:r>
            <w:r>
              <w:rPr>
                <w:sz w:val="22"/>
              </w:rPr>
              <w:t>basis.</w:t>
            </w:r>
          </w:p>
          <w:p>
            <w:pPr>
              <w:pStyle w:val="TableParagraph"/>
              <w:rPr>
                <w:b/>
                <w:sz w:val="22"/>
              </w:rPr>
            </w:pPr>
          </w:p>
          <w:p>
            <w:pPr>
              <w:pStyle w:val="TableParagraph"/>
              <w:ind w:left="106" w:right="137"/>
              <w:rPr>
                <w:sz w:val="22"/>
              </w:rPr>
            </w:pPr>
            <w:r>
              <w:rPr>
                <w:sz w:val="22"/>
              </w:rPr>
              <w:t>Each county completes a 16-page self- assessment tool every other year which assists DDA to prioritize site visits. DDA staff</w:t>
            </w:r>
          </w:p>
          <w:p>
            <w:pPr>
              <w:pStyle w:val="TableParagraph"/>
              <w:spacing w:line="250" w:lineRule="exact"/>
              <w:ind w:left="107"/>
              <w:rPr>
                <w:sz w:val="22"/>
              </w:rPr>
            </w:pPr>
            <w:r>
              <w:rPr>
                <w:sz w:val="22"/>
              </w:rPr>
              <w:t>conducts on-site quality assessments to</w:t>
            </w:r>
          </w:p>
        </w:tc>
      </w:tr>
    </w:tbl>
    <w:p>
      <w:pPr>
        <w:pStyle w:val="BodyText"/>
        <w:spacing w:before="4"/>
        <w:rPr>
          <w:b/>
          <w:sz w:val="2"/>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73"/>
        <w:gridCol w:w="3533"/>
        <w:gridCol w:w="1438"/>
        <w:gridCol w:w="4208"/>
      </w:tblGrid>
      <w:tr>
        <w:trPr>
          <w:trHeight w:val="1612" w:hRule="atLeast"/>
        </w:trPr>
        <w:tc>
          <w:tcPr>
            <w:tcW w:w="3773" w:type="dxa"/>
          </w:tcPr>
          <w:p>
            <w:pPr>
              <w:pStyle w:val="TableParagraph"/>
              <w:rPr>
                <w:rFonts w:ascii="Times New Roman"/>
                <w:sz w:val="22"/>
              </w:rPr>
            </w:pPr>
          </w:p>
        </w:tc>
        <w:tc>
          <w:tcPr>
            <w:tcW w:w="3533" w:type="dxa"/>
          </w:tcPr>
          <w:p>
            <w:pPr>
              <w:pStyle w:val="TableParagraph"/>
              <w:ind w:left="107"/>
              <w:rPr>
                <w:sz w:val="22"/>
              </w:rPr>
            </w:pPr>
            <w:r>
              <w:rPr>
                <w:sz w:val="22"/>
              </w:rPr>
              <w:t>Commission to develop policies and rules to eliminate and prevent discrimination. </w:t>
            </w:r>
            <w:hyperlink r:id="rId91">
              <w:r>
                <w:rPr>
                  <w:color w:val="6B9F24"/>
                  <w:sz w:val="22"/>
                  <w:u w:val="single" w:color="6B9F24"/>
                </w:rPr>
                <w:t>Chapter 162-26</w:t>
              </w:r>
              <w:r>
                <w:rPr>
                  <w:color w:val="6B9F24"/>
                  <w:sz w:val="22"/>
                </w:rPr>
                <w:t> </w:t>
              </w:r>
            </w:hyperlink>
            <w:r>
              <w:rPr>
                <w:sz w:val="22"/>
              </w:rPr>
              <w:t>WAC identifies unfair practices to include reasonable accommodations,</w:t>
            </w:r>
          </w:p>
          <w:p>
            <w:pPr>
              <w:pStyle w:val="TableParagraph"/>
              <w:spacing w:line="249" w:lineRule="exact"/>
              <w:ind w:left="107"/>
              <w:rPr>
                <w:sz w:val="22"/>
              </w:rPr>
            </w:pPr>
            <w:r>
              <w:rPr>
                <w:sz w:val="22"/>
              </w:rPr>
              <w:t>accessibility and service animals.</w:t>
            </w:r>
          </w:p>
        </w:tc>
        <w:tc>
          <w:tcPr>
            <w:tcW w:w="1438" w:type="dxa"/>
          </w:tcPr>
          <w:p>
            <w:pPr>
              <w:pStyle w:val="TableParagraph"/>
              <w:rPr>
                <w:rFonts w:ascii="Times New Roman"/>
                <w:sz w:val="22"/>
              </w:rPr>
            </w:pPr>
          </w:p>
        </w:tc>
        <w:tc>
          <w:tcPr>
            <w:tcW w:w="4208" w:type="dxa"/>
          </w:tcPr>
          <w:p>
            <w:pPr>
              <w:pStyle w:val="TableParagraph"/>
              <w:ind w:left="107" w:right="101"/>
              <w:rPr>
                <w:sz w:val="22"/>
              </w:rPr>
            </w:pPr>
            <w:r>
              <w:rPr>
                <w:sz w:val="22"/>
              </w:rPr>
              <w:t>every county once every two years. DDA has 3 Regional Employment Specialists who assist with the quality assessments.</w:t>
            </w:r>
          </w:p>
          <w:p>
            <w:pPr>
              <w:pStyle w:val="TableParagraph"/>
              <w:ind w:left="107" w:right="443"/>
              <w:rPr>
                <w:sz w:val="22"/>
              </w:rPr>
            </w:pPr>
            <w:r>
              <w:rPr>
                <w:sz w:val="22"/>
              </w:rPr>
              <w:t>Additionally, DDA review outcome information for trends and patterns on a</w:t>
            </w:r>
          </w:p>
          <w:p>
            <w:pPr>
              <w:pStyle w:val="TableParagraph"/>
              <w:spacing w:line="249" w:lineRule="exact"/>
              <w:ind w:left="107"/>
              <w:rPr>
                <w:sz w:val="22"/>
              </w:rPr>
            </w:pPr>
            <w:r>
              <w:rPr>
                <w:sz w:val="22"/>
              </w:rPr>
              <w:t>county-by-county basis monthly.</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8"/>
        </w:rPr>
      </w:pPr>
      <w:r>
        <w:rPr/>
        <w:pict>
          <v:shape style="position:absolute;margin-left:70.559998pt;margin-top:13.708563pt;width:650.9pt;height:.1pt;mso-position-horizontal-relative:page;mso-position-vertical-relative:paragraph;z-index:-251560960;mso-wrap-distance-left:0;mso-wrap-distance-right:0" coordorigin="1411,274" coordsize="13018,0" path="m1411,274l14429,274e" filled="false" stroked="true" strokeweight=".481pt" strokecolor="#d9d9d9">
            <v:path arrowok="t"/>
            <v:stroke dashstyle="solid"/>
            <w10:wrap type="topAndBottom"/>
          </v:shape>
        </w:pict>
      </w:r>
    </w:p>
    <w:p>
      <w:pPr>
        <w:spacing w:after="0"/>
        <w:rPr>
          <w:sz w:val="1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1" w:right="2957" w:firstLine="0"/>
        <w:jc w:val="center"/>
        <w:rPr>
          <w:b/>
          <w:sz w:val="28"/>
        </w:rPr>
      </w:pPr>
      <w:bookmarkStart w:name="Community Healthcare Providers" w:id="61"/>
      <w:bookmarkEnd w:id="61"/>
      <w:r>
        <w:rPr/>
      </w:r>
      <w:bookmarkStart w:name="_bookmark27" w:id="62"/>
      <w:bookmarkEnd w:id="62"/>
      <w:r>
        <w:rPr/>
      </w:r>
      <w:r>
        <w:rPr>
          <w:b/>
          <w:sz w:val="28"/>
        </w:rPr>
        <w:t>Community Healthcare Providers</w:t>
      </w:r>
    </w:p>
    <w:p>
      <w:pPr>
        <w:pStyle w:val="BodyText"/>
        <w:spacing w:before="2"/>
        <w:rPr>
          <w:b/>
          <w:sz w:val="29"/>
        </w:rPr>
      </w:pPr>
    </w:p>
    <w:p>
      <w:pPr>
        <w:pStyle w:val="BodyText"/>
        <w:spacing w:line="276" w:lineRule="auto"/>
        <w:ind w:left="1060" w:right="1191"/>
        <w:jc w:val="both"/>
      </w:pPr>
      <w:r>
        <w:rPr/>
        <w:t>Setting Description: Community Healthcare Providers are located in typical community locations (such as physician offices, optometrist offices, OT/PT/Speech therapists’ offices, and audiology offices). All community members have free access to these services and settings including both Medicaid and non-Medicaid-funded participants.</w:t>
      </w:r>
    </w:p>
    <w:p>
      <w:pPr>
        <w:pStyle w:val="BodyText"/>
        <w:spacing w:before="7"/>
        <w:rPr>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799"/>
        <w:gridCol w:w="3600"/>
        <w:gridCol w:w="1440"/>
        <w:gridCol w:w="4320"/>
      </w:tblGrid>
      <w:tr>
        <w:trPr>
          <w:trHeight w:val="680" w:hRule="atLeast"/>
        </w:trPr>
        <w:tc>
          <w:tcPr>
            <w:tcW w:w="3799" w:type="dxa"/>
            <w:tcBorders>
              <w:bottom w:val="single" w:sz="18" w:space="0" w:color="4E8542"/>
            </w:tcBorders>
          </w:tcPr>
          <w:p>
            <w:pPr>
              <w:pStyle w:val="TableParagraph"/>
              <w:spacing w:line="292" w:lineRule="exact"/>
              <w:ind w:left="414"/>
              <w:rPr>
                <w:b/>
                <w:sz w:val="24"/>
              </w:rPr>
            </w:pPr>
            <w:r>
              <w:rPr>
                <w:b/>
                <w:sz w:val="24"/>
              </w:rPr>
              <w:t>Characteristics/Requirements</w:t>
            </w:r>
          </w:p>
        </w:tc>
        <w:tc>
          <w:tcPr>
            <w:tcW w:w="3600" w:type="dxa"/>
            <w:tcBorders>
              <w:bottom w:val="single" w:sz="18" w:space="0" w:color="4E8542"/>
            </w:tcBorders>
          </w:tcPr>
          <w:p>
            <w:pPr>
              <w:pStyle w:val="TableParagraph"/>
              <w:ind w:left="983" w:right="112" w:hanging="836"/>
              <w:rPr>
                <w:b/>
                <w:sz w:val="24"/>
              </w:rPr>
            </w:pPr>
            <w:r>
              <w:rPr>
                <w:b/>
                <w:sz w:val="24"/>
              </w:rPr>
              <w:t>Community Healthcare Providers State Evaluation</w:t>
            </w:r>
          </w:p>
        </w:tc>
        <w:tc>
          <w:tcPr>
            <w:tcW w:w="1440" w:type="dxa"/>
            <w:tcBorders>
              <w:bottom w:val="single" w:sz="18" w:space="0" w:color="4E8542"/>
            </w:tcBorders>
          </w:tcPr>
          <w:p>
            <w:pPr>
              <w:pStyle w:val="TableParagraph"/>
              <w:ind w:left="463" w:right="99" w:hanging="329"/>
              <w:rPr>
                <w:b/>
                <w:sz w:val="24"/>
              </w:rPr>
            </w:pPr>
            <w:r>
              <w:rPr>
                <w:b/>
                <w:sz w:val="24"/>
              </w:rPr>
              <w:t>Compliance Level</w:t>
            </w:r>
          </w:p>
        </w:tc>
        <w:tc>
          <w:tcPr>
            <w:tcW w:w="4320" w:type="dxa"/>
            <w:tcBorders>
              <w:bottom w:val="single" w:sz="18" w:space="0" w:color="4E8542"/>
            </w:tcBorders>
          </w:tcPr>
          <w:p>
            <w:pPr>
              <w:pStyle w:val="TableParagraph"/>
              <w:spacing w:line="292" w:lineRule="exact"/>
              <w:ind w:left="1274"/>
              <w:rPr>
                <w:b/>
                <w:sz w:val="24"/>
              </w:rPr>
            </w:pPr>
            <w:r>
              <w:rPr>
                <w:b/>
                <w:sz w:val="24"/>
              </w:rPr>
              <w:t>Oversight Process</w:t>
            </w:r>
          </w:p>
        </w:tc>
      </w:tr>
      <w:tr>
        <w:trPr>
          <w:trHeight w:val="1899" w:hRule="atLeast"/>
        </w:trPr>
        <w:tc>
          <w:tcPr>
            <w:tcW w:w="3799" w:type="dxa"/>
            <w:tcBorders>
              <w:top w:val="single" w:sz="18" w:space="0" w:color="4E8542"/>
            </w:tcBorders>
            <w:shd w:val="clear" w:color="auto" w:fill="D0E4CA"/>
          </w:tcPr>
          <w:p>
            <w:pPr>
              <w:pStyle w:val="TableParagraph"/>
              <w:spacing w:before="1"/>
              <w:ind w:left="107" w:right="124"/>
              <w:rPr>
                <w:b/>
                <w:sz w:val="22"/>
              </w:rPr>
            </w:pPr>
            <w:r>
              <w:rPr>
                <w:b/>
                <w:sz w:val="22"/>
              </w:rPr>
              <w:t>Individual choice regarding services and supports, and who provides them, is facilitated.</w:t>
            </w:r>
          </w:p>
        </w:tc>
        <w:tc>
          <w:tcPr>
            <w:tcW w:w="3600" w:type="dxa"/>
            <w:tcBorders>
              <w:top w:val="single" w:sz="18" w:space="0" w:color="4E8542"/>
            </w:tcBorders>
            <w:shd w:val="clear" w:color="auto" w:fill="D0E4CA"/>
          </w:tcPr>
          <w:p>
            <w:pPr>
              <w:pStyle w:val="TableParagraph"/>
              <w:spacing w:before="1"/>
              <w:ind w:left="107" w:right="215"/>
              <w:rPr>
                <w:sz w:val="22"/>
              </w:rPr>
            </w:pPr>
            <w:r>
              <w:rPr>
                <w:sz w:val="22"/>
              </w:rPr>
              <w:t>During the assessment and planning process, case managers inform participants of all options regarding services and providers, and ensure that this is documented either by client signature or in the client’s</w:t>
            </w:r>
          </w:p>
          <w:p>
            <w:pPr>
              <w:pStyle w:val="TableParagraph"/>
              <w:spacing w:line="267" w:lineRule="exact"/>
              <w:ind w:left="107"/>
              <w:rPr>
                <w:sz w:val="22"/>
              </w:rPr>
            </w:pPr>
            <w:r>
              <w:rPr>
                <w:sz w:val="22"/>
              </w:rPr>
              <w:t>service episode record.</w:t>
            </w:r>
          </w:p>
        </w:tc>
        <w:tc>
          <w:tcPr>
            <w:tcW w:w="1440" w:type="dxa"/>
            <w:tcBorders>
              <w:top w:val="single" w:sz="18" w:space="0" w:color="4E8542"/>
            </w:tcBorders>
            <w:shd w:val="clear" w:color="auto" w:fill="D0E4CA"/>
          </w:tcPr>
          <w:p>
            <w:pPr>
              <w:pStyle w:val="TableParagraph"/>
              <w:spacing w:before="1"/>
              <w:ind w:left="107" w:right="372"/>
              <w:rPr>
                <w:sz w:val="22"/>
              </w:rPr>
            </w:pPr>
            <w:r>
              <w:rPr>
                <w:sz w:val="22"/>
              </w:rPr>
              <w:t>Fully Compliant</w:t>
            </w:r>
          </w:p>
        </w:tc>
        <w:tc>
          <w:tcPr>
            <w:tcW w:w="4320" w:type="dxa"/>
            <w:tcBorders>
              <w:top w:val="single" w:sz="18" w:space="0" w:color="4E8542"/>
            </w:tcBorders>
            <w:shd w:val="clear" w:color="auto" w:fill="D0E4CA"/>
          </w:tcPr>
          <w:p>
            <w:pPr>
              <w:pStyle w:val="TableParagraph"/>
              <w:spacing w:before="1"/>
              <w:ind w:left="107" w:right="349"/>
              <w:rPr>
                <w:sz w:val="22"/>
              </w:rPr>
            </w:pPr>
            <w:r>
              <w:rPr>
                <w:sz w:val="22"/>
              </w:rPr>
              <w:t>Monitoring is conducted during the annual Quality Assurance monitoring cycle.</w:t>
            </w:r>
          </w:p>
          <w:p>
            <w:pPr>
              <w:pStyle w:val="TableParagraph"/>
              <w:rPr>
                <w:sz w:val="22"/>
              </w:rPr>
            </w:pPr>
          </w:p>
          <w:p>
            <w:pPr>
              <w:pStyle w:val="TableParagraph"/>
              <w:ind w:left="107" w:right="275"/>
              <w:rPr>
                <w:sz w:val="22"/>
              </w:rPr>
            </w:pPr>
            <w:r>
              <w:rPr>
                <w:sz w:val="22"/>
              </w:rPr>
              <w:t>Department of Health provides oversight of healthcare provider credentials.</w:t>
            </w:r>
          </w:p>
        </w:tc>
      </w:tr>
      <w:tr>
        <w:trPr>
          <w:trHeight w:val="4566" w:hRule="atLeast"/>
        </w:trPr>
        <w:tc>
          <w:tcPr>
            <w:tcW w:w="3799" w:type="dxa"/>
          </w:tcPr>
          <w:p>
            <w:pPr>
              <w:pStyle w:val="TableParagraph"/>
              <w:spacing w:before="1"/>
              <w:ind w:left="107" w:right="101"/>
              <w:rPr>
                <w:b/>
                <w:sz w:val="22"/>
              </w:rPr>
            </w:pPr>
            <w:r>
              <w:rPr>
                <w:b/>
                <w:sz w:val="22"/>
              </w:rPr>
              <w:t>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 degree of access as individuals not receiving Medicaid HCBS.</w:t>
            </w:r>
          </w:p>
        </w:tc>
        <w:tc>
          <w:tcPr>
            <w:tcW w:w="3600" w:type="dxa"/>
          </w:tcPr>
          <w:p>
            <w:pPr>
              <w:pStyle w:val="TableParagraph"/>
              <w:spacing w:before="1"/>
              <w:ind w:left="107" w:right="151"/>
              <w:rPr>
                <w:sz w:val="22"/>
              </w:rPr>
            </w:pPr>
            <w:r>
              <w:rPr>
                <w:sz w:val="22"/>
              </w:rPr>
              <w:t>The settings are integrated into the greater community and do not preclude access to the community. Washington's legislature has codified its intent that choice, participation, privacy, and the opportunity to engage in religious, political, recreational, and other social activities foster a sense of self-worth and enhance the quality of life for long-term care participants.</w:t>
            </w:r>
          </w:p>
          <w:p>
            <w:pPr>
              <w:pStyle w:val="TableParagraph"/>
              <w:ind w:left="107" w:right="128"/>
              <w:rPr>
                <w:sz w:val="22"/>
              </w:rPr>
            </w:pPr>
            <w:r>
              <w:rPr>
                <w:sz w:val="22"/>
              </w:rPr>
              <w:t>Washington State Law provides clear protections of rights. </w:t>
            </w:r>
            <w:hyperlink r:id="rId92">
              <w:r>
                <w:rPr>
                  <w:color w:val="6B9F24"/>
                  <w:sz w:val="22"/>
                  <w:u w:val="single" w:color="6B9F24"/>
                </w:rPr>
                <w:t>Chapter 49.60</w:t>
              </w:r>
            </w:hyperlink>
            <w:r>
              <w:rPr>
                <w:color w:val="6B9F24"/>
                <w:sz w:val="22"/>
              </w:rPr>
              <w:t> </w:t>
            </w:r>
            <w:hyperlink r:id="rId92">
              <w:r>
                <w:rPr>
                  <w:color w:val="6B9F24"/>
                  <w:sz w:val="22"/>
                  <w:u w:val="single" w:color="6B9F24"/>
                </w:rPr>
                <w:t>RCW</w:t>
              </w:r>
              <w:r>
                <w:rPr>
                  <w:color w:val="6B9F24"/>
                  <w:sz w:val="22"/>
                </w:rPr>
                <w:t> </w:t>
              </w:r>
            </w:hyperlink>
            <w:r>
              <w:rPr>
                <w:sz w:val="22"/>
              </w:rPr>
              <w:t>is the state's law against discrimination and which created the</w:t>
            </w:r>
          </w:p>
          <w:p>
            <w:pPr>
              <w:pStyle w:val="TableParagraph"/>
              <w:spacing w:line="270" w:lineRule="atLeast"/>
              <w:ind w:left="107" w:right="250"/>
              <w:rPr>
                <w:sz w:val="22"/>
              </w:rPr>
            </w:pPr>
            <w:r>
              <w:rPr>
                <w:sz w:val="22"/>
              </w:rPr>
              <w:t>Washington State Human Rights Commission to develop policies and</w:t>
            </w:r>
          </w:p>
        </w:tc>
        <w:tc>
          <w:tcPr>
            <w:tcW w:w="1440" w:type="dxa"/>
          </w:tcPr>
          <w:p>
            <w:pPr>
              <w:pStyle w:val="TableParagraph"/>
              <w:spacing w:line="237" w:lineRule="auto" w:before="3"/>
              <w:ind w:left="107" w:right="372"/>
              <w:rPr>
                <w:sz w:val="22"/>
              </w:rPr>
            </w:pPr>
            <w:r>
              <w:rPr>
                <w:sz w:val="22"/>
              </w:rPr>
              <w:t>Fully Compliant</w:t>
            </w:r>
          </w:p>
        </w:tc>
        <w:tc>
          <w:tcPr>
            <w:tcW w:w="4320" w:type="dxa"/>
          </w:tcPr>
          <w:p>
            <w:pPr>
              <w:pStyle w:val="TableParagraph"/>
              <w:spacing w:before="1"/>
              <w:ind w:left="107" w:right="293"/>
              <w:rPr>
                <w:sz w:val="22"/>
              </w:rPr>
            </w:pPr>
            <w:r>
              <w:rPr>
                <w:sz w:val="22"/>
              </w:rPr>
              <w:t>At the time of initial contracting and at contract renewal, the FMS ensures that the provider meets all provider qualifications including business licenses and any other credentials related to the provision of contracted services.</w:t>
            </w:r>
          </w:p>
          <w:p>
            <w:pPr>
              <w:pStyle w:val="TableParagraph"/>
              <w:spacing w:before="11"/>
              <w:rPr>
                <w:sz w:val="21"/>
              </w:rPr>
            </w:pPr>
          </w:p>
          <w:p>
            <w:pPr>
              <w:pStyle w:val="TableParagraph"/>
              <w:ind w:left="107" w:right="142"/>
              <w:rPr>
                <w:sz w:val="22"/>
              </w:rPr>
            </w:pPr>
            <w:r>
              <w:rPr>
                <w:sz w:val="22"/>
              </w:rPr>
              <w:t>Healthcare professions are regulated by the Department of Health (DOH). Complaints are investigated by DOH. All Healthcare providers are subject to the Uniform Disciplinary Act </w:t>
            </w:r>
            <w:hyperlink r:id="rId93">
              <w:r>
                <w:rPr>
                  <w:color w:val="6B9F24"/>
                  <w:sz w:val="22"/>
                  <w:u w:val="single" w:color="6B9F24"/>
                </w:rPr>
                <w:t>(RCW</w:t>
              </w:r>
              <w:r>
                <w:rPr>
                  <w:color w:val="6B9F24"/>
                  <w:spacing w:val="-2"/>
                  <w:sz w:val="22"/>
                  <w:u w:val="single" w:color="6B9F24"/>
                </w:rPr>
                <w:t> </w:t>
              </w:r>
              <w:r>
                <w:rPr>
                  <w:color w:val="6B9F24"/>
                  <w:sz w:val="22"/>
                  <w:u w:val="single" w:color="6B9F24"/>
                </w:rPr>
                <w:t>18.130.160)</w:t>
              </w:r>
            </w:hyperlink>
          </w:p>
        </w:tc>
      </w:tr>
    </w:tbl>
    <w:p>
      <w:pPr>
        <w:pStyle w:val="BodyText"/>
        <w:spacing w:before="9"/>
        <w:rPr>
          <w:sz w:val="8"/>
        </w:rPr>
      </w:pPr>
      <w:r>
        <w:rPr/>
        <w:pict>
          <v:shape style="position:absolute;margin-left:70.559998pt;margin-top:7.5595pt;width:650.9pt;height:.1pt;mso-position-horizontal-relative:page;mso-position-vertical-relative:paragraph;z-index:-251559936;mso-wrap-distance-left:0;mso-wrap-distance-right:0" coordorigin="1411,151" coordsize="13018,0" path="m1411,151l14429,151e" filled="false" stroked="true" strokeweight=".481pt" strokecolor="#d9d9d9">
            <v:path arrowok="t"/>
            <v:stroke dashstyle="solid"/>
            <w10:wrap type="topAndBottom"/>
          </v:shape>
        </w:pict>
      </w:r>
    </w:p>
    <w:p>
      <w:pPr>
        <w:spacing w:after="0"/>
        <w:rPr>
          <w:sz w:val="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799"/>
        <w:gridCol w:w="3600"/>
        <w:gridCol w:w="1440"/>
        <w:gridCol w:w="4320"/>
      </w:tblGrid>
      <w:tr>
        <w:trPr>
          <w:trHeight w:val="682" w:hRule="atLeast"/>
        </w:trPr>
        <w:tc>
          <w:tcPr>
            <w:tcW w:w="3799" w:type="dxa"/>
            <w:tcBorders>
              <w:bottom w:val="single" w:sz="18" w:space="0" w:color="4E8542"/>
            </w:tcBorders>
          </w:tcPr>
          <w:p>
            <w:pPr>
              <w:pStyle w:val="TableParagraph"/>
              <w:spacing w:line="292" w:lineRule="exact"/>
              <w:ind w:left="414"/>
              <w:rPr>
                <w:b/>
                <w:sz w:val="24"/>
              </w:rPr>
            </w:pPr>
            <w:r>
              <w:rPr>
                <w:b/>
                <w:sz w:val="24"/>
              </w:rPr>
              <w:t>Characteristics/Requirements</w:t>
            </w:r>
          </w:p>
        </w:tc>
        <w:tc>
          <w:tcPr>
            <w:tcW w:w="3600" w:type="dxa"/>
            <w:tcBorders>
              <w:bottom w:val="single" w:sz="18" w:space="0" w:color="4E8542"/>
            </w:tcBorders>
          </w:tcPr>
          <w:p>
            <w:pPr>
              <w:pStyle w:val="TableParagraph"/>
              <w:ind w:left="983" w:right="112" w:hanging="836"/>
              <w:rPr>
                <w:b/>
                <w:sz w:val="24"/>
              </w:rPr>
            </w:pPr>
            <w:r>
              <w:rPr>
                <w:b/>
                <w:sz w:val="24"/>
              </w:rPr>
              <w:t>Community Healthcare Providers State Evaluation</w:t>
            </w:r>
          </w:p>
        </w:tc>
        <w:tc>
          <w:tcPr>
            <w:tcW w:w="1440" w:type="dxa"/>
            <w:tcBorders>
              <w:bottom w:val="single" w:sz="18" w:space="0" w:color="4E8542"/>
            </w:tcBorders>
          </w:tcPr>
          <w:p>
            <w:pPr>
              <w:pStyle w:val="TableParagraph"/>
              <w:ind w:left="463" w:right="99" w:hanging="329"/>
              <w:rPr>
                <w:b/>
                <w:sz w:val="24"/>
              </w:rPr>
            </w:pPr>
            <w:r>
              <w:rPr>
                <w:b/>
                <w:sz w:val="24"/>
              </w:rPr>
              <w:t>Compliance Level</w:t>
            </w:r>
          </w:p>
        </w:tc>
        <w:tc>
          <w:tcPr>
            <w:tcW w:w="4320" w:type="dxa"/>
            <w:tcBorders>
              <w:bottom w:val="single" w:sz="18" w:space="0" w:color="4E8542"/>
            </w:tcBorders>
          </w:tcPr>
          <w:p>
            <w:pPr>
              <w:pStyle w:val="TableParagraph"/>
              <w:spacing w:line="292" w:lineRule="exact"/>
              <w:ind w:left="1274"/>
              <w:rPr>
                <w:b/>
                <w:sz w:val="24"/>
              </w:rPr>
            </w:pPr>
            <w:r>
              <w:rPr>
                <w:b/>
                <w:sz w:val="24"/>
              </w:rPr>
              <w:t>Oversight Process</w:t>
            </w:r>
          </w:p>
        </w:tc>
      </w:tr>
      <w:tr>
        <w:trPr>
          <w:trHeight w:val="1587" w:hRule="atLeast"/>
        </w:trPr>
        <w:tc>
          <w:tcPr>
            <w:tcW w:w="3799" w:type="dxa"/>
            <w:tcBorders>
              <w:top w:val="single" w:sz="18" w:space="0" w:color="4E8542"/>
            </w:tcBorders>
          </w:tcPr>
          <w:p>
            <w:pPr>
              <w:pStyle w:val="TableParagraph"/>
              <w:rPr>
                <w:rFonts w:ascii="Times New Roman"/>
                <w:sz w:val="22"/>
              </w:rPr>
            </w:pPr>
          </w:p>
        </w:tc>
        <w:tc>
          <w:tcPr>
            <w:tcW w:w="3600" w:type="dxa"/>
            <w:tcBorders>
              <w:top w:val="single" w:sz="18" w:space="0" w:color="4E8542"/>
            </w:tcBorders>
          </w:tcPr>
          <w:p>
            <w:pPr>
              <w:pStyle w:val="TableParagraph"/>
              <w:spacing w:line="243" w:lineRule="exact"/>
              <w:ind w:left="107"/>
              <w:rPr>
                <w:sz w:val="22"/>
              </w:rPr>
            </w:pPr>
            <w:r>
              <w:rPr>
                <w:sz w:val="22"/>
              </w:rPr>
              <w:t>rules to eliminate and prevent</w:t>
            </w:r>
          </w:p>
          <w:p>
            <w:pPr>
              <w:pStyle w:val="TableParagraph"/>
              <w:ind w:left="107" w:right="120"/>
              <w:rPr>
                <w:sz w:val="22"/>
              </w:rPr>
            </w:pPr>
            <w:r>
              <w:rPr>
                <w:sz w:val="22"/>
              </w:rPr>
              <w:t>discrimination. </w:t>
            </w:r>
            <w:hyperlink r:id="rId94">
              <w:r>
                <w:rPr>
                  <w:color w:val="6B9F24"/>
                  <w:sz w:val="22"/>
                  <w:u w:val="single" w:color="6B9F24"/>
                </w:rPr>
                <w:t>Chapter 162-26</w:t>
              </w:r>
              <w:r>
                <w:rPr>
                  <w:color w:val="6B9F24"/>
                  <w:sz w:val="22"/>
                </w:rPr>
                <w:t> </w:t>
              </w:r>
            </w:hyperlink>
            <w:r>
              <w:rPr>
                <w:sz w:val="22"/>
              </w:rPr>
              <w:t>in Washington Administrative Code (WAC) identifies unfair practices to include reasonable accommodations,</w:t>
            </w:r>
          </w:p>
          <w:p>
            <w:pPr>
              <w:pStyle w:val="TableParagraph"/>
              <w:spacing w:line="250" w:lineRule="exact"/>
              <w:ind w:left="107"/>
              <w:rPr>
                <w:sz w:val="22"/>
              </w:rPr>
            </w:pPr>
            <w:r>
              <w:rPr>
                <w:sz w:val="22"/>
              </w:rPr>
              <w:t>accessibility and service animals.</w:t>
            </w:r>
          </w:p>
        </w:tc>
        <w:tc>
          <w:tcPr>
            <w:tcW w:w="1440" w:type="dxa"/>
            <w:tcBorders>
              <w:top w:val="single" w:sz="18" w:space="0" w:color="4E8542"/>
            </w:tcBorders>
          </w:tcPr>
          <w:p>
            <w:pPr>
              <w:pStyle w:val="TableParagraph"/>
              <w:rPr>
                <w:rFonts w:ascii="Times New Roman"/>
                <w:sz w:val="22"/>
              </w:rPr>
            </w:pPr>
          </w:p>
        </w:tc>
        <w:tc>
          <w:tcPr>
            <w:tcW w:w="4320" w:type="dxa"/>
            <w:tcBorders>
              <w:top w:val="single" w:sz="18" w:space="0" w:color="4E8542"/>
            </w:tcBorders>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9"/>
        </w:rPr>
      </w:pPr>
      <w:r>
        <w:rPr/>
        <w:pict>
          <v:shape style="position:absolute;margin-left:70.559998pt;margin-top:14.209657pt;width:650.9pt;height:.1pt;mso-position-horizontal-relative:page;mso-position-vertical-relative:paragraph;z-index:-251558912;mso-wrap-distance-left:0;mso-wrap-distance-right:0" coordorigin="1411,284" coordsize="13018,0" path="m1411,284l14429,284e" filled="false" stroked="true" strokeweight=".481pt" strokecolor="#d9d9d9">
            <v:path arrowok="t"/>
            <v:stroke dashstyle="solid"/>
            <w10:wrap type="topAndBottom"/>
          </v:shape>
        </w:pict>
      </w:r>
    </w:p>
    <w:p>
      <w:pPr>
        <w:spacing w:after="0"/>
        <w:rPr>
          <w:sz w:val="1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1" w:right="2957" w:firstLine="0"/>
        <w:jc w:val="center"/>
        <w:rPr>
          <w:b/>
          <w:sz w:val="28"/>
        </w:rPr>
      </w:pPr>
      <w:bookmarkStart w:name="Dental Providers" w:id="63"/>
      <w:bookmarkEnd w:id="63"/>
      <w:r>
        <w:rPr/>
      </w:r>
      <w:bookmarkStart w:name="_bookmark28" w:id="64"/>
      <w:bookmarkEnd w:id="64"/>
      <w:r>
        <w:rPr/>
      </w:r>
      <w:r>
        <w:rPr>
          <w:b/>
          <w:sz w:val="28"/>
        </w:rPr>
        <w:t>Dental Providers</w:t>
      </w:r>
    </w:p>
    <w:p>
      <w:pPr>
        <w:pStyle w:val="BodyText"/>
        <w:spacing w:before="6"/>
        <w:rPr>
          <w:b/>
          <w:sz w:val="31"/>
        </w:rPr>
      </w:pPr>
    </w:p>
    <w:p>
      <w:pPr>
        <w:pStyle w:val="BodyText"/>
        <w:spacing w:line="276" w:lineRule="auto"/>
        <w:ind w:left="1060" w:right="1135"/>
      </w:pPr>
      <w:r>
        <w:rPr/>
        <w:t>Setting Description: Dental providers are located in typical community locations (such as dental offices, dental clinics). All community members have free access to these services and settings including both Medicaid and non-Medicaid-funded participants.</w:t>
      </w:r>
    </w:p>
    <w:p>
      <w:pPr>
        <w:pStyle w:val="BodyText"/>
        <w:spacing w:before="6" w:after="1"/>
        <w:rPr>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799"/>
        <w:gridCol w:w="3600"/>
        <w:gridCol w:w="1440"/>
        <w:gridCol w:w="4320"/>
      </w:tblGrid>
      <w:tr>
        <w:trPr>
          <w:trHeight w:val="584" w:hRule="atLeast"/>
        </w:trPr>
        <w:tc>
          <w:tcPr>
            <w:tcW w:w="3799" w:type="dxa"/>
            <w:tcBorders>
              <w:bottom w:val="single" w:sz="18" w:space="0" w:color="4E8542"/>
            </w:tcBorders>
          </w:tcPr>
          <w:p>
            <w:pPr>
              <w:pStyle w:val="TableParagraph"/>
              <w:spacing w:line="292" w:lineRule="exact"/>
              <w:ind w:left="414"/>
              <w:rPr>
                <w:b/>
                <w:sz w:val="24"/>
              </w:rPr>
            </w:pPr>
            <w:r>
              <w:rPr>
                <w:b/>
                <w:sz w:val="24"/>
              </w:rPr>
              <w:t>Characteristics/Requirements</w:t>
            </w:r>
          </w:p>
        </w:tc>
        <w:tc>
          <w:tcPr>
            <w:tcW w:w="3600" w:type="dxa"/>
            <w:tcBorders>
              <w:bottom w:val="single" w:sz="18" w:space="0" w:color="4E8542"/>
            </w:tcBorders>
          </w:tcPr>
          <w:p>
            <w:pPr>
              <w:pStyle w:val="TableParagraph"/>
              <w:spacing w:line="292" w:lineRule="exact"/>
              <w:ind w:left="969"/>
              <w:rPr>
                <w:b/>
                <w:sz w:val="24"/>
              </w:rPr>
            </w:pPr>
            <w:r>
              <w:rPr>
                <w:b/>
                <w:sz w:val="24"/>
              </w:rPr>
              <w:t>Dental</w:t>
            </w:r>
            <w:r>
              <w:rPr>
                <w:b/>
                <w:spacing w:val="-4"/>
                <w:sz w:val="24"/>
              </w:rPr>
              <w:t> </w:t>
            </w:r>
            <w:r>
              <w:rPr>
                <w:b/>
                <w:sz w:val="24"/>
              </w:rPr>
              <w:t>Providers</w:t>
            </w:r>
          </w:p>
          <w:p>
            <w:pPr>
              <w:pStyle w:val="TableParagraph"/>
              <w:spacing w:line="272" w:lineRule="exact"/>
              <w:ind w:left="983"/>
              <w:rPr>
                <w:b/>
                <w:sz w:val="24"/>
              </w:rPr>
            </w:pPr>
            <w:r>
              <w:rPr>
                <w:b/>
                <w:sz w:val="24"/>
              </w:rPr>
              <w:t>State</w:t>
            </w:r>
            <w:r>
              <w:rPr>
                <w:b/>
                <w:spacing w:val="-3"/>
                <w:sz w:val="24"/>
              </w:rPr>
              <w:t> </w:t>
            </w:r>
            <w:r>
              <w:rPr>
                <w:b/>
                <w:sz w:val="24"/>
              </w:rPr>
              <w:t>Evaluation</w:t>
            </w:r>
          </w:p>
        </w:tc>
        <w:tc>
          <w:tcPr>
            <w:tcW w:w="1440" w:type="dxa"/>
            <w:tcBorders>
              <w:bottom w:val="single" w:sz="18" w:space="0" w:color="4E8542"/>
            </w:tcBorders>
          </w:tcPr>
          <w:p>
            <w:pPr>
              <w:pStyle w:val="TableParagraph"/>
              <w:spacing w:line="292" w:lineRule="exact"/>
              <w:ind w:left="115" w:right="98"/>
              <w:jc w:val="center"/>
              <w:rPr>
                <w:b/>
                <w:sz w:val="24"/>
              </w:rPr>
            </w:pPr>
            <w:r>
              <w:rPr>
                <w:b/>
                <w:sz w:val="24"/>
              </w:rPr>
              <w:t>Compliance</w:t>
            </w:r>
          </w:p>
          <w:p>
            <w:pPr>
              <w:pStyle w:val="TableParagraph"/>
              <w:spacing w:line="272" w:lineRule="exact"/>
              <w:ind w:left="115" w:right="97"/>
              <w:jc w:val="center"/>
              <w:rPr>
                <w:b/>
                <w:sz w:val="24"/>
              </w:rPr>
            </w:pPr>
            <w:r>
              <w:rPr>
                <w:b/>
                <w:sz w:val="24"/>
              </w:rPr>
              <w:t>Level</w:t>
            </w:r>
          </w:p>
        </w:tc>
        <w:tc>
          <w:tcPr>
            <w:tcW w:w="4320" w:type="dxa"/>
            <w:tcBorders>
              <w:bottom w:val="single" w:sz="18" w:space="0" w:color="4E8542"/>
            </w:tcBorders>
          </w:tcPr>
          <w:p>
            <w:pPr>
              <w:pStyle w:val="TableParagraph"/>
              <w:spacing w:line="292" w:lineRule="exact"/>
              <w:ind w:left="1274"/>
              <w:rPr>
                <w:b/>
                <w:sz w:val="24"/>
              </w:rPr>
            </w:pPr>
            <w:r>
              <w:rPr>
                <w:b/>
                <w:sz w:val="24"/>
              </w:rPr>
              <w:t>Oversight Process</w:t>
            </w:r>
          </w:p>
        </w:tc>
      </w:tr>
      <w:tr>
        <w:trPr>
          <w:trHeight w:val="1880" w:hRule="atLeast"/>
        </w:trPr>
        <w:tc>
          <w:tcPr>
            <w:tcW w:w="3799" w:type="dxa"/>
            <w:tcBorders>
              <w:top w:val="single" w:sz="18" w:space="0" w:color="4E8542"/>
            </w:tcBorders>
            <w:shd w:val="clear" w:color="auto" w:fill="D0E4CA"/>
          </w:tcPr>
          <w:p>
            <w:pPr>
              <w:pStyle w:val="TableParagraph"/>
              <w:spacing w:before="1"/>
              <w:ind w:left="107" w:right="124"/>
              <w:rPr>
                <w:b/>
                <w:sz w:val="22"/>
              </w:rPr>
            </w:pPr>
            <w:r>
              <w:rPr>
                <w:b/>
                <w:sz w:val="22"/>
              </w:rPr>
              <w:t>Individual choice regarding services and supports, and who provides them, is facilitated.</w:t>
            </w:r>
          </w:p>
        </w:tc>
        <w:tc>
          <w:tcPr>
            <w:tcW w:w="3600" w:type="dxa"/>
            <w:tcBorders>
              <w:top w:val="single" w:sz="18" w:space="0" w:color="4E8542"/>
            </w:tcBorders>
            <w:shd w:val="clear" w:color="auto" w:fill="D0E4CA"/>
          </w:tcPr>
          <w:p>
            <w:pPr>
              <w:pStyle w:val="TableParagraph"/>
              <w:spacing w:before="1"/>
              <w:ind w:left="107" w:right="215"/>
              <w:rPr>
                <w:sz w:val="22"/>
              </w:rPr>
            </w:pPr>
            <w:r>
              <w:rPr>
                <w:sz w:val="22"/>
              </w:rPr>
              <w:t>During the assessment and planning process, case managers inform participants of all options regarding services and providers, and ensure that this is documented either by client signature or in the client’s</w:t>
            </w:r>
          </w:p>
          <w:p>
            <w:pPr>
              <w:pStyle w:val="TableParagraph"/>
              <w:spacing w:line="248" w:lineRule="exact"/>
              <w:ind w:left="107"/>
              <w:rPr>
                <w:sz w:val="22"/>
              </w:rPr>
            </w:pPr>
            <w:r>
              <w:rPr>
                <w:sz w:val="22"/>
              </w:rPr>
              <w:t>service episode record.</w:t>
            </w:r>
          </w:p>
        </w:tc>
        <w:tc>
          <w:tcPr>
            <w:tcW w:w="1440" w:type="dxa"/>
            <w:tcBorders>
              <w:top w:val="single" w:sz="18" w:space="0" w:color="4E8542"/>
            </w:tcBorders>
            <w:shd w:val="clear" w:color="auto" w:fill="D0E4CA"/>
          </w:tcPr>
          <w:p>
            <w:pPr>
              <w:pStyle w:val="TableParagraph"/>
              <w:spacing w:before="1"/>
              <w:ind w:left="107" w:right="372"/>
              <w:rPr>
                <w:sz w:val="22"/>
              </w:rPr>
            </w:pPr>
            <w:r>
              <w:rPr>
                <w:sz w:val="22"/>
              </w:rPr>
              <w:t>Fully Compliant</w:t>
            </w:r>
          </w:p>
        </w:tc>
        <w:tc>
          <w:tcPr>
            <w:tcW w:w="4320" w:type="dxa"/>
            <w:tcBorders>
              <w:top w:val="single" w:sz="18" w:space="0" w:color="4E8542"/>
            </w:tcBorders>
            <w:shd w:val="clear" w:color="auto" w:fill="D0E4CA"/>
          </w:tcPr>
          <w:p>
            <w:pPr>
              <w:pStyle w:val="TableParagraph"/>
              <w:spacing w:before="1"/>
              <w:ind w:left="107" w:right="349"/>
              <w:rPr>
                <w:sz w:val="22"/>
              </w:rPr>
            </w:pPr>
            <w:r>
              <w:rPr>
                <w:sz w:val="22"/>
              </w:rPr>
              <w:t>Monitoring is conducted during the annual Quality Assurance monitoring cycle.</w:t>
            </w:r>
          </w:p>
          <w:p>
            <w:pPr>
              <w:pStyle w:val="TableParagraph"/>
              <w:rPr>
                <w:sz w:val="22"/>
              </w:rPr>
            </w:pPr>
          </w:p>
          <w:p>
            <w:pPr>
              <w:pStyle w:val="TableParagraph"/>
              <w:ind w:left="107" w:right="126"/>
              <w:rPr>
                <w:sz w:val="22"/>
              </w:rPr>
            </w:pPr>
            <w:r>
              <w:rPr>
                <w:sz w:val="22"/>
              </w:rPr>
              <w:t>The Department of Health provides oversight of dental providers’ credentials.</w:t>
            </w:r>
          </w:p>
        </w:tc>
      </w:tr>
      <w:tr>
        <w:trPr>
          <w:trHeight w:val="5106" w:hRule="atLeast"/>
        </w:trPr>
        <w:tc>
          <w:tcPr>
            <w:tcW w:w="3799" w:type="dxa"/>
            <w:tcBorders>
              <w:bottom w:val="thinThickMediumGap" w:sz="4" w:space="0" w:color="4E8542"/>
            </w:tcBorders>
          </w:tcPr>
          <w:p>
            <w:pPr>
              <w:pStyle w:val="TableParagraph"/>
              <w:spacing w:before="1"/>
              <w:ind w:left="107" w:right="101"/>
              <w:rPr>
                <w:b/>
                <w:sz w:val="22"/>
              </w:rPr>
            </w:pPr>
            <w:r>
              <w:rPr>
                <w:b/>
                <w:sz w:val="22"/>
              </w:rPr>
              <w:t>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 degree of access as individuals not receiving Medicaid HCBS.</w:t>
            </w:r>
          </w:p>
        </w:tc>
        <w:tc>
          <w:tcPr>
            <w:tcW w:w="3600" w:type="dxa"/>
            <w:tcBorders>
              <w:bottom w:val="thinThickMediumGap" w:sz="4" w:space="0" w:color="4E8542"/>
            </w:tcBorders>
          </w:tcPr>
          <w:p>
            <w:pPr>
              <w:pStyle w:val="TableParagraph"/>
              <w:spacing w:before="1"/>
              <w:ind w:left="107" w:right="293"/>
              <w:rPr>
                <w:sz w:val="22"/>
              </w:rPr>
            </w:pPr>
            <w:r>
              <w:rPr>
                <w:sz w:val="22"/>
              </w:rPr>
              <w:t>The settings are integrated into the greater community and do not preclude access to the community.</w:t>
            </w:r>
          </w:p>
          <w:p>
            <w:pPr>
              <w:pStyle w:val="TableParagraph"/>
              <w:spacing w:before="11"/>
              <w:rPr>
                <w:sz w:val="21"/>
              </w:rPr>
            </w:pPr>
          </w:p>
          <w:p>
            <w:pPr>
              <w:pStyle w:val="TableParagraph"/>
              <w:ind w:left="107" w:right="151"/>
              <w:rPr>
                <w:sz w:val="22"/>
              </w:rPr>
            </w:pPr>
            <w:r>
              <w:rPr>
                <w:sz w:val="22"/>
              </w:rPr>
              <w:t>Washington's legislature has codified its intent that choice, participation, privacy, and the opportunity to engage in religious, political, recreational, and other social activities foster a sense of self-worth and enhance the quality of life for long-term care participants.</w:t>
            </w:r>
          </w:p>
          <w:p>
            <w:pPr>
              <w:pStyle w:val="TableParagraph"/>
              <w:spacing w:before="11"/>
              <w:rPr>
                <w:sz w:val="21"/>
              </w:rPr>
            </w:pPr>
          </w:p>
          <w:p>
            <w:pPr>
              <w:pStyle w:val="TableParagraph"/>
              <w:ind w:left="107" w:right="128"/>
              <w:rPr>
                <w:sz w:val="22"/>
              </w:rPr>
            </w:pPr>
            <w:r>
              <w:rPr>
                <w:sz w:val="22"/>
              </w:rPr>
              <w:t>Washington State Law provides clear protections of rights. </w:t>
            </w:r>
            <w:hyperlink r:id="rId92">
              <w:r>
                <w:rPr>
                  <w:color w:val="6B9F24"/>
                  <w:sz w:val="22"/>
                  <w:u w:val="single" w:color="6B9F24"/>
                </w:rPr>
                <w:t>Chapter 49.60</w:t>
              </w:r>
            </w:hyperlink>
            <w:r>
              <w:rPr>
                <w:color w:val="6B9F24"/>
                <w:sz w:val="22"/>
              </w:rPr>
              <w:t> </w:t>
            </w:r>
            <w:hyperlink r:id="rId92">
              <w:r>
                <w:rPr>
                  <w:color w:val="6B9F24"/>
                  <w:sz w:val="22"/>
                  <w:u w:val="single" w:color="6B9F24"/>
                </w:rPr>
                <w:t>RCW</w:t>
              </w:r>
              <w:r>
                <w:rPr>
                  <w:color w:val="6B9F24"/>
                  <w:sz w:val="22"/>
                </w:rPr>
                <w:t> </w:t>
              </w:r>
            </w:hyperlink>
            <w:r>
              <w:rPr>
                <w:sz w:val="22"/>
              </w:rPr>
              <w:t>is the state's law against discrimination and which created the</w:t>
            </w:r>
          </w:p>
          <w:p>
            <w:pPr>
              <w:pStyle w:val="TableParagraph"/>
              <w:spacing w:line="270" w:lineRule="atLeast"/>
              <w:ind w:left="107" w:right="250"/>
              <w:rPr>
                <w:sz w:val="22"/>
              </w:rPr>
            </w:pPr>
            <w:r>
              <w:rPr>
                <w:sz w:val="22"/>
              </w:rPr>
              <w:t>Washington State Human Rights Commission to develop policies and</w:t>
            </w:r>
          </w:p>
        </w:tc>
        <w:tc>
          <w:tcPr>
            <w:tcW w:w="1440" w:type="dxa"/>
            <w:tcBorders>
              <w:bottom w:val="thinThickMediumGap" w:sz="4" w:space="0" w:color="4E8542"/>
            </w:tcBorders>
          </w:tcPr>
          <w:p>
            <w:pPr>
              <w:pStyle w:val="TableParagraph"/>
              <w:spacing w:line="237" w:lineRule="auto" w:before="3"/>
              <w:ind w:left="107" w:right="372"/>
              <w:rPr>
                <w:sz w:val="22"/>
              </w:rPr>
            </w:pPr>
            <w:r>
              <w:rPr>
                <w:sz w:val="22"/>
              </w:rPr>
              <w:t>Fully Compliant</w:t>
            </w:r>
          </w:p>
        </w:tc>
        <w:tc>
          <w:tcPr>
            <w:tcW w:w="4320" w:type="dxa"/>
            <w:tcBorders>
              <w:bottom w:val="thinThickMediumGap" w:sz="4" w:space="0" w:color="4E8542"/>
            </w:tcBorders>
          </w:tcPr>
          <w:p>
            <w:pPr>
              <w:pStyle w:val="TableParagraph"/>
              <w:spacing w:before="1"/>
              <w:ind w:left="107" w:right="142"/>
              <w:rPr>
                <w:sz w:val="22"/>
              </w:rPr>
            </w:pPr>
            <w:r>
              <w:rPr>
                <w:sz w:val="22"/>
              </w:rPr>
              <w:t>Health care professions are regulated by the Department of Health (DOH). Complaints are investigated by DOH. All Healthcare providers are subject to the Uniform Disciplinary Act </w:t>
            </w:r>
            <w:hyperlink r:id="rId93">
              <w:r>
                <w:rPr>
                  <w:color w:val="6B9F24"/>
                  <w:sz w:val="22"/>
                  <w:u w:val="single" w:color="6B9F24"/>
                </w:rPr>
                <w:t>(RCW</w:t>
              </w:r>
              <w:r>
                <w:rPr>
                  <w:color w:val="6B9F24"/>
                  <w:spacing w:val="-2"/>
                  <w:sz w:val="22"/>
                  <w:u w:val="single" w:color="6B9F24"/>
                </w:rPr>
                <w:t> </w:t>
              </w:r>
              <w:r>
                <w:rPr>
                  <w:color w:val="6B9F24"/>
                  <w:sz w:val="22"/>
                  <w:u w:val="single" w:color="6B9F24"/>
                </w:rPr>
                <w:t>18.130.160)</w:t>
              </w:r>
            </w:hyperlink>
          </w:p>
        </w:tc>
      </w:tr>
    </w:tbl>
    <w:p>
      <w:pPr>
        <w:spacing w:after="0"/>
        <w:rPr>
          <w:sz w:val="2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799"/>
        <w:gridCol w:w="3600"/>
        <w:gridCol w:w="1440"/>
        <w:gridCol w:w="4320"/>
      </w:tblGrid>
      <w:tr>
        <w:trPr>
          <w:trHeight w:val="584" w:hRule="atLeast"/>
        </w:trPr>
        <w:tc>
          <w:tcPr>
            <w:tcW w:w="3799" w:type="dxa"/>
            <w:tcBorders>
              <w:bottom w:val="single" w:sz="18" w:space="0" w:color="4E8542"/>
            </w:tcBorders>
          </w:tcPr>
          <w:p>
            <w:pPr>
              <w:pStyle w:val="TableParagraph"/>
              <w:spacing w:line="292" w:lineRule="exact"/>
              <w:ind w:left="414"/>
              <w:rPr>
                <w:b/>
                <w:sz w:val="24"/>
              </w:rPr>
            </w:pPr>
            <w:r>
              <w:rPr>
                <w:b/>
                <w:sz w:val="24"/>
              </w:rPr>
              <w:t>Characteristics/Requirements</w:t>
            </w:r>
          </w:p>
        </w:tc>
        <w:tc>
          <w:tcPr>
            <w:tcW w:w="3600" w:type="dxa"/>
            <w:tcBorders>
              <w:bottom w:val="single" w:sz="18" w:space="0" w:color="4E8542"/>
            </w:tcBorders>
          </w:tcPr>
          <w:p>
            <w:pPr>
              <w:pStyle w:val="TableParagraph"/>
              <w:spacing w:line="292" w:lineRule="exact"/>
              <w:ind w:left="969"/>
              <w:rPr>
                <w:b/>
                <w:sz w:val="24"/>
              </w:rPr>
            </w:pPr>
            <w:r>
              <w:rPr>
                <w:b/>
                <w:sz w:val="24"/>
              </w:rPr>
              <w:t>Dental</w:t>
            </w:r>
            <w:r>
              <w:rPr>
                <w:b/>
                <w:spacing w:val="-4"/>
                <w:sz w:val="24"/>
              </w:rPr>
              <w:t> </w:t>
            </w:r>
            <w:r>
              <w:rPr>
                <w:b/>
                <w:sz w:val="24"/>
              </w:rPr>
              <w:t>Providers</w:t>
            </w:r>
          </w:p>
          <w:p>
            <w:pPr>
              <w:pStyle w:val="TableParagraph"/>
              <w:spacing w:line="272" w:lineRule="exact"/>
              <w:ind w:left="983"/>
              <w:rPr>
                <w:b/>
                <w:sz w:val="24"/>
              </w:rPr>
            </w:pPr>
            <w:r>
              <w:rPr>
                <w:b/>
                <w:sz w:val="24"/>
              </w:rPr>
              <w:t>State</w:t>
            </w:r>
            <w:r>
              <w:rPr>
                <w:b/>
                <w:spacing w:val="-3"/>
                <w:sz w:val="24"/>
              </w:rPr>
              <w:t> </w:t>
            </w:r>
            <w:r>
              <w:rPr>
                <w:b/>
                <w:sz w:val="24"/>
              </w:rPr>
              <w:t>Evaluation</w:t>
            </w:r>
          </w:p>
        </w:tc>
        <w:tc>
          <w:tcPr>
            <w:tcW w:w="1440" w:type="dxa"/>
            <w:tcBorders>
              <w:bottom w:val="single" w:sz="18" w:space="0" w:color="4E8542"/>
            </w:tcBorders>
          </w:tcPr>
          <w:p>
            <w:pPr>
              <w:pStyle w:val="TableParagraph"/>
              <w:spacing w:line="292" w:lineRule="exact"/>
              <w:ind w:left="115" w:right="98"/>
              <w:jc w:val="center"/>
              <w:rPr>
                <w:b/>
                <w:sz w:val="24"/>
              </w:rPr>
            </w:pPr>
            <w:r>
              <w:rPr>
                <w:b/>
                <w:sz w:val="24"/>
              </w:rPr>
              <w:t>Compliance</w:t>
            </w:r>
          </w:p>
          <w:p>
            <w:pPr>
              <w:pStyle w:val="TableParagraph"/>
              <w:spacing w:line="272" w:lineRule="exact"/>
              <w:ind w:left="115" w:right="97"/>
              <w:jc w:val="center"/>
              <w:rPr>
                <w:b/>
                <w:sz w:val="24"/>
              </w:rPr>
            </w:pPr>
            <w:r>
              <w:rPr>
                <w:b/>
                <w:sz w:val="24"/>
              </w:rPr>
              <w:t>Level</w:t>
            </w:r>
          </w:p>
        </w:tc>
        <w:tc>
          <w:tcPr>
            <w:tcW w:w="4320" w:type="dxa"/>
            <w:tcBorders>
              <w:bottom w:val="single" w:sz="18" w:space="0" w:color="4E8542"/>
            </w:tcBorders>
          </w:tcPr>
          <w:p>
            <w:pPr>
              <w:pStyle w:val="TableParagraph"/>
              <w:spacing w:line="292" w:lineRule="exact"/>
              <w:ind w:left="1274"/>
              <w:rPr>
                <w:b/>
                <w:sz w:val="24"/>
              </w:rPr>
            </w:pPr>
            <w:r>
              <w:rPr>
                <w:b/>
                <w:sz w:val="24"/>
              </w:rPr>
              <w:t>Oversight Process</w:t>
            </w:r>
          </w:p>
        </w:tc>
      </w:tr>
      <w:tr>
        <w:trPr>
          <w:trHeight w:val="1321" w:hRule="atLeast"/>
        </w:trPr>
        <w:tc>
          <w:tcPr>
            <w:tcW w:w="3799" w:type="dxa"/>
            <w:tcBorders>
              <w:top w:val="single" w:sz="18" w:space="0" w:color="4E8542"/>
            </w:tcBorders>
          </w:tcPr>
          <w:p>
            <w:pPr>
              <w:pStyle w:val="TableParagraph"/>
              <w:rPr>
                <w:rFonts w:ascii="Times New Roman"/>
                <w:sz w:val="22"/>
              </w:rPr>
            </w:pPr>
          </w:p>
        </w:tc>
        <w:tc>
          <w:tcPr>
            <w:tcW w:w="3600" w:type="dxa"/>
            <w:tcBorders>
              <w:top w:val="single" w:sz="18" w:space="0" w:color="4E8542"/>
            </w:tcBorders>
          </w:tcPr>
          <w:p>
            <w:pPr>
              <w:pStyle w:val="TableParagraph"/>
              <w:spacing w:line="245" w:lineRule="exact"/>
              <w:ind w:left="107"/>
              <w:rPr>
                <w:sz w:val="22"/>
              </w:rPr>
            </w:pPr>
            <w:r>
              <w:rPr>
                <w:sz w:val="22"/>
              </w:rPr>
              <w:t>rules to eliminate and prevent</w:t>
            </w:r>
          </w:p>
          <w:p>
            <w:pPr>
              <w:pStyle w:val="TableParagraph"/>
              <w:ind w:left="107" w:right="112"/>
              <w:rPr>
                <w:sz w:val="22"/>
              </w:rPr>
            </w:pPr>
            <w:r>
              <w:rPr>
                <w:sz w:val="22"/>
              </w:rPr>
              <w:t>discrimination. </w:t>
            </w:r>
            <w:hyperlink r:id="rId91">
              <w:r>
                <w:rPr>
                  <w:color w:val="6B9F24"/>
                  <w:sz w:val="22"/>
                  <w:u w:val="single" w:color="6B9F24"/>
                </w:rPr>
                <w:t>Chapter 162-26</w:t>
              </w:r>
              <w:r>
                <w:rPr>
                  <w:color w:val="6B9F24"/>
                  <w:sz w:val="22"/>
                </w:rPr>
                <w:t> </w:t>
              </w:r>
            </w:hyperlink>
            <w:r>
              <w:rPr>
                <w:sz w:val="22"/>
              </w:rPr>
              <w:t>WAC identifies unfair practices to include reasonable accommodations,</w:t>
            </w:r>
          </w:p>
          <w:p>
            <w:pPr>
              <w:pStyle w:val="TableParagraph"/>
              <w:spacing w:line="250" w:lineRule="exact"/>
              <w:ind w:left="107"/>
              <w:rPr>
                <w:sz w:val="22"/>
              </w:rPr>
            </w:pPr>
            <w:r>
              <w:rPr>
                <w:sz w:val="22"/>
              </w:rPr>
              <w:t>accessibility and service animals.</w:t>
            </w:r>
          </w:p>
        </w:tc>
        <w:tc>
          <w:tcPr>
            <w:tcW w:w="1440" w:type="dxa"/>
            <w:tcBorders>
              <w:top w:val="single" w:sz="18" w:space="0" w:color="4E8542"/>
            </w:tcBorders>
          </w:tcPr>
          <w:p>
            <w:pPr>
              <w:pStyle w:val="TableParagraph"/>
              <w:rPr>
                <w:rFonts w:ascii="Times New Roman"/>
                <w:sz w:val="22"/>
              </w:rPr>
            </w:pPr>
          </w:p>
        </w:tc>
        <w:tc>
          <w:tcPr>
            <w:tcW w:w="4320" w:type="dxa"/>
            <w:tcBorders>
              <w:top w:val="single" w:sz="18" w:space="0" w:color="4E8542"/>
            </w:tcBorders>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9"/>
        </w:rPr>
      </w:pPr>
      <w:r>
        <w:rPr/>
        <w:pict>
          <v:shape style="position:absolute;margin-left:70.559998pt;margin-top:20.242624pt;width:650.9pt;height:.1pt;mso-position-horizontal-relative:page;mso-position-vertical-relative:paragraph;z-index:-251557888;mso-wrap-distance-left:0;mso-wrap-distance-right:0" coordorigin="1411,405" coordsize="13018,0" path="m1411,405l14429,405e" filled="false" stroked="true" strokeweight=".481pt" strokecolor="#d9d9d9">
            <v:path arrowok="t"/>
            <v:stroke dashstyle="solid"/>
            <w10:wrap type="topAndBottom"/>
          </v:shape>
        </w:pict>
      </w:r>
    </w:p>
    <w:p>
      <w:pPr>
        <w:spacing w:after="0"/>
        <w:rPr>
          <w:sz w:val="2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1" w:right="2957" w:firstLine="0"/>
        <w:jc w:val="center"/>
        <w:rPr>
          <w:b/>
          <w:sz w:val="28"/>
        </w:rPr>
      </w:pPr>
      <w:bookmarkStart w:name="DDA Behavioral Health Crisis Bed Diversi" w:id="65"/>
      <w:bookmarkEnd w:id="65"/>
      <w:r>
        <w:rPr/>
      </w:r>
      <w:bookmarkStart w:name="_bookmark29" w:id="66"/>
      <w:bookmarkEnd w:id="66"/>
      <w:r>
        <w:rPr/>
      </w:r>
      <w:r>
        <w:rPr>
          <w:b/>
          <w:sz w:val="28"/>
        </w:rPr>
        <w:t>DDA Behavioral Health Crisis Bed Diversion Services</w:t>
      </w:r>
    </w:p>
    <w:p>
      <w:pPr>
        <w:pStyle w:val="BodyText"/>
        <w:spacing w:before="11"/>
        <w:rPr>
          <w:b/>
          <w:sz w:val="33"/>
        </w:rPr>
      </w:pPr>
    </w:p>
    <w:p>
      <w:pPr>
        <w:pStyle w:val="BodyText"/>
        <w:spacing w:line="276" w:lineRule="auto"/>
        <w:ind w:left="1059" w:right="1179"/>
      </w:pPr>
      <w:r>
        <w:rPr/>
        <w:t>Setting Description: Behavioral Health Crisis Bed Diversion Services are one component of Behavioral Health Stabilization Services which include Positive Behavior Support and Consultation, Specialized Psychiatric Services and Behavioral Health Crisis Bed Diversion Services. Behavioral health crisis bed diversion services include support staff, twenty-four hours a day, seven days a week, to meet the client’s needs as identified in the client’s assessment, three meals per day plus snacks, therapeutic interventions, medication monitoring, referral to health care services as needed, supports for performing personal hygiene routine and activities of daily living, if needed by the client, transportation to and from other necessary appointments or services and access to the instruction and support services identified in the client’s person-centered service plan.</w:t>
      </w:r>
    </w:p>
    <w:p>
      <w:pPr>
        <w:pStyle w:val="BodyText"/>
        <w:spacing w:line="453" w:lineRule="auto"/>
        <w:ind w:left="1059" w:right="5569"/>
      </w:pPr>
      <w:r>
        <w:rPr/>
        <w:t>Services are located in typical residential communities in single family homes or in apartments. Setting has 8 sites with capacity for 12 participants.</w:t>
      </w:r>
    </w:p>
    <w:p>
      <w:pPr>
        <w:pStyle w:val="BodyText"/>
        <w:spacing w:before="2"/>
        <w:ind w:left="1059"/>
      </w:pPr>
      <w:r>
        <w:rPr/>
        <w:t>This entire section was updated 1/15/16.</w:t>
      </w:r>
    </w:p>
    <w:p>
      <w:pPr>
        <w:pStyle w:val="BodyText"/>
        <w:spacing w:before="9"/>
        <w:rPr>
          <w:sz w:val="19"/>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4"/>
        <w:gridCol w:w="2762"/>
        <w:gridCol w:w="1408"/>
        <w:gridCol w:w="2834"/>
        <w:gridCol w:w="2500"/>
      </w:tblGrid>
      <w:tr>
        <w:trPr>
          <w:trHeight w:val="1173" w:hRule="atLeast"/>
        </w:trPr>
        <w:tc>
          <w:tcPr>
            <w:tcW w:w="3444" w:type="dxa"/>
          </w:tcPr>
          <w:p>
            <w:pPr>
              <w:pStyle w:val="TableParagraph"/>
              <w:spacing w:before="1"/>
              <w:ind w:left="237"/>
              <w:rPr>
                <w:b/>
                <w:sz w:val="24"/>
              </w:rPr>
            </w:pPr>
            <w:r>
              <w:rPr>
                <w:b/>
                <w:sz w:val="24"/>
              </w:rPr>
              <w:t>Characteristics/Requirements</w:t>
            </w:r>
          </w:p>
        </w:tc>
        <w:tc>
          <w:tcPr>
            <w:tcW w:w="2762" w:type="dxa"/>
          </w:tcPr>
          <w:p>
            <w:pPr>
              <w:pStyle w:val="TableParagraph"/>
              <w:spacing w:before="1"/>
              <w:ind w:left="237" w:right="226"/>
              <w:jc w:val="center"/>
              <w:rPr>
                <w:b/>
                <w:sz w:val="24"/>
              </w:rPr>
            </w:pPr>
            <w:r>
              <w:rPr>
                <w:b/>
                <w:sz w:val="24"/>
              </w:rPr>
              <w:t>DDA Behavioral Health Crisis Bed Diversion Services</w:t>
            </w:r>
          </w:p>
          <w:p>
            <w:pPr>
              <w:pStyle w:val="TableParagraph"/>
              <w:spacing w:line="273" w:lineRule="exact"/>
              <w:ind w:left="237" w:right="226"/>
              <w:jc w:val="center"/>
              <w:rPr>
                <w:b/>
                <w:sz w:val="24"/>
              </w:rPr>
            </w:pPr>
            <w:r>
              <w:rPr>
                <w:b/>
                <w:sz w:val="24"/>
              </w:rPr>
              <w:t>State Evaluation</w:t>
            </w:r>
          </w:p>
        </w:tc>
        <w:tc>
          <w:tcPr>
            <w:tcW w:w="1408" w:type="dxa"/>
          </w:tcPr>
          <w:p>
            <w:pPr>
              <w:pStyle w:val="TableParagraph"/>
              <w:spacing w:before="1"/>
              <w:ind w:left="446" w:right="92" w:hanging="327"/>
              <w:rPr>
                <w:b/>
                <w:sz w:val="24"/>
              </w:rPr>
            </w:pPr>
            <w:r>
              <w:rPr>
                <w:b/>
                <w:sz w:val="24"/>
              </w:rPr>
              <w:t>Compliance Level</w:t>
            </w:r>
          </w:p>
        </w:tc>
        <w:tc>
          <w:tcPr>
            <w:tcW w:w="2834" w:type="dxa"/>
          </w:tcPr>
          <w:p>
            <w:pPr>
              <w:pStyle w:val="TableParagraph"/>
              <w:spacing w:before="1"/>
              <w:ind w:left="531"/>
              <w:rPr>
                <w:b/>
                <w:sz w:val="24"/>
              </w:rPr>
            </w:pPr>
            <w:r>
              <w:rPr>
                <w:b/>
                <w:sz w:val="24"/>
              </w:rPr>
              <w:t>Oversight Process</w:t>
            </w:r>
          </w:p>
        </w:tc>
        <w:tc>
          <w:tcPr>
            <w:tcW w:w="2500" w:type="dxa"/>
          </w:tcPr>
          <w:p>
            <w:pPr>
              <w:pStyle w:val="TableParagraph"/>
              <w:spacing w:before="1"/>
              <w:ind w:left="611"/>
              <w:rPr>
                <w:b/>
                <w:sz w:val="24"/>
              </w:rPr>
            </w:pPr>
            <w:r>
              <w:rPr>
                <w:b/>
                <w:sz w:val="24"/>
              </w:rPr>
              <w:t>Remediation</w:t>
            </w:r>
          </w:p>
        </w:tc>
      </w:tr>
      <w:tr>
        <w:trPr>
          <w:trHeight w:val="3760" w:hRule="atLeast"/>
        </w:trPr>
        <w:tc>
          <w:tcPr>
            <w:tcW w:w="3444" w:type="dxa"/>
            <w:shd w:val="clear" w:color="auto" w:fill="D0E4CA"/>
          </w:tcPr>
          <w:p>
            <w:pPr>
              <w:pStyle w:val="TableParagraph"/>
              <w:ind w:left="107" w:right="146"/>
              <w:rPr>
                <w:b/>
                <w:sz w:val="22"/>
              </w:rPr>
            </w:pPr>
            <w:r>
              <w:rPr>
                <w:b/>
                <w:sz w:val="22"/>
              </w:rPr>
              <w:t>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 degree of access as individuals not receiving Medicaid</w:t>
            </w:r>
          </w:p>
          <w:p>
            <w:pPr>
              <w:pStyle w:val="TableParagraph"/>
              <w:ind w:left="107"/>
              <w:rPr>
                <w:b/>
                <w:sz w:val="22"/>
              </w:rPr>
            </w:pPr>
            <w:r>
              <w:rPr>
                <w:b/>
                <w:sz w:val="22"/>
              </w:rPr>
              <w:t>HCBS.</w:t>
            </w:r>
          </w:p>
        </w:tc>
        <w:tc>
          <w:tcPr>
            <w:tcW w:w="2762" w:type="dxa"/>
            <w:shd w:val="clear" w:color="auto" w:fill="D0E4CA"/>
          </w:tcPr>
          <w:p>
            <w:pPr>
              <w:pStyle w:val="TableParagraph"/>
              <w:ind w:left="107" w:right="119"/>
              <w:rPr>
                <w:sz w:val="22"/>
              </w:rPr>
            </w:pPr>
            <w:r>
              <w:rPr>
                <w:sz w:val="22"/>
              </w:rPr>
              <w:t>Behavioral health crisis bed diversion services </w:t>
            </w:r>
            <w:hyperlink r:id="rId95">
              <w:r>
                <w:rPr>
                  <w:color w:val="6B9F24"/>
                  <w:sz w:val="22"/>
                  <w:u w:val="single" w:color="6B9F24"/>
                </w:rPr>
                <w:t>WAC 388-</w:t>
              </w:r>
            </w:hyperlink>
            <w:r>
              <w:rPr>
                <w:color w:val="6B9F24"/>
                <w:sz w:val="22"/>
              </w:rPr>
              <w:t> </w:t>
            </w:r>
            <w:hyperlink r:id="rId95">
              <w:r>
                <w:rPr>
                  <w:color w:val="6B9F24"/>
                  <w:sz w:val="22"/>
                  <w:u w:val="single" w:color="6B9F24"/>
                </w:rPr>
                <w:t>101D-0515</w:t>
              </w:r>
              <w:r>
                <w:rPr>
                  <w:color w:val="6B9F24"/>
                  <w:sz w:val="22"/>
                </w:rPr>
                <w:t> </w:t>
              </w:r>
            </w:hyperlink>
            <w:r>
              <w:rPr>
                <w:sz w:val="22"/>
              </w:rPr>
              <w:t>through </w:t>
            </w:r>
            <w:hyperlink r:id="rId96">
              <w:r>
                <w:rPr>
                  <w:color w:val="6B9F24"/>
                  <w:sz w:val="22"/>
                  <w:u w:val="single" w:color="6B9F24"/>
                </w:rPr>
                <w:t>WAC</w:t>
              </w:r>
            </w:hyperlink>
            <w:r>
              <w:rPr>
                <w:color w:val="6B9F24"/>
                <w:sz w:val="22"/>
              </w:rPr>
              <w:t> </w:t>
            </w:r>
            <w:hyperlink r:id="rId96">
              <w:r>
                <w:rPr>
                  <w:color w:val="6B9F24"/>
                  <w:sz w:val="22"/>
                  <w:u w:val="single" w:color="6B9F24"/>
                </w:rPr>
                <w:t>388-101D-0550</w:t>
              </w:r>
            </w:hyperlink>
          </w:p>
          <w:p>
            <w:pPr>
              <w:pStyle w:val="TableParagraph"/>
              <w:spacing w:before="10"/>
              <w:rPr>
                <w:sz w:val="21"/>
              </w:rPr>
            </w:pPr>
          </w:p>
          <w:p>
            <w:pPr>
              <w:pStyle w:val="TableParagraph"/>
              <w:ind w:left="107" w:right="115"/>
              <w:rPr>
                <w:sz w:val="22"/>
              </w:rPr>
            </w:pPr>
            <w:r>
              <w:rPr>
                <w:sz w:val="22"/>
              </w:rPr>
              <w:t>Participants receive behavioral health crisis bed diversion services located in the community and access services in typical public community settings.</w:t>
            </w:r>
          </w:p>
          <w:p>
            <w:pPr>
              <w:pStyle w:val="TableParagraph"/>
              <w:rPr>
                <w:sz w:val="22"/>
              </w:rPr>
            </w:pPr>
          </w:p>
          <w:p>
            <w:pPr>
              <w:pStyle w:val="TableParagraph"/>
              <w:spacing w:line="270" w:lineRule="atLeast"/>
              <w:ind w:left="107" w:right="131"/>
              <w:rPr>
                <w:sz w:val="22"/>
              </w:rPr>
            </w:pPr>
            <w:r>
              <w:rPr>
                <w:sz w:val="22"/>
              </w:rPr>
              <w:t>The State has completed a review of state statutes and</w:t>
            </w:r>
          </w:p>
        </w:tc>
        <w:tc>
          <w:tcPr>
            <w:tcW w:w="1408" w:type="dxa"/>
            <w:shd w:val="clear" w:color="auto" w:fill="D0E4CA"/>
          </w:tcPr>
          <w:p>
            <w:pPr>
              <w:pStyle w:val="TableParagraph"/>
              <w:ind w:left="108" w:right="349"/>
              <w:rPr>
                <w:sz w:val="22"/>
              </w:rPr>
            </w:pPr>
            <w:r>
              <w:rPr>
                <w:sz w:val="22"/>
              </w:rPr>
              <w:t>Fully Compliant</w:t>
            </w:r>
          </w:p>
        </w:tc>
        <w:tc>
          <w:tcPr>
            <w:tcW w:w="2834" w:type="dxa"/>
            <w:shd w:val="clear" w:color="auto" w:fill="D0E4CA"/>
          </w:tcPr>
          <w:p>
            <w:pPr>
              <w:pStyle w:val="TableParagraph"/>
              <w:ind w:left="109" w:right="156"/>
              <w:rPr>
                <w:sz w:val="22"/>
              </w:rPr>
            </w:pPr>
            <w:r>
              <w:rPr>
                <w:sz w:val="22"/>
              </w:rPr>
              <w:t>As part of the certification and complaint investigation process described in the overview, Residential Care Services (RCS) Contracted Evaluators and RCS Investigators conduct client observations, client and collateral interviews, service provider and staff interviews. RCS contracted evaluators and RCS Investigators also reviews</w:t>
            </w:r>
          </w:p>
          <w:p>
            <w:pPr>
              <w:pStyle w:val="TableParagraph"/>
              <w:spacing w:line="249" w:lineRule="exact"/>
              <w:ind w:left="109"/>
              <w:rPr>
                <w:sz w:val="22"/>
              </w:rPr>
            </w:pPr>
            <w:r>
              <w:rPr>
                <w:sz w:val="22"/>
              </w:rPr>
              <w:t>clients’ finances and</w:t>
            </w:r>
          </w:p>
        </w:tc>
        <w:tc>
          <w:tcPr>
            <w:tcW w:w="2500" w:type="dxa"/>
            <w:shd w:val="clear" w:color="auto" w:fill="D0E4CA"/>
          </w:tcPr>
          <w:p>
            <w:pPr>
              <w:pStyle w:val="TableParagraph"/>
              <w:ind w:left="109" w:right="163"/>
              <w:rPr>
                <w:sz w:val="22"/>
              </w:rPr>
            </w:pPr>
            <w:r>
              <w:rPr>
                <w:color w:val="396230"/>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color w:val="396230"/>
                <w:sz w:val="22"/>
              </w:rPr>
              <w:t>to include all rights listed in the HCBS rules and adding language to the contracts requiring adherence to the WAC. See </w:t>
            </w:r>
            <w:r>
              <w:rPr>
                <w:color w:val="6B9F24"/>
                <w:sz w:val="22"/>
                <w:u w:val="single" w:color="6B9F24"/>
              </w:rPr>
              <w:t>Appendix C</w:t>
            </w:r>
            <w:r>
              <w:rPr>
                <w:color w:val="396230"/>
                <w:sz w:val="22"/>
              </w:rPr>
              <w:t>.</w:t>
            </w:r>
          </w:p>
        </w:tc>
      </w:tr>
    </w:tbl>
    <w:p>
      <w:pPr>
        <w:pStyle w:val="BodyText"/>
        <w:rPr>
          <w:sz w:val="7"/>
        </w:rPr>
      </w:pPr>
      <w:r>
        <w:rPr/>
        <w:pict>
          <v:shape style="position:absolute;margin-left:70.559998pt;margin-top:6.4795pt;width:650.9pt;height:.1pt;mso-position-horizontal-relative:page;mso-position-vertical-relative:paragraph;z-index:-251556864;mso-wrap-distance-left:0;mso-wrap-distance-right:0" coordorigin="1411,130" coordsize="13018,0" path="m1411,130l14429,130e" filled="false" stroked="true" strokeweight=".481pt" strokecolor="#d9d9d9">
            <v:path arrowok="t"/>
            <v:stroke dashstyle="solid"/>
            <w10:wrap type="topAndBottom"/>
          </v:shape>
        </w:pict>
      </w:r>
    </w:p>
    <w:p>
      <w:pPr>
        <w:spacing w:after="0"/>
        <w:rPr>
          <w:sz w:val="7"/>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4"/>
        <w:gridCol w:w="2762"/>
        <w:gridCol w:w="1408"/>
        <w:gridCol w:w="2834"/>
        <w:gridCol w:w="2500"/>
      </w:tblGrid>
      <w:tr>
        <w:trPr>
          <w:trHeight w:val="9131" w:hRule="atLeast"/>
        </w:trPr>
        <w:tc>
          <w:tcPr>
            <w:tcW w:w="3444" w:type="dxa"/>
            <w:shd w:val="clear" w:color="auto" w:fill="D0E4CA"/>
          </w:tcPr>
          <w:p>
            <w:pPr>
              <w:pStyle w:val="TableParagraph"/>
              <w:rPr>
                <w:rFonts w:ascii="Times New Roman"/>
                <w:sz w:val="22"/>
              </w:rPr>
            </w:pPr>
          </w:p>
        </w:tc>
        <w:tc>
          <w:tcPr>
            <w:tcW w:w="2762" w:type="dxa"/>
            <w:shd w:val="clear" w:color="auto" w:fill="D0E4CA"/>
          </w:tcPr>
          <w:p>
            <w:pPr>
              <w:pStyle w:val="TableParagraph"/>
              <w:ind w:left="107" w:right="155"/>
              <w:rPr>
                <w:sz w:val="22"/>
              </w:rPr>
            </w:pPr>
            <w:r>
              <w:rPr>
                <w:sz w:val="22"/>
              </w:rPr>
              <w:t>regulations regarding the behavioral health crisis bed diversion settings and determined that those laws are in alignment with the HCBS setting requirements.</w:t>
            </w:r>
          </w:p>
        </w:tc>
        <w:tc>
          <w:tcPr>
            <w:tcW w:w="1408" w:type="dxa"/>
            <w:shd w:val="clear" w:color="auto" w:fill="D0E4CA"/>
          </w:tcPr>
          <w:p>
            <w:pPr>
              <w:pStyle w:val="TableParagraph"/>
              <w:rPr>
                <w:rFonts w:ascii="Times New Roman"/>
                <w:sz w:val="22"/>
              </w:rPr>
            </w:pPr>
          </w:p>
        </w:tc>
        <w:tc>
          <w:tcPr>
            <w:tcW w:w="2834" w:type="dxa"/>
            <w:shd w:val="clear" w:color="auto" w:fill="D0E4CA"/>
          </w:tcPr>
          <w:p>
            <w:pPr>
              <w:pStyle w:val="TableParagraph"/>
              <w:ind w:left="109" w:right="429"/>
              <w:rPr>
                <w:sz w:val="22"/>
              </w:rPr>
            </w:pPr>
            <w:r>
              <w:rPr>
                <w:sz w:val="22"/>
              </w:rPr>
              <w:t>conducts client record reviews to ensure service providers’ compliance.</w:t>
            </w:r>
          </w:p>
          <w:p>
            <w:pPr>
              <w:pStyle w:val="TableParagraph"/>
              <w:rPr>
                <w:b/>
                <w:sz w:val="22"/>
              </w:rPr>
            </w:pPr>
          </w:p>
          <w:p>
            <w:pPr>
              <w:pStyle w:val="TableParagraph"/>
              <w:ind w:left="109" w:right="77"/>
              <w:rPr>
                <w:sz w:val="22"/>
              </w:rPr>
            </w:pPr>
            <w:r>
              <w:rPr>
                <w:sz w:val="22"/>
              </w:rPr>
              <w:t>The state certification process includes a determination of whether providers are adhering to the Individual Instruction &amp; Support Plan (IISP).</w:t>
            </w:r>
          </w:p>
          <w:p>
            <w:pPr>
              <w:pStyle w:val="TableParagraph"/>
              <w:ind w:left="109" w:right="110"/>
              <w:rPr>
                <w:sz w:val="22"/>
              </w:rPr>
            </w:pPr>
            <w:r>
              <w:rPr>
                <w:sz w:val="22"/>
              </w:rPr>
              <w:t>While completing regular certification evaluations and complaint investigations, the CCRSS provider is evaluated to ensure quality of supports and services and client rights are being protected.</w:t>
            </w:r>
          </w:p>
          <w:p>
            <w:pPr>
              <w:pStyle w:val="TableParagraph"/>
              <w:ind w:left="109" w:right="151"/>
              <w:rPr>
                <w:sz w:val="22"/>
              </w:rPr>
            </w:pPr>
            <w:r>
              <w:rPr>
                <w:sz w:val="22"/>
              </w:rPr>
              <w:t>In addition to the RCS monitoring activities, DDA has taken the following steps: 1) Increasing DDA’s QA system with the addition of a Residential Quality Assurance Unit which includes three Residential Specialists to develop and share best practices; 2) A training Program Manager has been hired to develop a 70 hour training program to be implemented for all residential staff beginning January 2016; 3) DDA has</w:t>
            </w:r>
          </w:p>
          <w:p>
            <w:pPr>
              <w:pStyle w:val="TableParagraph"/>
              <w:spacing w:line="249" w:lineRule="exact"/>
              <w:ind w:left="109"/>
              <w:rPr>
                <w:sz w:val="22"/>
              </w:rPr>
            </w:pPr>
            <w:r>
              <w:rPr>
                <w:sz w:val="22"/>
              </w:rPr>
              <w:t>added a quality assurance</w:t>
            </w:r>
          </w:p>
        </w:tc>
        <w:tc>
          <w:tcPr>
            <w:tcW w:w="2500" w:type="dxa"/>
            <w:shd w:val="clear" w:color="auto" w:fill="D0E4CA"/>
          </w:tcPr>
          <w:p>
            <w:pPr>
              <w:pStyle w:val="TableParagraph"/>
              <w:rPr>
                <w:rFonts w:ascii="Times New Roman"/>
                <w:sz w:val="22"/>
              </w:rPr>
            </w:pPr>
          </w:p>
        </w:tc>
      </w:tr>
    </w:tbl>
    <w:p>
      <w:pPr>
        <w:pStyle w:val="BodyText"/>
        <w:rPr>
          <w:b/>
          <w:sz w:val="6"/>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4"/>
        <w:gridCol w:w="2762"/>
        <w:gridCol w:w="1408"/>
        <w:gridCol w:w="2834"/>
        <w:gridCol w:w="2500"/>
      </w:tblGrid>
      <w:tr>
        <w:trPr>
          <w:trHeight w:val="4297" w:hRule="atLeast"/>
        </w:trPr>
        <w:tc>
          <w:tcPr>
            <w:tcW w:w="3444" w:type="dxa"/>
            <w:shd w:val="clear" w:color="auto" w:fill="D0E4CA"/>
          </w:tcPr>
          <w:p>
            <w:pPr>
              <w:pStyle w:val="TableParagraph"/>
              <w:rPr>
                <w:rFonts w:ascii="Times New Roman"/>
                <w:sz w:val="22"/>
              </w:rPr>
            </w:pPr>
          </w:p>
        </w:tc>
        <w:tc>
          <w:tcPr>
            <w:tcW w:w="2762" w:type="dxa"/>
            <w:shd w:val="clear" w:color="auto" w:fill="D0E4CA"/>
          </w:tcPr>
          <w:p>
            <w:pPr>
              <w:pStyle w:val="TableParagraph"/>
              <w:rPr>
                <w:rFonts w:ascii="Times New Roman"/>
                <w:sz w:val="22"/>
              </w:rPr>
            </w:pPr>
          </w:p>
        </w:tc>
        <w:tc>
          <w:tcPr>
            <w:tcW w:w="1408" w:type="dxa"/>
            <w:shd w:val="clear" w:color="auto" w:fill="D0E4CA"/>
          </w:tcPr>
          <w:p>
            <w:pPr>
              <w:pStyle w:val="TableParagraph"/>
              <w:rPr>
                <w:rFonts w:ascii="Times New Roman"/>
                <w:sz w:val="22"/>
              </w:rPr>
            </w:pPr>
          </w:p>
        </w:tc>
        <w:tc>
          <w:tcPr>
            <w:tcW w:w="2834" w:type="dxa"/>
            <w:shd w:val="clear" w:color="auto" w:fill="D0E4CA"/>
          </w:tcPr>
          <w:p>
            <w:pPr>
              <w:pStyle w:val="TableParagraph"/>
              <w:ind w:left="109" w:right="163"/>
              <w:rPr>
                <w:sz w:val="22"/>
              </w:rPr>
            </w:pPr>
            <w:r>
              <w:rPr>
                <w:sz w:val="22"/>
              </w:rPr>
              <w:t>researcher to review and analyze agency ISPs to assist agencies to increase quality of goal writing and data tracking; 4) DDA has also hired an auditor to ensure each client is receiving the ISS hours identified in their ISP and that client funds are expended</w:t>
            </w:r>
            <w:r>
              <w:rPr>
                <w:spacing w:val="-1"/>
                <w:sz w:val="22"/>
              </w:rPr>
              <w:t> </w:t>
            </w:r>
            <w:r>
              <w:rPr>
                <w:sz w:val="22"/>
              </w:rPr>
              <w:t>correctly.</w:t>
            </w:r>
          </w:p>
          <w:p>
            <w:pPr>
              <w:pStyle w:val="TableParagraph"/>
              <w:spacing w:before="10"/>
              <w:rPr>
                <w:b/>
                <w:sz w:val="21"/>
              </w:rPr>
            </w:pPr>
          </w:p>
          <w:p>
            <w:pPr>
              <w:pStyle w:val="TableParagraph"/>
              <w:spacing w:line="270" w:lineRule="atLeast"/>
              <w:ind w:left="109" w:right="107"/>
              <w:rPr>
                <w:sz w:val="22"/>
              </w:rPr>
            </w:pPr>
            <w:r>
              <w:rPr>
                <w:sz w:val="22"/>
              </w:rPr>
              <w:t>On-site inspections ensure homes meet all licensing and certification requirements in WAC and RCW, including </w:t>
            </w:r>
            <w:r>
              <w:rPr>
                <w:color w:val="396230"/>
                <w:sz w:val="22"/>
              </w:rPr>
              <w:t>WAC</w:t>
            </w:r>
            <w:r>
              <w:rPr>
                <w:color w:val="396230"/>
                <w:spacing w:val="-1"/>
                <w:sz w:val="22"/>
              </w:rPr>
              <w:t> </w:t>
            </w:r>
            <w:r>
              <w:rPr>
                <w:color w:val="396230"/>
                <w:sz w:val="22"/>
              </w:rPr>
              <w:t>388-823-1095.</w:t>
            </w:r>
          </w:p>
        </w:tc>
        <w:tc>
          <w:tcPr>
            <w:tcW w:w="2500" w:type="dxa"/>
            <w:shd w:val="clear" w:color="auto" w:fill="D0E4CA"/>
          </w:tcPr>
          <w:p>
            <w:pPr>
              <w:pStyle w:val="TableParagraph"/>
              <w:rPr>
                <w:rFonts w:ascii="Times New Roman"/>
                <w:sz w:val="22"/>
              </w:rPr>
            </w:pPr>
          </w:p>
        </w:tc>
      </w:tr>
      <w:tr>
        <w:trPr>
          <w:trHeight w:val="4829" w:hRule="atLeast"/>
        </w:trPr>
        <w:tc>
          <w:tcPr>
            <w:tcW w:w="3444" w:type="dxa"/>
          </w:tcPr>
          <w:p>
            <w:pPr>
              <w:pStyle w:val="TableParagraph"/>
              <w:ind w:left="107" w:right="240"/>
              <w:rPr>
                <w:b/>
                <w:sz w:val="22"/>
              </w:rPr>
            </w:pPr>
            <w:r>
              <w:rPr>
                <w:b/>
                <w:sz w:val="22"/>
              </w:rPr>
              <w:t>The setting is selected by the individual from among setting options including non-disability specific settings and an option for a private unit in a residential setting. The setting options are identified and documented in the person-centered service plan and are based on the individual’s needs, preferences, and, for residential settings, the resources available for room and board.</w:t>
            </w:r>
          </w:p>
        </w:tc>
        <w:tc>
          <w:tcPr>
            <w:tcW w:w="2762" w:type="dxa"/>
          </w:tcPr>
          <w:p>
            <w:pPr>
              <w:pStyle w:val="TableParagraph"/>
              <w:ind w:left="107" w:right="117"/>
              <w:rPr>
                <w:sz w:val="22"/>
              </w:rPr>
            </w:pPr>
            <w:r>
              <w:rPr>
                <w:sz w:val="22"/>
              </w:rPr>
              <w:t>During the assessment process, it is the case manager’s responsibility to inform individuals of their options regarding settings and providers. Participants report via the Assessment Meeting Wrap–up and the Assessment Meeting Survey that they are informed of their options regarding services and</w:t>
            </w:r>
            <w:r>
              <w:rPr>
                <w:spacing w:val="-3"/>
                <w:sz w:val="22"/>
              </w:rPr>
              <w:t> </w:t>
            </w:r>
            <w:r>
              <w:rPr>
                <w:sz w:val="22"/>
              </w:rPr>
              <w:t>providers.</w:t>
            </w:r>
          </w:p>
          <w:p>
            <w:pPr>
              <w:pStyle w:val="TableParagraph"/>
              <w:spacing w:before="5"/>
              <w:rPr>
                <w:b/>
                <w:sz w:val="21"/>
              </w:rPr>
            </w:pPr>
          </w:p>
          <w:p>
            <w:pPr>
              <w:pStyle w:val="TableParagraph"/>
              <w:ind w:left="107"/>
              <w:rPr>
                <w:sz w:val="22"/>
              </w:rPr>
            </w:pPr>
            <w:hyperlink r:id="rId23">
              <w:r>
                <w:rPr>
                  <w:color w:val="6B9F24"/>
                  <w:sz w:val="22"/>
                  <w:u w:val="single" w:color="6B9F24"/>
                </w:rPr>
                <w:t>WAC 388-823-1095</w:t>
              </w:r>
              <w:r>
                <w:rPr>
                  <w:color w:val="6B9F24"/>
                  <w:spacing w:val="-8"/>
                  <w:sz w:val="22"/>
                </w:rPr>
                <w:t> </w:t>
              </w:r>
            </w:hyperlink>
            <w:r>
              <w:rPr>
                <w:sz w:val="22"/>
              </w:rPr>
              <w:t>my</w:t>
            </w:r>
          </w:p>
          <w:p>
            <w:pPr>
              <w:pStyle w:val="TableParagraph"/>
              <w:spacing w:before="1"/>
              <w:ind w:left="107"/>
              <w:rPr>
                <w:sz w:val="22"/>
              </w:rPr>
            </w:pPr>
            <w:r>
              <w:rPr>
                <w:sz w:val="22"/>
              </w:rPr>
              <w:t>rights as a DDA client</w:t>
            </w:r>
          </w:p>
          <w:p>
            <w:pPr>
              <w:pStyle w:val="TableParagraph"/>
              <w:spacing w:before="11"/>
              <w:rPr>
                <w:b/>
                <w:sz w:val="21"/>
              </w:rPr>
            </w:pPr>
          </w:p>
          <w:p>
            <w:pPr>
              <w:pStyle w:val="TableParagraph"/>
              <w:spacing w:line="270" w:lineRule="atLeast"/>
              <w:ind w:left="107" w:right="177"/>
              <w:rPr>
                <w:sz w:val="22"/>
              </w:rPr>
            </w:pPr>
            <w:r>
              <w:rPr>
                <w:sz w:val="22"/>
              </w:rPr>
              <w:t>Residential Guidelines and behavioral health crisis bed</w:t>
            </w:r>
          </w:p>
        </w:tc>
        <w:tc>
          <w:tcPr>
            <w:tcW w:w="1408" w:type="dxa"/>
          </w:tcPr>
          <w:p>
            <w:pPr>
              <w:pStyle w:val="TableParagraph"/>
              <w:spacing w:line="237" w:lineRule="auto"/>
              <w:ind w:left="108" w:right="349"/>
              <w:rPr>
                <w:sz w:val="22"/>
              </w:rPr>
            </w:pPr>
            <w:r>
              <w:rPr>
                <w:sz w:val="22"/>
              </w:rPr>
              <w:t>Partially Compliant</w:t>
            </w:r>
          </w:p>
        </w:tc>
        <w:tc>
          <w:tcPr>
            <w:tcW w:w="2834" w:type="dxa"/>
          </w:tcPr>
          <w:p>
            <w:pPr>
              <w:pStyle w:val="TableParagraph"/>
              <w:ind w:left="109" w:right="156"/>
              <w:rPr>
                <w:sz w:val="22"/>
              </w:rPr>
            </w:pPr>
            <w:r>
              <w:rPr>
                <w:sz w:val="22"/>
              </w:rPr>
              <w:t>As part of the certification and complaint investigation process described in the overview, Residential Care Services (RCS) Contracted Evaluators and RCS Investigators conduct client observations, client and collateral interviews, service provider and staff interviews. RCS contracted evaluators and RCS Investigators also reviews clients’ finances and conducts client record reviews to ensure service providers’ compliance.</w:t>
            </w:r>
          </w:p>
        </w:tc>
        <w:tc>
          <w:tcPr>
            <w:tcW w:w="2500" w:type="dxa"/>
          </w:tcPr>
          <w:p>
            <w:pPr>
              <w:pStyle w:val="TableParagraph"/>
              <w:ind w:left="109" w:right="163"/>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w:t>
            </w:r>
            <w:r>
              <w:rPr>
                <w:color w:val="396230"/>
                <w:sz w:val="22"/>
              </w:rPr>
              <w:t>and adding language to the contracts requiring adherence to the WAC</w:t>
            </w:r>
            <w:r>
              <w:rPr>
                <w:sz w:val="22"/>
              </w:rPr>
              <w:t>. See </w:t>
            </w:r>
            <w:r>
              <w:rPr>
                <w:color w:val="6B9F24"/>
                <w:sz w:val="22"/>
                <w:u w:val="single" w:color="6B9F24"/>
              </w:rPr>
              <w:t>Appendix C</w:t>
            </w:r>
            <w:r>
              <w:rPr>
                <w:color w:val="396230"/>
                <w:sz w:val="22"/>
              </w:rPr>
              <w:t>.</w:t>
            </w:r>
          </w:p>
        </w:tc>
      </w:tr>
    </w:tbl>
    <w:p>
      <w:pPr>
        <w:pStyle w:val="BodyText"/>
        <w:spacing w:before="3"/>
        <w:rPr>
          <w:b/>
          <w:sz w:val="5"/>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rect style="position:absolute;margin-left:339.839996pt;margin-top:193.080002pt;width:2.52pt;height:.72pt;mso-position-horizontal-relative:page;mso-position-vertical-relative:page;z-index:-271173632" filled="true" fillcolor="#000000" stroked="false">
            <v:fill type="solid"/>
            <w10:wrap type="none"/>
          </v:rect>
        </w:pict>
      </w:r>
      <w:r>
        <w:rPr/>
        <w:pict>
          <v:rect style="position:absolute;margin-left:339.839996pt;margin-top:502.320007pt;width:2.52pt;height:.72pt;mso-position-horizontal-relative:page;mso-position-vertical-relative:page;z-index:-271172608" filled="true" fillcolor="#000000" stroked="false">
            <v:fill type="solid"/>
            <w10:wrap type="none"/>
          </v:rect>
        </w:pict>
      </w:r>
      <w:r>
        <w:rPr/>
        <w:pict>
          <v:rect style="position:absolute;margin-left:319.200012pt;margin-top:515.76001pt;width:2.64pt;height:.72pt;mso-position-horizontal-relative:page;mso-position-vertical-relative:page;z-index:-271171584" filled="true" fillcolor="#000000" stroked="false">
            <v:fill type="solid"/>
            <w10:wrap type="none"/>
          </v:rect>
        </w:pict>
      </w: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4"/>
        <w:gridCol w:w="2762"/>
        <w:gridCol w:w="1408"/>
        <w:gridCol w:w="2834"/>
        <w:gridCol w:w="2500"/>
      </w:tblGrid>
      <w:tr>
        <w:trPr>
          <w:trHeight w:val="1343" w:hRule="atLeast"/>
        </w:trPr>
        <w:tc>
          <w:tcPr>
            <w:tcW w:w="3444" w:type="dxa"/>
          </w:tcPr>
          <w:p>
            <w:pPr>
              <w:pStyle w:val="TableParagraph"/>
              <w:rPr>
                <w:rFonts w:ascii="Times New Roman"/>
                <w:sz w:val="22"/>
              </w:rPr>
            </w:pPr>
          </w:p>
        </w:tc>
        <w:tc>
          <w:tcPr>
            <w:tcW w:w="2762" w:type="dxa"/>
          </w:tcPr>
          <w:p>
            <w:pPr>
              <w:pStyle w:val="TableParagraph"/>
              <w:ind w:left="107" w:right="226"/>
              <w:jc w:val="both"/>
              <w:rPr>
                <w:sz w:val="22"/>
              </w:rPr>
            </w:pPr>
            <w:r>
              <w:rPr>
                <w:sz w:val="22"/>
              </w:rPr>
              <w:t>diversion services provider contracts inform and guide the provision of services.</w:t>
            </w:r>
          </w:p>
        </w:tc>
        <w:tc>
          <w:tcPr>
            <w:tcW w:w="1408" w:type="dxa"/>
          </w:tcPr>
          <w:p>
            <w:pPr>
              <w:pStyle w:val="TableParagraph"/>
              <w:rPr>
                <w:rFonts w:ascii="Times New Roman"/>
                <w:sz w:val="22"/>
              </w:rPr>
            </w:pPr>
          </w:p>
        </w:tc>
        <w:tc>
          <w:tcPr>
            <w:tcW w:w="2834" w:type="dxa"/>
          </w:tcPr>
          <w:p>
            <w:pPr>
              <w:pStyle w:val="TableParagraph"/>
              <w:ind w:left="108" w:right="108"/>
              <w:rPr>
                <w:sz w:val="22"/>
              </w:rPr>
            </w:pPr>
            <w:r>
              <w:rPr>
                <w:sz w:val="22"/>
              </w:rPr>
              <w:t>On-site inspections ensure homes meet all licensing and certification requirements in WAC and RCW, including</w:t>
            </w:r>
          </w:p>
          <w:p>
            <w:pPr>
              <w:pStyle w:val="TableParagraph"/>
              <w:spacing w:line="249" w:lineRule="exact"/>
              <w:ind w:left="109"/>
              <w:rPr>
                <w:sz w:val="22"/>
              </w:rPr>
            </w:pPr>
            <w:r>
              <w:rPr>
                <w:color w:val="396230"/>
                <w:sz w:val="22"/>
              </w:rPr>
              <w:t>WAC 388-823-1095.</w:t>
            </w:r>
          </w:p>
        </w:tc>
        <w:tc>
          <w:tcPr>
            <w:tcW w:w="2500" w:type="dxa"/>
          </w:tcPr>
          <w:p>
            <w:pPr>
              <w:pStyle w:val="TableParagraph"/>
              <w:rPr>
                <w:rFonts w:ascii="Times New Roman"/>
                <w:sz w:val="22"/>
              </w:rPr>
            </w:pPr>
          </w:p>
        </w:tc>
      </w:tr>
      <w:tr>
        <w:trPr>
          <w:trHeight w:val="4718" w:hRule="atLeast"/>
        </w:trPr>
        <w:tc>
          <w:tcPr>
            <w:tcW w:w="3444" w:type="dxa"/>
            <w:tcBorders>
              <w:bottom w:val="nil"/>
            </w:tcBorders>
            <w:shd w:val="clear" w:color="auto" w:fill="D0E4CA"/>
          </w:tcPr>
          <w:p>
            <w:pPr>
              <w:pStyle w:val="TableParagraph"/>
              <w:ind w:left="107" w:right="259"/>
              <w:rPr>
                <w:b/>
                <w:sz w:val="22"/>
              </w:rPr>
            </w:pPr>
            <w:r>
              <w:rPr>
                <w:b/>
                <w:sz w:val="22"/>
              </w:rPr>
              <w:t>An individual’s essential personal rights of privacy, dignity and respect, and freedom from coercion and restraint are protected.</w:t>
            </w:r>
          </w:p>
        </w:tc>
        <w:tc>
          <w:tcPr>
            <w:tcW w:w="2762" w:type="dxa"/>
            <w:tcBorders>
              <w:bottom w:val="nil"/>
            </w:tcBorders>
            <w:shd w:val="clear" w:color="auto" w:fill="D0E4CA"/>
          </w:tcPr>
          <w:p>
            <w:pPr>
              <w:pStyle w:val="TableParagraph"/>
              <w:ind w:left="107" w:right="131"/>
              <w:rPr>
                <w:sz w:val="22"/>
              </w:rPr>
            </w:pPr>
            <w:r>
              <w:rPr>
                <w:sz w:val="22"/>
              </w:rPr>
              <w:t>Protection of rights is enforced through </w:t>
            </w:r>
            <w:hyperlink r:id="rId25">
              <w:r>
                <w:rPr>
                  <w:color w:val="6B9F24"/>
                  <w:sz w:val="22"/>
                  <w:u w:val="single" w:color="6B9F24"/>
                </w:rPr>
                <w:t>WAC 388-</w:t>
              </w:r>
            </w:hyperlink>
            <w:r>
              <w:rPr>
                <w:color w:val="6B9F24"/>
                <w:sz w:val="22"/>
              </w:rPr>
              <w:t> </w:t>
            </w:r>
            <w:hyperlink r:id="rId25">
              <w:r>
                <w:rPr>
                  <w:color w:val="6B9F24"/>
                  <w:sz w:val="22"/>
                  <w:u w:val="single" w:color="6B9F24"/>
                </w:rPr>
                <w:t>101D-0125</w:t>
              </w:r>
            </w:hyperlink>
            <w:r>
              <w:rPr>
                <w:color w:val="6B9F24"/>
                <w:sz w:val="22"/>
              </w:rPr>
              <w:t> </w:t>
            </w:r>
            <w:r>
              <w:rPr>
                <w:sz w:val="22"/>
              </w:rPr>
              <w:t>through </w:t>
            </w:r>
            <w:hyperlink r:id="rId29">
              <w:r>
                <w:rPr>
                  <w:color w:val="6B9F24"/>
                  <w:sz w:val="22"/>
                  <w:u w:val="single" w:color="6B9F24"/>
                </w:rPr>
                <w:t>WAC</w:t>
              </w:r>
            </w:hyperlink>
            <w:r>
              <w:rPr>
                <w:color w:val="6B9F24"/>
                <w:sz w:val="22"/>
              </w:rPr>
              <w:t> </w:t>
            </w:r>
            <w:hyperlink r:id="rId29">
              <w:r>
                <w:rPr>
                  <w:color w:val="6B9F24"/>
                  <w:sz w:val="22"/>
                  <w:u w:val="single" w:color="6B9F24"/>
                </w:rPr>
                <w:t>388-101D-0145</w:t>
              </w:r>
              <w:r>
                <w:rPr>
                  <w:color w:val="396230"/>
                  <w:sz w:val="22"/>
                </w:rPr>
                <w:t>.</w:t>
              </w:r>
            </w:hyperlink>
          </w:p>
        </w:tc>
        <w:tc>
          <w:tcPr>
            <w:tcW w:w="1408" w:type="dxa"/>
            <w:tcBorders>
              <w:bottom w:val="nil"/>
            </w:tcBorders>
            <w:shd w:val="clear" w:color="auto" w:fill="D0E4CA"/>
          </w:tcPr>
          <w:p>
            <w:pPr>
              <w:pStyle w:val="TableParagraph"/>
              <w:ind w:left="108" w:right="349"/>
              <w:rPr>
                <w:sz w:val="22"/>
              </w:rPr>
            </w:pPr>
            <w:r>
              <w:rPr>
                <w:sz w:val="22"/>
              </w:rPr>
              <w:t>Fully Compliant</w:t>
            </w:r>
          </w:p>
        </w:tc>
        <w:tc>
          <w:tcPr>
            <w:tcW w:w="2834" w:type="dxa"/>
            <w:tcBorders>
              <w:bottom w:val="nil"/>
            </w:tcBorders>
            <w:shd w:val="clear" w:color="auto" w:fill="D0E4CA"/>
          </w:tcPr>
          <w:p>
            <w:pPr>
              <w:pStyle w:val="TableParagraph"/>
              <w:ind w:left="109" w:right="156"/>
              <w:rPr>
                <w:sz w:val="22"/>
              </w:rPr>
            </w:pPr>
            <w:r>
              <w:rPr>
                <w:sz w:val="22"/>
              </w:rPr>
              <w:t>As part of the certification and complaint investigation process described in the overview, Residential Care Services (RCS) Contracted Evaluators and RCS Investigators conduct client observations, client and collateral interviews, service provider and staff interviews. RCS contracted evaluators and RCS Investigators also reviews clients’ finances and conducts client record reviews to ensure service providers’ compliance.</w:t>
            </w:r>
          </w:p>
        </w:tc>
        <w:tc>
          <w:tcPr>
            <w:tcW w:w="2500" w:type="dxa"/>
            <w:tcBorders>
              <w:bottom w:val="nil"/>
            </w:tcBorders>
            <w:shd w:val="clear" w:color="auto" w:fill="D0E4CA"/>
          </w:tcPr>
          <w:p>
            <w:pPr>
              <w:pStyle w:val="TableParagraph"/>
              <w:ind w:left="109" w:right="163"/>
              <w:rPr>
                <w:sz w:val="22"/>
              </w:rPr>
            </w:pPr>
            <w:r>
              <w:rPr>
                <w:color w:val="396230"/>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color w:val="396230"/>
                <w:sz w:val="22"/>
              </w:rPr>
              <w:t>to include all rights listed in the HCBS rules and adding language to the contracts requiring adherence to the WAC. See </w:t>
            </w:r>
            <w:r>
              <w:rPr>
                <w:color w:val="6B9F24"/>
                <w:sz w:val="22"/>
                <w:u w:val="single" w:color="6B9F24"/>
              </w:rPr>
              <w:t>Appendix C</w:t>
            </w:r>
            <w:r>
              <w:rPr>
                <w:color w:val="396230"/>
                <w:sz w:val="22"/>
              </w:rPr>
              <w:t>.</w:t>
            </w:r>
          </w:p>
        </w:tc>
      </w:tr>
      <w:tr>
        <w:trPr>
          <w:trHeight w:val="1456" w:hRule="atLeast"/>
        </w:trPr>
        <w:tc>
          <w:tcPr>
            <w:tcW w:w="3444" w:type="dxa"/>
            <w:tcBorders>
              <w:top w:val="nil"/>
            </w:tcBorders>
            <w:shd w:val="clear" w:color="auto" w:fill="D0E4CA"/>
          </w:tcPr>
          <w:p>
            <w:pPr>
              <w:pStyle w:val="TableParagraph"/>
              <w:rPr>
                <w:rFonts w:ascii="Times New Roman"/>
                <w:sz w:val="22"/>
              </w:rPr>
            </w:pPr>
          </w:p>
        </w:tc>
        <w:tc>
          <w:tcPr>
            <w:tcW w:w="2762" w:type="dxa"/>
            <w:tcBorders>
              <w:top w:val="nil"/>
            </w:tcBorders>
            <w:shd w:val="clear" w:color="auto" w:fill="D0E4CA"/>
          </w:tcPr>
          <w:p>
            <w:pPr>
              <w:pStyle w:val="TableParagraph"/>
              <w:rPr>
                <w:rFonts w:ascii="Times New Roman"/>
                <w:sz w:val="22"/>
              </w:rPr>
            </w:pPr>
          </w:p>
        </w:tc>
        <w:tc>
          <w:tcPr>
            <w:tcW w:w="1408" w:type="dxa"/>
            <w:tcBorders>
              <w:top w:val="nil"/>
            </w:tcBorders>
            <w:shd w:val="clear" w:color="auto" w:fill="D0E4CA"/>
          </w:tcPr>
          <w:p>
            <w:pPr>
              <w:pStyle w:val="TableParagraph"/>
              <w:rPr>
                <w:rFonts w:ascii="Times New Roman"/>
                <w:sz w:val="22"/>
              </w:rPr>
            </w:pPr>
          </w:p>
        </w:tc>
        <w:tc>
          <w:tcPr>
            <w:tcW w:w="2834" w:type="dxa"/>
            <w:tcBorders>
              <w:top w:val="nil"/>
            </w:tcBorders>
            <w:shd w:val="clear" w:color="auto" w:fill="D0E4CA"/>
          </w:tcPr>
          <w:p>
            <w:pPr>
              <w:pStyle w:val="TableParagraph"/>
              <w:spacing w:before="114"/>
              <w:ind w:left="109" w:right="107"/>
              <w:rPr>
                <w:sz w:val="22"/>
              </w:rPr>
            </w:pPr>
            <w:r>
              <w:rPr>
                <w:sz w:val="22"/>
              </w:rPr>
              <w:t>On-site inspections ensure homes meet all licensing and certification requirements in WAC and RCW, including</w:t>
            </w:r>
          </w:p>
          <w:p>
            <w:pPr>
              <w:pStyle w:val="TableParagraph"/>
              <w:spacing w:line="248" w:lineRule="exact"/>
              <w:ind w:left="109"/>
              <w:rPr>
                <w:sz w:val="22"/>
              </w:rPr>
            </w:pPr>
            <w:r>
              <w:rPr>
                <w:color w:val="396230"/>
                <w:sz w:val="22"/>
              </w:rPr>
              <w:t>WAC 388-823-1095.</w:t>
            </w:r>
          </w:p>
        </w:tc>
        <w:tc>
          <w:tcPr>
            <w:tcW w:w="2500" w:type="dxa"/>
            <w:tcBorders>
              <w:top w:val="nil"/>
            </w:tcBorders>
            <w:shd w:val="clear" w:color="auto" w:fill="D0E4CA"/>
          </w:tcPr>
          <w:p>
            <w:pPr>
              <w:pStyle w:val="TableParagraph"/>
              <w:rPr>
                <w:rFonts w:ascii="Times New Roman"/>
                <w:sz w:val="22"/>
              </w:rPr>
            </w:pPr>
          </w:p>
        </w:tc>
      </w:tr>
      <w:tr>
        <w:trPr>
          <w:trHeight w:val="284" w:hRule="atLeast"/>
        </w:trPr>
        <w:tc>
          <w:tcPr>
            <w:tcW w:w="3444" w:type="dxa"/>
            <w:tcBorders>
              <w:bottom w:val="nil"/>
            </w:tcBorders>
          </w:tcPr>
          <w:p>
            <w:pPr>
              <w:pStyle w:val="TableParagraph"/>
              <w:spacing w:line="262" w:lineRule="exact" w:before="1"/>
              <w:ind w:left="107"/>
              <w:rPr>
                <w:b/>
                <w:sz w:val="22"/>
              </w:rPr>
            </w:pPr>
            <w:r>
              <w:rPr>
                <w:b/>
                <w:sz w:val="22"/>
              </w:rPr>
              <w:t>Individual initiative, autonomy,</w:t>
            </w:r>
          </w:p>
        </w:tc>
        <w:tc>
          <w:tcPr>
            <w:tcW w:w="2762" w:type="dxa"/>
            <w:tcBorders>
              <w:bottom w:val="nil"/>
            </w:tcBorders>
          </w:tcPr>
          <w:p>
            <w:pPr>
              <w:pStyle w:val="TableParagraph"/>
              <w:spacing w:line="262" w:lineRule="exact" w:before="1"/>
              <w:ind w:left="107"/>
              <w:rPr>
                <w:sz w:val="22"/>
              </w:rPr>
            </w:pPr>
            <w:r>
              <w:rPr>
                <w:sz w:val="22"/>
              </w:rPr>
              <w:t>Protection of rights is</w:t>
            </w:r>
          </w:p>
        </w:tc>
        <w:tc>
          <w:tcPr>
            <w:tcW w:w="1408" w:type="dxa"/>
            <w:tcBorders>
              <w:bottom w:val="nil"/>
            </w:tcBorders>
          </w:tcPr>
          <w:p>
            <w:pPr>
              <w:pStyle w:val="TableParagraph"/>
              <w:spacing w:line="262" w:lineRule="exact" w:before="1"/>
              <w:ind w:left="108"/>
              <w:rPr>
                <w:sz w:val="22"/>
              </w:rPr>
            </w:pPr>
            <w:r>
              <w:rPr>
                <w:sz w:val="22"/>
              </w:rPr>
              <w:t>Fully</w:t>
            </w:r>
          </w:p>
        </w:tc>
        <w:tc>
          <w:tcPr>
            <w:tcW w:w="2834" w:type="dxa"/>
            <w:vMerge w:val="restart"/>
          </w:tcPr>
          <w:p>
            <w:pPr>
              <w:pStyle w:val="TableParagraph"/>
              <w:spacing w:before="1"/>
              <w:ind w:left="109" w:right="213" w:firstLine="50"/>
              <w:rPr>
                <w:sz w:val="22"/>
              </w:rPr>
            </w:pPr>
            <w:r>
              <w:rPr>
                <w:sz w:val="22"/>
              </w:rPr>
              <w:t>As part of the certification and complaint investigation process described in the overview, Residential Care Services (RCS) Contracted</w:t>
            </w:r>
          </w:p>
          <w:p>
            <w:pPr>
              <w:pStyle w:val="TableParagraph"/>
              <w:spacing w:line="248" w:lineRule="exact"/>
              <w:ind w:left="109"/>
              <w:rPr>
                <w:sz w:val="22"/>
              </w:rPr>
            </w:pPr>
            <w:r>
              <w:rPr>
                <w:sz w:val="22"/>
              </w:rPr>
              <w:t>Evaluators and RCS</w:t>
            </w:r>
          </w:p>
        </w:tc>
        <w:tc>
          <w:tcPr>
            <w:tcW w:w="2500" w:type="dxa"/>
            <w:tcBorders>
              <w:bottom w:val="nil"/>
            </w:tcBorders>
          </w:tcPr>
          <w:p>
            <w:pPr>
              <w:pStyle w:val="TableParagraph"/>
              <w:spacing w:line="262" w:lineRule="exact" w:before="1"/>
              <w:ind w:left="109"/>
              <w:rPr>
                <w:sz w:val="22"/>
              </w:rPr>
            </w:pPr>
            <w:r>
              <w:rPr>
                <w:color w:val="396230"/>
                <w:sz w:val="22"/>
              </w:rPr>
              <w:t>Revising </w:t>
            </w:r>
            <w:hyperlink r:id="rId23">
              <w:r>
                <w:rPr>
                  <w:color w:val="6B9F24"/>
                  <w:sz w:val="22"/>
                  <w:u w:val="single" w:color="6B9F24"/>
                </w:rPr>
                <w:t>WAC 388-823-</w:t>
              </w:r>
            </w:hyperlink>
          </w:p>
        </w:tc>
      </w:tr>
      <w:tr>
        <w:trPr>
          <w:trHeight w:val="257" w:hRule="atLeast"/>
        </w:trPr>
        <w:tc>
          <w:tcPr>
            <w:tcW w:w="3444" w:type="dxa"/>
            <w:tcBorders>
              <w:top w:val="nil"/>
              <w:bottom w:val="nil"/>
            </w:tcBorders>
          </w:tcPr>
          <w:p>
            <w:pPr>
              <w:pStyle w:val="TableParagraph"/>
              <w:spacing w:line="238" w:lineRule="exact"/>
              <w:ind w:left="107"/>
              <w:rPr>
                <w:b/>
                <w:sz w:val="22"/>
              </w:rPr>
            </w:pPr>
            <w:r>
              <w:rPr>
                <w:b/>
                <w:sz w:val="22"/>
              </w:rPr>
              <w:t>and independence in making life</w:t>
            </w:r>
          </w:p>
        </w:tc>
        <w:tc>
          <w:tcPr>
            <w:tcW w:w="2762" w:type="dxa"/>
            <w:tcBorders>
              <w:top w:val="nil"/>
              <w:bottom w:val="nil"/>
            </w:tcBorders>
          </w:tcPr>
          <w:p>
            <w:pPr>
              <w:pStyle w:val="TableParagraph"/>
              <w:spacing w:line="238" w:lineRule="exact"/>
              <w:ind w:left="107"/>
              <w:rPr>
                <w:sz w:val="22"/>
              </w:rPr>
            </w:pPr>
            <w:r>
              <w:rPr>
                <w:sz w:val="22"/>
              </w:rPr>
              <w:t>enforced through </w:t>
            </w:r>
            <w:hyperlink r:id="rId25">
              <w:r>
                <w:rPr>
                  <w:color w:val="6B9F24"/>
                  <w:sz w:val="22"/>
                  <w:u w:val="single" w:color="6B9F24"/>
                </w:rPr>
                <w:t>WAC 388-</w:t>
              </w:r>
            </w:hyperlink>
          </w:p>
        </w:tc>
        <w:tc>
          <w:tcPr>
            <w:tcW w:w="1408" w:type="dxa"/>
            <w:tcBorders>
              <w:top w:val="nil"/>
              <w:bottom w:val="nil"/>
            </w:tcBorders>
          </w:tcPr>
          <w:p>
            <w:pPr>
              <w:pStyle w:val="TableParagraph"/>
              <w:spacing w:line="238" w:lineRule="exact"/>
              <w:ind w:left="108"/>
              <w:rPr>
                <w:sz w:val="22"/>
              </w:rPr>
            </w:pPr>
            <w:r>
              <w:rPr>
                <w:sz w:val="22"/>
              </w:rPr>
              <w:t>Compliant</w:t>
            </w:r>
          </w:p>
        </w:tc>
        <w:tc>
          <w:tcPr>
            <w:tcW w:w="2834" w:type="dxa"/>
            <w:vMerge/>
            <w:tcBorders>
              <w:top w:val="nil"/>
            </w:tcBorders>
          </w:tcPr>
          <w:p>
            <w:pPr>
              <w:rPr>
                <w:sz w:val="2"/>
                <w:szCs w:val="2"/>
              </w:rPr>
            </w:pPr>
          </w:p>
        </w:tc>
        <w:tc>
          <w:tcPr>
            <w:tcW w:w="2500" w:type="dxa"/>
            <w:tcBorders>
              <w:top w:val="nil"/>
              <w:bottom w:val="nil"/>
            </w:tcBorders>
          </w:tcPr>
          <w:p>
            <w:pPr>
              <w:pStyle w:val="TableParagraph"/>
              <w:spacing w:line="238" w:lineRule="exact"/>
              <w:ind w:left="109"/>
              <w:rPr>
                <w:sz w:val="22"/>
              </w:rPr>
            </w:pPr>
            <w:hyperlink r:id="rId23">
              <w:r>
                <w:rPr>
                  <w:color w:val="6B9F24"/>
                  <w:sz w:val="22"/>
                  <w:u w:val="single" w:color="6B9F24"/>
                </w:rPr>
                <w:t>1095</w:t>
              </w:r>
              <w:r>
                <w:rPr>
                  <w:color w:val="6B9F24"/>
                  <w:sz w:val="22"/>
                </w:rPr>
                <w:t> </w:t>
              </w:r>
            </w:hyperlink>
            <w:r>
              <w:rPr>
                <w:color w:val="396230"/>
                <w:sz w:val="22"/>
              </w:rPr>
              <w:t>to include all rights</w:t>
            </w:r>
          </w:p>
        </w:tc>
      </w:tr>
      <w:tr>
        <w:trPr>
          <w:trHeight w:val="258" w:hRule="atLeast"/>
        </w:trPr>
        <w:tc>
          <w:tcPr>
            <w:tcW w:w="3444" w:type="dxa"/>
            <w:tcBorders>
              <w:top w:val="nil"/>
              <w:bottom w:val="nil"/>
            </w:tcBorders>
          </w:tcPr>
          <w:p>
            <w:pPr>
              <w:pStyle w:val="TableParagraph"/>
              <w:spacing w:line="239" w:lineRule="exact"/>
              <w:ind w:left="107"/>
              <w:rPr>
                <w:b/>
                <w:sz w:val="22"/>
              </w:rPr>
            </w:pPr>
            <w:r>
              <w:rPr>
                <w:b/>
                <w:sz w:val="22"/>
              </w:rPr>
              <w:t>choices, including but not limited</w:t>
            </w:r>
          </w:p>
        </w:tc>
        <w:tc>
          <w:tcPr>
            <w:tcW w:w="2762" w:type="dxa"/>
            <w:tcBorders>
              <w:top w:val="nil"/>
              <w:bottom w:val="nil"/>
            </w:tcBorders>
          </w:tcPr>
          <w:p>
            <w:pPr>
              <w:pStyle w:val="TableParagraph"/>
              <w:spacing w:line="239" w:lineRule="exact"/>
              <w:ind w:left="107"/>
              <w:rPr>
                <w:sz w:val="22"/>
              </w:rPr>
            </w:pPr>
            <w:hyperlink r:id="rId25">
              <w:r>
                <w:rPr>
                  <w:color w:val="6B9F24"/>
                  <w:sz w:val="22"/>
                  <w:u w:val="single" w:color="6B9F24"/>
                </w:rPr>
                <w:t>101D-0125</w:t>
              </w:r>
            </w:hyperlink>
            <w:r>
              <w:rPr>
                <w:color w:val="6B9F24"/>
                <w:sz w:val="22"/>
              </w:rPr>
              <w:t> </w:t>
            </w:r>
            <w:r>
              <w:rPr>
                <w:sz w:val="22"/>
              </w:rPr>
              <w:t>through </w:t>
            </w:r>
            <w:hyperlink r:id="rId29">
              <w:r>
                <w:rPr>
                  <w:color w:val="6B9F24"/>
                  <w:sz w:val="22"/>
                  <w:u w:val="single" w:color="6B9F24"/>
                </w:rPr>
                <w:t>WAC</w:t>
              </w:r>
            </w:hyperlink>
          </w:p>
        </w:tc>
        <w:tc>
          <w:tcPr>
            <w:tcW w:w="1408" w:type="dxa"/>
            <w:tcBorders>
              <w:top w:val="nil"/>
              <w:bottom w:val="nil"/>
            </w:tcBorders>
          </w:tcPr>
          <w:p>
            <w:pPr>
              <w:pStyle w:val="TableParagraph"/>
              <w:rPr>
                <w:rFonts w:ascii="Times New Roman"/>
                <w:sz w:val="18"/>
              </w:rPr>
            </w:pPr>
          </w:p>
        </w:tc>
        <w:tc>
          <w:tcPr>
            <w:tcW w:w="2834" w:type="dxa"/>
            <w:vMerge/>
            <w:tcBorders>
              <w:top w:val="nil"/>
            </w:tcBorders>
          </w:tcPr>
          <w:p>
            <w:pPr>
              <w:rPr>
                <w:sz w:val="2"/>
                <w:szCs w:val="2"/>
              </w:rPr>
            </w:pPr>
          </w:p>
        </w:tc>
        <w:tc>
          <w:tcPr>
            <w:tcW w:w="2500" w:type="dxa"/>
            <w:tcBorders>
              <w:top w:val="nil"/>
              <w:bottom w:val="nil"/>
            </w:tcBorders>
          </w:tcPr>
          <w:p>
            <w:pPr>
              <w:pStyle w:val="TableParagraph"/>
              <w:spacing w:line="239" w:lineRule="exact"/>
              <w:ind w:left="109"/>
              <w:rPr>
                <w:sz w:val="22"/>
              </w:rPr>
            </w:pPr>
            <w:r>
              <w:rPr>
                <w:color w:val="396230"/>
                <w:sz w:val="22"/>
              </w:rPr>
              <w:t>listed in the HCBS rules</w:t>
            </w:r>
          </w:p>
        </w:tc>
      </w:tr>
      <w:tr>
        <w:trPr>
          <w:trHeight w:val="258" w:hRule="atLeast"/>
        </w:trPr>
        <w:tc>
          <w:tcPr>
            <w:tcW w:w="3444" w:type="dxa"/>
            <w:tcBorders>
              <w:top w:val="nil"/>
              <w:bottom w:val="nil"/>
            </w:tcBorders>
          </w:tcPr>
          <w:p>
            <w:pPr>
              <w:pStyle w:val="TableParagraph"/>
              <w:spacing w:line="239" w:lineRule="exact"/>
              <w:ind w:left="107"/>
              <w:rPr>
                <w:b/>
                <w:sz w:val="22"/>
              </w:rPr>
            </w:pPr>
            <w:r>
              <w:rPr>
                <w:b/>
                <w:sz w:val="22"/>
              </w:rPr>
              <w:t>to, daily activities, physical</w:t>
            </w:r>
          </w:p>
        </w:tc>
        <w:tc>
          <w:tcPr>
            <w:tcW w:w="2762" w:type="dxa"/>
            <w:tcBorders>
              <w:top w:val="nil"/>
              <w:bottom w:val="nil"/>
            </w:tcBorders>
          </w:tcPr>
          <w:p>
            <w:pPr>
              <w:pStyle w:val="TableParagraph"/>
              <w:spacing w:line="239" w:lineRule="exact"/>
              <w:ind w:left="107"/>
              <w:rPr>
                <w:sz w:val="22"/>
              </w:rPr>
            </w:pPr>
            <w:hyperlink r:id="rId29">
              <w:r>
                <w:rPr>
                  <w:color w:val="6B9F24"/>
                  <w:sz w:val="22"/>
                  <w:u w:val="single" w:color="6B9F24"/>
                </w:rPr>
                <w:t>388-101D-0145</w:t>
              </w:r>
              <w:r>
                <w:rPr>
                  <w:sz w:val="22"/>
                </w:rPr>
                <w:t>.</w:t>
              </w:r>
            </w:hyperlink>
          </w:p>
        </w:tc>
        <w:tc>
          <w:tcPr>
            <w:tcW w:w="1408" w:type="dxa"/>
            <w:tcBorders>
              <w:top w:val="nil"/>
              <w:bottom w:val="nil"/>
            </w:tcBorders>
          </w:tcPr>
          <w:p>
            <w:pPr>
              <w:pStyle w:val="TableParagraph"/>
              <w:rPr>
                <w:rFonts w:ascii="Times New Roman"/>
                <w:sz w:val="18"/>
              </w:rPr>
            </w:pPr>
          </w:p>
        </w:tc>
        <w:tc>
          <w:tcPr>
            <w:tcW w:w="2834" w:type="dxa"/>
            <w:vMerge/>
            <w:tcBorders>
              <w:top w:val="nil"/>
            </w:tcBorders>
          </w:tcPr>
          <w:p>
            <w:pPr>
              <w:rPr>
                <w:sz w:val="2"/>
                <w:szCs w:val="2"/>
              </w:rPr>
            </w:pPr>
          </w:p>
        </w:tc>
        <w:tc>
          <w:tcPr>
            <w:tcW w:w="2500" w:type="dxa"/>
            <w:tcBorders>
              <w:top w:val="nil"/>
              <w:bottom w:val="nil"/>
            </w:tcBorders>
          </w:tcPr>
          <w:p>
            <w:pPr>
              <w:pStyle w:val="TableParagraph"/>
              <w:spacing w:line="239" w:lineRule="exact"/>
              <w:ind w:left="109"/>
              <w:rPr>
                <w:sz w:val="22"/>
              </w:rPr>
            </w:pPr>
            <w:r>
              <w:rPr>
                <w:color w:val="396230"/>
                <w:sz w:val="22"/>
              </w:rPr>
              <w:t>and adding language to</w:t>
            </w:r>
          </w:p>
        </w:tc>
      </w:tr>
      <w:tr>
        <w:trPr>
          <w:trHeight w:val="258" w:hRule="atLeast"/>
        </w:trPr>
        <w:tc>
          <w:tcPr>
            <w:tcW w:w="3444" w:type="dxa"/>
            <w:tcBorders>
              <w:top w:val="nil"/>
              <w:bottom w:val="nil"/>
            </w:tcBorders>
          </w:tcPr>
          <w:p>
            <w:pPr>
              <w:pStyle w:val="TableParagraph"/>
              <w:spacing w:line="239" w:lineRule="exact"/>
              <w:ind w:left="107"/>
              <w:rPr>
                <w:b/>
                <w:sz w:val="22"/>
              </w:rPr>
            </w:pPr>
            <w:r>
              <w:rPr>
                <w:b/>
                <w:sz w:val="22"/>
              </w:rPr>
              <w:t>environment, and with whom to</w:t>
            </w:r>
          </w:p>
        </w:tc>
        <w:tc>
          <w:tcPr>
            <w:tcW w:w="2762" w:type="dxa"/>
            <w:tcBorders>
              <w:top w:val="nil"/>
              <w:bottom w:val="nil"/>
            </w:tcBorders>
          </w:tcPr>
          <w:p>
            <w:pPr>
              <w:pStyle w:val="TableParagraph"/>
              <w:rPr>
                <w:rFonts w:ascii="Times New Roman"/>
                <w:sz w:val="18"/>
              </w:rPr>
            </w:pPr>
          </w:p>
        </w:tc>
        <w:tc>
          <w:tcPr>
            <w:tcW w:w="1408" w:type="dxa"/>
            <w:tcBorders>
              <w:top w:val="nil"/>
              <w:bottom w:val="nil"/>
            </w:tcBorders>
          </w:tcPr>
          <w:p>
            <w:pPr>
              <w:pStyle w:val="TableParagraph"/>
              <w:rPr>
                <w:rFonts w:ascii="Times New Roman"/>
                <w:sz w:val="18"/>
              </w:rPr>
            </w:pPr>
          </w:p>
        </w:tc>
        <w:tc>
          <w:tcPr>
            <w:tcW w:w="2834" w:type="dxa"/>
            <w:vMerge/>
            <w:tcBorders>
              <w:top w:val="nil"/>
            </w:tcBorders>
          </w:tcPr>
          <w:p>
            <w:pPr>
              <w:rPr>
                <w:sz w:val="2"/>
                <w:szCs w:val="2"/>
              </w:rPr>
            </w:pPr>
          </w:p>
        </w:tc>
        <w:tc>
          <w:tcPr>
            <w:tcW w:w="2500" w:type="dxa"/>
            <w:tcBorders>
              <w:top w:val="nil"/>
              <w:bottom w:val="nil"/>
            </w:tcBorders>
          </w:tcPr>
          <w:p>
            <w:pPr>
              <w:pStyle w:val="TableParagraph"/>
              <w:spacing w:line="239" w:lineRule="exact"/>
              <w:ind w:left="109"/>
              <w:rPr>
                <w:sz w:val="22"/>
              </w:rPr>
            </w:pPr>
            <w:r>
              <w:rPr>
                <w:color w:val="396230"/>
                <w:sz w:val="22"/>
              </w:rPr>
              <w:t>the contracts requiring</w:t>
            </w:r>
          </w:p>
        </w:tc>
      </w:tr>
      <w:tr>
        <w:trPr>
          <w:trHeight w:val="244" w:hRule="atLeast"/>
        </w:trPr>
        <w:tc>
          <w:tcPr>
            <w:tcW w:w="3444" w:type="dxa"/>
            <w:tcBorders>
              <w:top w:val="nil"/>
            </w:tcBorders>
          </w:tcPr>
          <w:p>
            <w:pPr>
              <w:pStyle w:val="TableParagraph"/>
              <w:rPr>
                <w:rFonts w:ascii="Times New Roman"/>
                <w:sz w:val="16"/>
              </w:rPr>
            </w:pPr>
          </w:p>
        </w:tc>
        <w:tc>
          <w:tcPr>
            <w:tcW w:w="2762" w:type="dxa"/>
            <w:tcBorders>
              <w:top w:val="nil"/>
            </w:tcBorders>
          </w:tcPr>
          <w:p>
            <w:pPr>
              <w:pStyle w:val="TableParagraph"/>
              <w:rPr>
                <w:rFonts w:ascii="Times New Roman"/>
                <w:sz w:val="16"/>
              </w:rPr>
            </w:pPr>
          </w:p>
        </w:tc>
        <w:tc>
          <w:tcPr>
            <w:tcW w:w="1408" w:type="dxa"/>
            <w:tcBorders>
              <w:top w:val="nil"/>
            </w:tcBorders>
          </w:tcPr>
          <w:p>
            <w:pPr>
              <w:pStyle w:val="TableParagraph"/>
              <w:rPr>
                <w:rFonts w:ascii="Times New Roman"/>
                <w:sz w:val="16"/>
              </w:rPr>
            </w:pPr>
          </w:p>
        </w:tc>
        <w:tc>
          <w:tcPr>
            <w:tcW w:w="2834" w:type="dxa"/>
            <w:vMerge/>
            <w:tcBorders>
              <w:top w:val="nil"/>
            </w:tcBorders>
          </w:tcPr>
          <w:p>
            <w:pPr>
              <w:rPr>
                <w:sz w:val="2"/>
                <w:szCs w:val="2"/>
              </w:rPr>
            </w:pPr>
          </w:p>
        </w:tc>
        <w:tc>
          <w:tcPr>
            <w:tcW w:w="2500" w:type="dxa"/>
            <w:tcBorders>
              <w:top w:val="nil"/>
            </w:tcBorders>
          </w:tcPr>
          <w:p>
            <w:pPr>
              <w:pStyle w:val="TableParagraph"/>
              <w:spacing w:line="224" w:lineRule="exact"/>
              <w:ind w:left="109"/>
              <w:rPr>
                <w:sz w:val="22"/>
              </w:rPr>
            </w:pPr>
            <w:r>
              <w:rPr>
                <w:color w:val="396230"/>
                <w:sz w:val="22"/>
              </w:rPr>
              <w:t>adherence to the WAC.</w:t>
            </w:r>
          </w:p>
        </w:tc>
      </w:tr>
    </w:tbl>
    <w:p>
      <w:pPr>
        <w:pStyle w:val="BodyText"/>
        <w:spacing w:before="6"/>
        <w:rPr>
          <w:b/>
          <w:sz w:val="4"/>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4"/>
        <w:gridCol w:w="2762"/>
        <w:gridCol w:w="1408"/>
        <w:gridCol w:w="2834"/>
        <w:gridCol w:w="2500"/>
      </w:tblGrid>
      <w:tr>
        <w:trPr>
          <w:trHeight w:val="3102" w:hRule="atLeast"/>
        </w:trPr>
        <w:tc>
          <w:tcPr>
            <w:tcW w:w="3444" w:type="dxa"/>
            <w:tcBorders>
              <w:bottom w:val="nil"/>
            </w:tcBorders>
          </w:tcPr>
          <w:p>
            <w:pPr>
              <w:pStyle w:val="TableParagraph"/>
              <w:ind w:left="107" w:right="523"/>
              <w:rPr>
                <w:b/>
                <w:sz w:val="22"/>
              </w:rPr>
            </w:pPr>
            <w:r>
              <w:rPr>
                <w:b/>
                <w:sz w:val="22"/>
              </w:rPr>
              <w:t>interact are optimized and not regimented.</w:t>
            </w:r>
          </w:p>
        </w:tc>
        <w:tc>
          <w:tcPr>
            <w:tcW w:w="2762" w:type="dxa"/>
            <w:vMerge w:val="restart"/>
          </w:tcPr>
          <w:p>
            <w:pPr>
              <w:pStyle w:val="TableParagraph"/>
              <w:rPr>
                <w:rFonts w:ascii="Times New Roman"/>
                <w:sz w:val="22"/>
              </w:rPr>
            </w:pPr>
          </w:p>
        </w:tc>
        <w:tc>
          <w:tcPr>
            <w:tcW w:w="1408" w:type="dxa"/>
            <w:vMerge w:val="restart"/>
          </w:tcPr>
          <w:p>
            <w:pPr>
              <w:pStyle w:val="TableParagraph"/>
              <w:rPr>
                <w:rFonts w:ascii="Times New Roman"/>
                <w:sz w:val="22"/>
              </w:rPr>
            </w:pPr>
          </w:p>
        </w:tc>
        <w:tc>
          <w:tcPr>
            <w:tcW w:w="2834" w:type="dxa"/>
            <w:tcBorders>
              <w:bottom w:val="nil"/>
            </w:tcBorders>
          </w:tcPr>
          <w:p>
            <w:pPr>
              <w:pStyle w:val="TableParagraph"/>
              <w:ind w:left="109" w:right="156"/>
              <w:rPr>
                <w:sz w:val="22"/>
              </w:rPr>
            </w:pPr>
            <w:r>
              <w:rPr>
                <w:sz w:val="22"/>
              </w:rPr>
              <w:t>Investigators conduct client observations, client and collateral interviews, service provider and staff interviews. RCS contracted evaluators and RCS Investigators also reviews clients’ finances and conducts client record reviews to ensure service providers’ compliance.</w:t>
            </w:r>
          </w:p>
        </w:tc>
        <w:tc>
          <w:tcPr>
            <w:tcW w:w="2500" w:type="dxa"/>
            <w:tcBorders>
              <w:bottom w:val="nil"/>
            </w:tcBorders>
          </w:tcPr>
          <w:p>
            <w:pPr>
              <w:pStyle w:val="TableParagraph"/>
              <w:spacing w:line="268" w:lineRule="exact"/>
              <w:ind w:left="109"/>
              <w:rPr>
                <w:sz w:val="22"/>
              </w:rPr>
            </w:pPr>
            <w:r>
              <w:rPr>
                <w:color w:val="396230"/>
                <w:sz w:val="22"/>
              </w:rPr>
              <w:t>See </w:t>
            </w:r>
            <w:r>
              <w:rPr>
                <w:color w:val="6B9F24"/>
                <w:sz w:val="22"/>
                <w:u w:val="single" w:color="6B9F24"/>
              </w:rPr>
              <w:t>Appendix C</w:t>
            </w:r>
            <w:r>
              <w:rPr>
                <w:color w:val="396230"/>
                <w:sz w:val="22"/>
              </w:rPr>
              <w:t>.</w:t>
            </w:r>
          </w:p>
        </w:tc>
      </w:tr>
      <w:tr>
        <w:trPr>
          <w:trHeight w:val="1451" w:hRule="atLeast"/>
        </w:trPr>
        <w:tc>
          <w:tcPr>
            <w:tcW w:w="3444" w:type="dxa"/>
            <w:tcBorders>
              <w:top w:val="nil"/>
            </w:tcBorders>
          </w:tcPr>
          <w:p>
            <w:pPr>
              <w:pStyle w:val="TableParagraph"/>
              <w:rPr>
                <w:rFonts w:ascii="Times New Roman"/>
                <w:sz w:val="22"/>
              </w:rPr>
            </w:pPr>
          </w:p>
        </w:tc>
        <w:tc>
          <w:tcPr>
            <w:tcW w:w="2762" w:type="dxa"/>
            <w:vMerge/>
            <w:tcBorders>
              <w:top w:val="nil"/>
            </w:tcBorders>
          </w:tcPr>
          <w:p>
            <w:pPr>
              <w:rPr>
                <w:sz w:val="2"/>
                <w:szCs w:val="2"/>
              </w:rPr>
            </w:pPr>
          </w:p>
        </w:tc>
        <w:tc>
          <w:tcPr>
            <w:tcW w:w="1408" w:type="dxa"/>
            <w:vMerge/>
            <w:tcBorders>
              <w:top w:val="nil"/>
            </w:tcBorders>
          </w:tcPr>
          <w:p>
            <w:pPr>
              <w:rPr>
                <w:sz w:val="2"/>
                <w:szCs w:val="2"/>
              </w:rPr>
            </w:pPr>
          </w:p>
        </w:tc>
        <w:tc>
          <w:tcPr>
            <w:tcW w:w="2834" w:type="dxa"/>
            <w:tcBorders>
              <w:top w:val="nil"/>
            </w:tcBorders>
          </w:tcPr>
          <w:p>
            <w:pPr>
              <w:pStyle w:val="TableParagraph"/>
              <w:spacing w:before="110"/>
              <w:ind w:left="109" w:right="107"/>
              <w:rPr>
                <w:sz w:val="22"/>
              </w:rPr>
            </w:pPr>
            <w:r>
              <w:rPr>
                <w:sz w:val="22"/>
              </w:rPr>
              <w:t>On-site inspections ensure homes meet all licensing and certification requirements in WAC and RCW, including</w:t>
            </w:r>
          </w:p>
          <w:p>
            <w:pPr>
              <w:pStyle w:val="TableParagraph"/>
              <w:spacing w:line="248" w:lineRule="exact"/>
              <w:ind w:left="109"/>
              <w:rPr>
                <w:sz w:val="22"/>
              </w:rPr>
            </w:pPr>
            <w:r>
              <w:rPr>
                <w:color w:val="396230"/>
                <w:sz w:val="22"/>
              </w:rPr>
              <w:t>WAC 388-823-1095.</w:t>
            </w:r>
          </w:p>
        </w:tc>
        <w:tc>
          <w:tcPr>
            <w:tcW w:w="2500" w:type="dxa"/>
            <w:tcBorders>
              <w:top w:val="nil"/>
            </w:tcBorders>
          </w:tcPr>
          <w:p>
            <w:pPr>
              <w:pStyle w:val="TableParagraph"/>
              <w:rPr>
                <w:rFonts w:ascii="Times New Roman"/>
                <w:sz w:val="22"/>
              </w:rPr>
            </w:pPr>
          </w:p>
        </w:tc>
      </w:tr>
      <w:tr>
        <w:trPr>
          <w:trHeight w:val="2303" w:hRule="atLeast"/>
        </w:trPr>
        <w:tc>
          <w:tcPr>
            <w:tcW w:w="3444" w:type="dxa"/>
            <w:tcBorders>
              <w:bottom w:val="nil"/>
            </w:tcBorders>
            <w:shd w:val="clear" w:color="auto" w:fill="D0E4CA"/>
          </w:tcPr>
          <w:p>
            <w:pPr>
              <w:pStyle w:val="TableParagraph"/>
              <w:ind w:left="107" w:right="433"/>
              <w:rPr>
                <w:b/>
                <w:sz w:val="22"/>
              </w:rPr>
            </w:pPr>
            <w:r>
              <w:rPr>
                <w:b/>
                <w:sz w:val="22"/>
              </w:rPr>
              <w:t>Individual choice regarding services and supports, and who provides them, is facilitated.</w:t>
            </w:r>
          </w:p>
        </w:tc>
        <w:tc>
          <w:tcPr>
            <w:tcW w:w="2762" w:type="dxa"/>
            <w:tcBorders>
              <w:bottom w:val="nil"/>
            </w:tcBorders>
            <w:shd w:val="clear" w:color="auto" w:fill="D0E4CA"/>
          </w:tcPr>
          <w:p>
            <w:pPr>
              <w:pStyle w:val="TableParagraph"/>
              <w:ind w:left="107" w:right="131"/>
              <w:rPr>
                <w:sz w:val="22"/>
              </w:rPr>
            </w:pPr>
            <w:r>
              <w:rPr>
                <w:sz w:val="22"/>
              </w:rPr>
              <w:t>Protection of rights is enforced through </w:t>
            </w:r>
            <w:hyperlink r:id="rId97">
              <w:r>
                <w:rPr>
                  <w:sz w:val="22"/>
                  <w:u w:val="single"/>
                </w:rPr>
                <w:t>WAC 388-</w:t>
              </w:r>
            </w:hyperlink>
            <w:r>
              <w:rPr>
                <w:sz w:val="22"/>
              </w:rPr>
              <w:t> </w:t>
            </w:r>
            <w:hyperlink r:id="rId97">
              <w:r>
                <w:rPr>
                  <w:sz w:val="22"/>
                  <w:u w:val="single"/>
                </w:rPr>
                <w:t>101D-0125</w:t>
              </w:r>
              <w:r>
                <w:rPr>
                  <w:sz w:val="22"/>
                </w:rPr>
                <w:t> </w:t>
              </w:r>
            </w:hyperlink>
            <w:r>
              <w:rPr>
                <w:sz w:val="22"/>
              </w:rPr>
              <w:t>through </w:t>
            </w:r>
            <w:hyperlink r:id="rId98">
              <w:r>
                <w:rPr>
                  <w:sz w:val="22"/>
                  <w:u w:val="single"/>
                </w:rPr>
                <w:t>WAC</w:t>
              </w:r>
            </w:hyperlink>
            <w:r>
              <w:rPr>
                <w:sz w:val="22"/>
              </w:rPr>
              <w:t> </w:t>
            </w:r>
            <w:hyperlink r:id="rId98">
              <w:r>
                <w:rPr>
                  <w:sz w:val="22"/>
                  <w:u w:val="single"/>
                </w:rPr>
                <w:t>388-101D-0145</w:t>
              </w:r>
              <w:r>
                <w:rPr>
                  <w:color w:val="396230"/>
                  <w:sz w:val="22"/>
                </w:rPr>
                <w:t>.</w:t>
              </w:r>
            </w:hyperlink>
          </w:p>
        </w:tc>
        <w:tc>
          <w:tcPr>
            <w:tcW w:w="1408" w:type="dxa"/>
            <w:tcBorders>
              <w:bottom w:val="nil"/>
            </w:tcBorders>
            <w:shd w:val="clear" w:color="auto" w:fill="D0E4CA"/>
          </w:tcPr>
          <w:p>
            <w:pPr>
              <w:pStyle w:val="TableParagraph"/>
              <w:ind w:left="108" w:right="349"/>
              <w:rPr>
                <w:sz w:val="22"/>
              </w:rPr>
            </w:pPr>
            <w:r>
              <w:rPr>
                <w:sz w:val="22"/>
              </w:rPr>
              <w:t>Fully Compliant</w:t>
            </w:r>
          </w:p>
        </w:tc>
        <w:tc>
          <w:tcPr>
            <w:tcW w:w="2834" w:type="dxa"/>
            <w:tcBorders>
              <w:bottom w:val="nil"/>
            </w:tcBorders>
            <w:shd w:val="clear" w:color="auto" w:fill="D0E4CA"/>
          </w:tcPr>
          <w:p>
            <w:pPr>
              <w:pStyle w:val="TableParagraph"/>
              <w:ind w:left="109" w:right="104"/>
              <w:rPr>
                <w:sz w:val="22"/>
              </w:rPr>
            </w:pPr>
            <w:r>
              <w:rPr>
                <w:sz w:val="22"/>
              </w:rPr>
              <w:t>CMs offer the individual choices of behavioral health crisis bed diversion service settings and provider types. Providers must develop a crisis services treatment plan within 48 hours of the client’s start of services.</w:t>
            </w:r>
          </w:p>
        </w:tc>
        <w:tc>
          <w:tcPr>
            <w:tcW w:w="2500" w:type="dxa"/>
            <w:tcBorders>
              <w:bottom w:val="nil"/>
            </w:tcBorders>
            <w:shd w:val="clear" w:color="auto" w:fill="D0E4CA"/>
          </w:tcPr>
          <w:p>
            <w:pPr>
              <w:pStyle w:val="TableParagraph"/>
              <w:ind w:left="109" w:right="163"/>
              <w:rPr>
                <w:sz w:val="22"/>
              </w:rPr>
            </w:pPr>
            <w:r>
              <w:rPr>
                <w:color w:val="396230"/>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color w:val="396230"/>
                <w:sz w:val="22"/>
              </w:rPr>
              <w:t>to include all rights listed in the HCBS rules and adding language to the contracts requiring adherence to the WAC. See </w:t>
            </w:r>
            <w:r>
              <w:rPr>
                <w:color w:val="6B9F24"/>
                <w:sz w:val="22"/>
                <w:u w:val="single" w:color="6B9F24"/>
              </w:rPr>
              <w:t>Appendix C</w:t>
            </w:r>
            <w:r>
              <w:rPr>
                <w:color w:val="396230"/>
                <w:sz w:val="22"/>
              </w:rPr>
              <w:t>.</w:t>
            </w:r>
          </w:p>
        </w:tc>
      </w:tr>
      <w:tr>
        <w:trPr>
          <w:trHeight w:val="2262" w:hRule="atLeast"/>
        </w:trPr>
        <w:tc>
          <w:tcPr>
            <w:tcW w:w="3444" w:type="dxa"/>
            <w:tcBorders>
              <w:top w:val="nil"/>
            </w:tcBorders>
            <w:shd w:val="clear" w:color="auto" w:fill="D0E4CA"/>
          </w:tcPr>
          <w:p>
            <w:pPr>
              <w:pStyle w:val="TableParagraph"/>
              <w:rPr>
                <w:rFonts w:ascii="Times New Roman"/>
                <w:sz w:val="22"/>
              </w:rPr>
            </w:pPr>
          </w:p>
        </w:tc>
        <w:tc>
          <w:tcPr>
            <w:tcW w:w="2762" w:type="dxa"/>
            <w:tcBorders>
              <w:top w:val="nil"/>
            </w:tcBorders>
            <w:shd w:val="clear" w:color="auto" w:fill="D0E4CA"/>
          </w:tcPr>
          <w:p>
            <w:pPr>
              <w:pStyle w:val="TableParagraph"/>
              <w:rPr>
                <w:rFonts w:ascii="Times New Roman"/>
                <w:sz w:val="22"/>
              </w:rPr>
            </w:pPr>
          </w:p>
        </w:tc>
        <w:tc>
          <w:tcPr>
            <w:tcW w:w="1408" w:type="dxa"/>
            <w:tcBorders>
              <w:top w:val="nil"/>
            </w:tcBorders>
            <w:shd w:val="clear" w:color="auto" w:fill="D0E4CA"/>
          </w:tcPr>
          <w:p>
            <w:pPr>
              <w:pStyle w:val="TableParagraph"/>
              <w:rPr>
                <w:rFonts w:ascii="Times New Roman"/>
                <w:sz w:val="22"/>
              </w:rPr>
            </w:pPr>
          </w:p>
        </w:tc>
        <w:tc>
          <w:tcPr>
            <w:tcW w:w="2834" w:type="dxa"/>
            <w:tcBorders>
              <w:top w:val="nil"/>
            </w:tcBorders>
            <w:shd w:val="clear" w:color="auto" w:fill="D0E4CA"/>
          </w:tcPr>
          <w:p>
            <w:pPr>
              <w:pStyle w:val="TableParagraph"/>
              <w:spacing w:before="114"/>
              <w:ind w:left="109" w:right="213"/>
              <w:rPr>
                <w:sz w:val="22"/>
              </w:rPr>
            </w:pPr>
            <w:r>
              <w:rPr>
                <w:sz w:val="22"/>
              </w:rPr>
              <w:t>As part of the certification and complaint investigation process described in the overview, Residential Care Services (RCS) Contracted Evaluators and RCS Investigators conduct client</w:t>
            </w:r>
          </w:p>
          <w:p>
            <w:pPr>
              <w:pStyle w:val="TableParagraph"/>
              <w:spacing w:line="249" w:lineRule="exact"/>
              <w:ind w:left="109"/>
              <w:rPr>
                <w:sz w:val="22"/>
              </w:rPr>
            </w:pPr>
            <w:r>
              <w:rPr>
                <w:sz w:val="22"/>
              </w:rPr>
              <w:t>observations, client and</w:t>
            </w:r>
          </w:p>
        </w:tc>
        <w:tc>
          <w:tcPr>
            <w:tcW w:w="2500" w:type="dxa"/>
            <w:tcBorders>
              <w:top w:val="nil"/>
            </w:tcBorders>
            <w:shd w:val="clear" w:color="auto" w:fill="D0E4CA"/>
          </w:tcPr>
          <w:p>
            <w:pPr>
              <w:pStyle w:val="TableParagraph"/>
              <w:rPr>
                <w:rFonts w:ascii="Times New Roman"/>
                <w:sz w:val="22"/>
              </w:rPr>
            </w:pPr>
          </w:p>
        </w:tc>
      </w:tr>
    </w:tbl>
    <w:p>
      <w:pPr>
        <w:pStyle w:val="BodyText"/>
        <w:spacing w:before="3"/>
        <w:rPr>
          <w:b/>
          <w:sz w:val="5"/>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4"/>
        <w:gridCol w:w="2762"/>
        <w:gridCol w:w="1408"/>
        <w:gridCol w:w="2834"/>
        <w:gridCol w:w="2500"/>
      </w:tblGrid>
      <w:tr>
        <w:trPr>
          <w:trHeight w:val="4029" w:hRule="atLeast"/>
        </w:trPr>
        <w:tc>
          <w:tcPr>
            <w:tcW w:w="3444" w:type="dxa"/>
            <w:shd w:val="clear" w:color="auto" w:fill="D0E4CA"/>
          </w:tcPr>
          <w:p>
            <w:pPr>
              <w:pStyle w:val="TableParagraph"/>
              <w:rPr>
                <w:rFonts w:ascii="Times New Roman"/>
                <w:sz w:val="22"/>
              </w:rPr>
            </w:pPr>
          </w:p>
        </w:tc>
        <w:tc>
          <w:tcPr>
            <w:tcW w:w="2762" w:type="dxa"/>
            <w:shd w:val="clear" w:color="auto" w:fill="D0E4CA"/>
          </w:tcPr>
          <w:p>
            <w:pPr>
              <w:pStyle w:val="TableParagraph"/>
              <w:rPr>
                <w:rFonts w:ascii="Times New Roman"/>
                <w:sz w:val="22"/>
              </w:rPr>
            </w:pPr>
          </w:p>
        </w:tc>
        <w:tc>
          <w:tcPr>
            <w:tcW w:w="1408" w:type="dxa"/>
            <w:shd w:val="clear" w:color="auto" w:fill="D0E4CA"/>
          </w:tcPr>
          <w:p>
            <w:pPr>
              <w:pStyle w:val="TableParagraph"/>
              <w:rPr>
                <w:rFonts w:ascii="Times New Roman"/>
                <w:sz w:val="22"/>
              </w:rPr>
            </w:pPr>
          </w:p>
        </w:tc>
        <w:tc>
          <w:tcPr>
            <w:tcW w:w="2834" w:type="dxa"/>
            <w:shd w:val="clear" w:color="auto" w:fill="D0E4CA"/>
          </w:tcPr>
          <w:p>
            <w:pPr>
              <w:pStyle w:val="TableParagraph"/>
              <w:ind w:left="109" w:right="156"/>
              <w:rPr>
                <w:sz w:val="22"/>
              </w:rPr>
            </w:pPr>
            <w:r>
              <w:rPr>
                <w:sz w:val="22"/>
              </w:rPr>
              <w:t>collateral interviews, service provider and staff interviews. RCS contracted evaluators and RCS Investigators also reviews clients’ finances and conducts client record reviews to ensure service providers’ compliance.</w:t>
            </w:r>
          </w:p>
          <w:p>
            <w:pPr>
              <w:pStyle w:val="TableParagraph"/>
              <w:spacing w:before="9"/>
              <w:rPr>
                <w:b/>
                <w:sz w:val="21"/>
              </w:rPr>
            </w:pPr>
          </w:p>
          <w:p>
            <w:pPr>
              <w:pStyle w:val="TableParagraph"/>
              <w:spacing w:line="270" w:lineRule="atLeast" w:before="1"/>
              <w:ind w:left="109" w:right="107"/>
              <w:rPr>
                <w:sz w:val="22"/>
              </w:rPr>
            </w:pPr>
            <w:r>
              <w:rPr>
                <w:sz w:val="22"/>
              </w:rPr>
              <w:t>On-site inspections ensure homes meet all licensing and certification requirements in WAC and RCW, including </w:t>
            </w:r>
            <w:r>
              <w:rPr>
                <w:color w:val="396230"/>
                <w:sz w:val="22"/>
              </w:rPr>
              <w:t>WAC 388-823-1095.</w:t>
            </w:r>
          </w:p>
        </w:tc>
        <w:tc>
          <w:tcPr>
            <w:tcW w:w="2500" w:type="dxa"/>
            <w:shd w:val="clear" w:color="auto" w:fill="D0E4CA"/>
          </w:tcPr>
          <w:p>
            <w:pPr>
              <w:pStyle w:val="TableParagraph"/>
              <w:rPr>
                <w:rFonts w:ascii="Times New Roman"/>
                <w:sz w:val="22"/>
              </w:rPr>
            </w:pPr>
          </w:p>
        </w:tc>
      </w:tr>
      <w:tr>
        <w:trPr>
          <w:trHeight w:val="4829" w:hRule="atLeast"/>
        </w:trPr>
        <w:tc>
          <w:tcPr>
            <w:tcW w:w="3444" w:type="dxa"/>
          </w:tcPr>
          <w:p>
            <w:pPr>
              <w:pStyle w:val="TableParagraph"/>
              <w:ind w:left="107" w:right="791"/>
              <w:rPr>
                <w:b/>
                <w:sz w:val="22"/>
              </w:rPr>
            </w:pPr>
            <w:r>
              <w:rPr>
                <w:b/>
                <w:sz w:val="22"/>
              </w:rPr>
              <w:t>Individuals have a choice of roommates in the setting;</w:t>
            </w:r>
          </w:p>
        </w:tc>
        <w:tc>
          <w:tcPr>
            <w:tcW w:w="2762" w:type="dxa"/>
          </w:tcPr>
          <w:p>
            <w:pPr>
              <w:pStyle w:val="TableParagraph"/>
              <w:ind w:left="107" w:right="109"/>
              <w:rPr>
                <w:sz w:val="22"/>
              </w:rPr>
            </w:pPr>
            <w:r>
              <w:rPr>
                <w:sz w:val="22"/>
              </w:rPr>
              <w:t>Not applicable as each participant is provided a private, furnished bedroom and only one participant is served in each residence (Chapter </w:t>
            </w:r>
            <w:hyperlink r:id="rId99">
              <w:r>
                <w:rPr>
                  <w:color w:val="6B9F24"/>
                  <w:sz w:val="22"/>
                  <w:u w:val="single" w:color="6B9F24"/>
                </w:rPr>
                <w:t>388-101-4080 388-</w:t>
              </w:r>
            </w:hyperlink>
            <w:r>
              <w:rPr>
                <w:color w:val="6B9F24"/>
                <w:sz w:val="22"/>
              </w:rPr>
              <w:t> </w:t>
            </w:r>
            <w:hyperlink r:id="rId99">
              <w:r>
                <w:rPr>
                  <w:color w:val="6B9F24"/>
                  <w:sz w:val="22"/>
                  <w:u w:val="single" w:color="6B9F24"/>
                </w:rPr>
                <w:t>101D-0520 WAC</w:t>
              </w:r>
            </w:hyperlink>
            <w:r>
              <w:rPr>
                <w:sz w:val="22"/>
              </w:rPr>
              <w:t>)</w:t>
            </w:r>
            <w:r>
              <w:rPr>
                <w:color w:val="396230"/>
                <w:sz w:val="22"/>
              </w:rPr>
              <w:t>.</w:t>
            </w:r>
          </w:p>
        </w:tc>
        <w:tc>
          <w:tcPr>
            <w:tcW w:w="1408" w:type="dxa"/>
          </w:tcPr>
          <w:p>
            <w:pPr>
              <w:pStyle w:val="TableParagraph"/>
              <w:ind w:left="108" w:right="349"/>
              <w:rPr>
                <w:sz w:val="22"/>
              </w:rPr>
            </w:pPr>
            <w:r>
              <w:rPr>
                <w:sz w:val="22"/>
              </w:rPr>
              <w:t>Fully Compliant</w:t>
            </w:r>
          </w:p>
        </w:tc>
        <w:tc>
          <w:tcPr>
            <w:tcW w:w="2834" w:type="dxa"/>
          </w:tcPr>
          <w:p>
            <w:pPr>
              <w:pStyle w:val="TableParagraph"/>
              <w:ind w:left="109" w:right="156"/>
              <w:rPr>
                <w:sz w:val="22"/>
              </w:rPr>
            </w:pPr>
            <w:r>
              <w:rPr>
                <w:sz w:val="22"/>
              </w:rPr>
              <w:t>As part of the certification and complaint investigation process described in the overview, Residential Care Services (RCS) Contracted Evaluators and RCS Investigators conduct client observations, client and collateral interviews, service provider and staff interviews. RCS contracted evaluators and RCS Investigators also reviews clients’ finances and conducts client record reviews to ensure service providers’ compliance.</w:t>
            </w:r>
          </w:p>
        </w:tc>
        <w:tc>
          <w:tcPr>
            <w:tcW w:w="2500" w:type="dxa"/>
          </w:tcPr>
          <w:p>
            <w:pPr>
              <w:pStyle w:val="TableParagraph"/>
              <w:ind w:left="109" w:right="163"/>
              <w:rPr>
                <w:sz w:val="22"/>
              </w:rPr>
            </w:pPr>
            <w:r>
              <w:rPr>
                <w:color w:val="396230"/>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color w:val="396230"/>
                <w:sz w:val="22"/>
              </w:rPr>
              <w:t>to include all rights listed in the HCBS rules and adding language to the contracts requiring adherence to the WAC. See </w:t>
            </w:r>
            <w:r>
              <w:rPr>
                <w:color w:val="6B9F24"/>
                <w:sz w:val="22"/>
                <w:u w:val="single" w:color="6B9F24"/>
              </w:rPr>
              <w:t>Appendix C</w:t>
            </w:r>
            <w:r>
              <w:rPr>
                <w:color w:val="396230"/>
                <w:sz w:val="22"/>
              </w:rPr>
              <w:t>.</w:t>
            </w:r>
          </w:p>
        </w:tc>
      </w:tr>
    </w:tbl>
    <w:p>
      <w:pPr>
        <w:pStyle w:val="BodyText"/>
        <w:spacing w:before="1"/>
        <w:rPr>
          <w:b/>
          <w:sz w:val="24"/>
        </w:rPr>
      </w:pPr>
      <w:r>
        <w:rPr/>
        <w:pict>
          <v:shape style="position:absolute;margin-left:70.559998pt;margin-top:16.9195pt;width:650.9pt;height:.1pt;mso-position-horizontal-relative:page;mso-position-vertical-relative:paragraph;z-index:-251548672;mso-wrap-distance-left:0;mso-wrap-distance-right:0" coordorigin="1411,338" coordsize="13018,0" path="m1411,338l14429,338e" filled="false" stroked="true" strokeweight=".481pt" strokecolor="#d9d9d9">
            <v:path arrowok="t"/>
            <v:stroke dashstyle="solid"/>
            <w10:wrap type="topAndBottom"/>
          </v:shape>
        </w:pict>
      </w:r>
    </w:p>
    <w:p>
      <w:pPr>
        <w:spacing w:after="0"/>
        <w:rPr>
          <w:sz w:val="2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rect style="position:absolute;margin-left:339.839996pt;margin-top:219.839996pt;width:2.52pt;height:.72pt;mso-position-horizontal-relative:page;mso-position-vertical-relative:page;z-index:-271167488" filled="true" fillcolor="#000000" stroked="false">
            <v:fill type="solid"/>
            <w10:wrap type="none"/>
          </v:rect>
        </w:pict>
      </w:r>
      <w:r>
        <w:rPr/>
        <w:pict>
          <v:rect style="position:absolute;margin-left:339.839996pt;margin-top:529.200012pt;width:2.52pt;height:.72pt;mso-position-horizontal-relative:page;mso-position-vertical-relative:page;z-index:-271166464" filled="true" fillcolor="#000000" stroked="false">
            <v:fill type="solid"/>
            <w10:wrap type="none"/>
          </v:rect>
        </w:pict>
      </w: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4"/>
        <w:gridCol w:w="2762"/>
        <w:gridCol w:w="1408"/>
        <w:gridCol w:w="2834"/>
        <w:gridCol w:w="2500"/>
      </w:tblGrid>
      <w:tr>
        <w:trPr>
          <w:trHeight w:val="1343" w:hRule="atLeast"/>
        </w:trPr>
        <w:tc>
          <w:tcPr>
            <w:tcW w:w="3444" w:type="dxa"/>
          </w:tcPr>
          <w:p>
            <w:pPr>
              <w:pStyle w:val="TableParagraph"/>
              <w:rPr>
                <w:rFonts w:ascii="Times New Roman"/>
                <w:sz w:val="22"/>
              </w:rPr>
            </w:pPr>
          </w:p>
        </w:tc>
        <w:tc>
          <w:tcPr>
            <w:tcW w:w="2762" w:type="dxa"/>
          </w:tcPr>
          <w:p>
            <w:pPr>
              <w:pStyle w:val="TableParagraph"/>
              <w:rPr>
                <w:rFonts w:ascii="Times New Roman"/>
                <w:sz w:val="22"/>
              </w:rPr>
            </w:pPr>
          </w:p>
        </w:tc>
        <w:tc>
          <w:tcPr>
            <w:tcW w:w="1408" w:type="dxa"/>
          </w:tcPr>
          <w:p>
            <w:pPr>
              <w:pStyle w:val="TableParagraph"/>
              <w:rPr>
                <w:rFonts w:ascii="Times New Roman"/>
                <w:sz w:val="22"/>
              </w:rPr>
            </w:pPr>
          </w:p>
        </w:tc>
        <w:tc>
          <w:tcPr>
            <w:tcW w:w="2834" w:type="dxa"/>
          </w:tcPr>
          <w:p>
            <w:pPr>
              <w:pStyle w:val="TableParagraph"/>
              <w:ind w:left="109" w:right="107"/>
              <w:rPr>
                <w:sz w:val="22"/>
              </w:rPr>
            </w:pPr>
            <w:r>
              <w:rPr>
                <w:sz w:val="22"/>
              </w:rPr>
              <w:t>On-site inspections ensure homes meet all licensing and certification requirements in WAC and RCW, including</w:t>
            </w:r>
          </w:p>
          <w:p>
            <w:pPr>
              <w:pStyle w:val="TableParagraph"/>
              <w:spacing w:line="249" w:lineRule="exact"/>
              <w:ind w:left="109"/>
              <w:rPr>
                <w:sz w:val="22"/>
              </w:rPr>
            </w:pPr>
            <w:r>
              <w:rPr>
                <w:color w:val="396230"/>
                <w:sz w:val="22"/>
              </w:rPr>
              <w:t>WAC 388-823-1095.</w:t>
            </w:r>
          </w:p>
        </w:tc>
        <w:tc>
          <w:tcPr>
            <w:tcW w:w="2500" w:type="dxa"/>
          </w:tcPr>
          <w:p>
            <w:pPr>
              <w:pStyle w:val="TableParagraph"/>
              <w:rPr>
                <w:rFonts w:ascii="Times New Roman"/>
                <w:sz w:val="22"/>
              </w:rPr>
            </w:pPr>
          </w:p>
        </w:tc>
      </w:tr>
      <w:tr>
        <w:trPr>
          <w:trHeight w:val="4718" w:hRule="atLeast"/>
        </w:trPr>
        <w:tc>
          <w:tcPr>
            <w:tcW w:w="3444" w:type="dxa"/>
            <w:tcBorders>
              <w:bottom w:val="nil"/>
            </w:tcBorders>
            <w:shd w:val="clear" w:color="auto" w:fill="D0E4CA"/>
          </w:tcPr>
          <w:p>
            <w:pPr>
              <w:pStyle w:val="TableParagraph"/>
              <w:ind w:left="107" w:right="111"/>
              <w:rPr>
                <w:b/>
                <w:sz w:val="22"/>
              </w:rPr>
            </w:pPr>
            <w:r>
              <w:rPr>
                <w:b/>
                <w:sz w:val="22"/>
              </w:rPr>
              <w:t>Individuals have the freedom to furnish and decorate their sleeping or living units</w:t>
            </w:r>
          </w:p>
        </w:tc>
        <w:tc>
          <w:tcPr>
            <w:tcW w:w="2762" w:type="dxa"/>
            <w:tcBorders>
              <w:bottom w:val="nil"/>
            </w:tcBorders>
            <w:shd w:val="clear" w:color="auto" w:fill="D0E4CA"/>
          </w:tcPr>
          <w:p>
            <w:pPr>
              <w:pStyle w:val="TableParagraph"/>
              <w:spacing w:line="268" w:lineRule="exact"/>
              <w:ind w:left="107"/>
              <w:rPr>
                <w:sz w:val="22"/>
              </w:rPr>
            </w:pPr>
            <w:hyperlink r:id="rId23">
              <w:r>
                <w:rPr>
                  <w:color w:val="6B9F24"/>
                  <w:sz w:val="22"/>
                  <w:u w:val="single" w:color="6B9F24"/>
                </w:rPr>
                <w:t>WAC 388-823-1095</w:t>
              </w:r>
              <w:r>
                <w:rPr>
                  <w:color w:val="6B9F24"/>
                  <w:sz w:val="22"/>
                </w:rPr>
                <w:t> </w:t>
              </w:r>
            </w:hyperlink>
            <w:r>
              <w:rPr>
                <w:sz w:val="22"/>
              </w:rPr>
              <w:t>my</w:t>
            </w:r>
          </w:p>
          <w:p>
            <w:pPr>
              <w:pStyle w:val="TableParagraph"/>
              <w:ind w:left="107" w:right="131"/>
              <w:rPr>
                <w:sz w:val="22"/>
              </w:rPr>
            </w:pPr>
            <w:r>
              <w:rPr>
                <w:sz w:val="22"/>
              </w:rPr>
              <w:t>rights as a DDA client Protection of rights is enforced through </w:t>
            </w:r>
            <w:hyperlink r:id="rId25">
              <w:r>
                <w:rPr>
                  <w:color w:val="6B9F24"/>
                  <w:sz w:val="22"/>
                  <w:u w:val="single" w:color="6B9F24"/>
                </w:rPr>
                <w:t>WAC 388-</w:t>
              </w:r>
            </w:hyperlink>
            <w:r>
              <w:rPr>
                <w:color w:val="6B9F24"/>
                <w:sz w:val="22"/>
              </w:rPr>
              <w:t> </w:t>
            </w:r>
            <w:hyperlink r:id="rId25">
              <w:r>
                <w:rPr>
                  <w:color w:val="6B9F24"/>
                  <w:sz w:val="22"/>
                  <w:u w:val="single" w:color="6B9F24"/>
                </w:rPr>
                <w:t>101D-0125</w:t>
              </w:r>
            </w:hyperlink>
            <w:r>
              <w:rPr>
                <w:color w:val="6B9F24"/>
                <w:sz w:val="22"/>
              </w:rPr>
              <w:t> </w:t>
            </w:r>
            <w:r>
              <w:rPr>
                <w:sz w:val="22"/>
              </w:rPr>
              <w:t>through </w:t>
            </w:r>
            <w:hyperlink r:id="rId29">
              <w:r>
                <w:rPr>
                  <w:color w:val="6B9F24"/>
                  <w:sz w:val="22"/>
                  <w:u w:val="single" w:color="6B9F24"/>
                </w:rPr>
                <w:t>WAC</w:t>
              </w:r>
            </w:hyperlink>
            <w:r>
              <w:rPr>
                <w:color w:val="6B9F24"/>
                <w:sz w:val="22"/>
              </w:rPr>
              <w:t> </w:t>
            </w:r>
            <w:hyperlink r:id="rId29">
              <w:r>
                <w:rPr>
                  <w:color w:val="6B9F24"/>
                  <w:sz w:val="22"/>
                  <w:u w:val="single" w:color="6B9F24"/>
                </w:rPr>
                <w:t>388-101D-0145</w:t>
              </w:r>
              <w:r>
                <w:rPr>
                  <w:color w:val="396230"/>
                  <w:sz w:val="22"/>
                </w:rPr>
                <w:t>.</w:t>
              </w:r>
            </w:hyperlink>
          </w:p>
          <w:p>
            <w:pPr>
              <w:pStyle w:val="TableParagraph"/>
              <w:ind w:left="107" w:right="177"/>
              <w:rPr>
                <w:sz w:val="22"/>
              </w:rPr>
            </w:pPr>
            <w:r>
              <w:rPr>
                <w:sz w:val="22"/>
              </w:rPr>
              <w:t>Residential Guidelines and behavioral health crisis bed diversion services provider contracts inform and guide the provision of services.</w:t>
            </w:r>
          </w:p>
        </w:tc>
        <w:tc>
          <w:tcPr>
            <w:tcW w:w="1408" w:type="dxa"/>
            <w:tcBorders>
              <w:bottom w:val="nil"/>
            </w:tcBorders>
            <w:shd w:val="clear" w:color="auto" w:fill="D0E4CA"/>
          </w:tcPr>
          <w:p>
            <w:pPr>
              <w:pStyle w:val="TableParagraph"/>
              <w:ind w:left="108" w:right="349"/>
              <w:rPr>
                <w:sz w:val="22"/>
              </w:rPr>
            </w:pPr>
            <w:r>
              <w:rPr>
                <w:sz w:val="22"/>
              </w:rPr>
              <w:t>Partially Compliant</w:t>
            </w:r>
          </w:p>
        </w:tc>
        <w:tc>
          <w:tcPr>
            <w:tcW w:w="2834" w:type="dxa"/>
            <w:tcBorders>
              <w:bottom w:val="nil"/>
            </w:tcBorders>
            <w:shd w:val="clear" w:color="auto" w:fill="D0E4CA"/>
          </w:tcPr>
          <w:p>
            <w:pPr>
              <w:pStyle w:val="TableParagraph"/>
              <w:ind w:left="109" w:right="156"/>
              <w:rPr>
                <w:sz w:val="22"/>
              </w:rPr>
            </w:pPr>
            <w:r>
              <w:rPr>
                <w:sz w:val="22"/>
              </w:rPr>
              <w:t>As part of the certification and complaint investigation process described in the overview, Residential Care Services (RCS) Contracted Evaluators and RCS Investigators conduct client observations, client and collateral interviews, service provider and staff interviews. RCS contracted evaluators and RCS Investigators also reviews clients’ finances and conducts client record reviews to ensure service providers’ compliance.</w:t>
            </w:r>
          </w:p>
        </w:tc>
        <w:tc>
          <w:tcPr>
            <w:tcW w:w="2500" w:type="dxa"/>
            <w:tcBorders>
              <w:bottom w:val="nil"/>
            </w:tcBorders>
            <w:shd w:val="clear" w:color="auto" w:fill="D0E4CA"/>
          </w:tcPr>
          <w:p>
            <w:pPr>
              <w:pStyle w:val="TableParagraph"/>
              <w:ind w:left="109" w:right="163"/>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w:t>
            </w:r>
            <w:r>
              <w:rPr>
                <w:color w:val="396230"/>
                <w:sz w:val="22"/>
              </w:rPr>
              <w:t>and adding language to the contracts requiring adherence to the WAC</w:t>
            </w:r>
            <w:r>
              <w:rPr>
                <w:sz w:val="22"/>
              </w:rPr>
              <w:t>. See </w:t>
            </w:r>
            <w:r>
              <w:rPr>
                <w:color w:val="6B9F24"/>
                <w:sz w:val="22"/>
                <w:u w:val="single" w:color="6B9F24"/>
              </w:rPr>
              <w:t>Appendix C</w:t>
            </w:r>
            <w:r>
              <w:rPr>
                <w:color w:val="396230"/>
                <w:sz w:val="22"/>
              </w:rPr>
              <w:t>.</w:t>
            </w:r>
          </w:p>
        </w:tc>
      </w:tr>
      <w:tr>
        <w:trPr>
          <w:trHeight w:val="1456" w:hRule="atLeast"/>
        </w:trPr>
        <w:tc>
          <w:tcPr>
            <w:tcW w:w="3444" w:type="dxa"/>
            <w:tcBorders>
              <w:top w:val="nil"/>
            </w:tcBorders>
            <w:shd w:val="clear" w:color="auto" w:fill="D0E4CA"/>
          </w:tcPr>
          <w:p>
            <w:pPr>
              <w:pStyle w:val="TableParagraph"/>
              <w:rPr>
                <w:rFonts w:ascii="Times New Roman"/>
                <w:sz w:val="22"/>
              </w:rPr>
            </w:pPr>
          </w:p>
        </w:tc>
        <w:tc>
          <w:tcPr>
            <w:tcW w:w="2762" w:type="dxa"/>
            <w:tcBorders>
              <w:top w:val="nil"/>
            </w:tcBorders>
            <w:shd w:val="clear" w:color="auto" w:fill="D0E4CA"/>
          </w:tcPr>
          <w:p>
            <w:pPr>
              <w:pStyle w:val="TableParagraph"/>
              <w:rPr>
                <w:rFonts w:ascii="Times New Roman"/>
                <w:sz w:val="22"/>
              </w:rPr>
            </w:pPr>
          </w:p>
        </w:tc>
        <w:tc>
          <w:tcPr>
            <w:tcW w:w="1408" w:type="dxa"/>
            <w:tcBorders>
              <w:top w:val="nil"/>
            </w:tcBorders>
            <w:shd w:val="clear" w:color="auto" w:fill="D0E4CA"/>
          </w:tcPr>
          <w:p>
            <w:pPr>
              <w:pStyle w:val="TableParagraph"/>
              <w:rPr>
                <w:rFonts w:ascii="Times New Roman"/>
                <w:sz w:val="22"/>
              </w:rPr>
            </w:pPr>
          </w:p>
        </w:tc>
        <w:tc>
          <w:tcPr>
            <w:tcW w:w="2834" w:type="dxa"/>
            <w:tcBorders>
              <w:top w:val="nil"/>
            </w:tcBorders>
            <w:shd w:val="clear" w:color="auto" w:fill="D0E4CA"/>
          </w:tcPr>
          <w:p>
            <w:pPr>
              <w:pStyle w:val="TableParagraph"/>
              <w:spacing w:before="114"/>
              <w:ind w:left="109" w:right="107"/>
              <w:rPr>
                <w:sz w:val="22"/>
              </w:rPr>
            </w:pPr>
            <w:r>
              <w:rPr>
                <w:sz w:val="22"/>
              </w:rPr>
              <w:t>On-site inspections ensure homes meet all licensing and certification requirements in WAC and RCW, including</w:t>
            </w:r>
          </w:p>
          <w:p>
            <w:pPr>
              <w:pStyle w:val="TableParagraph"/>
              <w:spacing w:line="248" w:lineRule="exact"/>
              <w:ind w:left="109"/>
              <w:rPr>
                <w:sz w:val="22"/>
              </w:rPr>
            </w:pPr>
            <w:r>
              <w:rPr>
                <w:color w:val="396230"/>
                <w:sz w:val="22"/>
              </w:rPr>
              <w:t>WAC 388-823-1095.</w:t>
            </w:r>
          </w:p>
        </w:tc>
        <w:tc>
          <w:tcPr>
            <w:tcW w:w="2500" w:type="dxa"/>
            <w:tcBorders>
              <w:top w:val="nil"/>
            </w:tcBorders>
            <w:shd w:val="clear" w:color="auto" w:fill="D0E4CA"/>
          </w:tcPr>
          <w:p>
            <w:pPr>
              <w:pStyle w:val="TableParagraph"/>
              <w:rPr>
                <w:rFonts w:ascii="Times New Roman"/>
                <w:sz w:val="22"/>
              </w:rPr>
            </w:pPr>
          </w:p>
        </w:tc>
      </w:tr>
      <w:tr>
        <w:trPr>
          <w:trHeight w:val="289" w:hRule="atLeast"/>
        </w:trPr>
        <w:tc>
          <w:tcPr>
            <w:tcW w:w="3444" w:type="dxa"/>
            <w:tcBorders>
              <w:bottom w:val="nil"/>
            </w:tcBorders>
          </w:tcPr>
          <w:p>
            <w:pPr>
              <w:pStyle w:val="TableParagraph"/>
              <w:spacing w:line="267" w:lineRule="exact" w:before="1"/>
              <w:ind w:left="107"/>
              <w:rPr>
                <w:b/>
                <w:sz w:val="22"/>
              </w:rPr>
            </w:pPr>
            <w:r>
              <w:rPr>
                <w:b/>
                <w:sz w:val="22"/>
              </w:rPr>
              <w:t>Individuals have the freedom and</w:t>
            </w:r>
          </w:p>
        </w:tc>
        <w:tc>
          <w:tcPr>
            <w:tcW w:w="2762" w:type="dxa"/>
            <w:tcBorders>
              <w:bottom w:val="nil"/>
            </w:tcBorders>
          </w:tcPr>
          <w:p>
            <w:pPr>
              <w:pStyle w:val="TableParagraph"/>
              <w:spacing w:line="267" w:lineRule="exact" w:before="1"/>
              <w:ind w:left="107"/>
              <w:rPr>
                <w:sz w:val="22"/>
              </w:rPr>
            </w:pPr>
            <w:hyperlink r:id="rId23">
              <w:r>
                <w:rPr>
                  <w:color w:val="6B9F24"/>
                  <w:sz w:val="22"/>
                  <w:u w:val="single" w:color="6B9F24"/>
                </w:rPr>
                <w:t>WAC 388-823-1095</w:t>
              </w:r>
              <w:r>
                <w:rPr>
                  <w:color w:val="6B9F24"/>
                  <w:sz w:val="22"/>
                </w:rPr>
                <w:t> </w:t>
              </w:r>
            </w:hyperlink>
            <w:r>
              <w:rPr>
                <w:sz w:val="22"/>
              </w:rPr>
              <w:t>my</w:t>
            </w:r>
          </w:p>
        </w:tc>
        <w:tc>
          <w:tcPr>
            <w:tcW w:w="1408" w:type="dxa"/>
            <w:tcBorders>
              <w:bottom w:val="nil"/>
            </w:tcBorders>
          </w:tcPr>
          <w:p>
            <w:pPr>
              <w:pStyle w:val="TableParagraph"/>
              <w:spacing w:line="267" w:lineRule="exact" w:before="1"/>
              <w:ind w:left="108"/>
              <w:rPr>
                <w:sz w:val="22"/>
              </w:rPr>
            </w:pPr>
            <w:r>
              <w:rPr>
                <w:sz w:val="22"/>
              </w:rPr>
              <w:t>Partially</w:t>
            </w:r>
          </w:p>
        </w:tc>
        <w:tc>
          <w:tcPr>
            <w:tcW w:w="2834" w:type="dxa"/>
            <w:tcBorders>
              <w:bottom w:val="nil"/>
            </w:tcBorders>
          </w:tcPr>
          <w:p>
            <w:pPr>
              <w:pStyle w:val="TableParagraph"/>
              <w:spacing w:line="267" w:lineRule="exact" w:before="1"/>
              <w:ind w:left="109"/>
              <w:rPr>
                <w:sz w:val="22"/>
              </w:rPr>
            </w:pPr>
            <w:r>
              <w:rPr>
                <w:sz w:val="22"/>
              </w:rPr>
              <w:t>As part of the certification</w:t>
            </w:r>
          </w:p>
        </w:tc>
        <w:tc>
          <w:tcPr>
            <w:tcW w:w="2500" w:type="dxa"/>
            <w:tcBorders>
              <w:bottom w:val="nil"/>
            </w:tcBorders>
          </w:tcPr>
          <w:p>
            <w:pPr>
              <w:pStyle w:val="TableParagraph"/>
              <w:spacing w:line="267" w:lineRule="exact" w:before="1"/>
              <w:ind w:left="109"/>
              <w:rPr>
                <w:sz w:val="22"/>
              </w:rPr>
            </w:pPr>
            <w:r>
              <w:rPr>
                <w:sz w:val="22"/>
              </w:rPr>
              <w:t>Revising </w:t>
            </w:r>
            <w:hyperlink r:id="rId23">
              <w:r>
                <w:rPr>
                  <w:color w:val="6B9F24"/>
                  <w:sz w:val="22"/>
                  <w:u w:val="single" w:color="6B9F24"/>
                </w:rPr>
                <w:t>WAC 388-823-</w:t>
              </w:r>
            </w:hyperlink>
          </w:p>
        </w:tc>
      </w:tr>
      <w:tr>
        <w:trPr>
          <w:trHeight w:val="267" w:hRule="atLeast"/>
        </w:trPr>
        <w:tc>
          <w:tcPr>
            <w:tcW w:w="3444" w:type="dxa"/>
            <w:tcBorders>
              <w:top w:val="nil"/>
              <w:bottom w:val="nil"/>
            </w:tcBorders>
          </w:tcPr>
          <w:p>
            <w:pPr>
              <w:pStyle w:val="TableParagraph"/>
              <w:spacing w:line="247" w:lineRule="exact"/>
              <w:ind w:left="107"/>
              <w:rPr>
                <w:b/>
                <w:sz w:val="22"/>
              </w:rPr>
            </w:pPr>
            <w:r>
              <w:rPr>
                <w:b/>
                <w:sz w:val="22"/>
              </w:rPr>
              <w:t>support to control their own</w:t>
            </w:r>
          </w:p>
        </w:tc>
        <w:tc>
          <w:tcPr>
            <w:tcW w:w="2762" w:type="dxa"/>
            <w:tcBorders>
              <w:top w:val="nil"/>
              <w:bottom w:val="nil"/>
            </w:tcBorders>
          </w:tcPr>
          <w:p>
            <w:pPr>
              <w:pStyle w:val="TableParagraph"/>
              <w:spacing w:line="247" w:lineRule="exact"/>
              <w:ind w:left="107"/>
              <w:rPr>
                <w:sz w:val="22"/>
              </w:rPr>
            </w:pPr>
            <w:r>
              <w:rPr>
                <w:sz w:val="22"/>
              </w:rPr>
              <w:t>rights as a DDA client</w:t>
            </w:r>
          </w:p>
        </w:tc>
        <w:tc>
          <w:tcPr>
            <w:tcW w:w="1408" w:type="dxa"/>
            <w:tcBorders>
              <w:top w:val="nil"/>
              <w:bottom w:val="nil"/>
            </w:tcBorders>
          </w:tcPr>
          <w:p>
            <w:pPr>
              <w:pStyle w:val="TableParagraph"/>
              <w:spacing w:line="247" w:lineRule="exact"/>
              <w:ind w:left="108"/>
              <w:rPr>
                <w:sz w:val="22"/>
              </w:rPr>
            </w:pPr>
            <w:r>
              <w:rPr>
                <w:sz w:val="22"/>
              </w:rPr>
              <w:t>Compliant</w:t>
            </w:r>
          </w:p>
        </w:tc>
        <w:tc>
          <w:tcPr>
            <w:tcW w:w="2834" w:type="dxa"/>
            <w:tcBorders>
              <w:top w:val="nil"/>
              <w:bottom w:val="nil"/>
            </w:tcBorders>
          </w:tcPr>
          <w:p>
            <w:pPr>
              <w:pStyle w:val="TableParagraph"/>
              <w:spacing w:line="247" w:lineRule="exact"/>
              <w:ind w:left="109"/>
              <w:rPr>
                <w:sz w:val="22"/>
              </w:rPr>
            </w:pPr>
            <w:r>
              <w:rPr>
                <w:sz w:val="22"/>
              </w:rPr>
              <w:t>and complaint investigation</w:t>
            </w:r>
          </w:p>
        </w:tc>
        <w:tc>
          <w:tcPr>
            <w:tcW w:w="2500" w:type="dxa"/>
            <w:tcBorders>
              <w:top w:val="nil"/>
              <w:bottom w:val="nil"/>
            </w:tcBorders>
          </w:tcPr>
          <w:p>
            <w:pPr>
              <w:pStyle w:val="TableParagraph"/>
              <w:spacing w:line="247" w:lineRule="exact"/>
              <w:ind w:left="109"/>
              <w:rPr>
                <w:sz w:val="22"/>
              </w:rPr>
            </w:pPr>
            <w:hyperlink r:id="rId23">
              <w:r>
                <w:rPr>
                  <w:color w:val="6B9F24"/>
                  <w:sz w:val="22"/>
                  <w:u w:val="single" w:color="6B9F24"/>
                </w:rPr>
                <w:t>1095</w:t>
              </w:r>
              <w:r>
                <w:rPr>
                  <w:color w:val="6B9F24"/>
                  <w:sz w:val="22"/>
                </w:rPr>
                <w:t> </w:t>
              </w:r>
            </w:hyperlink>
            <w:r>
              <w:rPr>
                <w:sz w:val="22"/>
              </w:rPr>
              <w:t>to include all rights</w:t>
            </w:r>
          </w:p>
        </w:tc>
      </w:tr>
      <w:tr>
        <w:trPr>
          <w:trHeight w:val="268" w:hRule="atLeast"/>
        </w:trPr>
        <w:tc>
          <w:tcPr>
            <w:tcW w:w="3444" w:type="dxa"/>
            <w:tcBorders>
              <w:top w:val="nil"/>
              <w:bottom w:val="nil"/>
            </w:tcBorders>
          </w:tcPr>
          <w:p>
            <w:pPr>
              <w:pStyle w:val="TableParagraph"/>
              <w:spacing w:line="249" w:lineRule="exact"/>
              <w:ind w:left="107"/>
              <w:rPr>
                <w:b/>
                <w:sz w:val="22"/>
              </w:rPr>
            </w:pPr>
            <w:r>
              <w:rPr>
                <w:b/>
                <w:sz w:val="22"/>
              </w:rPr>
              <w:t>schedules and activities, and have</w:t>
            </w:r>
          </w:p>
        </w:tc>
        <w:tc>
          <w:tcPr>
            <w:tcW w:w="2762" w:type="dxa"/>
            <w:tcBorders>
              <w:top w:val="nil"/>
              <w:bottom w:val="nil"/>
            </w:tcBorders>
          </w:tcPr>
          <w:p>
            <w:pPr>
              <w:pStyle w:val="TableParagraph"/>
              <w:spacing w:line="249" w:lineRule="exact"/>
              <w:ind w:left="107"/>
              <w:rPr>
                <w:sz w:val="22"/>
              </w:rPr>
            </w:pPr>
            <w:r>
              <w:rPr>
                <w:sz w:val="22"/>
              </w:rPr>
              <w:t>Protection of rights is</w:t>
            </w:r>
          </w:p>
        </w:tc>
        <w:tc>
          <w:tcPr>
            <w:tcW w:w="1408" w:type="dxa"/>
            <w:tcBorders>
              <w:top w:val="nil"/>
              <w:bottom w:val="nil"/>
            </w:tcBorders>
          </w:tcPr>
          <w:p>
            <w:pPr>
              <w:pStyle w:val="TableParagraph"/>
              <w:rPr>
                <w:rFonts w:ascii="Times New Roman"/>
                <w:sz w:val="18"/>
              </w:rPr>
            </w:pPr>
          </w:p>
        </w:tc>
        <w:tc>
          <w:tcPr>
            <w:tcW w:w="2834" w:type="dxa"/>
            <w:tcBorders>
              <w:top w:val="nil"/>
              <w:bottom w:val="nil"/>
            </w:tcBorders>
          </w:tcPr>
          <w:p>
            <w:pPr>
              <w:pStyle w:val="TableParagraph"/>
              <w:spacing w:line="249" w:lineRule="exact"/>
              <w:ind w:left="109"/>
              <w:rPr>
                <w:sz w:val="22"/>
              </w:rPr>
            </w:pPr>
            <w:r>
              <w:rPr>
                <w:sz w:val="22"/>
              </w:rPr>
              <w:t>process described in the</w:t>
            </w:r>
          </w:p>
        </w:tc>
        <w:tc>
          <w:tcPr>
            <w:tcW w:w="2500" w:type="dxa"/>
            <w:tcBorders>
              <w:top w:val="nil"/>
              <w:bottom w:val="nil"/>
            </w:tcBorders>
          </w:tcPr>
          <w:p>
            <w:pPr>
              <w:pStyle w:val="TableParagraph"/>
              <w:spacing w:line="249" w:lineRule="exact"/>
              <w:ind w:left="109"/>
              <w:rPr>
                <w:sz w:val="22"/>
              </w:rPr>
            </w:pPr>
            <w:r>
              <w:rPr>
                <w:sz w:val="22"/>
              </w:rPr>
              <w:t>listed in the HCBS rules</w:t>
            </w:r>
          </w:p>
        </w:tc>
      </w:tr>
      <w:tr>
        <w:trPr>
          <w:trHeight w:val="268" w:hRule="atLeast"/>
        </w:trPr>
        <w:tc>
          <w:tcPr>
            <w:tcW w:w="3444" w:type="dxa"/>
            <w:tcBorders>
              <w:top w:val="nil"/>
              <w:bottom w:val="nil"/>
            </w:tcBorders>
          </w:tcPr>
          <w:p>
            <w:pPr>
              <w:pStyle w:val="TableParagraph"/>
              <w:spacing w:line="249" w:lineRule="exact"/>
              <w:ind w:left="107"/>
              <w:rPr>
                <w:b/>
                <w:sz w:val="22"/>
              </w:rPr>
            </w:pPr>
            <w:r>
              <w:rPr>
                <w:b/>
                <w:sz w:val="22"/>
              </w:rPr>
              <w:t>access to food at any time</w:t>
            </w:r>
          </w:p>
        </w:tc>
        <w:tc>
          <w:tcPr>
            <w:tcW w:w="2762" w:type="dxa"/>
            <w:tcBorders>
              <w:top w:val="nil"/>
              <w:bottom w:val="nil"/>
            </w:tcBorders>
          </w:tcPr>
          <w:p>
            <w:pPr>
              <w:pStyle w:val="TableParagraph"/>
              <w:spacing w:line="249" w:lineRule="exact"/>
              <w:ind w:left="107"/>
              <w:rPr>
                <w:sz w:val="22"/>
              </w:rPr>
            </w:pPr>
            <w:r>
              <w:rPr>
                <w:sz w:val="22"/>
              </w:rPr>
              <w:t>enforced through </w:t>
            </w:r>
            <w:hyperlink r:id="rId25">
              <w:r>
                <w:rPr>
                  <w:color w:val="6B9F24"/>
                  <w:sz w:val="22"/>
                  <w:u w:val="single" w:color="6B9F24"/>
                </w:rPr>
                <w:t>WAC 388-</w:t>
              </w:r>
            </w:hyperlink>
          </w:p>
        </w:tc>
        <w:tc>
          <w:tcPr>
            <w:tcW w:w="1408" w:type="dxa"/>
            <w:tcBorders>
              <w:top w:val="nil"/>
              <w:bottom w:val="nil"/>
            </w:tcBorders>
          </w:tcPr>
          <w:p>
            <w:pPr>
              <w:pStyle w:val="TableParagraph"/>
              <w:rPr>
                <w:rFonts w:ascii="Times New Roman"/>
                <w:sz w:val="18"/>
              </w:rPr>
            </w:pPr>
          </w:p>
        </w:tc>
        <w:tc>
          <w:tcPr>
            <w:tcW w:w="2834" w:type="dxa"/>
            <w:tcBorders>
              <w:top w:val="nil"/>
              <w:bottom w:val="nil"/>
            </w:tcBorders>
          </w:tcPr>
          <w:p>
            <w:pPr>
              <w:pStyle w:val="TableParagraph"/>
              <w:spacing w:line="249" w:lineRule="exact"/>
              <w:ind w:left="109"/>
              <w:rPr>
                <w:sz w:val="22"/>
              </w:rPr>
            </w:pPr>
            <w:r>
              <w:rPr>
                <w:sz w:val="22"/>
              </w:rPr>
              <w:t>overview, Residential Care</w:t>
            </w:r>
          </w:p>
        </w:tc>
        <w:tc>
          <w:tcPr>
            <w:tcW w:w="2500" w:type="dxa"/>
            <w:tcBorders>
              <w:top w:val="nil"/>
              <w:bottom w:val="nil"/>
            </w:tcBorders>
          </w:tcPr>
          <w:p>
            <w:pPr>
              <w:pStyle w:val="TableParagraph"/>
              <w:spacing w:line="249" w:lineRule="exact"/>
              <w:ind w:left="109"/>
              <w:rPr>
                <w:sz w:val="22"/>
              </w:rPr>
            </w:pPr>
            <w:r>
              <w:rPr>
                <w:color w:val="396230"/>
                <w:sz w:val="22"/>
              </w:rPr>
              <w:t>and adding language to</w:t>
            </w:r>
          </w:p>
        </w:tc>
      </w:tr>
      <w:tr>
        <w:trPr>
          <w:trHeight w:val="268" w:hRule="atLeast"/>
        </w:trPr>
        <w:tc>
          <w:tcPr>
            <w:tcW w:w="3444" w:type="dxa"/>
            <w:tcBorders>
              <w:top w:val="nil"/>
              <w:bottom w:val="nil"/>
            </w:tcBorders>
          </w:tcPr>
          <w:p>
            <w:pPr>
              <w:pStyle w:val="TableParagraph"/>
              <w:rPr>
                <w:rFonts w:ascii="Times New Roman"/>
                <w:sz w:val="18"/>
              </w:rPr>
            </w:pPr>
          </w:p>
        </w:tc>
        <w:tc>
          <w:tcPr>
            <w:tcW w:w="2762" w:type="dxa"/>
            <w:tcBorders>
              <w:top w:val="nil"/>
              <w:bottom w:val="nil"/>
            </w:tcBorders>
          </w:tcPr>
          <w:p>
            <w:pPr>
              <w:pStyle w:val="TableParagraph"/>
              <w:spacing w:line="249" w:lineRule="exact"/>
              <w:ind w:left="107"/>
              <w:rPr>
                <w:sz w:val="22"/>
              </w:rPr>
            </w:pPr>
            <w:hyperlink r:id="rId25">
              <w:r>
                <w:rPr>
                  <w:color w:val="6B9F24"/>
                  <w:sz w:val="22"/>
                  <w:u w:val="single" w:color="6B9F24"/>
                </w:rPr>
                <w:t>101D-0125</w:t>
              </w:r>
            </w:hyperlink>
            <w:r>
              <w:rPr>
                <w:color w:val="6B9F24"/>
                <w:sz w:val="22"/>
              </w:rPr>
              <w:t> </w:t>
            </w:r>
            <w:r>
              <w:rPr>
                <w:sz w:val="22"/>
              </w:rPr>
              <w:t>through </w:t>
            </w:r>
            <w:hyperlink r:id="rId29">
              <w:r>
                <w:rPr>
                  <w:color w:val="6B9F24"/>
                  <w:sz w:val="22"/>
                  <w:u w:val="single" w:color="6B9F24"/>
                </w:rPr>
                <w:t>WAC</w:t>
              </w:r>
            </w:hyperlink>
          </w:p>
        </w:tc>
        <w:tc>
          <w:tcPr>
            <w:tcW w:w="1408" w:type="dxa"/>
            <w:tcBorders>
              <w:top w:val="nil"/>
              <w:bottom w:val="nil"/>
            </w:tcBorders>
          </w:tcPr>
          <w:p>
            <w:pPr>
              <w:pStyle w:val="TableParagraph"/>
              <w:rPr>
                <w:rFonts w:ascii="Times New Roman"/>
                <w:sz w:val="18"/>
              </w:rPr>
            </w:pPr>
          </w:p>
        </w:tc>
        <w:tc>
          <w:tcPr>
            <w:tcW w:w="2834" w:type="dxa"/>
            <w:tcBorders>
              <w:top w:val="nil"/>
              <w:bottom w:val="nil"/>
            </w:tcBorders>
          </w:tcPr>
          <w:p>
            <w:pPr>
              <w:pStyle w:val="TableParagraph"/>
              <w:spacing w:line="249" w:lineRule="exact"/>
              <w:ind w:left="109"/>
              <w:rPr>
                <w:sz w:val="22"/>
              </w:rPr>
            </w:pPr>
            <w:r>
              <w:rPr>
                <w:sz w:val="22"/>
              </w:rPr>
              <w:t>Services (RCS) Contracted</w:t>
            </w:r>
          </w:p>
        </w:tc>
        <w:tc>
          <w:tcPr>
            <w:tcW w:w="2500" w:type="dxa"/>
            <w:tcBorders>
              <w:top w:val="nil"/>
              <w:bottom w:val="nil"/>
            </w:tcBorders>
          </w:tcPr>
          <w:p>
            <w:pPr>
              <w:pStyle w:val="TableParagraph"/>
              <w:spacing w:line="249" w:lineRule="exact"/>
              <w:ind w:left="109"/>
              <w:rPr>
                <w:sz w:val="22"/>
              </w:rPr>
            </w:pPr>
            <w:r>
              <w:rPr>
                <w:color w:val="396230"/>
                <w:sz w:val="22"/>
              </w:rPr>
              <w:t>the contracts requiring</w:t>
            </w:r>
          </w:p>
        </w:tc>
      </w:tr>
      <w:tr>
        <w:trPr>
          <w:trHeight w:val="249" w:hRule="atLeast"/>
        </w:trPr>
        <w:tc>
          <w:tcPr>
            <w:tcW w:w="3444" w:type="dxa"/>
            <w:tcBorders>
              <w:top w:val="nil"/>
            </w:tcBorders>
          </w:tcPr>
          <w:p>
            <w:pPr>
              <w:pStyle w:val="TableParagraph"/>
              <w:rPr>
                <w:rFonts w:ascii="Times New Roman"/>
                <w:sz w:val="18"/>
              </w:rPr>
            </w:pPr>
          </w:p>
        </w:tc>
        <w:tc>
          <w:tcPr>
            <w:tcW w:w="2762" w:type="dxa"/>
            <w:tcBorders>
              <w:top w:val="nil"/>
            </w:tcBorders>
          </w:tcPr>
          <w:p>
            <w:pPr>
              <w:pStyle w:val="TableParagraph"/>
              <w:spacing w:line="229" w:lineRule="exact"/>
              <w:ind w:left="107"/>
              <w:rPr>
                <w:sz w:val="22"/>
              </w:rPr>
            </w:pPr>
            <w:hyperlink r:id="rId29">
              <w:r>
                <w:rPr>
                  <w:color w:val="6B9F24"/>
                  <w:sz w:val="22"/>
                  <w:u w:val="single" w:color="6B9F24"/>
                </w:rPr>
                <w:t>388-101D-0145</w:t>
              </w:r>
              <w:r>
                <w:rPr>
                  <w:color w:val="396230"/>
                  <w:sz w:val="22"/>
                </w:rPr>
                <w:t>.</w:t>
              </w:r>
            </w:hyperlink>
          </w:p>
        </w:tc>
        <w:tc>
          <w:tcPr>
            <w:tcW w:w="1408" w:type="dxa"/>
            <w:tcBorders>
              <w:top w:val="nil"/>
            </w:tcBorders>
          </w:tcPr>
          <w:p>
            <w:pPr>
              <w:pStyle w:val="TableParagraph"/>
              <w:rPr>
                <w:rFonts w:ascii="Times New Roman"/>
                <w:sz w:val="18"/>
              </w:rPr>
            </w:pPr>
          </w:p>
        </w:tc>
        <w:tc>
          <w:tcPr>
            <w:tcW w:w="2834" w:type="dxa"/>
            <w:tcBorders>
              <w:top w:val="nil"/>
            </w:tcBorders>
          </w:tcPr>
          <w:p>
            <w:pPr>
              <w:pStyle w:val="TableParagraph"/>
              <w:spacing w:line="229" w:lineRule="exact"/>
              <w:ind w:left="109"/>
              <w:rPr>
                <w:sz w:val="22"/>
              </w:rPr>
            </w:pPr>
            <w:r>
              <w:rPr>
                <w:sz w:val="22"/>
              </w:rPr>
              <w:t>Evaluators and RCS</w:t>
            </w:r>
          </w:p>
        </w:tc>
        <w:tc>
          <w:tcPr>
            <w:tcW w:w="2500" w:type="dxa"/>
            <w:tcBorders>
              <w:top w:val="nil"/>
            </w:tcBorders>
          </w:tcPr>
          <w:p>
            <w:pPr>
              <w:pStyle w:val="TableParagraph"/>
              <w:spacing w:line="229" w:lineRule="exact"/>
              <w:ind w:left="109"/>
              <w:rPr>
                <w:sz w:val="22"/>
              </w:rPr>
            </w:pPr>
            <w:r>
              <w:rPr>
                <w:color w:val="396230"/>
                <w:sz w:val="22"/>
              </w:rPr>
              <w:t>adherence to the WAC</w:t>
            </w:r>
            <w:r>
              <w:rPr>
                <w:sz w:val="22"/>
              </w:rPr>
              <w:t>.</w:t>
            </w:r>
          </w:p>
        </w:tc>
      </w:tr>
    </w:tbl>
    <w:p>
      <w:pPr>
        <w:pStyle w:val="BodyText"/>
        <w:spacing w:before="6"/>
        <w:rPr>
          <w:b/>
          <w:sz w:val="4"/>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4"/>
        <w:gridCol w:w="2762"/>
        <w:gridCol w:w="1408"/>
        <w:gridCol w:w="2834"/>
        <w:gridCol w:w="2500"/>
      </w:tblGrid>
      <w:tr>
        <w:trPr>
          <w:trHeight w:val="3102" w:hRule="atLeast"/>
        </w:trPr>
        <w:tc>
          <w:tcPr>
            <w:tcW w:w="3444" w:type="dxa"/>
            <w:vMerge w:val="restart"/>
          </w:tcPr>
          <w:p>
            <w:pPr>
              <w:pStyle w:val="TableParagraph"/>
              <w:rPr>
                <w:rFonts w:ascii="Times New Roman"/>
                <w:sz w:val="22"/>
              </w:rPr>
            </w:pPr>
          </w:p>
        </w:tc>
        <w:tc>
          <w:tcPr>
            <w:tcW w:w="2762" w:type="dxa"/>
            <w:tcBorders>
              <w:bottom w:val="nil"/>
            </w:tcBorders>
          </w:tcPr>
          <w:p>
            <w:pPr>
              <w:pStyle w:val="TableParagraph"/>
              <w:ind w:left="107" w:right="177"/>
              <w:rPr>
                <w:sz w:val="22"/>
              </w:rPr>
            </w:pPr>
            <w:r>
              <w:rPr>
                <w:sz w:val="22"/>
              </w:rPr>
              <w:t>Residential Guidelines and behavioral health crisis bed diversion services provider contracts inform and guide the provision of services.</w:t>
            </w:r>
          </w:p>
        </w:tc>
        <w:tc>
          <w:tcPr>
            <w:tcW w:w="1408" w:type="dxa"/>
            <w:vMerge w:val="restart"/>
          </w:tcPr>
          <w:p>
            <w:pPr>
              <w:pStyle w:val="TableParagraph"/>
              <w:rPr>
                <w:rFonts w:ascii="Times New Roman"/>
                <w:sz w:val="22"/>
              </w:rPr>
            </w:pPr>
          </w:p>
        </w:tc>
        <w:tc>
          <w:tcPr>
            <w:tcW w:w="2834" w:type="dxa"/>
            <w:tcBorders>
              <w:bottom w:val="nil"/>
            </w:tcBorders>
          </w:tcPr>
          <w:p>
            <w:pPr>
              <w:pStyle w:val="TableParagraph"/>
              <w:ind w:left="109" w:right="156"/>
              <w:rPr>
                <w:sz w:val="22"/>
              </w:rPr>
            </w:pPr>
            <w:r>
              <w:rPr>
                <w:sz w:val="22"/>
              </w:rPr>
              <w:t>Investigators conduct client observations, client and collateral interviews, service provider and staff interviews. RCS contracted evaluators and RCS Investigators also reviews clients’ finances and conducts client record reviews to ensure service providers’ compliance.</w:t>
            </w:r>
          </w:p>
        </w:tc>
        <w:tc>
          <w:tcPr>
            <w:tcW w:w="2500" w:type="dxa"/>
            <w:tcBorders>
              <w:bottom w:val="nil"/>
            </w:tcBorders>
          </w:tcPr>
          <w:p>
            <w:pPr>
              <w:pStyle w:val="TableParagraph"/>
              <w:spacing w:line="268" w:lineRule="exact"/>
              <w:ind w:left="109"/>
              <w:rPr>
                <w:sz w:val="22"/>
              </w:rPr>
            </w:pPr>
            <w:r>
              <w:rPr>
                <w:sz w:val="22"/>
              </w:rPr>
              <w:t>See </w:t>
            </w:r>
            <w:r>
              <w:rPr>
                <w:color w:val="6B9F24"/>
                <w:sz w:val="22"/>
                <w:u w:val="single" w:color="6B9F24"/>
              </w:rPr>
              <w:t>Appendix C</w:t>
            </w:r>
            <w:r>
              <w:rPr>
                <w:color w:val="396230"/>
                <w:sz w:val="22"/>
              </w:rPr>
              <w:t>.</w:t>
            </w:r>
          </w:p>
        </w:tc>
      </w:tr>
      <w:tr>
        <w:trPr>
          <w:trHeight w:val="1451" w:hRule="atLeast"/>
        </w:trPr>
        <w:tc>
          <w:tcPr>
            <w:tcW w:w="3444" w:type="dxa"/>
            <w:vMerge/>
            <w:tcBorders>
              <w:top w:val="nil"/>
            </w:tcBorders>
          </w:tcPr>
          <w:p>
            <w:pPr>
              <w:rPr>
                <w:sz w:val="2"/>
                <w:szCs w:val="2"/>
              </w:rPr>
            </w:pPr>
          </w:p>
        </w:tc>
        <w:tc>
          <w:tcPr>
            <w:tcW w:w="2762" w:type="dxa"/>
            <w:tcBorders>
              <w:top w:val="nil"/>
            </w:tcBorders>
          </w:tcPr>
          <w:p>
            <w:pPr>
              <w:pStyle w:val="TableParagraph"/>
              <w:rPr>
                <w:rFonts w:ascii="Times New Roman"/>
                <w:sz w:val="22"/>
              </w:rPr>
            </w:pPr>
          </w:p>
        </w:tc>
        <w:tc>
          <w:tcPr>
            <w:tcW w:w="1408" w:type="dxa"/>
            <w:vMerge/>
            <w:tcBorders>
              <w:top w:val="nil"/>
            </w:tcBorders>
          </w:tcPr>
          <w:p>
            <w:pPr>
              <w:rPr>
                <w:sz w:val="2"/>
                <w:szCs w:val="2"/>
              </w:rPr>
            </w:pPr>
          </w:p>
        </w:tc>
        <w:tc>
          <w:tcPr>
            <w:tcW w:w="2834" w:type="dxa"/>
            <w:tcBorders>
              <w:top w:val="nil"/>
            </w:tcBorders>
          </w:tcPr>
          <w:p>
            <w:pPr>
              <w:pStyle w:val="TableParagraph"/>
              <w:spacing w:before="110"/>
              <w:ind w:left="109" w:right="107"/>
              <w:rPr>
                <w:sz w:val="22"/>
              </w:rPr>
            </w:pPr>
            <w:r>
              <w:rPr>
                <w:sz w:val="22"/>
              </w:rPr>
              <w:t>On-site inspections ensure homes meet all licensing and certification requirements in WAC and RCW, including</w:t>
            </w:r>
          </w:p>
          <w:p>
            <w:pPr>
              <w:pStyle w:val="TableParagraph"/>
              <w:spacing w:line="248" w:lineRule="exact"/>
              <w:ind w:left="109"/>
              <w:rPr>
                <w:sz w:val="22"/>
              </w:rPr>
            </w:pPr>
            <w:r>
              <w:rPr>
                <w:color w:val="396230"/>
                <w:sz w:val="22"/>
              </w:rPr>
              <w:t>WAC 388-823-1095. </w:t>
            </w:r>
            <w:r>
              <w:rPr>
                <w:sz w:val="22"/>
              </w:rPr>
              <w:t>.</w:t>
            </w:r>
          </w:p>
        </w:tc>
        <w:tc>
          <w:tcPr>
            <w:tcW w:w="2500" w:type="dxa"/>
            <w:tcBorders>
              <w:top w:val="nil"/>
            </w:tcBorders>
          </w:tcPr>
          <w:p>
            <w:pPr>
              <w:pStyle w:val="TableParagraph"/>
              <w:rPr>
                <w:rFonts w:ascii="Times New Roman"/>
                <w:sz w:val="22"/>
              </w:rPr>
            </w:pPr>
          </w:p>
        </w:tc>
      </w:tr>
      <w:tr>
        <w:trPr>
          <w:trHeight w:val="287" w:hRule="atLeast"/>
        </w:trPr>
        <w:tc>
          <w:tcPr>
            <w:tcW w:w="3444" w:type="dxa"/>
            <w:tcBorders>
              <w:bottom w:val="nil"/>
            </w:tcBorders>
            <w:shd w:val="clear" w:color="auto" w:fill="D0E4CA"/>
          </w:tcPr>
          <w:p>
            <w:pPr>
              <w:pStyle w:val="TableParagraph"/>
              <w:spacing w:line="268" w:lineRule="exact"/>
              <w:ind w:left="107"/>
              <w:rPr>
                <w:b/>
                <w:sz w:val="22"/>
              </w:rPr>
            </w:pPr>
            <w:r>
              <w:rPr>
                <w:b/>
                <w:sz w:val="22"/>
              </w:rPr>
              <w:t>Individuals are able to have</w:t>
            </w:r>
          </w:p>
        </w:tc>
        <w:tc>
          <w:tcPr>
            <w:tcW w:w="2762" w:type="dxa"/>
            <w:tcBorders>
              <w:bottom w:val="nil"/>
            </w:tcBorders>
            <w:shd w:val="clear" w:color="auto" w:fill="D0E4CA"/>
          </w:tcPr>
          <w:p>
            <w:pPr>
              <w:pStyle w:val="TableParagraph"/>
              <w:spacing w:line="268" w:lineRule="exact"/>
              <w:ind w:left="107"/>
              <w:rPr>
                <w:sz w:val="22"/>
              </w:rPr>
            </w:pPr>
            <w:hyperlink r:id="rId23">
              <w:r>
                <w:rPr>
                  <w:color w:val="6B9F24"/>
                  <w:sz w:val="22"/>
                  <w:u w:val="single" w:color="6B9F24"/>
                </w:rPr>
                <w:t>WAC 388-823-1095</w:t>
              </w:r>
              <w:r>
                <w:rPr>
                  <w:color w:val="6B9F24"/>
                  <w:sz w:val="22"/>
                </w:rPr>
                <w:t> </w:t>
              </w:r>
            </w:hyperlink>
            <w:r>
              <w:rPr>
                <w:sz w:val="22"/>
              </w:rPr>
              <w:t>my</w:t>
            </w:r>
          </w:p>
        </w:tc>
        <w:tc>
          <w:tcPr>
            <w:tcW w:w="1408" w:type="dxa"/>
            <w:tcBorders>
              <w:bottom w:val="nil"/>
            </w:tcBorders>
            <w:shd w:val="clear" w:color="auto" w:fill="D0E4CA"/>
          </w:tcPr>
          <w:p>
            <w:pPr>
              <w:pStyle w:val="TableParagraph"/>
              <w:spacing w:line="268" w:lineRule="exact"/>
              <w:ind w:left="108"/>
              <w:rPr>
                <w:sz w:val="22"/>
              </w:rPr>
            </w:pPr>
            <w:r>
              <w:rPr>
                <w:color w:val="396230"/>
                <w:sz w:val="22"/>
              </w:rPr>
              <w:t>Partially</w:t>
            </w:r>
          </w:p>
        </w:tc>
        <w:tc>
          <w:tcPr>
            <w:tcW w:w="2834" w:type="dxa"/>
            <w:tcBorders>
              <w:bottom w:val="nil"/>
            </w:tcBorders>
            <w:shd w:val="clear" w:color="auto" w:fill="D0E4CA"/>
          </w:tcPr>
          <w:p>
            <w:pPr>
              <w:pStyle w:val="TableParagraph"/>
              <w:spacing w:line="268" w:lineRule="exact"/>
              <w:ind w:left="109"/>
              <w:rPr>
                <w:sz w:val="22"/>
              </w:rPr>
            </w:pPr>
            <w:r>
              <w:rPr>
                <w:sz w:val="22"/>
              </w:rPr>
              <w:t>As part of the certification</w:t>
            </w:r>
          </w:p>
        </w:tc>
        <w:tc>
          <w:tcPr>
            <w:tcW w:w="2500" w:type="dxa"/>
            <w:tcBorders>
              <w:bottom w:val="nil"/>
            </w:tcBorders>
            <w:shd w:val="clear" w:color="auto" w:fill="D0E4CA"/>
          </w:tcPr>
          <w:p>
            <w:pPr>
              <w:pStyle w:val="TableParagraph"/>
              <w:spacing w:line="268" w:lineRule="exact"/>
              <w:ind w:left="109"/>
              <w:rPr>
                <w:sz w:val="22"/>
              </w:rPr>
            </w:pPr>
            <w:r>
              <w:rPr>
                <w:sz w:val="22"/>
              </w:rPr>
              <w:t>Revising </w:t>
            </w:r>
            <w:r>
              <w:rPr>
                <w:color w:val="396230"/>
                <w:sz w:val="22"/>
              </w:rPr>
              <w:t>WAC 388-823-</w:t>
            </w:r>
          </w:p>
        </w:tc>
      </w:tr>
      <w:tr>
        <w:trPr>
          <w:trHeight w:val="268" w:hRule="atLeast"/>
        </w:trPr>
        <w:tc>
          <w:tcPr>
            <w:tcW w:w="3444" w:type="dxa"/>
            <w:tcBorders>
              <w:top w:val="nil"/>
              <w:bottom w:val="nil"/>
            </w:tcBorders>
            <w:shd w:val="clear" w:color="auto" w:fill="D0E4CA"/>
          </w:tcPr>
          <w:p>
            <w:pPr>
              <w:pStyle w:val="TableParagraph"/>
              <w:spacing w:line="249" w:lineRule="exact"/>
              <w:ind w:left="107"/>
              <w:rPr>
                <w:b/>
                <w:sz w:val="22"/>
              </w:rPr>
            </w:pPr>
            <w:r>
              <w:rPr>
                <w:b/>
                <w:sz w:val="22"/>
              </w:rPr>
              <w:t>visitors of their choosing at any</w:t>
            </w:r>
          </w:p>
        </w:tc>
        <w:tc>
          <w:tcPr>
            <w:tcW w:w="2762" w:type="dxa"/>
            <w:tcBorders>
              <w:top w:val="nil"/>
              <w:bottom w:val="nil"/>
            </w:tcBorders>
            <w:shd w:val="clear" w:color="auto" w:fill="D0E4CA"/>
          </w:tcPr>
          <w:p>
            <w:pPr>
              <w:pStyle w:val="TableParagraph"/>
              <w:spacing w:line="249" w:lineRule="exact"/>
              <w:ind w:left="107"/>
              <w:rPr>
                <w:sz w:val="22"/>
              </w:rPr>
            </w:pPr>
            <w:r>
              <w:rPr>
                <w:sz w:val="22"/>
              </w:rPr>
              <w:t>rights as a DDA client</w:t>
            </w:r>
          </w:p>
        </w:tc>
        <w:tc>
          <w:tcPr>
            <w:tcW w:w="1408" w:type="dxa"/>
            <w:tcBorders>
              <w:top w:val="nil"/>
              <w:bottom w:val="nil"/>
            </w:tcBorders>
            <w:shd w:val="clear" w:color="auto" w:fill="D0E4CA"/>
          </w:tcPr>
          <w:p>
            <w:pPr>
              <w:pStyle w:val="TableParagraph"/>
              <w:spacing w:line="249" w:lineRule="exact"/>
              <w:ind w:left="108"/>
              <w:rPr>
                <w:sz w:val="22"/>
              </w:rPr>
            </w:pPr>
            <w:r>
              <w:rPr>
                <w:color w:val="396230"/>
                <w:sz w:val="22"/>
              </w:rPr>
              <w:t>Compliant</w:t>
            </w:r>
          </w:p>
        </w:tc>
        <w:tc>
          <w:tcPr>
            <w:tcW w:w="2834" w:type="dxa"/>
            <w:tcBorders>
              <w:top w:val="nil"/>
              <w:bottom w:val="nil"/>
            </w:tcBorders>
            <w:shd w:val="clear" w:color="auto" w:fill="D0E4CA"/>
          </w:tcPr>
          <w:p>
            <w:pPr>
              <w:pStyle w:val="TableParagraph"/>
              <w:spacing w:line="249" w:lineRule="exact"/>
              <w:ind w:left="109"/>
              <w:rPr>
                <w:sz w:val="22"/>
              </w:rPr>
            </w:pPr>
            <w:r>
              <w:rPr>
                <w:sz w:val="22"/>
              </w:rPr>
              <w:t>and complaint investigation</w:t>
            </w:r>
          </w:p>
        </w:tc>
        <w:tc>
          <w:tcPr>
            <w:tcW w:w="2500" w:type="dxa"/>
            <w:tcBorders>
              <w:top w:val="nil"/>
              <w:bottom w:val="nil"/>
            </w:tcBorders>
            <w:shd w:val="clear" w:color="auto" w:fill="D0E4CA"/>
          </w:tcPr>
          <w:p>
            <w:pPr>
              <w:pStyle w:val="TableParagraph"/>
              <w:spacing w:line="249" w:lineRule="exact"/>
              <w:ind w:left="109"/>
              <w:rPr>
                <w:sz w:val="22"/>
              </w:rPr>
            </w:pPr>
            <w:r>
              <w:rPr>
                <w:color w:val="396230"/>
                <w:sz w:val="22"/>
              </w:rPr>
              <w:t>1095 </w:t>
            </w:r>
            <w:r>
              <w:rPr>
                <w:sz w:val="22"/>
              </w:rPr>
              <w:t>to include all rights</w:t>
            </w:r>
          </w:p>
        </w:tc>
      </w:tr>
      <w:tr>
        <w:trPr>
          <w:trHeight w:val="268" w:hRule="atLeast"/>
        </w:trPr>
        <w:tc>
          <w:tcPr>
            <w:tcW w:w="3444" w:type="dxa"/>
            <w:tcBorders>
              <w:top w:val="nil"/>
              <w:bottom w:val="nil"/>
            </w:tcBorders>
            <w:shd w:val="clear" w:color="auto" w:fill="D0E4CA"/>
          </w:tcPr>
          <w:p>
            <w:pPr>
              <w:pStyle w:val="TableParagraph"/>
              <w:spacing w:line="249" w:lineRule="exact"/>
              <w:ind w:left="107"/>
              <w:rPr>
                <w:b/>
                <w:sz w:val="22"/>
              </w:rPr>
            </w:pPr>
            <w:r>
              <w:rPr>
                <w:b/>
                <w:sz w:val="22"/>
              </w:rPr>
              <w:t>time</w:t>
            </w:r>
          </w:p>
        </w:tc>
        <w:tc>
          <w:tcPr>
            <w:tcW w:w="2762" w:type="dxa"/>
            <w:tcBorders>
              <w:top w:val="nil"/>
              <w:bottom w:val="nil"/>
            </w:tcBorders>
            <w:shd w:val="clear" w:color="auto" w:fill="D0E4CA"/>
          </w:tcPr>
          <w:p>
            <w:pPr>
              <w:pStyle w:val="TableParagraph"/>
              <w:spacing w:line="249" w:lineRule="exact"/>
              <w:ind w:left="107"/>
              <w:rPr>
                <w:sz w:val="22"/>
              </w:rPr>
            </w:pPr>
            <w:r>
              <w:rPr>
                <w:sz w:val="22"/>
              </w:rPr>
              <w:t>Protection of rights is</w:t>
            </w:r>
          </w:p>
        </w:tc>
        <w:tc>
          <w:tcPr>
            <w:tcW w:w="1408" w:type="dxa"/>
            <w:tcBorders>
              <w:top w:val="nil"/>
              <w:bottom w:val="nil"/>
            </w:tcBorders>
            <w:shd w:val="clear" w:color="auto" w:fill="D0E4CA"/>
          </w:tcPr>
          <w:p>
            <w:pPr>
              <w:pStyle w:val="TableParagraph"/>
              <w:rPr>
                <w:rFonts w:ascii="Times New Roman"/>
                <w:sz w:val="18"/>
              </w:rPr>
            </w:pPr>
          </w:p>
        </w:tc>
        <w:tc>
          <w:tcPr>
            <w:tcW w:w="2834" w:type="dxa"/>
            <w:tcBorders>
              <w:top w:val="nil"/>
              <w:bottom w:val="nil"/>
            </w:tcBorders>
            <w:shd w:val="clear" w:color="auto" w:fill="D0E4CA"/>
          </w:tcPr>
          <w:p>
            <w:pPr>
              <w:pStyle w:val="TableParagraph"/>
              <w:spacing w:line="249" w:lineRule="exact"/>
              <w:ind w:left="109"/>
              <w:rPr>
                <w:sz w:val="22"/>
              </w:rPr>
            </w:pPr>
            <w:r>
              <w:rPr>
                <w:sz w:val="22"/>
              </w:rPr>
              <w:t>process described in the</w:t>
            </w:r>
          </w:p>
        </w:tc>
        <w:tc>
          <w:tcPr>
            <w:tcW w:w="2500" w:type="dxa"/>
            <w:tcBorders>
              <w:top w:val="nil"/>
              <w:bottom w:val="nil"/>
            </w:tcBorders>
            <w:shd w:val="clear" w:color="auto" w:fill="D0E4CA"/>
          </w:tcPr>
          <w:p>
            <w:pPr>
              <w:pStyle w:val="TableParagraph"/>
              <w:spacing w:line="249" w:lineRule="exact"/>
              <w:ind w:left="109"/>
              <w:rPr>
                <w:sz w:val="22"/>
              </w:rPr>
            </w:pPr>
            <w:r>
              <w:rPr>
                <w:sz w:val="22"/>
              </w:rPr>
              <w:t>listed in the HCBS rules</w:t>
            </w:r>
          </w:p>
        </w:tc>
      </w:tr>
      <w:tr>
        <w:trPr>
          <w:trHeight w:val="268" w:hRule="atLeast"/>
        </w:trPr>
        <w:tc>
          <w:tcPr>
            <w:tcW w:w="3444" w:type="dxa"/>
            <w:tcBorders>
              <w:top w:val="nil"/>
              <w:bottom w:val="nil"/>
            </w:tcBorders>
            <w:shd w:val="clear" w:color="auto" w:fill="D0E4CA"/>
          </w:tcPr>
          <w:p>
            <w:pPr>
              <w:pStyle w:val="TableParagraph"/>
              <w:rPr>
                <w:rFonts w:ascii="Times New Roman"/>
                <w:sz w:val="18"/>
              </w:rPr>
            </w:pPr>
          </w:p>
        </w:tc>
        <w:tc>
          <w:tcPr>
            <w:tcW w:w="2762" w:type="dxa"/>
            <w:tcBorders>
              <w:top w:val="nil"/>
              <w:bottom w:val="nil"/>
            </w:tcBorders>
            <w:shd w:val="clear" w:color="auto" w:fill="D0E4CA"/>
          </w:tcPr>
          <w:p>
            <w:pPr>
              <w:pStyle w:val="TableParagraph"/>
              <w:spacing w:line="249" w:lineRule="exact"/>
              <w:ind w:left="107"/>
              <w:rPr>
                <w:sz w:val="22"/>
              </w:rPr>
            </w:pPr>
            <w:r>
              <w:rPr>
                <w:sz w:val="22"/>
              </w:rPr>
              <w:t>enforced through </w:t>
            </w:r>
            <w:hyperlink r:id="rId25">
              <w:r>
                <w:rPr>
                  <w:color w:val="6B9F24"/>
                  <w:sz w:val="22"/>
                  <w:u w:val="single" w:color="6B9F24"/>
                </w:rPr>
                <w:t>WAC 388-</w:t>
              </w:r>
            </w:hyperlink>
          </w:p>
        </w:tc>
        <w:tc>
          <w:tcPr>
            <w:tcW w:w="1408" w:type="dxa"/>
            <w:tcBorders>
              <w:top w:val="nil"/>
              <w:bottom w:val="nil"/>
            </w:tcBorders>
            <w:shd w:val="clear" w:color="auto" w:fill="D0E4CA"/>
          </w:tcPr>
          <w:p>
            <w:pPr>
              <w:pStyle w:val="TableParagraph"/>
              <w:rPr>
                <w:rFonts w:ascii="Times New Roman"/>
                <w:sz w:val="18"/>
              </w:rPr>
            </w:pPr>
          </w:p>
        </w:tc>
        <w:tc>
          <w:tcPr>
            <w:tcW w:w="2834" w:type="dxa"/>
            <w:tcBorders>
              <w:top w:val="nil"/>
              <w:bottom w:val="nil"/>
            </w:tcBorders>
            <w:shd w:val="clear" w:color="auto" w:fill="D0E4CA"/>
          </w:tcPr>
          <w:p>
            <w:pPr>
              <w:pStyle w:val="TableParagraph"/>
              <w:spacing w:line="249" w:lineRule="exact"/>
              <w:ind w:left="109"/>
              <w:rPr>
                <w:sz w:val="22"/>
              </w:rPr>
            </w:pPr>
            <w:r>
              <w:rPr>
                <w:sz w:val="22"/>
              </w:rPr>
              <w:t>overview, Residential Care</w:t>
            </w:r>
          </w:p>
        </w:tc>
        <w:tc>
          <w:tcPr>
            <w:tcW w:w="2500" w:type="dxa"/>
            <w:tcBorders>
              <w:top w:val="nil"/>
              <w:bottom w:val="nil"/>
            </w:tcBorders>
            <w:shd w:val="clear" w:color="auto" w:fill="D0E4CA"/>
          </w:tcPr>
          <w:p>
            <w:pPr>
              <w:pStyle w:val="TableParagraph"/>
              <w:spacing w:line="249" w:lineRule="exact"/>
              <w:ind w:left="109"/>
              <w:rPr>
                <w:sz w:val="22"/>
              </w:rPr>
            </w:pPr>
            <w:r>
              <w:rPr>
                <w:color w:val="396230"/>
                <w:sz w:val="22"/>
              </w:rPr>
              <w:t>and adding language to</w:t>
            </w:r>
          </w:p>
        </w:tc>
      </w:tr>
      <w:tr>
        <w:trPr>
          <w:trHeight w:val="268" w:hRule="atLeast"/>
        </w:trPr>
        <w:tc>
          <w:tcPr>
            <w:tcW w:w="3444" w:type="dxa"/>
            <w:tcBorders>
              <w:top w:val="nil"/>
              <w:bottom w:val="nil"/>
            </w:tcBorders>
            <w:shd w:val="clear" w:color="auto" w:fill="D0E4CA"/>
          </w:tcPr>
          <w:p>
            <w:pPr>
              <w:pStyle w:val="TableParagraph"/>
              <w:rPr>
                <w:rFonts w:ascii="Times New Roman"/>
                <w:sz w:val="18"/>
              </w:rPr>
            </w:pPr>
          </w:p>
        </w:tc>
        <w:tc>
          <w:tcPr>
            <w:tcW w:w="2762" w:type="dxa"/>
            <w:tcBorders>
              <w:top w:val="nil"/>
              <w:bottom w:val="nil"/>
            </w:tcBorders>
            <w:shd w:val="clear" w:color="auto" w:fill="D0E4CA"/>
          </w:tcPr>
          <w:p>
            <w:pPr>
              <w:pStyle w:val="TableParagraph"/>
              <w:spacing w:line="249" w:lineRule="exact"/>
              <w:ind w:left="107"/>
              <w:rPr>
                <w:sz w:val="22"/>
              </w:rPr>
            </w:pPr>
            <w:hyperlink r:id="rId25">
              <w:r>
                <w:rPr>
                  <w:color w:val="6B9F24"/>
                  <w:sz w:val="22"/>
                  <w:u w:val="single" w:color="6B9F24"/>
                </w:rPr>
                <w:t>101D-0125</w:t>
              </w:r>
              <w:r>
                <w:rPr>
                  <w:color w:val="6B9F24"/>
                  <w:sz w:val="22"/>
                </w:rPr>
                <w:t> </w:t>
              </w:r>
            </w:hyperlink>
            <w:r>
              <w:rPr>
                <w:sz w:val="22"/>
              </w:rPr>
              <w:t>through </w:t>
            </w:r>
            <w:hyperlink r:id="rId29">
              <w:r>
                <w:rPr>
                  <w:color w:val="6B9F24"/>
                  <w:sz w:val="22"/>
                  <w:u w:val="single" w:color="6B9F24"/>
                </w:rPr>
                <w:t>WAC</w:t>
              </w:r>
            </w:hyperlink>
          </w:p>
        </w:tc>
        <w:tc>
          <w:tcPr>
            <w:tcW w:w="1408" w:type="dxa"/>
            <w:tcBorders>
              <w:top w:val="nil"/>
              <w:bottom w:val="nil"/>
            </w:tcBorders>
            <w:shd w:val="clear" w:color="auto" w:fill="D0E4CA"/>
          </w:tcPr>
          <w:p>
            <w:pPr>
              <w:pStyle w:val="TableParagraph"/>
              <w:rPr>
                <w:rFonts w:ascii="Times New Roman"/>
                <w:sz w:val="18"/>
              </w:rPr>
            </w:pPr>
          </w:p>
        </w:tc>
        <w:tc>
          <w:tcPr>
            <w:tcW w:w="2834" w:type="dxa"/>
            <w:tcBorders>
              <w:top w:val="nil"/>
              <w:bottom w:val="nil"/>
            </w:tcBorders>
            <w:shd w:val="clear" w:color="auto" w:fill="D0E4CA"/>
          </w:tcPr>
          <w:p>
            <w:pPr>
              <w:pStyle w:val="TableParagraph"/>
              <w:spacing w:line="249" w:lineRule="exact"/>
              <w:ind w:left="109"/>
              <w:rPr>
                <w:sz w:val="22"/>
              </w:rPr>
            </w:pPr>
            <w:r>
              <w:rPr>
                <w:sz w:val="22"/>
              </w:rPr>
              <w:t>Services (RCS) Contracted</w:t>
            </w:r>
          </w:p>
        </w:tc>
        <w:tc>
          <w:tcPr>
            <w:tcW w:w="2500" w:type="dxa"/>
            <w:tcBorders>
              <w:top w:val="nil"/>
              <w:bottom w:val="nil"/>
            </w:tcBorders>
            <w:shd w:val="clear" w:color="auto" w:fill="D0E4CA"/>
          </w:tcPr>
          <w:p>
            <w:pPr>
              <w:pStyle w:val="TableParagraph"/>
              <w:spacing w:line="249" w:lineRule="exact"/>
              <w:ind w:left="109"/>
              <w:rPr>
                <w:sz w:val="22"/>
              </w:rPr>
            </w:pPr>
            <w:r>
              <w:rPr>
                <w:color w:val="396230"/>
                <w:sz w:val="22"/>
              </w:rPr>
              <w:t>the contracts requiring</w:t>
            </w:r>
          </w:p>
        </w:tc>
      </w:tr>
      <w:tr>
        <w:trPr>
          <w:trHeight w:val="268" w:hRule="atLeast"/>
        </w:trPr>
        <w:tc>
          <w:tcPr>
            <w:tcW w:w="3444" w:type="dxa"/>
            <w:tcBorders>
              <w:top w:val="nil"/>
              <w:bottom w:val="nil"/>
            </w:tcBorders>
            <w:shd w:val="clear" w:color="auto" w:fill="D0E4CA"/>
          </w:tcPr>
          <w:p>
            <w:pPr>
              <w:pStyle w:val="TableParagraph"/>
              <w:rPr>
                <w:rFonts w:ascii="Times New Roman"/>
                <w:sz w:val="18"/>
              </w:rPr>
            </w:pPr>
          </w:p>
        </w:tc>
        <w:tc>
          <w:tcPr>
            <w:tcW w:w="2762" w:type="dxa"/>
            <w:tcBorders>
              <w:top w:val="nil"/>
              <w:bottom w:val="nil"/>
            </w:tcBorders>
            <w:shd w:val="clear" w:color="auto" w:fill="D0E4CA"/>
          </w:tcPr>
          <w:p>
            <w:pPr>
              <w:pStyle w:val="TableParagraph"/>
              <w:spacing w:line="249" w:lineRule="exact"/>
              <w:ind w:left="107"/>
              <w:rPr>
                <w:sz w:val="22"/>
              </w:rPr>
            </w:pPr>
            <w:hyperlink r:id="rId29">
              <w:r>
                <w:rPr>
                  <w:color w:val="6B9F24"/>
                  <w:sz w:val="22"/>
                  <w:u w:val="single" w:color="6B9F24"/>
                </w:rPr>
                <w:t>388-101D-0145</w:t>
              </w:r>
              <w:r>
                <w:rPr>
                  <w:color w:val="396230"/>
                  <w:sz w:val="22"/>
                </w:rPr>
                <w:t>.</w:t>
              </w:r>
            </w:hyperlink>
          </w:p>
        </w:tc>
        <w:tc>
          <w:tcPr>
            <w:tcW w:w="1408" w:type="dxa"/>
            <w:tcBorders>
              <w:top w:val="nil"/>
              <w:bottom w:val="nil"/>
            </w:tcBorders>
            <w:shd w:val="clear" w:color="auto" w:fill="D0E4CA"/>
          </w:tcPr>
          <w:p>
            <w:pPr>
              <w:pStyle w:val="TableParagraph"/>
              <w:rPr>
                <w:rFonts w:ascii="Times New Roman"/>
                <w:sz w:val="18"/>
              </w:rPr>
            </w:pPr>
          </w:p>
        </w:tc>
        <w:tc>
          <w:tcPr>
            <w:tcW w:w="2834" w:type="dxa"/>
            <w:tcBorders>
              <w:top w:val="nil"/>
              <w:bottom w:val="nil"/>
            </w:tcBorders>
            <w:shd w:val="clear" w:color="auto" w:fill="D0E4CA"/>
          </w:tcPr>
          <w:p>
            <w:pPr>
              <w:pStyle w:val="TableParagraph"/>
              <w:spacing w:line="249" w:lineRule="exact"/>
              <w:ind w:left="109"/>
              <w:rPr>
                <w:sz w:val="22"/>
              </w:rPr>
            </w:pPr>
            <w:r>
              <w:rPr>
                <w:sz w:val="22"/>
              </w:rPr>
              <w:t>Evaluators and RCS</w:t>
            </w:r>
          </w:p>
        </w:tc>
        <w:tc>
          <w:tcPr>
            <w:tcW w:w="2500" w:type="dxa"/>
            <w:tcBorders>
              <w:top w:val="nil"/>
              <w:bottom w:val="nil"/>
            </w:tcBorders>
            <w:shd w:val="clear" w:color="auto" w:fill="D0E4CA"/>
          </w:tcPr>
          <w:p>
            <w:pPr>
              <w:pStyle w:val="TableParagraph"/>
              <w:spacing w:line="249" w:lineRule="exact"/>
              <w:ind w:left="109"/>
              <w:rPr>
                <w:sz w:val="22"/>
              </w:rPr>
            </w:pPr>
            <w:r>
              <w:rPr>
                <w:color w:val="396230"/>
                <w:sz w:val="22"/>
              </w:rPr>
              <w:t>adherence to the WAC</w:t>
            </w:r>
            <w:r>
              <w:rPr>
                <w:sz w:val="22"/>
              </w:rPr>
              <w:t>.</w:t>
            </w:r>
          </w:p>
        </w:tc>
      </w:tr>
      <w:tr>
        <w:trPr>
          <w:trHeight w:val="268" w:hRule="atLeast"/>
        </w:trPr>
        <w:tc>
          <w:tcPr>
            <w:tcW w:w="3444" w:type="dxa"/>
            <w:tcBorders>
              <w:top w:val="nil"/>
              <w:bottom w:val="nil"/>
            </w:tcBorders>
            <w:shd w:val="clear" w:color="auto" w:fill="D0E4CA"/>
          </w:tcPr>
          <w:p>
            <w:pPr>
              <w:pStyle w:val="TableParagraph"/>
              <w:rPr>
                <w:rFonts w:ascii="Times New Roman"/>
                <w:sz w:val="18"/>
              </w:rPr>
            </w:pPr>
          </w:p>
        </w:tc>
        <w:tc>
          <w:tcPr>
            <w:tcW w:w="2762" w:type="dxa"/>
            <w:tcBorders>
              <w:top w:val="nil"/>
              <w:bottom w:val="nil"/>
            </w:tcBorders>
            <w:shd w:val="clear" w:color="auto" w:fill="D0E4CA"/>
          </w:tcPr>
          <w:p>
            <w:pPr>
              <w:pStyle w:val="TableParagraph"/>
              <w:spacing w:line="249" w:lineRule="exact"/>
              <w:ind w:left="107"/>
              <w:rPr>
                <w:sz w:val="22"/>
              </w:rPr>
            </w:pPr>
            <w:r>
              <w:rPr>
                <w:sz w:val="22"/>
              </w:rPr>
              <w:t>Residential Guidelines and</w:t>
            </w:r>
          </w:p>
        </w:tc>
        <w:tc>
          <w:tcPr>
            <w:tcW w:w="1408" w:type="dxa"/>
            <w:tcBorders>
              <w:top w:val="nil"/>
              <w:bottom w:val="nil"/>
            </w:tcBorders>
            <w:shd w:val="clear" w:color="auto" w:fill="D0E4CA"/>
          </w:tcPr>
          <w:p>
            <w:pPr>
              <w:pStyle w:val="TableParagraph"/>
              <w:rPr>
                <w:rFonts w:ascii="Times New Roman"/>
                <w:sz w:val="18"/>
              </w:rPr>
            </w:pPr>
          </w:p>
        </w:tc>
        <w:tc>
          <w:tcPr>
            <w:tcW w:w="2834" w:type="dxa"/>
            <w:tcBorders>
              <w:top w:val="nil"/>
              <w:bottom w:val="nil"/>
            </w:tcBorders>
            <w:shd w:val="clear" w:color="auto" w:fill="D0E4CA"/>
          </w:tcPr>
          <w:p>
            <w:pPr>
              <w:pStyle w:val="TableParagraph"/>
              <w:spacing w:line="249" w:lineRule="exact"/>
              <w:ind w:left="109"/>
              <w:rPr>
                <w:sz w:val="22"/>
              </w:rPr>
            </w:pPr>
            <w:r>
              <w:rPr>
                <w:sz w:val="22"/>
              </w:rPr>
              <w:t>Investigators conduct client</w:t>
            </w:r>
          </w:p>
        </w:tc>
        <w:tc>
          <w:tcPr>
            <w:tcW w:w="2500" w:type="dxa"/>
            <w:tcBorders>
              <w:top w:val="nil"/>
              <w:bottom w:val="nil"/>
            </w:tcBorders>
            <w:shd w:val="clear" w:color="auto" w:fill="D0E4CA"/>
          </w:tcPr>
          <w:p>
            <w:pPr>
              <w:pStyle w:val="TableParagraph"/>
              <w:spacing w:line="249" w:lineRule="exact"/>
              <w:ind w:left="109"/>
              <w:rPr>
                <w:sz w:val="22"/>
              </w:rPr>
            </w:pPr>
            <w:r>
              <w:rPr>
                <w:sz w:val="22"/>
              </w:rPr>
              <w:t>See </w:t>
            </w:r>
            <w:r>
              <w:rPr>
                <w:color w:val="6B9F24"/>
                <w:sz w:val="22"/>
                <w:u w:val="single" w:color="6B9F24"/>
              </w:rPr>
              <w:t>Appendix C</w:t>
            </w:r>
            <w:r>
              <w:rPr>
                <w:color w:val="396230"/>
                <w:sz w:val="22"/>
              </w:rPr>
              <w:t>.</w:t>
            </w:r>
          </w:p>
        </w:tc>
      </w:tr>
      <w:tr>
        <w:trPr>
          <w:trHeight w:val="268" w:hRule="atLeast"/>
        </w:trPr>
        <w:tc>
          <w:tcPr>
            <w:tcW w:w="3444" w:type="dxa"/>
            <w:tcBorders>
              <w:top w:val="nil"/>
              <w:bottom w:val="nil"/>
            </w:tcBorders>
            <w:shd w:val="clear" w:color="auto" w:fill="D0E4CA"/>
          </w:tcPr>
          <w:p>
            <w:pPr>
              <w:pStyle w:val="TableParagraph"/>
              <w:rPr>
                <w:rFonts w:ascii="Times New Roman"/>
                <w:sz w:val="18"/>
              </w:rPr>
            </w:pPr>
          </w:p>
        </w:tc>
        <w:tc>
          <w:tcPr>
            <w:tcW w:w="2762" w:type="dxa"/>
            <w:tcBorders>
              <w:top w:val="nil"/>
              <w:bottom w:val="nil"/>
            </w:tcBorders>
            <w:shd w:val="clear" w:color="auto" w:fill="D0E4CA"/>
          </w:tcPr>
          <w:p>
            <w:pPr>
              <w:pStyle w:val="TableParagraph"/>
              <w:spacing w:line="249" w:lineRule="exact"/>
              <w:ind w:left="107"/>
              <w:rPr>
                <w:sz w:val="22"/>
              </w:rPr>
            </w:pPr>
            <w:r>
              <w:rPr>
                <w:sz w:val="22"/>
              </w:rPr>
              <w:t>behavioral health crisis bed</w:t>
            </w:r>
          </w:p>
        </w:tc>
        <w:tc>
          <w:tcPr>
            <w:tcW w:w="1408" w:type="dxa"/>
            <w:tcBorders>
              <w:top w:val="nil"/>
              <w:bottom w:val="nil"/>
            </w:tcBorders>
            <w:shd w:val="clear" w:color="auto" w:fill="D0E4CA"/>
          </w:tcPr>
          <w:p>
            <w:pPr>
              <w:pStyle w:val="TableParagraph"/>
              <w:rPr>
                <w:rFonts w:ascii="Times New Roman"/>
                <w:sz w:val="18"/>
              </w:rPr>
            </w:pPr>
          </w:p>
        </w:tc>
        <w:tc>
          <w:tcPr>
            <w:tcW w:w="2834" w:type="dxa"/>
            <w:tcBorders>
              <w:top w:val="nil"/>
              <w:bottom w:val="nil"/>
            </w:tcBorders>
            <w:shd w:val="clear" w:color="auto" w:fill="D0E4CA"/>
          </w:tcPr>
          <w:p>
            <w:pPr>
              <w:pStyle w:val="TableParagraph"/>
              <w:spacing w:line="249" w:lineRule="exact"/>
              <w:ind w:left="109"/>
              <w:rPr>
                <w:sz w:val="22"/>
              </w:rPr>
            </w:pPr>
            <w:r>
              <w:rPr>
                <w:sz w:val="22"/>
              </w:rPr>
              <w:t>observations, client and</w:t>
            </w:r>
          </w:p>
        </w:tc>
        <w:tc>
          <w:tcPr>
            <w:tcW w:w="2500" w:type="dxa"/>
            <w:tcBorders>
              <w:top w:val="nil"/>
              <w:bottom w:val="nil"/>
            </w:tcBorders>
            <w:shd w:val="clear" w:color="auto" w:fill="D0E4CA"/>
          </w:tcPr>
          <w:p>
            <w:pPr>
              <w:pStyle w:val="TableParagraph"/>
              <w:rPr>
                <w:rFonts w:ascii="Times New Roman"/>
                <w:sz w:val="18"/>
              </w:rPr>
            </w:pPr>
          </w:p>
        </w:tc>
      </w:tr>
      <w:tr>
        <w:trPr>
          <w:trHeight w:val="268" w:hRule="atLeast"/>
        </w:trPr>
        <w:tc>
          <w:tcPr>
            <w:tcW w:w="3444" w:type="dxa"/>
            <w:tcBorders>
              <w:top w:val="nil"/>
              <w:bottom w:val="nil"/>
            </w:tcBorders>
            <w:shd w:val="clear" w:color="auto" w:fill="D0E4CA"/>
          </w:tcPr>
          <w:p>
            <w:pPr>
              <w:pStyle w:val="TableParagraph"/>
              <w:rPr>
                <w:rFonts w:ascii="Times New Roman"/>
                <w:sz w:val="18"/>
              </w:rPr>
            </w:pPr>
          </w:p>
        </w:tc>
        <w:tc>
          <w:tcPr>
            <w:tcW w:w="2762" w:type="dxa"/>
            <w:tcBorders>
              <w:top w:val="nil"/>
              <w:bottom w:val="nil"/>
            </w:tcBorders>
            <w:shd w:val="clear" w:color="auto" w:fill="D0E4CA"/>
          </w:tcPr>
          <w:p>
            <w:pPr>
              <w:pStyle w:val="TableParagraph"/>
              <w:spacing w:line="249" w:lineRule="exact"/>
              <w:ind w:left="107"/>
              <w:rPr>
                <w:sz w:val="22"/>
              </w:rPr>
            </w:pPr>
            <w:r>
              <w:rPr>
                <w:sz w:val="22"/>
              </w:rPr>
              <w:t>diversion services provider</w:t>
            </w:r>
          </w:p>
        </w:tc>
        <w:tc>
          <w:tcPr>
            <w:tcW w:w="1408" w:type="dxa"/>
            <w:tcBorders>
              <w:top w:val="nil"/>
              <w:bottom w:val="nil"/>
            </w:tcBorders>
            <w:shd w:val="clear" w:color="auto" w:fill="D0E4CA"/>
          </w:tcPr>
          <w:p>
            <w:pPr>
              <w:pStyle w:val="TableParagraph"/>
              <w:rPr>
                <w:rFonts w:ascii="Times New Roman"/>
                <w:sz w:val="18"/>
              </w:rPr>
            </w:pPr>
          </w:p>
        </w:tc>
        <w:tc>
          <w:tcPr>
            <w:tcW w:w="2834" w:type="dxa"/>
            <w:tcBorders>
              <w:top w:val="nil"/>
              <w:bottom w:val="nil"/>
            </w:tcBorders>
            <w:shd w:val="clear" w:color="auto" w:fill="D0E4CA"/>
          </w:tcPr>
          <w:p>
            <w:pPr>
              <w:pStyle w:val="TableParagraph"/>
              <w:spacing w:line="249" w:lineRule="exact"/>
              <w:ind w:left="109"/>
              <w:rPr>
                <w:sz w:val="22"/>
              </w:rPr>
            </w:pPr>
            <w:r>
              <w:rPr>
                <w:sz w:val="22"/>
              </w:rPr>
              <w:t>collateral interviews, service</w:t>
            </w:r>
          </w:p>
        </w:tc>
        <w:tc>
          <w:tcPr>
            <w:tcW w:w="2500" w:type="dxa"/>
            <w:tcBorders>
              <w:top w:val="nil"/>
              <w:bottom w:val="nil"/>
            </w:tcBorders>
            <w:shd w:val="clear" w:color="auto" w:fill="D0E4CA"/>
          </w:tcPr>
          <w:p>
            <w:pPr>
              <w:pStyle w:val="TableParagraph"/>
              <w:rPr>
                <w:rFonts w:ascii="Times New Roman"/>
                <w:sz w:val="18"/>
              </w:rPr>
            </w:pPr>
          </w:p>
        </w:tc>
      </w:tr>
      <w:tr>
        <w:trPr>
          <w:trHeight w:val="267" w:hRule="atLeast"/>
        </w:trPr>
        <w:tc>
          <w:tcPr>
            <w:tcW w:w="3444" w:type="dxa"/>
            <w:tcBorders>
              <w:top w:val="nil"/>
              <w:bottom w:val="nil"/>
            </w:tcBorders>
            <w:shd w:val="clear" w:color="auto" w:fill="D0E4CA"/>
          </w:tcPr>
          <w:p>
            <w:pPr>
              <w:pStyle w:val="TableParagraph"/>
              <w:rPr>
                <w:rFonts w:ascii="Times New Roman"/>
                <w:sz w:val="18"/>
              </w:rPr>
            </w:pPr>
          </w:p>
        </w:tc>
        <w:tc>
          <w:tcPr>
            <w:tcW w:w="2762" w:type="dxa"/>
            <w:tcBorders>
              <w:top w:val="nil"/>
              <w:bottom w:val="nil"/>
            </w:tcBorders>
            <w:shd w:val="clear" w:color="auto" w:fill="D0E4CA"/>
          </w:tcPr>
          <w:p>
            <w:pPr>
              <w:pStyle w:val="TableParagraph"/>
              <w:spacing w:line="248" w:lineRule="exact"/>
              <w:ind w:left="107"/>
              <w:rPr>
                <w:sz w:val="22"/>
              </w:rPr>
            </w:pPr>
            <w:r>
              <w:rPr>
                <w:sz w:val="22"/>
              </w:rPr>
              <w:t>contracts inform and guide</w:t>
            </w:r>
          </w:p>
        </w:tc>
        <w:tc>
          <w:tcPr>
            <w:tcW w:w="1408" w:type="dxa"/>
            <w:tcBorders>
              <w:top w:val="nil"/>
              <w:bottom w:val="nil"/>
            </w:tcBorders>
            <w:shd w:val="clear" w:color="auto" w:fill="D0E4CA"/>
          </w:tcPr>
          <w:p>
            <w:pPr>
              <w:pStyle w:val="TableParagraph"/>
              <w:rPr>
                <w:rFonts w:ascii="Times New Roman"/>
                <w:sz w:val="18"/>
              </w:rPr>
            </w:pPr>
          </w:p>
        </w:tc>
        <w:tc>
          <w:tcPr>
            <w:tcW w:w="2834" w:type="dxa"/>
            <w:tcBorders>
              <w:top w:val="nil"/>
              <w:bottom w:val="nil"/>
            </w:tcBorders>
            <w:shd w:val="clear" w:color="auto" w:fill="D0E4CA"/>
          </w:tcPr>
          <w:p>
            <w:pPr>
              <w:pStyle w:val="TableParagraph"/>
              <w:spacing w:line="248" w:lineRule="exact"/>
              <w:ind w:left="109"/>
              <w:rPr>
                <w:sz w:val="22"/>
              </w:rPr>
            </w:pPr>
            <w:r>
              <w:rPr>
                <w:sz w:val="22"/>
              </w:rPr>
              <w:t>provider and staff</w:t>
            </w:r>
          </w:p>
        </w:tc>
        <w:tc>
          <w:tcPr>
            <w:tcW w:w="2500" w:type="dxa"/>
            <w:tcBorders>
              <w:top w:val="nil"/>
              <w:bottom w:val="nil"/>
            </w:tcBorders>
            <w:shd w:val="clear" w:color="auto" w:fill="D0E4CA"/>
          </w:tcPr>
          <w:p>
            <w:pPr>
              <w:pStyle w:val="TableParagraph"/>
              <w:rPr>
                <w:rFonts w:ascii="Times New Roman"/>
                <w:sz w:val="18"/>
              </w:rPr>
            </w:pPr>
          </w:p>
        </w:tc>
      </w:tr>
      <w:tr>
        <w:trPr>
          <w:trHeight w:val="267" w:hRule="atLeast"/>
        </w:trPr>
        <w:tc>
          <w:tcPr>
            <w:tcW w:w="3444" w:type="dxa"/>
            <w:tcBorders>
              <w:top w:val="nil"/>
              <w:bottom w:val="nil"/>
            </w:tcBorders>
            <w:shd w:val="clear" w:color="auto" w:fill="D0E4CA"/>
          </w:tcPr>
          <w:p>
            <w:pPr>
              <w:pStyle w:val="TableParagraph"/>
              <w:rPr>
                <w:rFonts w:ascii="Times New Roman"/>
                <w:sz w:val="18"/>
              </w:rPr>
            </w:pPr>
          </w:p>
        </w:tc>
        <w:tc>
          <w:tcPr>
            <w:tcW w:w="2762" w:type="dxa"/>
            <w:tcBorders>
              <w:top w:val="nil"/>
              <w:bottom w:val="nil"/>
            </w:tcBorders>
            <w:shd w:val="clear" w:color="auto" w:fill="D0E4CA"/>
          </w:tcPr>
          <w:p>
            <w:pPr>
              <w:pStyle w:val="TableParagraph"/>
              <w:spacing w:line="247" w:lineRule="exact"/>
              <w:ind w:left="107"/>
              <w:rPr>
                <w:sz w:val="22"/>
              </w:rPr>
            </w:pPr>
            <w:r>
              <w:rPr>
                <w:sz w:val="22"/>
              </w:rPr>
              <w:t>the provision of services.</w:t>
            </w:r>
          </w:p>
        </w:tc>
        <w:tc>
          <w:tcPr>
            <w:tcW w:w="1408" w:type="dxa"/>
            <w:tcBorders>
              <w:top w:val="nil"/>
              <w:bottom w:val="nil"/>
            </w:tcBorders>
            <w:shd w:val="clear" w:color="auto" w:fill="D0E4CA"/>
          </w:tcPr>
          <w:p>
            <w:pPr>
              <w:pStyle w:val="TableParagraph"/>
              <w:rPr>
                <w:rFonts w:ascii="Times New Roman"/>
                <w:sz w:val="18"/>
              </w:rPr>
            </w:pPr>
          </w:p>
        </w:tc>
        <w:tc>
          <w:tcPr>
            <w:tcW w:w="2834" w:type="dxa"/>
            <w:tcBorders>
              <w:top w:val="nil"/>
              <w:bottom w:val="nil"/>
            </w:tcBorders>
            <w:shd w:val="clear" w:color="auto" w:fill="D0E4CA"/>
          </w:tcPr>
          <w:p>
            <w:pPr>
              <w:pStyle w:val="TableParagraph"/>
              <w:spacing w:line="247" w:lineRule="exact"/>
              <w:ind w:left="109"/>
              <w:rPr>
                <w:sz w:val="22"/>
              </w:rPr>
            </w:pPr>
            <w:r>
              <w:rPr>
                <w:sz w:val="22"/>
              </w:rPr>
              <w:t>interviews. RCS contracted</w:t>
            </w:r>
          </w:p>
        </w:tc>
        <w:tc>
          <w:tcPr>
            <w:tcW w:w="2500" w:type="dxa"/>
            <w:tcBorders>
              <w:top w:val="nil"/>
              <w:bottom w:val="nil"/>
            </w:tcBorders>
            <w:shd w:val="clear" w:color="auto" w:fill="D0E4CA"/>
          </w:tcPr>
          <w:p>
            <w:pPr>
              <w:pStyle w:val="TableParagraph"/>
              <w:rPr>
                <w:rFonts w:ascii="Times New Roman"/>
                <w:sz w:val="18"/>
              </w:rPr>
            </w:pPr>
          </w:p>
        </w:tc>
      </w:tr>
      <w:tr>
        <w:trPr>
          <w:trHeight w:val="268" w:hRule="atLeast"/>
        </w:trPr>
        <w:tc>
          <w:tcPr>
            <w:tcW w:w="3444" w:type="dxa"/>
            <w:tcBorders>
              <w:top w:val="nil"/>
              <w:bottom w:val="nil"/>
            </w:tcBorders>
            <w:shd w:val="clear" w:color="auto" w:fill="D0E4CA"/>
          </w:tcPr>
          <w:p>
            <w:pPr>
              <w:pStyle w:val="TableParagraph"/>
              <w:rPr>
                <w:rFonts w:ascii="Times New Roman"/>
                <w:sz w:val="18"/>
              </w:rPr>
            </w:pPr>
          </w:p>
        </w:tc>
        <w:tc>
          <w:tcPr>
            <w:tcW w:w="2762" w:type="dxa"/>
            <w:tcBorders>
              <w:top w:val="nil"/>
              <w:bottom w:val="nil"/>
            </w:tcBorders>
            <w:shd w:val="clear" w:color="auto" w:fill="D0E4CA"/>
          </w:tcPr>
          <w:p>
            <w:pPr>
              <w:pStyle w:val="TableParagraph"/>
              <w:rPr>
                <w:rFonts w:ascii="Times New Roman"/>
                <w:sz w:val="18"/>
              </w:rPr>
            </w:pPr>
          </w:p>
        </w:tc>
        <w:tc>
          <w:tcPr>
            <w:tcW w:w="1408" w:type="dxa"/>
            <w:tcBorders>
              <w:top w:val="nil"/>
              <w:bottom w:val="nil"/>
            </w:tcBorders>
            <w:shd w:val="clear" w:color="auto" w:fill="D0E4CA"/>
          </w:tcPr>
          <w:p>
            <w:pPr>
              <w:pStyle w:val="TableParagraph"/>
              <w:rPr>
                <w:rFonts w:ascii="Times New Roman"/>
                <w:sz w:val="18"/>
              </w:rPr>
            </w:pPr>
          </w:p>
        </w:tc>
        <w:tc>
          <w:tcPr>
            <w:tcW w:w="2834" w:type="dxa"/>
            <w:tcBorders>
              <w:top w:val="nil"/>
              <w:bottom w:val="nil"/>
            </w:tcBorders>
            <w:shd w:val="clear" w:color="auto" w:fill="D0E4CA"/>
          </w:tcPr>
          <w:p>
            <w:pPr>
              <w:pStyle w:val="TableParagraph"/>
              <w:spacing w:line="249" w:lineRule="exact"/>
              <w:ind w:left="109"/>
              <w:rPr>
                <w:sz w:val="22"/>
              </w:rPr>
            </w:pPr>
            <w:r>
              <w:rPr>
                <w:sz w:val="22"/>
              </w:rPr>
              <w:t>evaluators and RCS</w:t>
            </w:r>
          </w:p>
        </w:tc>
        <w:tc>
          <w:tcPr>
            <w:tcW w:w="2500" w:type="dxa"/>
            <w:tcBorders>
              <w:top w:val="nil"/>
              <w:bottom w:val="nil"/>
            </w:tcBorders>
            <w:shd w:val="clear" w:color="auto" w:fill="D0E4CA"/>
          </w:tcPr>
          <w:p>
            <w:pPr>
              <w:pStyle w:val="TableParagraph"/>
              <w:rPr>
                <w:rFonts w:ascii="Times New Roman"/>
                <w:sz w:val="18"/>
              </w:rPr>
            </w:pPr>
          </w:p>
        </w:tc>
      </w:tr>
      <w:tr>
        <w:trPr>
          <w:trHeight w:val="268" w:hRule="atLeast"/>
        </w:trPr>
        <w:tc>
          <w:tcPr>
            <w:tcW w:w="3444" w:type="dxa"/>
            <w:tcBorders>
              <w:top w:val="nil"/>
              <w:bottom w:val="nil"/>
            </w:tcBorders>
            <w:shd w:val="clear" w:color="auto" w:fill="D0E4CA"/>
          </w:tcPr>
          <w:p>
            <w:pPr>
              <w:pStyle w:val="TableParagraph"/>
              <w:rPr>
                <w:rFonts w:ascii="Times New Roman"/>
                <w:sz w:val="18"/>
              </w:rPr>
            </w:pPr>
          </w:p>
        </w:tc>
        <w:tc>
          <w:tcPr>
            <w:tcW w:w="2762" w:type="dxa"/>
            <w:tcBorders>
              <w:top w:val="nil"/>
              <w:bottom w:val="nil"/>
            </w:tcBorders>
            <w:shd w:val="clear" w:color="auto" w:fill="D0E4CA"/>
          </w:tcPr>
          <w:p>
            <w:pPr>
              <w:pStyle w:val="TableParagraph"/>
              <w:rPr>
                <w:rFonts w:ascii="Times New Roman"/>
                <w:sz w:val="18"/>
              </w:rPr>
            </w:pPr>
          </w:p>
        </w:tc>
        <w:tc>
          <w:tcPr>
            <w:tcW w:w="1408" w:type="dxa"/>
            <w:tcBorders>
              <w:top w:val="nil"/>
              <w:bottom w:val="nil"/>
            </w:tcBorders>
            <w:shd w:val="clear" w:color="auto" w:fill="D0E4CA"/>
          </w:tcPr>
          <w:p>
            <w:pPr>
              <w:pStyle w:val="TableParagraph"/>
              <w:rPr>
                <w:rFonts w:ascii="Times New Roman"/>
                <w:sz w:val="18"/>
              </w:rPr>
            </w:pPr>
          </w:p>
        </w:tc>
        <w:tc>
          <w:tcPr>
            <w:tcW w:w="2834" w:type="dxa"/>
            <w:tcBorders>
              <w:top w:val="nil"/>
              <w:bottom w:val="nil"/>
            </w:tcBorders>
            <w:shd w:val="clear" w:color="auto" w:fill="D0E4CA"/>
          </w:tcPr>
          <w:p>
            <w:pPr>
              <w:pStyle w:val="TableParagraph"/>
              <w:spacing w:line="249" w:lineRule="exact"/>
              <w:ind w:left="109"/>
              <w:rPr>
                <w:sz w:val="22"/>
              </w:rPr>
            </w:pPr>
            <w:r>
              <w:rPr>
                <w:sz w:val="22"/>
              </w:rPr>
              <w:t>Investigators also reviews</w:t>
            </w:r>
          </w:p>
        </w:tc>
        <w:tc>
          <w:tcPr>
            <w:tcW w:w="2500" w:type="dxa"/>
            <w:tcBorders>
              <w:top w:val="nil"/>
              <w:bottom w:val="nil"/>
            </w:tcBorders>
            <w:shd w:val="clear" w:color="auto" w:fill="D0E4CA"/>
          </w:tcPr>
          <w:p>
            <w:pPr>
              <w:pStyle w:val="TableParagraph"/>
              <w:rPr>
                <w:rFonts w:ascii="Times New Roman"/>
                <w:sz w:val="18"/>
              </w:rPr>
            </w:pPr>
          </w:p>
        </w:tc>
      </w:tr>
      <w:tr>
        <w:trPr>
          <w:trHeight w:val="268" w:hRule="atLeast"/>
        </w:trPr>
        <w:tc>
          <w:tcPr>
            <w:tcW w:w="3444" w:type="dxa"/>
            <w:tcBorders>
              <w:top w:val="nil"/>
              <w:bottom w:val="nil"/>
            </w:tcBorders>
            <w:shd w:val="clear" w:color="auto" w:fill="D0E4CA"/>
          </w:tcPr>
          <w:p>
            <w:pPr>
              <w:pStyle w:val="TableParagraph"/>
              <w:rPr>
                <w:rFonts w:ascii="Times New Roman"/>
                <w:sz w:val="18"/>
              </w:rPr>
            </w:pPr>
          </w:p>
        </w:tc>
        <w:tc>
          <w:tcPr>
            <w:tcW w:w="2762" w:type="dxa"/>
            <w:tcBorders>
              <w:top w:val="nil"/>
              <w:bottom w:val="nil"/>
            </w:tcBorders>
            <w:shd w:val="clear" w:color="auto" w:fill="D0E4CA"/>
          </w:tcPr>
          <w:p>
            <w:pPr>
              <w:pStyle w:val="TableParagraph"/>
              <w:rPr>
                <w:rFonts w:ascii="Times New Roman"/>
                <w:sz w:val="18"/>
              </w:rPr>
            </w:pPr>
          </w:p>
        </w:tc>
        <w:tc>
          <w:tcPr>
            <w:tcW w:w="1408" w:type="dxa"/>
            <w:tcBorders>
              <w:top w:val="nil"/>
              <w:bottom w:val="nil"/>
            </w:tcBorders>
            <w:shd w:val="clear" w:color="auto" w:fill="D0E4CA"/>
          </w:tcPr>
          <w:p>
            <w:pPr>
              <w:pStyle w:val="TableParagraph"/>
              <w:rPr>
                <w:rFonts w:ascii="Times New Roman"/>
                <w:sz w:val="18"/>
              </w:rPr>
            </w:pPr>
          </w:p>
        </w:tc>
        <w:tc>
          <w:tcPr>
            <w:tcW w:w="2834" w:type="dxa"/>
            <w:tcBorders>
              <w:top w:val="nil"/>
              <w:bottom w:val="nil"/>
            </w:tcBorders>
            <w:shd w:val="clear" w:color="auto" w:fill="D0E4CA"/>
          </w:tcPr>
          <w:p>
            <w:pPr>
              <w:pStyle w:val="TableParagraph"/>
              <w:spacing w:line="249" w:lineRule="exact"/>
              <w:ind w:left="109"/>
              <w:rPr>
                <w:sz w:val="22"/>
              </w:rPr>
            </w:pPr>
            <w:r>
              <w:rPr>
                <w:sz w:val="22"/>
              </w:rPr>
              <w:t>clients’ finances and</w:t>
            </w:r>
          </w:p>
        </w:tc>
        <w:tc>
          <w:tcPr>
            <w:tcW w:w="2500" w:type="dxa"/>
            <w:tcBorders>
              <w:top w:val="nil"/>
              <w:bottom w:val="nil"/>
            </w:tcBorders>
            <w:shd w:val="clear" w:color="auto" w:fill="D0E4CA"/>
          </w:tcPr>
          <w:p>
            <w:pPr>
              <w:pStyle w:val="TableParagraph"/>
              <w:rPr>
                <w:rFonts w:ascii="Times New Roman"/>
                <w:sz w:val="18"/>
              </w:rPr>
            </w:pPr>
          </w:p>
        </w:tc>
      </w:tr>
      <w:tr>
        <w:trPr>
          <w:trHeight w:val="268" w:hRule="atLeast"/>
        </w:trPr>
        <w:tc>
          <w:tcPr>
            <w:tcW w:w="3444" w:type="dxa"/>
            <w:tcBorders>
              <w:top w:val="nil"/>
              <w:bottom w:val="nil"/>
            </w:tcBorders>
            <w:shd w:val="clear" w:color="auto" w:fill="D0E4CA"/>
          </w:tcPr>
          <w:p>
            <w:pPr>
              <w:pStyle w:val="TableParagraph"/>
              <w:rPr>
                <w:rFonts w:ascii="Times New Roman"/>
                <w:sz w:val="18"/>
              </w:rPr>
            </w:pPr>
          </w:p>
        </w:tc>
        <w:tc>
          <w:tcPr>
            <w:tcW w:w="2762" w:type="dxa"/>
            <w:tcBorders>
              <w:top w:val="nil"/>
              <w:bottom w:val="nil"/>
            </w:tcBorders>
            <w:shd w:val="clear" w:color="auto" w:fill="D0E4CA"/>
          </w:tcPr>
          <w:p>
            <w:pPr>
              <w:pStyle w:val="TableParagraph"/>
              <w:rPr>
                <w:rFonts w:ascii="Times New Roman"/>
                <w:sz w:val="18"/>
              </w:rPr>
            </w:pPr>
          </w:p>
        </w:tc>
        <w:tc>
          <w:tcPr>
            <w:tcW w:w="1408" w:type="dxa"/>
            <w:tcBorders>
              <w:top w:val="nil"/>
              <w:bottom w:val="nil"/>
            </w:tcBorders>
            <w:shd w:val="clear" w:color="auto" w:fill="D0E4CA"/>
          </w:tcPr>
          <w:p>
            <w:pPr>
              <w:pStyle w:val="TableParagraph"/>
              <w:rPr>
                <w:rFonts w:ascii="Times New Roman"/>
                <w:sz w:val="18"/>
              </w:rPr>
            </w:pPr>
          </w:p>
        </w:tc>
        <w:tc>
          <w:tcPr>
            <w:tcW w:w="2834" w:type="dxa"/>
            <w:tcBorders>
              <w:top w:val="nil"/>
              <w:bottom w:val="nil"/>
            </w:tcBorders>
            <w:shd w:val="clear" w:color="auto" w:fill="D0E4CA"/>
          </w:tcPr>
          <w:p>
            <w:pPr>
              <w:pStyle w:val="TableParagraph"/>
              <w:spacing w:line="249" w:lineRule="exact"/>
              <w:ind w:left="109"/>
              <w:rPr>
                <w:sz w:val="22"/>
              </w:rPr>
            </w:pPr>
            <w:r>
              <w:rPr>
                <w:sz w:val="22"/>
              </w:rPr>
              <w:t>conducts client record</w:t>
            </w:r>
          </w:p>
        </w:tc>
        <w:tc>
          <w:tcPr>
            <w:tcW w:w="2500" w:type="dxa"/>
            <w:tcBorders>
              <w:top w:val="nil"/>
              <w:bottom w:val="nil"/>
            </w:tcBorders>
            <w:shd w:val="clear" w:color="auto" w:fill="D0E4CA"/>
          </w:tcPr>
          <w:p>
            <w:pPr>
              <w:pStyle w:val="TableParagraph"/>
              <w:rPr>
                <w:rFonts w:ascii="Times New Roman"/>
                <w:sz w:val="18"/>
              </w:rPr>
            </w:pPr>
          </w:p>
        </w:tc>
      </w:tr>
      <w:tr>
        <w:trPr>
          <w:trHeight w:val="268" w:hRule="atLeast"/>
        </w:trPr>
        <w:tc>
          <w:tcPr>
            <w:tcW w:w="3444" w:type="dxa"/>
            <w:tcBorders>
              <w:top w:val="nil"/>
              <w:bottom w:val="nil"/>
            </w:tcBorders>
            <w:shd w:val="clear" w:color="auto" w:fill="D0E4CA"/>
          </w:tcPr>
          <w:p>
            <w:pPr>
              <w:pStyle w:val="TableParagraph"/>
              <w:rPr>
                <w:rFonts w:ascii="Times New Roman"/>
                <w:sz w:val="18"/>
              </w:rPr>
            </w:pPr>
          </w:p>
        </w:tc>
        <w:tc>
          <w:tcPr>
            <w:tcW w:w="2762" w:type="dxa"/>
            <w:tcBorders>
              <w:top w:val="nil"/>
              <w:bottom w:val="nil"/>
            </w:tcBorders>
            <w:shd w:val="clear" w:color="auto" w:fill="D0E4CA"/>
          </w:tcPr>
          <w:p>
            <w:pPr>
              <w:pStyle w:val="TableParagraph"/>
              <w:rPr>
                <w:rFonts w:ascii="Times New Roman"/>
                <w:sz w:val="18"/>
              </w:rPr>
            </w:pPr>
          </w:p>
        </w:tc>
        <w:tc>
          <w:tcPr>
            <w:tcW w:w="1408" w:type="dxa"/>
            <w:tcBorders>
              <w:top w:val="nil"/>
              <w:bottom w:val="nil"/>
            </w:tcBorders>
            <w:shd w:val="clear" w:color="auto" w:fill="D0E4CA"/>
          </w:tcPr>
          <w:p>
            <w:pPr>
              <w:pStyle w:val="TableParagraph"/>
              <w:rPr>
                <w:rFonts w:ascii="Times New Roman"/>
                <w:sz w:val="18"/>
              </w:rPr>
            </w:pPr>
          </w:p>
        </w:tc>
        <w:tc>
          <w:tcPr>
            <w:tcW w:w="2834" w:type="dxa"/>
            <w:tcBorders>
              <w:top w:val="nil"/>
              <w:bottom w:val="nil"/>
            </w:tcBorders>
            <w:shd w:val="clear" w:color="auto" w:fill="D0E4CA"/>
          </w:tcPr>
          <w:p>
            <w:pPr>
              <w:pStyle w:val="TableParagraph"/>
              <w:spacing w:line="249" w:lineRule="exact"/>
              <w:ind w:left="109"/>
              <w:rPr>
                <w:sz w:val="22"/>
              </w:rPr>
            </w:pPr>
            <w:r>
              <w:rPr>
                <w:sz w:val="22"/>
              </w:rPr>
              <w:t>reviews to ensure service</w:t>
            </w:r>
          </w:p>
        </w:tc>
        <w:tc>
          <w:tcPr>
            <w:tcW w:w="2500" w:type="dxa"/>
            <w:tcBorders>
              <w:top w:val="nil"/>
              <w:bottom w:val="nil"/>
            </w:tcBorders>
            <w:shd w:val="clear" w:color="auto" w:fill="D0E4CA"/>
          </w:tcPr>
          <w:p>
            <w:pPr>
              <w:pStyle w:val="TableParagraph"/>
              <w:rPr>
                <w:rFonts w:ascii="Times New Roman"/>
                <w:sz w:val="18"/>
              </w:rPr>
            </w:pPr>
          </w:p>
        </w:tc>
      </w:tr>
      <w:tr>
        <w:trPr>
          <w:trHeight w:val="249" w:hRule="atLeast"/>
        </w:trPr>
        <w:tc>
          <w:tcPr>
            <w:tcW w:w="3444" w:type="dxa"/>
            <w:tcBorders>
              <w:top w:val="nil"/>
            </w:tcBorders>
            <w:shd w:val="clear" w:color="auto" w:fill="D0E4CA"/>
          </w:tcPr>
          <w:p>
            <w:pPr>
              <w:pStyle w:val="TableParagraph"/>
              <w:rPr>
                <w:rFonts w:ascii="Times New Roman"/>
                <w:sz w:val="18"/>
              </w:rPr>
            </w:pPr>
          </w:p>
        </w:tc>
        <w:tc>
          <w:tcPr>
            <w:tcW w:w="2762" w:type="dxa"/>
            <w:tcBorders>
              <w:top w:val="nil"/>
            </w:tcBorders>
            <w:shd w:val="clear" w:color="auto" w:fill="D0E4CA"/>
          </w:tcPr>
          <w:p>
            <w:pPr>
              <w:pStyle w:val="TableParagraph"/>
              <w:rPr>
                <w:rFonts w:ascii="Times New Roman"/>
                <w:sz w:val="18"/>
              </w:rPr>
            </w:pPr>
          </w:p>
        </w:tc>
        <w:tc>
          <w:tcPr>
            <w:tcW w:w="1408" w:type="dxa"/>
            <w:tcBorders>
              <w:top w:val="nil"/>
            </w:tcBorders>
            <w:shd w:val="clear" w:color="auto" w:fill="D0E4CA"/>
          </w:tcPr>
          <w:p>
            <w:pPr>
              <w:pStyle w:val="TableParagraph"/>
              <w:rPr>
                <w:rFonts w:ascii="Times New Roman"/>
                <w:sz w:val="18"/>
              </w:rPr>
            </w:pPr>
          </w:p>
        </w:tc>
        <w:tc>
          <w:tcPr>
            <w:tcW w:w="2834" w:type="dxa"/>
            <w:tcBorders>
              <w:top w:val="nil"/>
            </w:tcBorders>
            <w:shd w:val="clear" w:color="auto" w:fill="D0E4CA"/>
          </w:tcPr>
          <w:p>
            <w:pPr>
              <w:pStyle w:val="TableParagraph"/>
              <w:spacing w:line="229" w:lineRule="exact"/>
              <w:ind w:left="109"/>
              <w:rPr>
                <w:sz w:val="22"/>
              </w:rPr>
            </w:pPr>
            <w:r>
              <w:rPr>
                <w:sz w:val="22"/>
              </w:rPr>
              <w:t>providers’ compliance.</w:t>
            </w:r>
          </w:p>
        </w:tc>
        <w:tc>
          <w:tcPr>
            <w:tcW w:w="2500" w:type="dxa"/>
            <w:tcBorders>
              <w:top w:val="nil"/>
            </w:tcBorders>
            <w:shd w:val="clear" w:color="auto" w:fill="D0E4CA"/>
          </w:tcPr>
          <w:p>
            <w:pPr>
              <w:pStyle w:val="TableParagraph"/>
              <w:rPr>
                <w:rFonts w:ascii="Times New Roman"/>
                <w:sz w:val="18"/>
              </w:rPr>
            </w:pPr>
          </w:p>
        </w:tc>
      </w:tr>
    </w:tbl>
    <w:p>
      <w:pPr>
        <w:pStyle w:val="BodyText"/>
        <w:spacing w:before="3"/>
        <w:rPr>
          <w:b/>
          <w:sz w:val="5"/>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4"/>
        <w:gridCol w:w="2762"/>
        <w:gridCol w:w="1408"/>
        <w:gridCol w:w="2834"/>
        <w:gridCol w:w="2500"/>
      </w:tblGrid>
      <w:tr>
        <w:trPr>
          <w:trHeight w:val="1612" w:hRule="atLeast"/>
        </w:trPr>
        <w:tc>
          <w:tcPr>
            <w:tcW w:w="3444" w:type="dxa"/>
            <w:shd w:val="clear" w:color="auto" w:fill="D0E4CA"/>
          </w:tcPr>
          <w:p>
            <w:pPr>
              <w:pStyle w:val="TableParagraph"/>
              <w:rPr>
                <w:rFonts w:ascii="Times New Roman"/>
                <w:sz w:val="22"/>
              </w:rPr>
            </w:pPr>
          </w:p>
        </w:tc>
        <w:tc>
          <w:tcPr>
            <w:tcW w:w="2762" w:type="dxa"/>
            <w:shd w:val="clear" w:color="auto" w:fill="D0E4CA"/>
          </w:tcPr>
          <w:p>
            <w:pPr>
              <w:pStyle w:val="TableParagraph"/>
              <w:rPr>
                <w:rFonts w:ascii="Times New Roman"/>
                <w:sz w:val="22"/>
              </w:rPr>
            </w:pPr>
          </w:p>
        </w:tc>
        <w:tc>
          <w:tcPr>
            <w:tcW w:w="1408" w:type="dxa"/>
            <w:shd w:val="clear" w:color="auto" w:fill="D0E4CA"/>
          </w:tcPr>
          <w:p>
            <w:pPr>
              <w:pStyle w:val="TableParagraph"/>
              <w:rPr>
                <w:rFonts w:ascii="Times New Roman"/>
                <w:sz w:val="22"/>
              </w:rPr>
            </w:pPr>
          </w:p>
        </w:tc>
        <w:tc>
          <w:tcPr>
            <w:tcW w:w="2834" w:type="dxa"/>
            <w:shd w:val="clear" w:color="auto" w:fill="D0E4CA"/>
          </w:tcPr>
          <w:p>
            <w:pPr>
              <w:pStyle w:val="TableParagraph"/>
              <w:spacing w:before="10"/>
              <w:rPr>
                <w:b/>
                <w:sz w:val="21"/>
              </w:rPr>
            </w:pPr>
          </w:p>
          <w:p>
            <w:pPr>
              <w:pStyle w:val="TableParagraph"/>
              <w:spacing w:line="270" w:lineRule="atLeast"/>
              <w:ind w:left="109" w:right="107"/>
              <w:rPr>
                <w:sz w:val="22"/>
              </w:rPr>
            </w:pPr>
            <w:r>
              <w:rPr>
                <w:sz w:val="22"/>
              </w:rPr>
              <w:t>On-site inspections ensure homes meet all licensing and certification requirements in WAC and RCW, including </w:t>
            </w:r>
            <w:r>
              <w:rPr>
                <w:color w:val="396230"/>
                <w:sz w:val="22"/>
              </w:rPr>
              <w:t>WAC 388-823-1095.</w:t>
            </w:r>
          </w:p>
        </w:tc>
        <w:tc>
          <w:tcPr>
            <w:tcW w:w="2500" w:type="dxa"/>
            <w:shd w:val="clear" w:color="auto" w:fill="D0E4CA"/>
          </w:tcPr>
          <w:p>
            <w:pPr>
              <w:pStyle w:val="TableParagraph"/>
              <w:rPr>
                <w:rFonts w:ascii="Times New Roman"/>
                <w:sz w:val="22"/>
              </w:rPr>
            </w:pPr>
          </w:p>
        </w:tc>
      </w:tr>
      <w:tr>
        <w:trPr>
          <w:trHeight w:val="2023" w:hRule="atLeast"/>
        </w:trPr>
        <w:tc>
          <w:tcPr>
            <w:tcW w:w="3444" w:type="dxa"/>
            <w:tcBorders>
              <w:bottom w:val="nil"/>
            </w:tcBorders>
          </w:tcPr>
          <w:p>
            <w:pPr>
              <w:pStyle w:val="TableParagraph"/>
              <w:ind w:left="107" w:right="190"/>
              <w:rPr>
                <w:b/>
                <w:sz w:val="22"/>
              </w:rPr>
            </w:pPr>
            <w:r>
              <w:rPr>
                <w:b/>
                <w:sz w:val="22"/>
              </w:rPr>
              <w:t>The setting is physically accessible to the individual</w:t>
            </w:r>
          </w:p>
        </w:tc>
        <w:tc>
          <w:tcPr>
            <w:tcW w:w="2762" w:type="dxa"/>
            <w:tcBorders>
              <w:bottom w:val="nil"/>
            </w:tcBorders>
          </w:tcPr>
          <w:p>
            <w:pPr>
              <w:pStyle w:val="TableParagraph"/>
              <w:spacing w:line="264" w:lineRule="exact"/>
              <w:ind w:left="107"/>
              <w:rPr>
                <w:sz w:val="22"/>
              </w:rPr>
            </w:pPr>
            <w:hyperlink r:id="rId100">
              <w:r>
                <w:rPr>
                  <w:color w:val="6B9F24"/>
                  <w:sz w:val="22"/>
                  <w:u w:val="single" w:color="6B9F24"/>
                </w:rPr>
                <w:t>WAC 388-101-4090</w:t>
              </w:r>
              <w:r>
                <w:rPr>
                  <w:color w:val="6B9F24"/>
                  <w:sz w:val="22"/>
                </w:rPr>
                <w:t> </w:t>
              </w:r>
            </w:hyperlink>
            <w:r>
              <w:rPr>
                <w:sz w:val="22"/>
              </w:rPr>
              <w:t>(10)</w:t>
            </w:r>
          </w:p>
          <w:p>
            <w:pPr>
              <w:pStyle w:val="TableParagraph"/>
              <w:ind w:left="107" w:right="115"/>
              <w:rPr>
                <w:sz w:val="22"/>
              </w:rPr>
            </w:pPr>
            <w:r>
              <w:rPr>
                <w:sz w:val="22"/>
              </w:rPr>
              <w:t>specifies that providers of DDA Behavioral Health Crisis Diversion Bed Services must provide “An accessible site for clients with physical disabilities.”</w:t>
            </w:r>
          </w:p>
        </w:tc>
        <w:tc>
          <w:tcPr>
            <w:tcW w:w="1408" w:type="dxa"/>
            <w:tcBorders>
              <w:bottom w:val="nil"/>
            </w:tcBorders>
          </w:tcPr>
          <w:p>
            <w:pPr>
              <w:pStyle w:val="TableParagraph"/>
              <w:ind w:left="108" w:right="349"/>
              <w:rPr>
                <w:sz w:val="22"/>
              </w:rPr>
            </w:pPr>
            <w:r>
              <w:rPr>
                <w:sz w:val="22"/>
              </w:rPr>
              <w:t>Partially Compliant</w:t>
            </w:r>
          </w:p>
        </w:tc>
        <w:tc>
          <w:tcPr>
            <w:tcW w:w="2834" w:type="dxa"/>
            <w:vMerge w:val="restart"/>
          </w:tcPr>
          <w:p>
            <w:pPr>
              <w:pStyle w:val="TableParagraph"/>
              <w:ind w:left="109" w:right="156"/>
              <w:rPr>
                <w:sz w:val="22"/>
              </w:rPr>
            </w:pPr>
            <w:r>
              <w:rPr>
                <w:sz w:val="22"/>
              </w:rPr>
              <w:t>As part of the certification and complaint investigation process described in the overview, Residential Care Services (RCS) Contracted Evaluators and RCS Investigators conduct client observations, client and collateral interviews, service provider and staff interviews. RCS contracted evaluators and RCS Investigators also reviews clients’ finances and conducts client record reviews to ensure service providers’ compliance.</w:t>
            </w:r>
          </w:p>
          <w:p>
            <w:pPr>
              <w:pStyle w:val="TableParagraph"/>
              <w:spacing w:before="7"/>
              <w:rPr>
                <w:b/>
                <w:sz w:val="21"/>
              </w:rPr>
            </w:pPr>
          </w:p>
          <w:p>
            <w:pPr>
              <w:pStyle w:val="TableParagraph"/>
              <w:ind w:left="109" w:right="107"/>
              <w:rPr>
                <w:sz w:val="22"/>
              </w:rPr>
            </w:pPr>
            <w:r>
              <w:rPr>
                <w:sz w:val="22"/>
              </w:rPr>
              <w:t>On-site inspections ensure homes meet all licensing and certification requirements in WAC and RCW, including</w:t>
            </w:r>
          </w:p>
          <w:p>
            <w:pPr>
              <w:pStyle w:val="TableParagraph"/>
              <w:spacing w:line="248" w:lineRule="exact"/>
              <w:ind w:left="109"/>
              <w:rPr>
                <w:sz w:val="22"/>
              </w:rPr>
            </w:pPr>
            <w:r>
              <w:rPr>
                <w:color w:val="396230"/>
                <w:sz w:val="22"/>
              </w:rPr>
              <w:t>WAC 388-823-1095.</w:t>
            </w:r>
          </w:p>
        </w:tc>
        <w:tc>
          <w:tcPr>
            <w:tcW w:w="2500" w:type="dxa"/>
            <w:tcBorders>
              <w:bottom w:val="nil"/>
            </w:tcBorders>
          </w:tcPr>
          <w:p>
            <w:pPr>
              <w:pStyle w:val="TableParagraph"/>
              <w:ind w:left="109" w:right="163"/>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w:t>
            </w:r>
            <w:r>
              <w:rPr>
                <w:color w:val="396230"/>
                <w:sz w:val="22"/>
              </w:rPr>
              <w:t>and adding language to the contracts requiring adherence to the WAC</w:t>
            </w:r>
            <w:r>
              <w:rPr>
                <w:sz w:val="22"/>
              </w:rPr>
              <w:t>. See </w:t>
            </w:r>
            <w:r>
              <w:rPr>
                <w:color w:val="6B9F24"/>
                <w:sz w:val="22"/>
                <w:u w:val="single" w:color="6B9F24"/>
              </w:rPr>
              <w:t>Appendix C</w:t>
            </w:r>
            <w:r>
              <w:rPr>
                <w:color w:val="396230"/>
                <w:sz w:val="22"/>
              </w:rPr>
              <w:t>.</w:t>
            </w:r>
          </w:p>
        </w:tc>
      </w:tr>
      <w:tr>
        <w:trPr>
          <w:trHeight w:val="795" w:hRule="atLeast"/>
        </w:trPr>
        <w:tc>
          <w:tcPr>
            <w:tcW w:w="3444" w:type="dxa"/>
            <w:tcBorders>
              <w:top w:val="nil"/>
              <w:bottom w:val="nil"/>
            </w:tcBorders>
          </w:tcPr>
          <w:p>
            <w:pPr>
              <w:pStyle w:val="TableParagraph"/>
              <w:rPr>
                <w:rFonts w:ascii="Times New Roman"/>
                <w:sz w:val="22"/>
              </w:rPr>
            </w:pPr>
          </w:p>
        </w:tc>
        <w:tc>
          <w:tcPr>
            <w:tcW w:w="2762" w:type="dxa"/>
            <w:tcBorders>
              <w:top w:val="nil"/>
              <w:bottom w:val="nil"/>
            </w:tcBorders>
          </w:tcPr>
          <w:p>
            <w:pPr>
              <w:pStyle w:val="TableParagraph"/>
              <w:spacing w:before="109"/>
              <w:ind w:left="107"/>
              <w:rPr>
                <w:sz w:val="22"/>
              </w:rPr>
            </w:pPr>
            <w:hyperlink r:id="rId23">
              <w:r>
                <w:rPr>
                  <w:color w:val="6B9F24"/>
                  <w:sz w:val="22"/>
                  <w:u w:val="single" w:color="6B9F24"/>
                </w:rPr>
                <w:t>WAC 388-823-1095</w:t>
              </w:r>
              <w:r>
                <w:rPr>
                  <w:color w:val="6B9F24"/>
                  <w:sz w:val="22"/>
                </w:rPr>
                <w:t> </w:t>
              </w:r>
            </w:hyperlink>
            <w:r>
              <w:rPr>
                <w:sz w:val="22"/>
              </w:rPr>
              <w:t>my</w:t>
            </w:r>
          </w:p>
          <w:p>
            <w:pPr>
              <w:pStyle w:val="TableParagraph"/>
              <w:spacing w:before="1"/>
              <w:ind w:left="107"/>
              <w:rPr>
                <w:sz w:val="22"/>
              </w:rPr>
            </w:pPr>
            <w:r>
              <w:rPr>
                <w:sz w:val="22"/>
              </w:rPr>
              <w:t>rights as a DDA client</w:t>
            </w:r>
          </w:p>
        </w:tc>
        <w:tc>
          <w:tcPr>
            <w:tcW w:w="1408" w:type="dxa"/>
            <w:tcBorders>
              <w:top w:val="nil"/>
              <w:bottom w:val="nil"/>
            </w:tcBorders>
          </w:tcPr>
          <w:p>
            <w:pPr>
              <w:pStyle w:val="TableParagraph"/>
              <w:rPr>
                <w:rFonts w:ascii="Times New Roman"/>
                <w:sz w:val="22"/>
              </w:rPr>
            </w:pPr>
          </w:p>
        </w:tc>
        <w:tc>
          <w:tcPr>
            <w:tcW w:w="2834" w:type="dxa"/>
            <w:vMerge/>
            <w:tcBorders>
              <w:top w:val="nil"/>
            </w:tcBorders>
          </w:tcPr>
          <w:p>
            <w:pPr>
              <w:rPr>
                <w:sz w:val="2"/>
                <w:szCs w:val="2"/>
              </w:rPr>
            </w:pPr>
          </w:p>
        </w:tc>
        <w:tc>
          <w:tcPr>
            <w:tcW w:w="2500" w:type="dxa"/>
            <w:tcBorders>
              <w:top w:val="nil"/>
              <w:bottom w:val="nil"/>
            </w:tcBorders>
          </w:tcPr>
          <w:p>
            <w:pPr>
              <w:pStyle w:val="TableParagraph"/>
              <w:rPr>
                <w:rFonts w:ascii="Times New Roman"/>
                <w:sz w:val="22"/>
              </w:rPr>
            </w:pPr>
          </w:p>
        </w:tc>
      </w:tr>
      <w:tr>
        <w:trPr>
          <w:trHeight w:val="3331" w:hRule="atLeast"/>
        </w:trPr>
        <w:tc>
          <w:tcPr>
            <w:tcW w:w="3444" w:type="dxa"/>
            <w:tcBorders>
              <w:top w:val="nil"/>
            </w:tcBorders>
          </w:tcPr>
          <w:p>
            <w:pPr>
              <w:pStyle w:val="TableParagraph"/>
              <w:rPr>
                <w:rFonts w:ascii="Times New Roman"/>
                <w:sz w:val="22"/>
              </w:rPr>
            </w:pPr>
          </w:p>
        </w:tc>
        <w:tc>
          <w:tcPr>
            <w:tcW w:w="2762" w:type="dxa"/>
            <w:tcBorders>
              <w:top w:val="nil"/>
            </w:tcBorders>
          </w:tcPr>
          <w:p>
            <w:pPr>
              <w:pStyle w:val="TableParagraph"/>
              <w:spacing w:before="108"/>
              <w:ind w:left="107" w:right="131"/>
              <w:rPr>
                <w:sz w:val="22"/>
              </w:rPr>
            </w:pPr>
            <w:r>
              <w:rPr>
                <w:sz w:val="22"/>
              </w:rPr>
              <w:t>Protection of rights is enforced through </w:t>
            </w:r>
            <w:hyperlink r:id="rId25">
              <w:r>
                <w:rPr>
                  <w:color w:val="6B9F24"/>
                  <w:sz w:val="22"/>
                  <w:u w:val="single" w:color="6B9F24"/>
                </w:rPr>
                <w:t>WAC 388-</w:t>
              </w:r>
            </w:hyperlink>
            <w:r>
              <w:rPr>
                <w:color w:val="6B9F24"/>
                <w:sz w:val="22"/>
              </w:rPr>
              <w:t> </w:t>
            </w:r>
            <w:hyperlink r:id="rId25">
              <w:r>
                <w:rPr>
                  <w:color w:val="6B9F24"/>
                  <w:sz w:val="22"/>
                  <w:u w:val="single" w:color="6B9F24"/>
                </w:rPr>
                <w:t>101D-0125</w:t>
              </w:r>
            </w:hyperlink>
            <w:r>
              <w:rPr>
                <w:color w:val="6B9F24"/>
                <w:sz w:val="22"/>
              </w:rPr>
              <w:t> </w:t>
            </w:r>
            <w:r>
              <w:rPr>
                <w:sz w:val="22"/>
              </w:rPr>
              <w:t>through </w:t>
            </w:r>
            <w:hyperlink r:id="rId29">
              <w:r>
                <w:rPr>
                  <w:color w:val="6B9F24"/>
                  <w:sz w:val="22"/>
                  <w:u w:val="single" w:color="6B9F24"/>
                </w:rPr>
                <w:t>WAC</w:t>
              </w:r>
            </w:hyperlink>
            <w:r>
              <w:rPr>
                <w:color w:val="6B9F24"/>
                <w:sz w:val="22"/>
              </w:rPr>
              <w:t> </w:t>
            </w:r>
            <w:hyperlink r:id="rId29">
              <w:r>
                <w:rPr>
                  <w:color w:val="6B9F24"/>
                  <w:sz w:val="22"/>
                  <w:u w:val="single" w:color="6B9F24"/>
                </w:rPr>
                <w:t>388-101D-0145</w:t>
              </w:r>
              <w:r>
                <w:rPr>
                  <w:color w:val="396230"/>
                  <w:sz w:val="22"/>
                </w:rPr>
                <w:t>.</w:t>
              </w:r>
            </w:hyperlink>
          </w:p>
          <w:p>
            <w:pPr>
              <w:pStyle w:val="TableParagraph"/>
              <w:spacing w:before="1"/>
              <w:ind w:left="107" w:right="177"/>
              <w:rPr>
                <w:sz w:val="22"/>
              </w:rPr>
            </w:pPr>
            <w:r>
              <w:rPr>
                <w:sz w:val="22"/>
              </w:rPr>
              <w:t>Residential Guidelines and behavioral health crisis bed diversion services provider contracts inform and guide the provision of services.</w:t>
            </w:r>
          </w:p>
        </w:tc>
        <w:tc>
          <w:tcPr>
            <w:tcW w:w="1408" w:type="dxa"/>
            <w:tcBorders>
              <w:top w:val="nil"/>
            </w:tcBorders>
          </w:tcPr>
          <w:p>
            <w:pPr>
              <w:pStyle w:val="TableParagraph"/>
              <w:rPr>
                <w:rFonts w:ascii="Times New Roman"/>
                <w:sz w:val="22"/>
              </w:rPr>
            </w:pPr>
          </w:p>
        </w:tc>
        <w:tc>
          <w:tcPr>
            <w:tcW w:w="2834" w:type="dxa"/>
            <w:vMerge/>
            <w:tcBorders>
              <w:top w:val="nil"/>
            </w:tcBorders>
          </w:tcPr>
          <w:p>
            <w:pPr>
              <w:rPr>
                <w:sz w:val="2"/>
                <w:szCs w:val="2"/>
              </w:rPr>
            </w:pPr>
          </w:p>
        </w:tc>
        <w:tc>
          <w:tcPr>
            <w:tcW w:w="2500" w:type="dxa"/>
            <w:tcBorders>
              <w:top w:val="nil"/>
            </w:tcBorders>
          </w:tcPr>
          <w:p>
            <w:pPr>
              <w:pStyle w:val="TableParagraph"/>
              <w:rPr>
                <w:rFonts w:ascii="Times New Roman"/>
                <w:sz w:val="22"/>
              </w:rPr>
            </w:pPr>
          </w:p>
        </w:tc>
      </w:tr>
      <w:tr>
        <w:trPr>
          <w:trHeight w:val="1343" w:hRule="atLeast"/>
        </w:trPr>
        <w:tc>
          <w:tcPr>
            <w:tcW w:w="3444" w:type="dxa"/>
            <w:shd w:val="clear" w:color="auto" w:fill="D0E4CA"/>
          </w:tcPr>
          <w:p>
            <w:pPr>
              <w:pStyle w:val="TableParagraph"/>
              <w:ind w:left="107" w:right="362"/>
              <w:rPr>
                <w:b/>
                <w:sz w:val="22"/>
              </w:rPr>
            </w:pPr>
            <w:r>
              <w:rPr>
                <w:b/>
                <w:sz w:val="22"/>
              </w:rPr>
              <w:t>The setting that is located in a building that is also a publicly or privately operated facility that provides inpatient institutional</w:t>
            </w:r>
          </w:p>
          <w:p>
            <w:pPr>
              <w:pStyle w:val="TableParagraph"/>
              <w:spacing w:line="249" w:lineRule="exact"/>
              <w:ind w:left="107"/>
              <w:rPr>
                <w:b/>
                <w:sz w:val="22"/>
              </w:rPr>
            </w:pPr>
            <w:r>
              <w:rPr>
                <w:b/>
                <w:sz w:val="22"/>
              </w:rPr>
              <w:t>treatment, or in a building on the</w:t>
            </w:r>
          </w:p>
        </w:tc>
        <w:tc>
          <w:tcPr>
            <w:tcW w:w="2762" w:type="dxa"/>
            <w:shd w:val="clear" w:color="auto" w:fill="D0E4CA"/>
          </w:tcPr>
          <w:p>
            <w:pPr>
              <w:pStyle w:val="TableParagraph"/>
              <w:ind w:left="107" w:right="160"/>
              <w:rPr>
                <w:sz w:val="22"/>
              </w:rPr>
            </w:pPr>
            <w:r>
              <w:rPr>
                <w:sz w:val="22"/>
              </w:rPr>
              <w:t>Not applicable as all service providers are located in single family homes and apartments.</w:t>
            </w:r>
          </w:p>
        </w:tc>
        <w:tc>
          <w:tcPr>
            <w:tcW w:w="1408" w:type="dxa"/>
            <w:shd w:val="clear" w:color="auto" w:fill="D0E4CA"/>
          </w:tcPr>
          <w:p>
            <w:pPr>
              <w:pStyle w:val="TableParagraph"/>
              <w:ind w:left="108" w:right="349"/>
              <w:rPr>
                <w:sz w:val="22"/>
              </w:rPr>
            </w:pPr>
            <w:r>
              <w:rPr>
                <w:sz w:val="22"/>
              </w:rPr>
              <w:t>Fully Compliant</w:t>
            </w:r>
          </w:p>
        </w:tc>
        <w:tc>
          <w:tcPr>
            <w:tcW w:w="2834" w:type="dxa"/>
            <w:shd w:val="clear" w:color="auto" w:fill="D0E4CA"/>
          </w:tcPr>
          <w:p>
            <w:pPr>
              <w:pStyle w:val="TableParagraph"/>
              <w:spacing w:line="268" w:lineRule="exact"/>
              <w:ind w:left="109"/>
              <w:rPr>
                <w:sz w:val="22"/>
              </w:rPr>
            </w:pPr>
            <w:r>
              <w:rPr>
                <w:sz w:val="22"/>
              </w:rPr>
              <w:t>Not applicable.</w:t>
            </w:r>
          </w:p>
        </w:tc>
        <w:tc>
          <w:tcPr>
            <w:tcW w:w="2500" w:type="dxa"/>
            <w:shd w:val="clear" w:color="auto" w:fill="D0E4CA"/>
          </w:tcPr>
          <w:p>
            <w:pPr>
              <w:pStyle w:val="TableParagraph"/>
              <w:rPr>
                <w:rFonts w:ascii="Times New Roman"/>
                <w:sz w:val="22"/>
              </w:rPr>
            </w:pPr>
          </w:p>
        </w:tc>
      </w:tr>
    </w:tbl>
    <w:p>
      <w:pPr>
        <w:pStyle w:val="BodyText"/>
        <w:spacing w:before="6"/>
        <w:rPr>
          <w:b/>
          <w:sz w:val="4"/>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4"/>
        <w:gridCol w:w="2762"/>
        <w:gridCol w:w="1408"/>
        <w:gridCol w:w="2834"/>
        <w:gridCol w:w="2500"/>
      </w:tblGrid>
      <w:tr>
        <w:trPr>
          <w:trHeight w:val="1878" w:hRule="atLeast"/>
        </w:trPr>
        <w:tc>
          <w:tcPr>
            <w:tcW w:w="3444" w:type="dxa"/>
            <w:shd w:val="clear" w:color="auto" w:fill="D0E4CA"/>
          </w:tcPr>
          <w:p>
            <w:pPr>
              <w:pStyle w:val="TableParagraph"/>
              <w:ind w:left="107" w:right="151"/>
              <w:rPr>
                <w:b/>
                <w:sz w:val="22"/>
              </w:rPr>
            </w:pPr>
            <w:r>
              <w:rPr>
                <w:b/>
                <w:sz w:val="22"/>
              </w:rPr>
              <w:t>grounds of, or immediately adjacent to, a public institution, or any other setting that has the effect of isolating individuals receiving Medicaid HCBS from the broader community of individuals</w:t>
            </w:r>
          </w:p>
          <w:p>
            <w:pPr>
              <w:pStyle w:val="TableParagraph"/>
              <w:spacing w:line="248" w:lineRule="exact"/>
              <w:ind w:left="107"/>
              <w:rPr>
                <w:b/>
                <w:sz w:val="22"/>
              </w:rPr>
            </w:pPr>
            <w:r>
              <w:rPr>
                <w:b/>
                <w:sz w:val="22"/>
              </w:rPr>
              <w:t>not receiving HCBS.</w:t>
            </w:r>
          </w:p>
        </w:tc>
        <w:tc>
          <w:tcPr>
            <w:tcW w:w="2762" w:type="dxa"/>
            <w:shd w:val="clear" w:color="auto" w:fill="D0E4CA"/>
          </w:tcPr>
          <w:p>
            <w:pPr>
              <w:pStyle w:val="TableParagraph"/>
              <w:rPr>
                <w:rFonts w:ascii="Times New Roman"/>
                <w:sz w:val="22"/>
              </w:rPr>
            </w:pPr>
          </w:p>
        </w:tc>
        <w:tc>
          <w:tcPr>
            <w:tcW w:w="1408" w:type="dxa"/>
            <w:shd w:val="clear" w:color="auto" w:fill="D0E4CA"/>
          </w:tcPr>
          <w:p>
            <w:pPr>
              <w:pStyle w:val="TableParagraph"/>
              <w:rPr>
                <w:rFonts w:ascii="Times New Roman"/>
                <w:sz w:val="22"/>
              </w:rPr>
            </w:pPr>
          </w:p>
        </w:tc>
        <w:tc>
          <w:tcPr>
            <w:tcW w:w="2834" w:type="dxa"/>
            <w:shd w:val="clear" w:color="auto" w:fill="D0E4CA"/>
          </w:tcPr>
          <w:p>
            <w:pPr>
              <w:pStyle w:val="TableParagraph"/>
              <w:rPr>
                <w:rFonts w:ascii="Times New Roman"/>
                <w:sz w:val="22"/>
              </w:rPr>
            </w:pPr>
          </w:p>
        </w:tc>
        <w:tc>
          <w:tcPr>
            <w:tcW w:w="2500" w:type="dxa"/>
            <w:shd w:val="clear" w:color="auto" w:fill="D0E4CA"/>
          </w:tcPr>
          <w:p>
            <w:pPr>
              <w:pStyle w:val="TableParagraph"/>
              <w:rPr>
                <w:rFonts w:ascii="Times New Roman"/>
                <w:sz w:val="22"/>
              </w:rPr>
            </w:pPr>
          </w:p>
        </w:tc>
      </w:tr>
      <w:tr>
        <w:trPr>
          <w:trHeight w:val="4720" w:hRule="atLeast"/>
        </w:trPr>
        <w:tc>
          <w:tcPr>
            <w:tcW w:w="3444" w:type="dxa"/>
            <w:tcBorders>
              <w:bottom w:val="nil"/>
            </w:tcBorders>
          </w:tcPr>
          <w:p>
            <w:pPr>
              <w:pStyle w:val="TableParagraph"/>
              <w:spacing w:before="1"/>
              <w:ind w:left="107" w:right="206"/>
              <w:rPr>
                <w:b/>
                <w:sz w:val="22"/>
              </w:rPr>
            </w:pPr>
            <w:r>
              <w:rPr>
                <w:b/>
                <w:sz w:val="22"/>
              </w:rPr>
              <w:t>The unit or room is a specific physical place that can be owned, rented or occupied under another legally enforceable agreement by the individual receiving services, and the individual has, at a minimum, the same responsibilities and protections from eviction that tenants have under the landlord tenant law of the State, county, city or other designated entity.</w:t>
            </w:r>
          </w:p>
        </w:tc>
        <w:tc>
          <w:tcPr>
            <w:tcW w:w="2762" w:type="dxa"/>
            <w:tcBorders>
              <w:bottom w:val="nil"/>
            </w:tcBorders>
          </w:tcPr>
          <w:p>
            <w:pPr>
              <w:pStyle w:val="TableParagraph"/>
              <w:spacing w:before="1"/>
              <w:ind w:left="107" w:right="131"/>
              <w:rPr>
                <w:sz w:val="22"/>
              </w:rPr>
            </w:pPr>
            <w:r>
              <w:rPr>
                <w:sz w:val="22"/>
              </w:rPr>
              <w:t>Not applicable as participants do not pay rent or room and board for this service.</w:t>
            </w:r>
          </w:p>
        </w:tc>
        <w:tc>
          <w:tcPr>
            <w:tcW w:w="1408" w:type="dxa"/>
            <w:tcBorders>
              <w:bottom w:val="nil"/>
            </w:tcBorders>
          </w:tcPr>
          <w:p>
            <w:pPr>
              <w:pStyle w:val="TableParagraph"/>
              <w:spacing w:line="237" w:lineRule="auto" w:before="3"/>
              <w:ind w:left="108" w:right="349"/>
              <w:rPr>
                <w:sz w:val="22"/>
              </w:rPr>
            </w:pPr>
            <w:r>
              <w:rPr>
                <w:sz w:val="22"/>
              </w:rPr>
              <w:t>Fully Compliant</w:t>
            </w:r>
          </w:p>
        </w:tc>
        <w:tc>
          <w:tcPr>
            <w:tcW w:w="2834" w:type="dxa"/>
            <w:tcBorders>
              <w:bottom w:val="nil"/>
            </w:tcBorders>
          </w:tcPr>
          <w:p>
            <w:pPr>
              <w:pStyle w:val="TableParagraph"/>
              <w:spacing w:before="1"/>
              <w:ind w:left="109" w:right="156"/>
              <w:rPr>
                <w:sz w:val="22"/>
              </w:rPr>
            </w:pPr>
            <w:r>
              <w:rPr>
                <w:sz w:val="22"/>
              </w:rPr>
              <w:t>As part of the certification and complaint investigation process described in the overview, Residential Care Services (RCS) Contracted Evaluators and RCS Investigators conduct client observations, client and collateral interviews, service provider and staff interviews. RCS contracted evaluators and RCS Investigators also reviews clients’ finances and conducts client record reviews to ensure service providers’ compliance.</w:t>
            </w:r>
          </w:p>
        </w:tc>
        <w:tc>
          <w:tcPr>
            <w:tcW w:w="2500" w:type="dxa"/>
            <w:tcBorders>
              <w:bottom w:val="nil"/>
            </w:tcBorders>
          </w:tcPr>
          <w:p>
            <w:pPr>
              <w:pStyle w:val="TableParagraph"/>
              <w:spacing w:before="1"/>
              <w:ind w:left="109" w:right="163"/>
              <w:rPr>
                <w:sz w:val="22"/>
              </w:rPr>
            </w:pPr>
            <w:r>
              <w:rPr>
                <w:color w:val="396230"/>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color w:val="396230"/>
                <w:sz w:val="22"/>
              </w:rPr>
              <w:t>to include all rights listed in the HCBS rules and adding language to the contracts requiring adherence to the WAC. See </w:t>
            </w:r>
            <w:r>
              <w:rPr>
                <w:color w:val="6B9F24"/>
                <w:sz w:val="22"/>
                <w:u w:val="single" w:color="6B9F24"/>
              </w:rPr>
              <w:t>Appendix C</w:t>
            </w:r>
            <w:r>
              <w:rPr>
                <w:color w:val="396230"/>
                <w:sz w:val="22"/>
              </w:rPr>
              <w:t>.</w:t>
            </w:r>
          </w:p>
        </w:tc>
      </w:tr>
      <w:tr>
        <w:trPr>
          <w:trHeight w:val="1457" w:hRule="atLeast"/>
        </w:trPr>
        <w:tc>
          <w:tcPr>
            <w:tcW w:w="3444" w:type="dxa"/>
            <w:tcBorders>
              <w:top w:val="nil"/>
            </w:tcBorders>
          </w:tcPr>
          <w:p>
            <w:pPr>
              <w:pStyle w:val="TableParagraph"/>
              <w:rPr>
                <w:rFonts w:ascii="Times New Roman"/>
                <w:sz w:val="22"/>
              </w:rPr>
            </w:pPr>
          </w:p>
        </w:tc>
        <w:tc>
          <w:tcPr>
            <w:tcW w:w="2762" w:type="dxa"/>
            <w:tcBorders>
              <w:top w:val="nil"/>
            </w:tcBorders>
          </w:tcPr>
          <w:p>
            <w:pPr>
              <w:pStyle w:val="TableParagraph"/>
              <w:rPr>
                <w:rFonts w:ascii="Times New Roman"/>
                <w:sz w:val="22"/>
              </w:rPr>
            </w:pPr>
          </w:p>
        </w:tc>
        <w:tc>
          <w:tcPr>
            <w:tcW w:w="1408" w:type="dxa"/>
            <w:tcBorders>
              <w:top w:val="nil"/>
            </w:tcBorders>
          </w:tcPr>
          <w:p>
            <w:pPr>
              <w:pStyle w:val="TableParagraph"/>
              <w:rPr>
                <w:rFonts w:ascii="Times New Roman"/>
                <w:sz w:val="22"/>
              </w:rPr>
            </w:pPr>
          </w:p>
        </w:tc>
        <w:tc>
          <w:tcPr>
            <w:tcW w:w="2834" w:type="dxa"/>
            <w:tcBorders>
              <w:top w:val="nil"/>
            </w:tcBorders>
          </w:tcPr>
          <w:p>
            <w:pPr>
              <w:pStyle w:val="TableParagraph"/>
              <w:spacing w:before="115"/>
              <w:ind w:left="109" w:right="107"/>
              <w:rPr>
                <w:sz w:val="22"/>
              </w:rPr>
            </w:pPr>
            <w:r>
              <w:rPr>
                <w:sz w:val="22"/>
              </w:rPr>
              <w:t>On-site inspections ensure homes meet all licensing and certification requirements in WAC and RCW, including</w:t>
            </w:r>
          </w:p>
          <w:p>
            <w:pPr>
              <w:pStyle w:val="TableParagraph"/>
              <w:spacing w:line="248" w:lineRule="exact"/>
              <w:ind w:left="109"/>
              <w:rPr>
                <w:sz w:val="22"/>
              </w:rPr>
            </w:pPr>
            <w:r>
              <w:rPr>
                <w:color w:val="396230"/>
                <w:sz w:val="22"/>
              </w:rPr>
              <w:t>WAC 388-823-1095.</w:t>
            </w:r>
          </w:p>
        </w:tc>
        <w:tc>
          <w:tcPr>
            <w:tcW w:w="2500" w:type="dxa"/>
            <w:tcBorders>
              <w:top w:val="nil"/>
            </w:tcBorders>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0"/>
        </w:rPr>
      </w:pPr>
      <w:r>
        <w:rPr/>
        <w:pict>
          <v:shape style="position:absolute;margin-left:70.559998pt;margin-top:8.411375pt;width:650.9pt;height:.1pt;mso-position-horizontal-relative:page;mso-position-vertical-relative:paragraph;z-index:-251542528;mso-wrap-distance-left:0;mso-wrap-distance-right:0" coordorigin="1411,168" coordsize="13018,0" path="m1411,168l14429,168e" filled="false" stroked="true" strokeweight=".481pt" strokecolor="#d9d9d9">
            <v:path arrowok="t"/>
            <v:stroke dashstyle="solid"/>
            <w10:wrap type="topAndBottom"/>
          </v:shape>
        </w:pict>
      </w:r>
    </w:p>
    <w:p>
      <w:pPr>
        <w:spacing w:after="0"/>
        <w:rPr>
          <w:sz w:val="10"/>
        </w:rPr>
        <w:sectPr>
          <w:footerReference w:type="default" r:id="rId101"/>
          <w:pgSz w:w="15840" w:h="12240" w:orient="landscape"/>
          <w:pgMar w:footer="1008"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100"/>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9"/>
        </w:rPr>
      </w:pPr>
      <w:r>
        <w:rPr/>
        <w:pict>
          <v:shape style="position:absolute;margin-left:70.559998pt;margin-top:20.026140pt;width:650.9pt;height:.1pt;mso-position-horizontal-relative:page;mso-position-vertical-relative:paragraph;z-index:-251541504;mso-wrap-distance-left:0;mso-wrap-distance-right:0" coordorigin="1411,401" coordsize="13018,0" path="m1411,401l14429,401e" filled="false" stroked="true" strokeweight=".481pt" strokecolor="#d9d9d9">
            <v:path arrowok="t"/>
            <v:stroke dashstyle="solid"/>
            <w10:wrap type="topAndBottom"/>
          </v:shape>
        </w:pict>
      </w:r>
    </w:p>
    <w:p>
      <w:pPr>
        <w:spacing w:after="0"/>
        <w:rPr>
          <w:sz w:val="29"/>
        </w:rPr>
        <w:sectPr>
          <w:pgSz w:w="15840" w:h="12240" w:orient="landscape"/>
          <w:pgMar w:header="0" w:footer="1008"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1" w:right="2957" w:firstLine="0"/>
        <w:jc w:val="center"/>
        <w:rPr>
          <w:b/>
          <w:sz w:val="28"/>
        </w:rPr>
      </w:pPr>
      <w:bookmarkStart w:name="DDA Specialized Psychiatric Services" w:id="67"/>
      <w:bookmarkEnd w:id="67"/>
      <w:r>
        <w:rPr/>
      </w:r>
      <w:bookmarkStart w:name="_bookmark30" w:id="68"/>
      <w:bookmarkEnd w:id="68"/>
      <w:r>
        <w:rPr/>
      </w:r>
      <w:r>
        <w:rPr>
          <w:b/>
          <w:sz w:val="28"/>
        </w:rPr>
        <w:t>DDA Specialized Psychiatric Services</w:t>
      </w:r>
    </w:p>
    <w:p>
      <w:pPr>
        <w:pStyle w:val="BodyText"/>
        <w:spacing w:before="2"/>
        <w:rPr>
          <w:b/>
          <w:sz w:val="29"/>
        </w:rPr>
      </w:pPr>
    </w:p>
    <w:p>
      <w:pPr>
        <w:pStyle w:val="Heading4"/>
        <w:spacing w:line="276" w:lineRule="auto"/>
        <w:ind w:left="1059" w:right="1231"/>
      </w:pPr>
      <w:r>
        <w:rPr/>
        <w:t>Setting Description: DDA Specialized Psychiatric Services are one component of Behavioral Health Stabilization Services which include Positive Behavior Support and Consultation, Specialized Psychiatric Services and Behavioral Health Crisis Bed Diversion Services. Specialized psychiatric services are specific to the individual needs of persons with developmental disabilities who are experiencing behavioral health symptoms. Services may include psychiatric evaluation, medication evaluation and monitoring and psychiatric consultation. Providers are located in typical community locations such as medical offices and community mental health clinics. All community members have free access to these or similar services and settings include both Medicaid and non-Medicaid funded participants.</w:t>
      </w:r>
    </w:p>
    <w:p>
      <w:pPr>
        <w:pStyle w:val="BodyText"/>
        <w:spacing w:before="5"/>
        <w:rPr>
          <w:sz w:val="16"/>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9"/>
        <w:gridCol w:w="2834"/>
        <w:gridCol w:w="1411"/>
        <w:gridCol w:w="2765"/>
        <w:gridCol w:w="2487"/>
      </w:tblGrid>
      <w:tr>
        <w:trPr>
          <w:trHeight w:val="1173" w:hRule="atLeast"/>
        </w:trPr>
        <w:tc>
          <w:tcPr>
            <w:tcW w:w="3439" w:type="dxa"/>
          </w:tcPr>
          <w:p>
            <w:pPr>
              <w:pStyle w:val="TableParagraph"/>
              <w:spacing w:before="1"/>
              <w:ind w:left="235"/>
              <w:rPr>
                <w:b/>
                <w:sz w:val="24"/>
              </w:rPr>
            </w:pPr>
            <w:r>
              <w:rPr>
                <w:b/>
                <w:sz w:val="24"/>
              </w:rPr>
              <w:t>Characteristics/Requirements</w:t>
            </w:r>
          </w:p>
        </w:tc>
        <w:tc>
          <w:tcPr>
            <w:tcW w:w="2834" w:type="dxa"/>
          </w:tcPr>
          <w:p>
            <w:pPr>
              <w:pStyle w:val="TableParagraph"/>
              <w:spacing w:before="1"/>
              <w:ind w:left="448" w:right="437" w:hanging="4"/>
              <w:jc w:val="center"/>
              <w:rPr>
                <w:b/>
                <w:sz w:val="24"/>
              </w:rPr>
            </w:pPr>
            <w:r>
              <w:rPr>
                <w:b/>
                <w:sz w:val="24"/>
              </w:rPr>
              <w:t>DDA Specialized Psychiatric Services Providers</w:t>
            </w:r>
          </w:p>
          <w:p>
            <w:pPr>
              <w:pStyle w:val="TableParagraph"/>
              <w:spacing w:line="273" w:lineRule="exact"/>
              <w:ind w:left="583" w:right="572"/>
              <w:jc w:val="center"/>
              <w:rPr>
                <w:b/>
                <w:sz w:val="24"/>
              </w:rPr>
            </w:pPr>
            <w:r>
              <w:rPr>
                <w:b/>
                <w:sz w:val="24"/>
              </w:rPr>
              <w:t>State Evaluation</w:t>
            </w:r>
          </w:p>
        </w:tc>
        <w:tc>
          <w:tcPr>
            <w:tcW w:w="1411" w:type="dxa"/>
          </w:tcPr>
          <w:p>
            <w:pPr>
              <w:pStyle w:val="TableParagraph"/>
              <w:spacing w:before="1"/>
              <w:ind w:left="446" w:right="95" w:hanging="327"/>
              <w:rPr>
                <w:b/>
                <w:sz w:val="24"/>
              </w:rPr>
            </w:pPr>
            <w:r>
              <w:rPr>
                <w:b/>
                <w:sz w:val="24"/>
              </w:rPr>
              <w:t>Compliance Level</w:t>
            </w:r>
          </w:p>
        </w:tc>
        <w:tc>
          <w:tcPr>
            <w:tcW w:w="2765" w:type="dxa"/>
          </w:tcPr>
          <w:p>
            <w:pPr>
              <w:pStyle w:val="TableParagraph"/>
              <w:spacing w:before="1"/>
              <w:ind w:left="497"/>
              <w:rPr>
                <w:b/>
                <w:sz w:val="24"/>
              </w:rPr>
            </w:pPr>
            <w:r>
              <w:rPr>
                <w:b/>
                <w:sz w:val="24"/>
              </w:rPr>
              <w:t>Oversight Process</w:t>
            </w:r>
          </w:p>
        </w:tc>
        <w:tc>
          <w:tcPr>
            <w:tcW w:w="2487" w:type="dxa"/>
          </w:tcPr>
          <w:p>
            <w:pPr>
              <w:pStyle w:val="TableParagraph"/>
              <w:spacing w:before="1"/>
              <w:ind w:left="602"/>
              <w:rPr>
                <w:b/>
                <w:sz w:val="24"/>
              </w:rPr>
            </w:pPr>
            <w:r>
              <w:rPr>
                <w:b/>
                <w:sz w:val="24"/>
              </w:rPr>
              <w:t>Remediation</w:t>
            </w:r>
          </w:p>
        </w:tc>
      </w:tr>
      <w:tr>
        <w:trPr>
          <w:trHeight w:val="4346" w:hRule="atLeast"/>
        </w:trPr>
        <w:tc>
          <w:tcPr>
            <w:tcW w:w="3439" w:type="dxa"/>
            <w:shd w:val="clear" w:color="auto" w:fill="D0E4CA"/>
          </w:tcPr>
          <w:p>
            <w:pPr>
              <w:pStyle w:val="TableParagraph"/>
              <w:ind w:left="107" w:right="428"/>
              <w:rPr>
                <w:b/>
                <w:sz w:val="22"/>
              </w:rPr>
            </w:pPr>
            <w:r>
              <w:rPr>
                <w:b/>
                <w:sz w:val="22"/>
              </w:rPr>
              <w:t>Individual choice regarding services and supports, and who provides them, is facilitated.</w:t>
            </w:r>
          </w:p>
        </w:tc>
        <w:tc>
          <w:tcPr>
            <w:tcW w:w="2834" w:type="dxa"/>
            <w:shd w:val="clear" w:color="auto" w:fill="D0E4CA"/>
          </w:tcPr>
          <w:p>
            <w:pPr>
              <w:pStyle w:val="TableParagraph"/>
              <w:spacing w:line="292" w:lineRule="exact"/>
              <w:ind w:left="108"/>
              <w:rPr>
                <w:sz w:val="24"/>
              </w:rPr>
            </w:pPr>
            <w:hyperlink r:id="rId23">
              <w:r>
                <w:rPr>
                  <w:color w:val="6B9F24"/>
                  <w:sz w:val="22"/>
                  <w:u w:val="single" w:color="6B9F24"/>
                </w:rPr>
                <w:t>WAC 388-823-1095</w:t>
              </w:r>
              <w:r>
                <w:rPr>
                  <w:color w:val="6B9F24"/>
                  <w:spacing w:val="-2"/>
                  <w:sz w:val="22"/>
                </w:rPr>
                <w:t> </w:t>
              </w:r>
            </w:hyperlink>
            <w:r>
              <w:rPr>
                <w:sz w:val="24"/>
              </w:rPr>
              <w:t>my</w:t>
            </w:r>
          </w:p>
          <w:p>
            <w:pPr>
              <w:pStyle w:val="TableParagraph"/>
              <w:ind w:left="108"/>
              <w:rPr>
                <w:sz w:val="24"/>
              </w:rPr>
            </w:pPr>
            <w:r>
              <w:rPr>
                <w:sz w:val="24"/>
              </w:rPr>
              <w:t>rights as a DDA</w:t>
            </w:r>
            <w:r>
              <w:rPr>
                <w:spacing w:val="-5"/>
                <w:sz w:val="24"/>
              </w:rPr>
              <w:t> </w:t>
            </w:r>
            <w:r>
              <w:rPr>
                <w:sz w:val="24"/>
              </w:rPr>
              <w:t>client.</w:t>
            </w:r>
          </w:p>
          <w:p>
            <w:pPr>
              <w:pStyle w:val="TableParagraph"/>
              <w:spacing w:before="12"/>
              <w:rPr>
                <w:sz w:val="21"/>
              </w:rPr>
            </w:pPr>
          </w:p>
          <w:p>
            <w:pPr>
              <w:pStyle w:val="TableParagraph"/>
              <w:ind w:left="108" w:right="188"/>
              <w:rPr>
                <w:sz w:val="22"/>
              </w:rPr>
            </w:pPr>
            <w:r>
              <w:rPr>
                <w:sz w:val="22"/>
              </w:rPr>
              <w:t>During the assessment process, it is the case manager’s responsibility to inform individuals of their options regarding settings and providers. Participants report via the Assessment Meeting Wrap–up and the Assessment Meeting Survey that they are informed of their options regarding services and providers.</w:t>
            </w:r>
          </w:p>
        </w:tc>
        <w:tc>
          <w:tcPr>
            <w:tcW w:w="1411" w:type="dxa"/>
            <w:shd w:val="clear" w:color="auto" w:fill="D0E4CA"/>
          </w:tcPr>
          <w:p>
            <w:pPr>
              <w:pStyle w:val="TableParagraph"/>
              <w:ind w:left="108" w:right="269"/>
              <w:rPr>
                <w:sz w:val="24"/>
              </w:rPr>
            </w:pPr>
            <w:r>
              <w:rPr>
                <w:sz w:val="24"/>
              </w:rPr>
              <w:t>Partially Compliant</w:t>
            </w:r>
          </w:p>
        </w:tc>
        <w:tc>
          <w:tcPr>
            <w:tcW w:w="2765" w:type="dxa"/>
            <w:shd w:val="clear" w:color="auto" w:fill="D0E4CA"/>
          </w:tcPr>
          <w:p>
            <w:pPr>
              <w:pStyle w:val="TableParagraph"/>
              <w:ind w:left="108" w:right="117"/>
              <w:rPr>
                <w:sz w:val="22"/>
              </w:rPr>
            </w:pPr>
            <w:r>
              <w:rPr>
                <w:sz w:val="22"/>
              </w:rPr>
              <w:t>Monitoring is conducted during the annual Quality Assurance monitoring cycle. Department of Health provides oversight of specialized psychiatric services provider credentials.</w:t>
            </w:r>
          </w:p>
        </w:tc>
        <w:tc>
          <w:tcPr>
            <w:tcW w:w="2487" w:type="dxa"/>
            <w:shd w:val="clear" w:color="auto" w:fill="D0E4CA"/>
          </w:tcPr>
          <w:p>
            <w:pPr>
              <w:pStyle w:val="TableParagraph"/>
              <w:ind w:left="108" w:right="151"/>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w:t>
            </w:r>
            <w:r>
              <w:rPr>
                <w:color w:val="396230"/>
                <w:sz w:val="22"/>
              </w:rPr>
              <w:t>and adding language to the contracts requiring adherence to the WAC</w:t>
            </w:r>
            <w:r>
              <w:rPr>
                <w:sz w:val="22"/>
              </w:rPr>
              <w:t>. See </w:t>
            </w:r>
            <w:r>
              <w:rPr>
                <w:color w:val="6B9F24"/>
                <w:sz w:val="22"/>
                <w:u w:val="single" w:color="6B9F24"/>
              </w:rPr>
              <w:t>Appendix C.</w:t>
            </w:r>
          </w:p>
        </w:tc>
      </w:tr>
    </w:tbl>
    <w:p>
      <w:pPr>
        <w:pStyle w:val="BodyText"/>
        <w:rPr>
          <w:sz w:val="20"/>
        </w:rPr>
      </w:pPr>
    </w:p>
    <w:p>
      <w:pPr>
        <w:pStyle w:val="BodyText"/>
        <w:spacing w:before="12"/>
        <w:rPr>
          <w:sz w:val="10"/>
        </w:rPr>
      </w:pPr>
      <w:r>
        <w:rPr/>
        <w:pict>
          <v:shape style="position:absolute;margin-left:70.559998pt;margin-top:8.912469pt;width:650.9pt;height:.1pt;mso-position-horizontal-relative:page;mso-position-vertical-relative:paragraph;z-index:-251540480;mso-wrap-distance-left:0;mso-wrap-distance-right:0" coordorigin="1411,178" coordsize="13018,0" path="m1411,178l14429,178e" filled="false" stroked="true" strokeweight=".481pt" strokecolor="#d9d9d9">
            <v:path arrowok="t"/>
            <v:stroke dashstyle="solid"/>
            <w10:wrap type="topAndBottom"/>
          </v:shape>
        </w:pict>
      </w:r>
    </w:p>
    <w:p>
      <w:pPr>
        <w:spacing w:after="0"/>
        <w:rPr>
          <w:sz w:val="10"/>
        </w:rPr>
        <w:sectPr>
          <w:pgSz w:w="15840" w:h="12240" w:orient="landscape"/>
          <w:pgMar w:header="0" w:footer="1008"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9"/>
        <w:gridCol w:w="2834"/>
        <w:gridCol w:w="1411"/>
        <w:gridCol w:w="2765"/>
        <w:gridCol w:w="2487"/>
      </w:tblGrid>
      <w:tr>
        <w:trPr>
          <w:trHeight w:val="2147" w:hRule="atLeast"/>
        </w:trPr>
        <w:tc>
          <w:tcPr>
            <w:tcW w:w="3439" w:type="dxa"/>
            <w:shd w:val="clear" w:color="auto" w:fill="D0E4CA"/>
          </w:tcPr>
          <w:p>
            <w:pPr>
              <w:pStyle w:val="TableParagraph"/>
              <w:rPr>
                <w:rFonts w:ascii="Times New Roman"/>
                <w:sz w:val="22"/>
              </w:rPr>
            </w:pPr>
          </w:p>
        </w:tc>
        <w:tc>
          <w:tcPr>
            <w:tcW w:w="2834" w:type="dxa"/>
            <w:shd w:val="clear" w:color="auto" w:fill="D0E4CA"/>
          </w:tcPr>
          <w:p>
            <w:pPr>
              <w:pStyle w:val="TableParagraph"/>
              <w:ind w:left="108" w:right="79"/>
              <w:rPr>
                <w:sz w:val="22"/>
              </w:rPr>
            </w:pPr>
            <w:r>
              <w:rPr>
                <w:sz w:val="22"/>
              </w:rPr>
              <w:t>The State has completed a review of state statutes and regulations regarding specialized psychiatric services and determined that those laws are in alignment with the HCBS setting</w:t>
            </w:r>
          </w:p>
          <w:p>
            <w:pPr>
              <w:pStyle w:val="TableParagraph"/>
              <w:spacing w:line="249" w:lineRule="exact"/>
              <w:ind w:left="108"/>
              <w:rPr>
                <w:sz w:val="22"/>
              </w:rPr>
            </w:pPr>
            <w:r>
              <w:rPr>
                <w:sz w:val="22"/>
              </w:rPr>
              <w:t>requirements.</w:t>
            </w:r>
          </w:p>
        </w:tc>
        <w:tc>
          <w:tcPr>
            <w:tcW w:w="1411" w:type="dxa"/>
            <w:shd w:val="clear" w:color="auto" w:fill="D0E4CA"/>
          </w:tcPr>
          <w:p>
            <w:pPr>
              <w:pStyle w:val="TableParagraph"/>
              <w:rPr>
                <w:rFonts w:ascii="Times New Roman"/>
                <w:sz w:val="22"/>
              </w:rPr>
            </w:pPr>
          </w:p>
        </w:tc>
        <w:tc>
          <w:tcPr>
            <w:tcW w:w="2765" w:type="dxa"/>
            <w:shd w:val="clear" w:color="auto" w:fill="D0E4CA"/>
          </w:tcPr>
          <w:p>
            <w:pPr>
              <w:pStyle w:val="TableParagraph"/>
              <w:rPr>
                <w:rFonts w:ascii="Times New Roman"/>
                <w:sz w:val="22"/>
              </w:rPr>
            </w:pPr>
          </w:p>
        </w:tc>
        <w:tc>
          <w:tcPr>
            <w:tcW w:w="2487" w:type="dxa"/>
            <w:shd w:val="clear" w:color="auto" w:fill="D0E4CA"/>
          </w:tcPr>
          <w:p>
            <w:pPr>
              <w:pStyle w:val="TableParagraph"/>
              <w:rPr>
                <w:rFonts w:ascii="Times New Roman"/>
                <w:sz w:val="22"/>
              </w:rPr>
            </w:pPr>
          </w:p>
        </w:tc>
      </w:tr>
      <w:tr>
        <w:trPr>
          <w:trHeight w:val="6983" w:hRule="atLeast"/>
        </w:trPr>
        <w:tc>
          <w:tcPr>
            <w:tcW w:w="3439" w:type="dxa"/>
          </w:tcPr>
          <w:p>
            <w:pPr>
              <w:pStyle w:val="TableParagraph"/>
              <w:ind w:left="107" w:right="141"/>
              <w:rPr>
                <w:b/>
                <w:sz w:val="22"/>
              </w:rPr>
            </w:pPr>
            <w:r>
              <w:rPr>
                <w:b/>
                <w:sz w:val="22"/>
              </w:rPr>
              <w:t>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 degree of access as individuals not receiving Medicaid HCBS.</w:t>
            </w:r>
          </w:p>
        </w:tc>
        <w:tc>
          <w:tcPr>
            <w:tcW w:w="2834" w:type="dxa"/>
          </w:tcPr>
          <w:p>
            <w:pPr>
              <w:pStyle w:val="TableParagraph"/>
              <w:ind w:left="108" w:right="240"/>
              <w:jc w:val="both"/>
              <w:rPr>
                <w:sz w:val="22"/>
              </w:rPr>
            </w:pPr>
            <w:r>
              <w:rPr>
                <w:sz w:val="22"/>
              </w:rPr>
              <w:t>The settings are integrated into the greater community and do not preclude access to the community.</w:t>
            </w:r>
          </w:p>
          <w:p>
            <w:pPr>
              <w:pStyle w:val="TableParagraph"/>
              <w:rPr>
                <w:b/>
                <w:sz w:val="22"/>
              </w:rPr>
            </w:pPr>
          </w:p>
          <w:p>
            <w:pPr>
              <w:pStyle w:val="TableParagraph"/>
              <w:ind w:left="107" w:right="96"/>
              <w:rPr>
                <w:sz w:val="22"/>
              </w:rPr>
            </w:pPr>
            <w:r>
              <w:rPr>
                <w:sz w:val="22"/>
              </w:rPr>
              <w:t>Washington's legislature </w:t>
            </w:r>
            <w:r>
              <w:rPr>
                <w:spacing w:val="-2"/>
                <w:sz w:val="22"/>
              </w:rPr>
              <w:t>has </w:t>
            </w:r>
            <w:r>
              <w:rPr>
                <w:sz w:val="22"/>
              </w:rPr>
              <w:t>codified its intent that choice, participation, privacy, and the opportunity to engage in religious, political, recreational, and other social activities foster a sense of self-worth and enhance the quality of life for long-term care participants.</w:t>
            </w:r>
          </w:p>
          <w:p>
            <w:pPr>
              <w:pStyle w:val="TableParagraph"/>
              <w:spacing w:before="12"/>
              <w:rPr>
                <w:b/>
                <w:sz w:val="21"/>
              </w:rPr>
            </w:pPr>
          </w:p>
          <w:p>
            <w:pPr>
              <w:pStyle w:val="TableParagraph"/>
              <w:ind w:left="107" w:right="114"/>
              <w:rPr>
                <w:sz w:val="22"/>
              </w:rPr>
            </w:pPr>
            <w:r>
              <w:rPr>
                <w:sz w:val="22"/>
              </w:rPr>
              <w:t>Washington State Law provides clear protections of rights. </w:t>
            </w:r>
            <w:hyperlink r:id="rId92">
              <w:r>
                <w:rPr>
                  <w:color w:val="396230"/>
                  <w:sz w:val="22"/>
                  <w:u w:val="single" w:color="396230"/>
                </w:rPr>
                <w:t>Chapter 49.60</w:t>
              </w:r>
              <w:r>
                <w:rPr>
                  <w:color w:val="396230"/>
                  <w:sz w:val="22"/>
                </w:rPr>
                <w:t> </w:t>
              </w:r>
            </w:hyperlink>
            <w:r>
              <w:rPr>
                <w:sz w:val="22"/>
              </w:rPr>
              <w:t>RCW is the state's law against discrimination and which created the Washington State Human Rights Commission to develop</w:t>
            </w:r>
          </w:p>
          <w:p>
            <w:pPr>
              <w:pStyle w:val="TableParagraph"/>
              <w:spacing w:line="249" w:lineRule="exact"/>
              <w:ind w:left="108"/>
              <w:rPr>
                <w:sz w:val="22"/>
              </w:rPr>
            </w:pPr>
            <w:r>
              <w:rPr>
                <w:sz w:val="22"/>
              </w:rPr>
              <w:t>policies and rules to</w:t>
            </w:r>
          </w:p>
        </w:tc>
        <w:tc>
          <w:tcPr>
            <w:tcW w:w="1411" w:type="dxa"/>
          </w:tcPr>
          <w:p>
            <w:pPr>
              <w:pStyle w:val="TableParagraph"/>
              <w:spacing w:before="1"/>
              <w:ind w:left="108" w:right="269"/>
              <w:rPr>
                <w:sz w:val="24"/>
              </w:rPr>
            </w:pPr>
            <w:r>
              <w:rPr>
                <w:sz w:val="24"/>
              </w:rPr>
              <w:t>Fully Compliant</w:t>
            </w:r>
          </w:p>
        </w:tc>
        <w:tc>
          <w:tcPr>
            <w:tcW w:w="2765" w:type="dxa"/>
          </w:tcPr>
          <w:p>
            <w:pPr>
              <w:pStyle w:val="TableParagraph"/>
              <w:ind w:left="108" w:right="169"/>
              <w:rPr>
                <w:sz w:val="22"/>
              </w:rPr>
            </w:pPr>
            <w:r>
              <w:rPr>
                <w:sz w:val="22"/>
              </w:rPr>
              <w:t>At the time of initial contracting and at contract renewal, the contracts specialist ensures that the provider meets all provider qualifications including business licenses and any other credentials related to the provision of contracted services.</w:t>
            </w:r>
          </w:p>
          <w:p>
            <w:pPr>
              <w:pStyle w:val="TableParagraph"/>
              <w:spacing w:before="11"/>
              <w:rPr>
                <w:b/>
                <w:sz w:val="21"/>
              </w:rPr>
            </w:pPr>
          </w:p>
          <w:p>
            <w:pPr>
              <w:pStyle w:val="TableParagraph"/>
              <w:ind w:left="108" w:right="234"/>
              <w:rPr>
                <w:sz w:val="22"/>
              </w:rPr>
            </w:pPr>
            <w:r>
              <w:rPr>
                <w:sz w:val="22"/>
              </w:rPr>
              <w:t>Healthcare professions are regulated by the Department of Health (DOH). Complaints are investigated by DOH. All Healthcare providers are subject to the Uniform Disciplinary Act </w:t>
            </w:r>
            <w:r>
              <w:rPr>
                <w:color w:val="396230"/>
                <w:sz w:val="22"/>
              </w:rPr>
              <w:t>(</w:t>
            </w:r>
            <w:hyperlink r:id="rId93">
              <w:r>
                <w:rPr>
                  <w:color w:val="396230"/>
                  <w:sz w:val="22"/>
                  <w:u w:val="single" w:color="396230"/>
                </w:rPr>
                <w:t>RCW</w:t>
              </w:r>
            </w:hyperlink>
            <w:r>
              <w:rPr>
                <w:color w:val="396230"/>
                <w:sz w:val="22"/>
              </w:rPr>
              <w:t> </w:t>
            </w:r>
            <w:hyperlink r:id="rId93">
              <w:r>
                <w:rPr>
                  <w:color w:val="396230"/>
                  <w:sz w:val="22"/>
                  <w:u w:val="single" w:color="396230"/>
                </w:rPr>
                <w:t>18.130.160</w:t>
              </w:r>
            </w:hyperlink>
            <w:r>
              <w:rPr>
                <w:color w:val="396230"/>
                <w:sz w:val="22"/>
              </w:rPr>
              <w:t>)</w:t>
            </w:r>
          </w:p>
        </w:tc>
        <w:tc>
          <w:tcPr>
            <w:tcW w:w="2487" w:type="dxa"/>
          </w:tcPr>
          <w:p>
            <w:pPr>
              <w:pStyle w:val="TableParagraph"/>
              <w:ind w:left="108" w:right="151"/>
              <w:rPr>
                <w:sz w:val="22"/>
              </w:rPr>
            </w:pPr>
            <w:r>
              <w:rPr>
                <w:color w:val="396230"/>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color w:val="396230"/>
                <w:sz w:val="22"/>
              </w:rPr>
              <w:t>to include all rights listed in the HCBS rules and adding language to the contracts requiring adherence to the WAC. See </w:t>
            </w:r>
            <w:r>
              <w:rPr>
                <w:color w:val="6B9F24"/>
                <w:sz w:val="22"/>
                <w:u w:val="single" w:color="6B9F24"/>
              </w:rPr>
              <w:t>Appendix C</w:t>
            </w:r>
            <w:r>
              <w:rPr>
                <w:color w:val="396230"/>
                <w:sz w:val="22"/>
              </w:rPr>
              <w:t>.</w:t>
            </w:r>
          </w:p>
        </w:tc>
      </w:tr>
    </w:tbl>
    <w:p>
      <w:pPr>
        <w:pStyle w:val="BodyText"/>
        <w:spacing w:before="3"/>
        <w:rPr>
          <w:b/>
          <w:sz w:val="5"/>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08"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9"/>
        <w:gridCol w:w="2834"/>
        <w:gridCol w:w="1411"/>
        <w:gridCol w:w="2765"/>
        <w:gridCol w:w="2487"/>
      </w:tblGrid>
      <w:tr>
        <w:trPr>
          <w:trHeight w:val="2150" w:hRule="atLeast"/>
        </w:trPr>
        <w:tc>
          <w:tcPr>
            <w:tcW w:w="3439" w:type="dxa"/>
          </w:tcPr>
          <w:p>
            <w:pPr>
              <w:pStyle w:val="TableParagraph"/>
              <w:rPr>
                <w:rFonts w:ascii="Times New Roman"/>
                <w:sz w:val="22"/>
              </w:rPr>
            </w:pPr>
          </w:p>
        </w:tc>
        <w:tc>
          <w:tcPr>
            <w:tcW w:w="2834" w:type="dxa"/>
          </w:tcPr>
          <w:p>
            <w:pPr>
              <w:pStyle w:val="TableParagraph"/>
              <w:ind w:left="108" w:right="130"/>
              <w:rPr>
                <w:sz w:val="22"/>
              </w:rPr>
            </w:pPr>
            <w:r>
              <w:rPr>
                <w:sz w:val="22"/>
              </w:rPr>
              <w:t>eliminate and prevent discrimination. </w:t>
            </w:r>
            <w:hyperlink r:id="rId102">
              <w:r>
                <w:rPr>
                  <w:color w:val="396230"/>
                  <w:sz w:val="22"/>
                  <w:u w:val="single" w:color="396230"/>
                </w:rPr>
                <w:t>Chapter 162-</w:t>
              </w:r>
            </w:hyperlink>
            <w:r>
              <w:rPr>
                <w:color w:val="396230"/>
                <w:sz w:val="22"/>
              </w:rPr>
              <w:t> </w:t>
            </w:r>
            <w:hyperlink r:id="rId102">
              <w:r>
                <w:rPr>
                  <w:color w:val="396230"/>
                  <w:sz w:val="22"/>
                  <w:u w:val="single" w:color="396230"/>
                </w:rPr>
                <w:t>26 WAC</w:t>
              </w:r>
              <w:r>
                <w:rPr>
                  <w:color w:val="396230"/>
                  <w:sz w:val="22"/>
                </w:rPr>
                <w:t> </w:t>
              </w:r>
            </w:hyperlink>
            <w:r>
              <w:rPr>
                <w:sz w:val="22"/>
              </w:rPr>
              <w:t>identifies unfair practices to include reasonable accommodations, accessibility and</w:t>
            </w:r>
            <w:r>
              <w:rPr>
                <w:spacing w:val="-2"/>
                <w:sz w:val="22"/>
              </w:rPr>
              <w:t> </w:t>
            </w:r>
            <w:r>
              <w:rPr>
                <w:sz w:val="22"/>
              </w:rPr>
              <w:t>service</w:t>
            </w:r>
          </w:p>
          <w:p>
            <w:pPr>
              <w:pStyle w:val="TableParagraph"/>
              <w:spacing w:line="251" w:lineRule="exact"/>
              <w:ind w:left="108"/>
              <w:rPr>
                <w:sz w:val="22"/>
              </w:rPr>
            </w:pPr>
            <w:r>
              <w:rPr>
                <w:sz w:val="22"/>
              </w:rPr>
              <w:t>animals.</w:t>
            </w:r>
          </w:p>
        </w:tc>
        <w:tc>
          <w:tcPr>
            <w:tcW w:w="1411" w:type="dxa"/>
          </w:tcPr>
          <w:p>
            <w:pPr>
              <w:pStyle w:val="TableParagraph"/>
              <w:rPr>
                <w:rFonts w:ascii="Times New Roman"/>
                <w:sz w:val="22"/>
              </w:rPr>
            </w:pPr>
          </w:p>
        </w:tc>
        <w:tc>
          <w:tcPr>
            <w:tcW w:w="2765" w:type="dxa"/>
          </w:tcPr>
          <w:p>
            <w:pPr>
              <w:pStyle w:val="TableParagraph"/>
              <w:rPr>
                <w:rFonts w:ascii="Times New Roman"/>
                <w:sz w:val="22"/>
              </w:rPr>
            </w:pPr>
          </w:p>
        </w:tc>
        <w:tc>
          <w:tcPr>
            <w:tcW w:w="2487" w:type="dxa"/>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4"/>
        </w:rPr>
      </w:pPr>
      <w:r>
        <w:rPr/>
        <w:pict>
          <v:shape style="position:absolute;margin-left:70.559998pt;margin-top:11.242625pt;width:650.9pt;height:.1pt;mso-position-horizontal-relative:page;mso-position-vertical-relative:paragraph;z-index:-251538432;mso-wrap-distance-left:0;mso-wrap-distance-right:0" coordorigin="1411,225" coordsize="13018,0" path="m1411,225l14429,225e" filled="false" stroked="true" strokeweight=".481pt" strokecolor="#d9d9d9">
            <v:path arrowok="t"/>
            <v:stroke dashstyle="solid"/>
            <w10:wrap type="topAndBottom"/>
          </v:shape>
        </w:pict>
      </w:r>
    </w:p>
    <w:p>
      <w:pPr>
        <w:spacing w:after="0"/>
        <w:rPr>
          <w:sz w:val="14"/>
        </w:rPr>
        <w:sectPr>
          <w:pgSz w:w="15840" w:h="12240" w:orient="landscape"/>
          <w:pgMar w:header="0" w:footer="1008"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19" w:right="2957" w:firstLine="0"/>
        <w:jc w:val="center"/>
        <w:rPr>
          <w:b/>
          <w:sz w:val="28"/>
        </w:rPr>
      </w:pPr>
      <w:bookmarkStart w:name="DDA Positive Behavior Support and Consul" w:id="69"/>
      <w:bookmarkEnd w:id="69"/>
      <w:r>
        <w:rPr/>
      </w:r>
      <w:bookmarkStart w:name="_bookmark31" w:id="70"/>
      <w:bookmarkEnd w:id="70"/>
      <w:r>
        <w:rPr/>
      </w:r>
      <w:r>
        <w:rPr>
          <w:b/>
          <w:sz w:val="28"/>
        </w:rPr>
        <w:t>DDA Positive Behavior Support and Consultation</w:t>
      </w:r>
    </w:p>
    <w:p>
      <w:pPr>
        <w:pStyle w:val="BodyText"/>
        <w:spacing w:before="2"/>
        <w:rPr>
          <w:b/>
          <w:sz w:val="29"/>
        </w:rPr>
      </w:pPr>
    </w:p>
    <w:p>
      <w:pPr>
        <w:pStyle w:val="Heading4"/>
        <w:spacing w:line="276" w:lineRule="auto"/>
        <w:ind w:left="1060" w:right="1115"/>
      </w:pPr>
      <w:r>
        <w:rPr/>
        <w:t>Setting Description: DDA Positive Behavior Support and Consultation is one component of Behavioral Health Stabilization Services which include Positive Behavior Support and Consultation, Specialized Psychiatric Services and Behavioral Health Crisis Bed Diversion Services. Positive Behavior Support and Consultation includes individualized strategies for effectively relating to caregivers and other people in the waiver participants life and direct interventions with the person to decrease aggressive, destructive and sexually inappropriate or other behaviors that compromise their ability to remain in the community. Direct interventions may include training, specialized cognitive counseling, conducting a functional assessment, development and implementation of a positive behavior support plan. Providers are located in typical community locations (such as medical and professional offices and community mental health clinics) and may also provide services in participants’ homes. All community members have free access to these or similar services and settings include both Medicaid and non-Medicaid-funded</w:t>
      </w:r>
      <w:r>
        <w:rPr>
          <w:spacing w:val="-9"/>
        </w:rPr>
        <w:t> </w:t>
      </w:r>
      <w:r>
        <w:rPr/>
        <w:t>participants.</w:t>
      </w:r>
    </w:p>
    <w:p>
      <w:pPr>
        <w:pStyle w:val="BodyText"/>
        <w:spacing w:before="8"/>
        <w:rPr>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7"/>
        <w:gridCol w:w="2842"/>
        <w:gridCol w:w="1412"/>
        <w:gridCol w:w="2770"/>
        <w:gridCol w:w="2492"/>
      </w:tblGrid>
      <w:tr>
        <w:trPr>
          <w:trHeight w:val="1170" w:hRule="atLeast"/>
        </w:trPr>
        <w:tc>
          <w:tcPr>
            <w:tcW w:w="3437" w:type="dxa"/>
          </w:tcPr>
          <w:p>
            <w:pPr>
              <w:pStyle w:val="TableParagraph"/>
              <w:spacing w:line="292" w:lineRule="exact"/>
              <w:ind w:left="235"/>
              <w:rPr>
                <w:b/>
                <w:sz w:val="24"/>
              </w:rPr>
            </w:pPr>
            <w:r>
              <w:rPr>
                <w:b/>
                <w:sz w:val="24"/>
              </w:rPr>
              <w:t>Characteristics/Requirements</w:t>
            </w:r>
          </w:p>
        </w:tc>
        <w:tc>
          <w:tcPr>
            <w:tcW w:w="2842" w:type="dxa"/>
          </w:tcPr>
          <w:p>
            <w:pPr>
              <w:pStyle w:val="TableParagraph"/>
              <w:ind w:left="143" w:right="133" w:firstLine="4"/>
              <w:jc w:val="center"/>
              <w:rPr>
                <w:b/>
                <w:sz w:val="24"/>
              </w:rPr>
            </w:pPr>
            <w:r>
              <w:rPr>
                <w:b/>
                <w:sz w:val="24"/>
              </w:rPr>
              <w:t>DDA Positive Behavior Support and Consultation Providers</w:t>
            </w:r>
          </w:p>
          <w:p>
            <w:pPr>
              <w:pStyle w:val="TableParagraph"/>
              <w:spacing w:line="273" w:lineRule="exact"/>
              <w:ind w:left="587" w:right="575"/>
              <w:jc w:val="center"/>
              <w:rPr>
                <w:b/>
                <w:sz w:val="24"/>
              </w:rPr>
            </w:pPr>
            <w:r>
              <w:rPr>
                <w:b/>
                <w:sz w:val="24"/>
              </w:rPr>
              <w:t>State Evaluation</w:t>
            </w:r>
          </w:p>
        </w:tc>
        <w:tc>
          <w:tcPr>
            <w:tcW w:w="1412" w:type="dxa"/>
          </w:tcPr>
          <w:p>
            <w:pPr>
              <w:pStyle w:val="TableParagraph"/>
              <w:ind w:left="445" w:right="97" w:hanging="327"/>
              <w:rPr>
                <w:b/>
                <w:sz w:val="24"/>
              </w:rPr>
            </w:pPr>
            <w:r>
              <w:rPr>
                <w:b/>
                <w:sz w:val="24"/>
              </w:rPr>
              <w:t>Compliance Level</w:t>
            </w:r>
          </w:p>
        </w:tc>
        <w:tc>
          <w:tcPr>
            <w:tcW w:w="2770" w:type="dxa"/>
          </w:tcPr>
          <w:p>
            <w:pPr>
              <w:pStyle w:val="TableParagraph"/>
              <w:spacing w:line="292" w:lineRule="exact"/>
              <w:ind w:left="497"/>
              <w:rPr>
                <w:b/>
                <w:sz w:val="24"/>
              </w:rPr>
            </w:pPr>
            <w:r>
              <w:rPr>
                <w:b/>
                <w:sz w:val="24"/>
              </w:rPr>
              <w:t>Oversight Process</w:t>
            </w:r>
          </w:p>
        </w:tc>
        <w:tc>
          <w:tcPr>
            <w:tcW w:w="2492" w:type="dxa"/>
          </w:tcPr>
          <w:p>
            <w:pPr>
              <w:pStyle w:val="TableParagraph"/>
              <w:spacing w:line="292" w:lineRule="exact"/>
              <w:ind w:left="602"/>
              <w:rPr>
                <w:b/>
                <w:sz w:val="24"/>
              </w:rPr>
            </w:pPr>
            <w:r>
              <w:rPr>
                <w:b/>
                <w:sz w:val="24"/>
              </w:rPr>
              <w:t>Remediation</w:t>
            </w:r>
          </w:p>
        </w:tc>
      </w:tr>
      <w:tr>
        <w:trPr>
          <w:trHeight w:val="4029" w:hRule="atLeast"/>
        </w:trPr>
        <w:tc>
          <w:tcPr>
            <w:tcW w:w="3437" w:type="dxa"/>
            <w:shd w:val="clear" w:color="auto" w:fill="D0E4CA"/>
          </w:tcPr>
          <w:p>
            <w:pPr>
              <w:pStyle w:val="TableParagraph"/>
              <w:ind w:left="107" w:right="426"/>
              <w:rPr>
                <w:b/>
                <w:sz w:val="22"/>
              </w:rPr>
            </w:pPr>
            <w:r>
              <w:rPr>
                <w:b/>
                <w:sz w:val="22"/>
              </w:rPr>
              <w:t>Individual choice regarding services and supports, and who provides them, is facilitated.</w:t>
            </w:r>
          </w:p>
        </w:tc>
        <w:tc>
          <w:tcPr>
            <w:tcW w:w="2842" w:type="dxa"/>
            <w:shd w:val="clear" w:color="auto" w:fill="D0E4CA"/>
          </w:tcPr>
          <w:p>
            <w:pPr>
              <w:pStyle w:val="TableParagraph"/>
              <w:ind w:left="107" w:right="197"/>
              <w:rPr>
                <w:sz w:val="22"/>
              </w:rPr>
            </w:pPr>
            <w:r>
              <w:rPr>
                <w:sz w:val="22"/>
              </w:rPr>
              <w:t>During the assessment process, it is the case manager’s responsibility to inform individuals of their options regarding settings and providers. Participants report via the Assessment Meeting Wrap–up and the Assessment Meeting Survey that they are informed of their options regarding services and providers.</w:t>
            </w:r>
          </w:p>
          <w:p>
            <w:pPr>
              <w:pStyle w:val="TableParagraph"/>
              <w:spacing w:before="10"/>
              <w:rPr>
                <w:sz w:val="21"/>
              </w:rPr>
            </w:pPr>
          </w:p>
          <w:p>
            <w:pPr>
              <w:pStyle w:val="TableParagraph"/>
              <w:spacing w:line="270" w:lineRule="atLeast"/>
              <w:ind w:left="107" w:right="211"/>
              <w:rPr>
                <w:sz w:val="22"/>
              </w:rPr>
            </w:pPr>
            <w:r>
              <w:rPr>
                <w:sz w:val="22"/>
              </w:rPr>
              <w:t>The State has completed a review of state statutes and</w:t>
            </w:r>
          </w:p>
        </w:tc>
        <w:tc>
          <w:tcPr>
            <w:tcW w:w="1412" w:type="dxa"/>
            <w:shd w:val="clear" w:color="auto" w:fill="D0E4CA"/>
          </w:tcPr>
          <w:p>
            <w:pPr>
              <w:pStyle w:val="TableParagraph"/>
              <w:ind w:left="107" w:right="271"/>
              <w:rPr>
                <w:sz w:val="24"/>
              </w:rPr>
            </w:pPr>
            <w:r>
              <w:rPr>
                <w:sz w:val="24"/>
              </w:rPr>
              <w:t>Partially Compliant</w:t>
            </w:r>
          </w:p>
        </w:tc>
        <w:tc>
          <w:tcPr>
            <w:tcW w:w="2770" w:type="dxa"/>
            <w:shd w:val="clear" w:color="auto" w:fill="D0E4CA"/>
          </w:tcPr>
          <w:p>
            <w:pPr>
              <w:pStyle w:val="TableParagraph"/>
              <w:ind w:left="106" w:right="124"/>
              <w:rPr>
                <w:sz w:val="22"/>
              </w:rPr>
            </w:pPr>
            <w:r>
              <w:rPr>
                <w:sz w:val="22"/>
              </w:rPr>
              <w:t>Monitoring is conducted during the annual Quality Assurance monitoring cycle. Department of Health provides oversight of behavior health and consultation provider credentials.</w:t>
            </w:r>
          </w:p>
        </w:tc>
        <w:tc>
          <w:tcPr>
            <w:tcW w:w="2492" w:type="dxa"/>
            <w:shd w:val="clear" w:color="auto" w:fill="D0E4CA"/>
          </w:tcPr>
          <w:p>
            <w:pPr>
              <w:pStyle w:val="TableParagraph"/>
              <w:ind w:left="106" w:right="158"/>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w:t>
            </w:r>
            <w:r>
              <w:rPr>
                <w:color w:val="396230"/>
                <w:sz w:val="22"/>
              </w:rPr>
              <w:t>and adding language to the contracts requiring adherence to the WAC</w:t>
            </w:r>
            <w:r>
              <w:rPr>
                <w:sz w:val="22"/>
              </w:rPr>
              <w:t>. See </w:t>
            </w:r>
            <w:r>
              <w:rPr>
                <w:color w:val="6B9F24"/>
                <w:sz w:val="22"/>
                <w:u w:val="single" w:color="6B9F24"/>
              </w:rPr>
              <w:t>Appendix C.</w:t>
            </w:r>
          </w:p>
        </w:tc>
      </w:tr>
    </w:tbl>
    <w:p>
      <w:pPr>
        <w:pStyle w:val="BodyText"/>
        <w:spacing w:before="10"/>
        <w:rPr>
          <w:sz w:val="4"/>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08"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7"/>
        <w:gridCol w:w="2842"/>
        <w:gridCol w:w="1412"/>
        <w:gridCol w:w="2770"/>
        <w:gridCol w:w="2492"/>
      </w:tblGrid>
      <w:tr>
        <w:trPr>
          <w:trHeight w:val="1612" w:hRule="atLeast"/>
        </w:trPr>
        <w:tc>
          <w:tcPr>
            <w:tcW w:w="3437" w:type="dxa"/>
            <w:shd w:val="clear" w:color="auto" w:fill="D0E4CA"/>
          </w:tcPr>
          <w:p>
            <w:pPr>
              <w:pStyle w:val="TableParagraph"/>
              <w:rPr>
                <w:rFonts w:ascii="Times New Roman"/>
                <w:sz w:val="22"/>
              </w:rPr>
            </w:pPr>
          </w:p>
        </w:tc>
        <w:tc>
          <w:tcPr>
            <w:tcW w:w="2842" w:type="dxa"/>
            <w:shd w:val="clear" w:color="auto" w:fill="D0E4CA"/>
          </w:tcPr>
          <w:p>
            <w:pPr>
              <w:pStyle w:val="TableParagraph"/>
              <w:ind w:left="107" w:right="105"/>
              <w:rPr>
                <w:sz w:val="22"/>
              </w:rPr>
            </w:pPr>
            <w:r>
              <w:rPr>
                <w:sz w:val="22"/>
              </w:rPr>
              <w:t>regulations regarding behavior support and consultation and determined that those laws are in alignment with the HCBS</w:t>
            </w:r>
          </w:p>
          <w:p>
            <w:pPr>
              <w:pStyle w:val="TableParagraph"/>
              <w:spacing w:line="249" w:lineRule="exact"/>
              <w:ind w:left="107"/>
              <w:rPr>
                <w:sz w:val="22"/>
              </w:rPr>
            </w:pPr>
            <w:r>
              <w:rPr>
                <w:sz w:val="22"/>
              </w:rPr>
              <w:t>setting requirements.</w:t>
            </w:r>
          </w:p>
        </w:tc>
        <w:tc>
          <w:tcPr>
            <w:tcW w:w="1412" w:type="dxa"/>
            <w:shd w:val="clear" w:color="auto" w:fill="D0E4CA"/>
          </w:tcPr>
          <w:p>
            <w:pPr>
              <w:pStyle w:val="TableParagraph"/>
              <w:rPr>
                <w:rFonts w:ascii="Times New Roman"/>
                <w:sz w:val="22"/>
              </w:rPr>
            </w:pPr>
          </w:p>
        </w:tc>
        <w:tc>
          <w:tcPr>
            <w:tcW w:w="2770" w:type="dxa"/>
            <w:shd w:val="clear" w:color="auto" w:fill="D0E4CA"/>
          </w:tcPr>
          <w:p>
            <w:pPr>
              <w:pStyle w:val="TableParagraph"/>
              <w:rPr>
                <w:rFonts w:ascii="Times New Roman"/>
                <w:sz w:val="22"/>
              </w:rPr>
            </w:pPr>
          </w:p>
        </w:tc>
        <w:tc>
          <w:tcPr>
            <w:tcW w:w="2492" w:type="dxa"/>
            <w:shd w:val="clear" w:color="auto" w:fill="D0E4CA"/>
          </w:tcPr>
          <w:p>
            <w:pPr>
              <w:pStyle w:val="TableParagraph"/>
              <w:rPr>
                <w:rFonts w:ascii="Times New Roman"/>
                <w:sz w:val="22"/>
              </w:rPr>
            </w:pPr>
          </w:p>
        </w:tc>
      </w:tr>
      <w:tr>
        <w:trPr>
          <w:trHeight w:val="7518" w:hRule="atLeast"/>
        </w:trPr>
        <w:tc>
          <w:tcPr>
            <w:tcW w:w="3437" w:type="dxa"/>
          </w:tcPr>
          <w:p>
            <w:pPr>
              <w:pStyle w:val="TableParagraph"/>
              <w:ind w:left="107" w:right="139"/>
              <w:rPr>
                <w:b/>
                <w:sz w:val="22"/>
              </w:rPr>
            </w:pPr>
            <w:r>
              <w:rPr>
                <w:b/>
                <w:sz w:val="22"/>
              </w:rPr>
              <w:t>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 degree of access as individuals not receiving Medicaid HCBS.</w:t>
            </w:r>
          </w:p>
        </w:tc>
        <w:tc>
          <w:tcPr>
            <w:tcW w:w="2842" w:type="dxa"/>
          </w:tcPr>
          <w:p>
            <w:pPr>
              <w:pStyle w:val="TableParagraph"/>
              <w:ind w:left="107" w:right="249"/>
              <w:jc w:val="both"/>
              <w:rPr>
                <w:sz w:val="22"/>
              </w:rPr>
            </w:pPr>
            <w:r>
              <w:rPr>
                <w:sz w:val="22"/>
              </w:rPr>
              <w:t>The settings are integrated into the greater community and do not preclude access to the community.</w:t>
            </w:r>
          </w:p>
          <w:p>
            <w:pPr>
              <w:pStyle w:val="TableParagraph"/>
              <w:spacing w:before="10"/>
              <w:rPr>
                <w:b/>
                <w:sz w:val="21"/>
              </w:rPr>
            </w:pPr>
          </w:p>
          <w:p>
            <w:pPr>
              <w:pStyle w:val="TableParagraph"/>
              <w:ind w:left="107" w:right="97"/>
              <w:rPr>
                <w:sz w:val="22"/>
              </w:rPr>
            </w:pPr>
            <w:r>
              <w:rPr>
                <w:sz w:val="22"/>
              </w:rPr>
              <w:t>Washington's legislature </w:t>
            </w:r>
            <w:r>
              <w:rPr>
                <w:spacing w:val="-2"/>
                <w:sz w:val="22"/>
              </w:rPr>
              <w:t>has </w:t>
            </w:r>
            <w:r>
              <w:rPr>
                <w:sz w:val="22"/>
              </w:rPr>
              <w:t>codified its intent that choice, participation, privacy, and the opportunity to engage in religious, political, recreational, and other social activities foster a sense of self-worth and enhance the quality of life for long-term care participants.</w:t>
            </w:r>
          </w:p>
          <w:p>
            <w:pPr>
              <w:pStyle w:val="TableParagraph"/>
              <w:spacing w:before="11"/>
              <w:rPr>
                <w:b/>
                <w:sz w:val="21"/>
              </w:rPr>
            </w:pPr>
          </w:p>
          <w:p>
            <w:pPr>
              <w:pStyle w:val="TableParagraph"/>
              <w:spacing w:before="1"/>
              <w:ind w:left="107" w:right="122"/>
              <w:rPr>
                <w:sz w:val="22"/>
              </w:rPr>
            </w:pPr>
            <w:r>
              <w:rPr>
                <w:sz w:val="22"/>
              </w:rPr>
              <w:t>Washington State Law provides clear protections of rights. </w:t>
            </w:r>
            <w:hyperlink r:id="rId92">
              <w:r>
                <w:rPr>
                  <w:color w:val="396230"/>
                  <w:sz w:val="22"/>
                  <w:u w:val="single" w:color="396230"/>
                </w:rPr>
                <w:t>Chapter 49.60 </w:t>
              </w:r>
            </w:hyperlink>
            <w:r>
              <w:rPr>
                <w:sz w:val="22"/>
              </w:rPr>
              <w:t>RCW is the state's law against discrimination and which created the Washington State Human Rights Commission to develop policies and rules to eliminate and prevent discrimination. Chapter 162-</w:t>
            </w:r>
          </w:p>
          <w:p>
            <w:pPr>
              <w:pStyle w:val="TableParagraph"/>
              <w:spacing w:line="249" w:lineRule="exact" w:before="1"/>
              <w:ind w:left="107"/>
              <w:rPr>
                <w:sz w:val="22"/>
              </w:rPr>
            </w:pPr>
            <w:r>
              <w:rPr>
                <w:sz w:val="22"/>
              </w:rPr>
              <w:t>26 in Washington</w:t>
            </w:r>
          </w:p>
        </w:tc>
        <w:tc>
          <w:tcPr>
            <w:tcW w:w="1412" w:type="dxa"/>
          </w:tcPr>
          <w:p>
            <w:pPr>
              <w:pStyle w:val="TableParagraph"/>
              <w:ind w:left="107" w:right="271"/>
              <w:rPr>
                <w:sz w:val="24"/>
              </w:rPr>
            </w:pPr>
            <w:r>
              <w:rPr>
                <w:sz w:val="24"/>
              </w:rPr>
              <w:t>Fully Compliant</w:t>
            </w:r>
          </w:p>
        </w:tc>
        <w:tc>
          <w:tcPr>
            <w:tcW w:w="2770" w:type="dxa"/>
          </w:tcPr>
          <w:p>
            <w:pPr>
              <w:pStyle w:val="TableParagraph"/>
              <w:ind w:left="106" w:right="176"/>
              <w:rPr>
                <w:sz w:val="22"/>
              </w:rPr>
            </w:pPr>
            <w:r>
              <w:rPr>
                <w:sz w:val="22"/>
              </w:rPr>
              <w:t>At the time of initial contracting and at contract renewal, the contracts specialist ensures that the provider meets all provider qualifications including business licenses and any other credentials related to the provision of contracted services.</w:t>
            </w:r>
          </w:p>
          <w:p>
            <w:pPr>
              <w:pStyle w:val="TableParagraph"/>
              <w:spacing w:before="9"/>
              <w:rPr>
                <w:b/>
                <w:sz w:val="21"/>
              </w:rPr>
            </w:pPr>
          </w:p>
          <w:p>
            <w:pPr>
              <w:pStyle w:val="TableParagraph"/>
              <w:ind w:left="106" w:right="113"/>
              <w:rPr>
                <w:sz w:val="22"/>
              </w:rPr>
            </w:pPr>
            <w:r>
              <w:rPr>
                <w:sz w:val="22"/>
              </w:rPr>
              <w:t>Behavior support professionals are regulated by the Department of Health (DOH). Complaints are investigated by DOH. All Healthcare providers are subject to the Uniform Disciplinary Act (</w:t>
            </w:r>
            <w:hyperlink r:id="rId93">
              <w:r>
                <w:rPr>
                  <w:color w:val="396230"/>
                  <w:sz w:val="22"/>
                  <w:u w:val="single" w:color="396230"/>
                </w:rPr>
                <w:t>RCW</w:t>
              </w:r>
            </w:hyperlink>
            <w:r>
              <w:rPr>
                <w:color w:val="396230"/>
                <w:sz w:val="22"/>
              </w:rPr>
              <w:t> </w:t>
            </w:r>
            <w:hyperlink r:id="rId93">
              <w:r>
                <w:rPr>
                  <w:color w:val="396230"/>
                  <w:sz w:val="22"/>
                  <w:u w:val="single" w:color="396230"/>
                </w:rPr>
                <w:t>18.130.160</w:t>
              </w:r>
            </w:hyperlink>
            <w:r>
              <w:rPr>
                <w:sz w:val="22"/>
              </w:rPr>
              <w:t>)</w:t>
            </w:r>
          </w:p>
        </w:tc>
        <w:tc>
          <w:tcPr>
            <w:tcW w:w="2492" w:type="dxa"/>
          </w:tcPr>
          <w:p>
            <w:pPr>
              <w:pStyle w:val="TableParagraph"/>
              <w:ind w:left="106" w:right="158"/>
              <w:rPr>
                <w:sz w:val="22"/>
              </w:rPr>
            </w:pPr>
            <w:r>
              <w:rPr>
                <w:color w:val="396230"/>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color w:val="396230"/>
                <w:sz w:val="22"/>
              </w:rPr>
              <w:t>to include all rights listed in the HCBS rules and adding language to the contracts requiring adherence to the WAC. See </w:t>
            </w:r>
            <w:r>
              <w:rPr>
                <w:color w:val="6B9F24"/>
                <w:sz w:val="22"/>
                <w:u w:val="single" w:color="6B9F24"/>
              </w:rPr>
              <w:t>Appendix C</w:t>
            </w:r>
            <w:r>
              <w:rPr>
                <w:color w:val="396230"/>
                <w:sz w:val="22"/>
              </w:rPr>
              <w:t>.</w:t>
            </w:r>
          </w:p>
        </w:tc>
      </w:tr>
    </w:tbl>
    <w:p>
      <w:pPr>
        <w:pStyle w:val="BodyText"/>
        <w:spacing w:before="3"/>
        <w:rPr>
          <w:b/>
          <w:sz w:val="5"/>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08"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7"/>
        <w:gridCol w:w="2842"/>
        <w:gridCol w:w="1412"/>
        <w:gridCol w:w="2770"/>
        <w:gridCol w:w="2492"/>
      </w:tblGrid>
      <w:tr>
        <w:trPr>
          <w:trHeight w:val="1612" w:hRule="atLeast"/>
        </w:trPr>
        <w:tc>
          <w:tcPr>
            <w:tcW w:w="3437" w:type="dxa"/>
          </w:tcPr>
          <w:p>
            <w:pPr>
              <w:pStyle w:val="TableParagraph"/>
              <w:rPr>
                <w:rFonts w:ascii="Times New Roman"/>
                <w:sz w:val="22"/>
              </w:rPr>
            </w:pPr>
          </w:p>
        </w:tc>
        <w:tc>
          <w:tcPr>
            <w:tcW w:w="2842" w:type="dxa"/>
          </w:tcPr>
          <w:p>
            <w:pPr>
              <w:pStyle w:val="TableParagraph"/>
              <w:ind w:left="107" w:right="203"/>
              <w:rPr>
                <w:sz w:val="22"/>
              </w:rPr>
            </w:pPr>
            <w:r>
              <w:rPr>
                <w:sz w:val="22"/>
              </w:rPr>
              <w:t>Administrative Code (WAC) identifies unfair practices to include reasonable accommodations, accessibility and service</w:t>
            </w:r>
          </w:p>
          <w:p>
            <w:pPr>
              <w:pStyle w:val="TableParagraph"/>
              <w:spacing w:line="249" w:lineRule="exact"/>
              <w:ind w:left="107"/>
              <w:rPr>
                <w:sz w:val="22"/>
              </w:rPr>
            </w:pPr>
            <w:r>
              <w:rPr>
                <w:sz w:val="22"/>
              </w:rPr>
              <w:t>animals.</w:t>
            </w:r>
          </w:p>
        </w:tc>
        <w:tc>
          <w:tcPr>
            <w:tcW w:w="1412" w:type="dxa"/>
          </w:tcPr>
          <w:p>
            <w:pPr>
              <w:pStyle w:val="TableParagraph"/>
              <w:rPr>
                <w:rFonts w:ascii="Times New Roman"/>
                <w:sz w:val="22"/>
              </w:rPr>
            </w:pPr>
          </w:p>
        </w:tc>
        <w:tc>
          <w:tcPr>
            <w:tcW w:w="2770" w:type="dxa"/>
          </w:tcPr>
          <w:p>
            <w:pPr>
              <w:pStyle w:val="TableParagraph"/>
              <w:rPr>
                <w:rFonts w:ascii="Times New Roman"/>
                <w:sz w:val="22"/>
              </w:rPr>
            </w:pPr>
          </w:p>
        </w:tc>
        <w:tc>
          <w:tcPr>
            <w:tcW w:w="2492" w:type="dxa"/>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8"/>
        </w:rPr>
      </w:pPr>
      <w:r>
        <w:rPr/>
        <w:pict>
          <v:shape style="position:absolute;margin-left:70.559998pt;margin-top:13.708563pt;width:650.9pt;height:.1pt;mso-position-horizontal-relative:page;mso-position-vertical-relative:paragraph;z-index:-251535360;mso-wrap-distance-left:0;mso-wrap-distance-right:0" coordorigin="1411,274" coordsize="13018,0" path="m1411,274l14429,274e" filled="false" stroked="true" strokeweight=".481pt" strokecolor="#d9d9d9">
            <v:path arrowok="t"/>
            <v:stroke dashstyle="solid"/>
            <w10:wrap type="topAndBottom"/>
          </v:shape>
        </w:pict>
      </w:r>
    </w:p>
    <w:p>
      <w:pPr>
        <w:spacing w:after="0"/>
        <w:rPr>
          <w:sz w:val="18"/>
        </w:rPr>
        <w:sectPr>
          <w:pgSz w:w="15840" w:h="12240" w:orient="landscape"/>
          <w:pgMar w:header="0" w:footer="1008"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1" w:right="2956" w:firstLine="0"/>
        <w:jc w:val="center"/>
        <w:rPr>
          <w:b/>
          <w:sz w:val="28"/>
        </w:rPr>
      </w:pPr>
      <w:bookmarkStart w:name="DDA Community Crisis Stabilization Servi" w:id="71"/>
      <w:bookmarkEnd w:id="71"/>
      <w:r>
        <w:rPr/>
      </w:r>
      <w:bookmarkStart w:name="_bookmark32" w:id="72"/>
      <w:bookmarkEnd w:id="72"/>
      <w:r>
        <w:rPr/>
      </w:r>
      <w:r>
        <w:rPr>
          <w:b/>
          <w:sz w:val="28"/>
        </w:rPr>
        <w:t>DDA Community Crisis Stabilization Services</w:t>
      </w:r>
    </w:p>
    <w:p>
      <w:pPr>
        <w:pStyle w:val="BodyText"/>
        <w:spacing w:before="2"/>
        <w:rPr>
          <w:b/>
          <w:sz w:val="29"/>
        </w:rPr>
      </w:pPr>
    </w:p>
    <w:p>
      <w:pPr>
        <w:pStyle w:val="BodyText"/>
        <w:spacing w:line="276" w:lineRule="auto"/>
        <w:ind w:left="1060" w:right="1120" w:hanging="1"/>
      </w:pPr>
      <w:r>
        <w:rPr/>
        <w:t>Setting Description: Community Crisis Stabilization Services are state operated community behavioral health services to assist participants age 8- 21 who are experiencing a behavioral health crisis that puts a participant at risk of hospitalization, institutionalization or loss of residence or exceeds a participant’s individual ability to cope/remain stable. Services are provided in a typical residential community setting in a single family home.</w:t>
      </w:r>
    </w:p>
    <w:p>
      <w:pPr>
        <w:pStyle w:val="BodyText"/>
        <w:spacing w:before="7" w:after="1"/>
        <w:rPr>
          <w:sz w:val="16"/>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2"/>
        <w:gridCol w:w="2648"/>
        <w:gridCol w:w="1407"/>
        <w:gridCol w:w="3097"/>
        <w:gridCol w:w="2346"/>
      </w:tblGrid>
      <w:tr>
        <w:trPr>
          <w:trHeight w:val="877" w:hRule="atLeast"/>
        </w:trPr>
        <w:tc>
          <w:tcPr>
            <w:tcW w:w="3442" w:type="dxa"/>
          </w:tcPr>
          <w:p>
            <w:pPr>
              <w:pStyle w:val="TableParagraph"/>
              <w:spacing w:line="292" w:lineRule="exact"/>
              <w:ind w:left="237"/>
              <w:rPr>
                <w:b/>
                <w:sz w:val="24"/>
              </w:rPr>
            </w:pPr>
            <w:r>
              <w:rPr>
                <w:b/>
                <w:sz w:val="24"/>
              </w:rPr>
              <w:t>Characteristics/Requirements</w:t>
            </w:r>
          </w:p>
        </w:tc>
        <w:tc>
          <w:tcPr>
            <w:tcW w:w="2648" w:type="dxa"/>
          </w:tcPr>
          <w:p>
            <w:pPr>
              <w:pStyle w:val="TableParagraph"/>
              <w:ind w:left="273" w:right="247" w:firstLine="180"/>
              <w:rPr>
                <w:b/>
                <w:sz w:val="24"/>
              </w:rPr>
            </w:pPr>
            <w:r>
              <w:rPr>
                <w:b/>
                <w:sz w:val="24"/>
              </w:rPr>
              <w:t>Community Crisis Stabilization Services</w:t>
            </w:r>
          </w:p>
          <w:p>
            <w:pPr>
              <w:pStyle w:val="TableParagraph"/>
              <w:spacing w:line="273" w:lineRule="exact"/>
              <w:ind w:left="508"/>
              <w:rPr>
                <w:b/>
                <w:sz w:val="24"/>
              </w:rPr>
            </w:pPr>
            <w:r>
              <w:rPr>
                <w:b/>
                <w:sz w:val="24"/>
              </w:rPr>
              <w:t>State Evaluation</w:t>
            </w:r>
          </w:p>
        </w:tc>
        <w:tc>
          <w:tcPr>
            <w:tcW w:w="1407" w:type="dxa"/>
          </w:tcPr>
          <w:p>
            <w:pPr>
              <w:pStyle w:val="TableParagraph"/>
              <w:ind w:left="442" w:right="95" w:hanging="327"/>
              <w:rPr>
                <w:b/>
                <w:sz w:val="24"/>
              </w:rPr>
            </w:pPr>
            <w:r>
              <w:rPr>
                <w:b/>
                <w:sz w:val="24"/>
              </w:rPr>
              <w:t>Compliance Level</w:t>
            </w:r>
          </w:p>
        </w:tc>
        <w:tc>
          <w:tcPr>
            <w:tcW w:w="3097" w:type="dxa"/>
          </w:tcPr>
          <w:p>
            <w:pPr>
              <w:pStyle w:val="TableParagraph"/>
              <w:spacing w:line="292" w:lineRule="exact"/>
              <w:ind w:left="660"/>
              <w:rPr>
                <w:b/>
                <w:sz w:val="24"/>
              </w:rPr>
            </w:pPr>
            <w:r>
              <w:rPr>
                <w:b/>
                <w:sz w:val="24"/>
              </w:rPr>
              <w:t>Oversight Process</w:t>
            </w:r>
          </w:p>
        </w:tc>
        <w:tc>
          <w:tcPr>
            <w:tcW w:w="2346" w:type="dxa"/>
          </w:tcPr>
          <w:p>
            <w:pPr>
              <w:pStyle w:val="TableParagraph"/>
              <w:spacing w:line="292" w:lineRule="exact"/>
              <w:ind w:left="529"/>
              <w:rPr>
                <w:b/>
                <w:sz w:val="24"/>
              </w:rPr>
            </w:pPr>
            <w:r>
              <w:rPr>
                <w:b/>
                <w:sz w:val="24"/>
              </w:rPr>
              <w:t>Remediation</w:t>
            </w:r>
          </w:p>
        </w:tc>
      </w:tr>
      <w:tr>
        <w:trPr>
          <w:trHeight w:val="6173" w:hRule="atLeast"/>
        </w:trPr>
        <w:tc>
          <w:tcPr>
            <w:tcW w:w="3442" w:type="dxa"/>
            <w:tcBorders>
              <w:bottom w:val="double" w:sz="1" w:space="0" w:color="000000"/>
            </w:tcBorders>
            <w:shd w:val="clear" w:color="auto" w:fill="D0E4CA"/>
          </w:tcPr>
          <w:p>
            <w:pPr>
              <w:pStyle w:val="TableParagraph"/>
              <w:ind w:left="107" w:right="144"/>
              <w:rPr>
                <w:b/>
                <w:sz w:val="22"/>
              </w:rPr>
            </w:pPr>
            <w:r>
              <w:rPr>
                <w:b/>
                <w:sz w:val="22"/>
              </w:rPr>
              <w:t>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 degree of access as individuals not receiving Medicaid HCBS.</w:t>
            </w:r>
          </w:p>
        </w:tc>
        <w:tc>
          <w:tcPr>
            <w:tcW w:w="2648" w:type="dxa"/>
            <w:tcBorders>
              <w:bottom w:val="double" w:sz="1" w:space="0" w:color="000000"/>
            </w:tcBorders>
            <w:shd w:val="clear" w:color="auto" w:fill="D0E4CA"/>
          </w:tcPr>
          <w:p>
            <w:pPr>
              <w:pStyle w:val="TableParagraph"/>
              <w:spacing w:line="268" w:lineRule="exact"/>
              <w:ind w:left="107"/>
              <w:rPr>
                <w:sz w:val="22"/>
              </w:rPr>
            </w:pPr>
            <w:r>
              <w:rPr>
                <w:sz w:val="22"/>
              </w:rPr>
              <w:t>Chapter </w:t>
            </w:r>
            <w:hyperlink r:id="rId103">
              <w:r>
                <w:rPr>
                  <w:color w:val="396230"/>
                  <w:sz w:val="22"/>
                  <w:u w:val="single" w:color="396230"/>
                </w:rPr>
                <w:t>71A.16 RCW</w:t>
              </w:r>
            </w:hyperlink>
          </w:p>
          <w:p>
            <w:pPr>
              <w:pStyle w:val="TableParagraph"/>
              <w:rPr>
                <w:sz w:val="22"/>
              </w:rPr>
            </w:pPr>
          </w:p>
          <w:p>
            <w:pPr>
              <w:pStyle w:val="TableParagraph"/>
              <w:ind w:left="107" w:right="112"/>
              <w:rPr>
                <w:sz w:val="22"/>
              </w:rPr>
            </w:pPr>
            <w:r>
              <w:rPr>
                <w:sz w:val="22"/>
              </w:rPr>
              <w:t>Proposed Chapter 388-833 WAC</w:t>
            </w:r>
          </w:p>
          <w:p>
            <w:pPr>
              <w:pStyle w:val="TableParagraph"/>
              <w:spacing w:before="11"/>
              <w:rPr>
                <w:sz w:val="21"/>
              </w:rPr>
            </w:pPr>
          </w:p>
          <w:p>
            <w:pPr>
              <w:pStyle w:val="TableParagraph"/>
              <w:ind w:left="107" w:right="296"/>
              <w:rPr>
                <w:sz w:val="22"/>
              </w:rPr>
            </w:pPr>
            <w:r>
              <w:rPr>
                <w:sz w:val="22"/>
              </w:rPr>
              <w:t>DDA </w:t>
            </w:r>
            <w:r>
              <w:rPr>
                <w:color w:val="6B9F24"/>
                <w:sz w:val="22"/>
                <w:u w:val="single" w:color="6B9F24"/>
              </w:rPr>
              <w:t>Policy 4.07</w:t>
            </w:r>
            <w:r>
              <w:rPr>
                <w:sz w:val="22"/>
              </w:rPr>
              <w:t>, Community Crisis Stabilization Services DDA </w:t>
            </w:r>
            <w:hyperlink r:id="rId104">
              <w:r>
                <w:rPr>
                  <w:color w:val="6B9F24"/>
                  <w:sz w:val="22"/>
                  <w:u w:val="single" w:color="6B9F24"/>
                </w:rPr>
                <w:t>Policy 5.14</w:t>
              </w:r>
              <w:r>
                <w:rPr>
                  <w:sz w:val="22"/>
                </w:rPr>
                <w:t>, </w:t>
              </w:r>
            </w:hyperlink>
            <w:r>
              <w:rPr>
                <w:sz w:val="22"/>
              </w:rPr>
              <w:t>Positive Behavior</w:t>
            </w:r>
            <w:r>
              <w:rPr>
                <w:spacing w:val="-1"/>
                <w:sz w:val="22"/>
              </w:rPr>
              <w:t> </w:t>
            </w:r>
            <w:r>
              <w:rPr>
                <w:sz w:val="22"/>
              </w:rPr>
              <w:t>Support</w:t>
            </w:r>
          </w:p>
          <w:p>
            <w:pPr>
              <w:pStyle w:val="TableParagraph"/>
              <w:spacing w:before="1"/>
              <w:ind w:left="107" w:right="513"/>
              <w:rPr>
                <w:sz w:val="22"/>
              </w:rPr>
            </w:pPr>
            <w:r>
              <w:rPr>
                <w:sz w:val="22"/>
              </w:rPr>
              <w:t>DDA </w:t>
            </w:r>
            <w:hyperlink r:id="rId105">
              <w:r>
                <w:rPr>
                  <w:color w:val="6B9F24"/>
                  <w:sz w:val="22"/>
                  <w:u w:val="single" w:color="6B9F24"/>
                </w:rPr>
                <w:t>Policy 5.18</w:t>
              </w:r>
              <w:r>
                <w:rPr>
                  <w:sz w:val="22"/>
                </w:rPr>
                <w:t>, </w:t>
              </w:r>
            </w:hyperlink>
            <w:r>
              <w:rPr>
                <w:sz w:val="22"/>
              </w:rPr>
              <w:t>Cross System Crisis</w:t>
            </w:r>
            <w:r>
              <w:rPr>
                <w:spacing w:val="-3"/>
                <w:sz w:val="22"/>
              </w:rPr>
              <w:t> </w:t>
            </w:r>
            <w:r>
              <w:rPr>
                <w:sz w:val="22"/>
              </w:rPr>
              <w:t>Plan</w:t>
            </w:r>
          </w:p>
          <w:p>
            <w:pPr>
              <w:pStyle w:val="TableParagraph"/>
              <w:ind w:left="107" w:right="296"/>
              <w:rPr>
                <w:sz w:val="22"/>
              </w:rPr>
            </w:pPr>
            <w:r>
              <w:rPr>
                <w:sz w:val="22"/>
              </w:rPr>
              <w:t>DDA </w:t>
            </w:r>
            <w:hyperlink r:id="rId74">
              <w:r>
                <w:rPr>
                  <w:color w:val="6B9F24"/>
                  <w:sz w:val="22"/>
                  <w:u w:val="single" w:color="6B9F24"/>
                </w:rPr>
                <w:t>Policy 5.19</w:t>
              </w:r>
              <w:r>
                <w:rPr>
                  <w:sz w:val="22"/>
                </w:rPr>
                <w:t>, </w:t>
              </w:r>
            </w:hyperlink>
            <w:r>
              <w:rPr>
                <w:sz w:val="22"/>
              </w:rPr>
              <w:t>Positive Behavior Support for Children and</w:t>
            </w:r>
            <w:r>
              <w:rPr>
                <w:spacing w:val="-3"/>
                <w:sz w:val="22"/>
              </w:rPr>
              <w:t> </w:t>
            </w:r>
            <w:r>
              <w:rPr>
                <w:sz w:val="22"/>
              </w:rPr>
              <w:t>Youth</w:t>
            </w:r>
          </w:p>
          <w:p>
            <w:pPr>
              <w:pStyle w:val="TableParagraph"/>
              <w:ind w:left="107" w:right="197"/>
              <w:rPr>
                <w:sz w:val="22"/>
              </w:rPr>
            </w:pPr>
            <w:r>
              <w:rPr>
                <w:sz w:val="22"/>
              </w:rPr>
              <w:t>DDA </w:t>
            </w:r>
            <w:hyperlink r:id="rId75">
              <w:r>
                <w:rPr>
                  <w:color w:val="6B9F24"/>
                  <w:sz w:val="22"/>
                  <w:u w:val="single" w:color="6B9F24"/>
                </w:rPr>
                <w:t>Policy 5.20</w:t>
              </w:r>
              <w:r>
                <w:rPr>
                  <w:sz w:val="22"/>
                </w:rPr>
                <w:t>,</w:t>
              </w:r>
            </w:hyperlink>
            <w:r>
              <w:rPr>
                <w:sz w:val="22"/>
              </w:rPr>
              <w:t> Restrictive Procedures for Children and</w:t>
            </w:r>
            <w:r>
              <w:rPr>
                <w:spacing w:val="-3"/>
                <w:sz w:val="22"/>
              </w:rPr>
              <w:t> </w:t>
            </w:r>
            <w:r>
              <w:rPr>
                <w:sz w:val="22"/>
              </w:rPr>
              <w:t>Youth</w:t>
            </w:r>
          </w:p>
          <w:p>
            <w:pPr>
              <w:pStyle w:val="TableParagraph"/>
              <w:spacing w:before="10"/>
              <w:rPr>
                <w:sz w:val="21"/>
              </w:rPr>
            </w:pPr>
          </w:p>
          <w:p>
            <w:pPr>
              <w:pStyle w:val="TableParagraph"/>
              <w:spacing w:line="270" w:lineRule="atLeast" w:before="1"/>
              <w:ind w:left="107" w:right="299"/>
              <w:rPr>
                <w:sz w:val="22"/>
              </w:rPr>
            </w:pPr>
            <w:r>
              <w:rPr>
                <w:sz w:val="22"/>
              </w:rPr>
              <w:t>The participant receives community crisis stabilization services in a typical residential</w:t>
            </w:r>
          </w:p>
        </w:tc>
        <w:tc>
          <w:tcPr>
            <w:tcW w:w="1407" w:type="dxa"/>
            <w:tcBorders>
              <w:bottom w:val="double" w:sz="1" w:space="0" w:color="000000"/>
            </w:tcBorders>
            <w:shd w:val="clear" w:color="auto" w:fill="D0E4CA"/>
          </w:tcPr>
          <w:p>
            <w:pPr>
              <w:pStyle w:val="TableParagraph"/>
              <w:ind w:left="106" w:right="267"/>
              <w:rPr>
                <w:sz w:val="24"/>
              </w:rPr>
            </w:pPr>
            <w:r>
              <w:rPr>
                <w:sz w:val="24"/>
              </w:rPr>
              <w:t>Fully Compliant</w:t>
            </w:r>
          </w:p>
        </w:tc>
        <w:tc>
          <w:tcPr>
            <w:tcW w:w="3097" w:type="dxa"/>
            <w:tcBorders>
              <w:bottom w:val="double" w:sz="1" w:space="0" w:color="000000"/>
            </w:tcBorders>
            <w:shd w:val="clear" w:color="auto" w:fill="D0E4CA"/>
          </w:tcPr>
          <w:p>
            <w:pPr>
              <w:pStyle w:val="TableParagraph"/>
              <w:ind w:left="105" w:right="256"/>
              <w:rPr>
                <w:sz w:val="22"/>
              </w:rPr>
            </w:pPr>
            <w:r>
              <w:rPr>
                <w:sz w:val="22"/>
              </w:rPr>
              <w:t>Child Protective Services (CPS) investigates complaints of abuse and neglect.</w:t>
            </w:r>
          </w:p>
          <w:p>
            <w:pPr>
              <w:pStyle w:val="TableParagraph"/>
              <w:rPr>
                <w:sz w:val="22"/>
              </w:rPr>
            </w:pPr>
          </w:p>
          <w:p>
            <w:pPr>
              <w:pStyle w:val="TableParagraph"/>
              <w:ind w:left="105" w:right="313"/>
              <w:rPr>
                <w:sz w:val="22"/>
              </w:rPr>
            </w:pPr>
            <w:r>
              <w:rPr>
                <w:sz w:val="22"/>
              </w:rPr>
              <w:t>DDA’s Crisis Services Program Manager oversees program operations and monitors for compliance with all statutes, rules and DDA policies.</w:t>
            </w:r>
          </w:p>
          <w:p>
            <w:pPr>
              <w:pStyle w:val="TableParagraph"/>
              <w:spacing w:before="11"/>
              <w:rPr>
                <w:sz w:val="21"/>
              </w:rPr>
            </w:pPr>
          </w:p>
          <w:p>
            <w:pPr>
              <w:pStyle w:val="TableParagraph"/>
              <w:ind w:left="105" w:right="260"/>
              <w:rPr>
                <w:sz w:val="22"/>
              </w:rPr>
            </w:pPr>
            <w:r>
              <w:rPr>
                <w:sz w:val="22"/>
              </w:rPr>
              <w:t>Community Crisis Stabilization Services (CCSS) has a quality assurance system to:</w:t>
            </w:r>
          </w:p>
          <w:p>
            <w:pPr>
              <w:pStyle w:val="TableParagraph"/>
              <w:numPr>
                <w:ilvl w:val="0"/>
                <w:numId w:val="12"/>
              </w:numPr>
              <w:tabs>
                <w:tab w:pos="466" w:val="left" w:leader="none"/>
                <w:tab w:pos="467" w:val="left" w:leader="none"/>
              </w:tabs>
              <w:spacing w:line="240" w:lineRule="auto" w:before="1" w:after="0"/>
              <w:ind w:left="465" w:right="227" w:hanging="360"/>
              <w:jc w:val="left"/>
              <w:rPr>
                <w:sz w:val="22"/>
              </w:rPr>
            </w:pPr>
            <w:r>
              <w:rPr>
                <w:sz w:val="22"/>
              </w:rPr>
              <w:t>Assess the effectiveness of the participant’s individualized treatment plan;</w:t>
            </w:r>
          </w:p>
          <w:p>
            <w:pPr>
              <w:pStyle w:val="TableParagraph"/>
              <w:numPr>
                <w:ilvl w:val="0"/>
                <w:numId w:val="12"/>
              </w:numPr>
              <w:tabs>
                <w:tab w:pos="466" w:val="left" w:leader="none"/>
                <w:tab w:pos="467" w:val="left" w:leader="none"/>
              </w:tabs>
              <w:spacing w:line="240" w:lineRule="auto" w:before="0" w:after="0"/>
              <w:ind w:left="465" w:right="130" w:hanging="360"/>
              <w:jc w:val="left"/>
              <w:rPr>
                <w:sz w:val="22"/>
              </w:rPr>
            </w:pPr>
            <w:r>
              <w:rPr>
                <w:sz w:val="22"/>
              </w:rPr>
              <w:t>Identify barriers to implementation in the CCSS and in the participant’s home;</w:t>
            </w:r>
          </w:p>
        </w:tc>
        <w:tc>
          <w:tcPr>
            <w:tcW w:w="2346" w:type="dxa"/>
            <w:tcBorders>
              <w:bottom w:val="double" w:sz="1" w:space="0" w:color="000000"/>
            </w:tcBorders>
            <w:shd w:val="clear" w:color="auto" w:fill="D0E4CA"/>
          </w:tcPr>
          <w:p>
            <w:pPr>
              <w:pStyle w:val="TableParagraph"/>
              <w:ind w:left="104" w:right="142"/>
              <w:rPr>
                <w:sz w:val="22"/>
              </w:rPr>
            </w:pPr>
            <w:r>
              <w:rPr>
                <w:color w:val="396230"/>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color w:val="396230"/>
                <w:sz w:val="22"/>
              </w:rPr>
              <w:t>to include all rights listed in the HCBS rules and adding language to the contracts requiring adherence to the WAC. See </w:t>
            </w:r>
            <w:r>
              <w:rPr>
                <w:color w:val="6B9F24"/>
                <w:sz w:val="22"/>
                <w:u w:val="single" w:color="6B9F24"/>
              </w:rPr>
              <w:t>Appendix C</w:t>
            </w:r>
            <w:r>
              <w:rPr>
                <w:color w:val="396230"/>
                <w:sz w:val="22"/>
              </w:rPr>
              <w:t>.</w:t>
            </w:r>
          </w:p>
        </w:tc>
      </w:tr>
    </w:tbl>
    <w:p>
      <w:pPr>
        <w:spacing w:after="0"/>
        <w:rPr>
          <w:sz w:val="22"/>
        </w:rPr>
        <w:sectPr>
          <w:pgSz w:w="15840" w:h="12240" w:orient="landscape"/>
          <w:pgMar w:header="0" w:footer="1008"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2"/>
        <w:gridCol w:w="2648"/>
        <w:gridCol w:w="1407"/>
        <w:gridCol w:w="3097"/>
        <w:gridCol w:w="2346"/>
      </w:tblGrid>
      <w:tr>
        <w:trPr>
          <w:trHeight w:val="877" w:hRule="atLeast"/>
        </w:trPr>
        <w:tc>
          <w:tcPr>
            <w:tcW w:w="3442" w:type="dxa"/>
          </w:tcPr>
          <w:p>
            <w:pPr>
              <w:pStyle w:val="TableParagraph"/>
              <w:spacing w:line="292" w:lineRule="exact"/>
              <w:ind w:left="237"/>
              <w:rPr>
                <w:b/>
                <w:sz w:val="24"/>
              </w:rPr>
            </w:pPr>
            <w:r>
              <w:rPr>
                <w:b/>
                <w:sz w:val="24"/>
              </w:rPr>
              <w:t>Characteristics/Requirements</w:t>
            </w:r>
          </w:p>
        </w:tc>
        <w:tc>
          <w:tcPr>
            <w:tcW w:w="2648" w:type="dxa"/>
          </w:tcPr>
          <w:p>
            <w:pPr>
              <w:pStyle w:val="TableParagraph"/>
              <w:ind w:left="273" w:right="247" w:firstLine="180"/>
              <w:rPr>
                <w:b/>
                <w:sz w:val="24"/>
              </w:rPr>
            </w:pPr>
            <w:r>
              <w:rPr>
                <w:b/>
                <w:sz w:val="24"/>
              </w:rPr>
              <w:t>Community Crisis Stabilization Services</w:t>
            </w:r>
          </w:p>
          <w:p>
            <w:pPr>
              <w:pStyle w:val="TableParagraph"/>
              <w:spacing w:line="273" w:lineRule="exact"/>
              <w:ind w:left="508"/>
              <w:rPr>
                <w:b/>
                <w:sz w:val="24"/>
              </w:rPr>
            </w:pPr>
            <w:r>
              <w:rPr>
                <w:b/>
                <w:sz w:val="24"/>
              </w:rPr>
              <w:t>State Evaluation</w:t>
            </w:r>
          </w:p>
        </w:tc>
        <w:tc>
          <w:tcPr>
            <w:tcW w:w="1407" w:type="dxa"/>
          </w:tcPr>
          <w:p>
            <w:pPr>
              <w:pStyle w:val="TableParagraph"/>
              <w:ind w:left="442" w:right="95" w:hanging="327"/>
              <w:rPr>
                <w:b/>
                <w:sz w:val="24"/>
              </w:rPr>
            </w:pPr>
            <w:r>
              <w:rPr>
                <w:b/>
                <w:sz w:val="24"/>
              </w:rPr>
              <w:t>Compliance Level</w:t>
            </w:r>
          </w:p>
        </w:tc>
        <w:tc>
          <w:tcPr>
            <w:tcW w:w="3097" w:type="dxa"/>
          </w:tcPr>
          <w:p>
            <w:pPr>
              <w:pStyle w:val="TableParagraph"/>
              <w:spacing w:line="292" w:lineRule="exact"/>
              <w:ind w:left="660"/>
              <w:rPr>
                <w:b/>
                <w:sz w:val="24"/>
              </w:rPr>
            </w:pPr>
            <w:r>
              <w:rPr>
                <w:b/>
                <w:sz w:val="24"/>
              </w:rPr>
              <w:t>Oversight Process</w:t>
            </w:r>
          </w:p>
        </w:tc>
        <w:tc>
          <w:tcPr>
            <w:tcW w:w="2346" w:type="dxa"/>
          </w:tcPr>
          <w:p>
            <w:pPr>
              <w:pStyle w:val="TableParagraph"/>
              <w:spacing w:line="292" w:lineRule="exact"/>
              <w:ind w:left="529"/>
              <w:rPr>
                <w:b/>
                <w:sz w:val="24"/>
              </w:rPr>
            </w:pPr>
            <w:r>
              <w:rPr>
                <w:b/>
                <w:sz w:val="24"/>
              </w:rPr>
              <w:t>Remediation</w:t>
            </w:r>
          </w:p>
        </w:tc>
      </w:tr>
      <w:tr>
        <w:trPr>
          <w:trHeight w:val="3246" w:hRule="atLeast"/>
        </w:trPr>
        <w:tc>
          <w:tcPr>
            <w:tcW w:w="3442" w:type="dxa"/>
            <w:shd w:val="clear" w:color="auto" w:fill="D0E4CA"/>
          </w:tcPr>
          <w:p>
            <w:pPr>
              <w:pStyle w:val="TableParagraph"/>
              <w:rPr>
                <w:rFonts w:ascii="Times New Roman"/>
                <w:sz w:val="22"/>
              </w:rPr>
            </w:pPr>
          </w:p>
        </w:tc>
        <w:tc>
          <w:tcPr>
            <w:tcW w:w="2648" w:type="dxa"/>
            <w:shd w:val="clear" w:color="auto" w:fill="D0E4CA"/>
          </w:tcPr>
          <w:p>
            <w:pPr>
              <w:pStyle w:val="TableParagraph"/>
              <w:ind w:left="107" w:right="462"/>
              <w:rPr>
                <w:sz w:val="22"/>
              </w:rPr>
            </w:pPr>
            <w:r>
              <w:rPr>
                <w:sz w:val="22"/>
              </w:rPr>
              <w:t>community setting in a single family home.</w:t>
            </w:r>
          </w:p>
          <w:p>
            <w:pPr>
              <w:pStyle w:val="TableParagraph"/>
              <w:spacing w:before="12"/>
              <w:rPr>
                <w:b/>
                <w:sz w:val="21"/>
              </w:rPr>
            </w:pPr>
          </w:p>
          <w:p>
            <w:pPr>
              <w:pStyle w:val="TableParagraph"/>
              <w:ind w:left="107" w:right="145"/>
              <w:rPr>
                <w:sz w:val="22"/>
              </w:rPr>
            </w:pPr>
            <w:r>
              <w:rPr>
                <w:sz w:val="22"/>
              </w:rPr>
              <w:t>The State has completed a review of state statutes and regulations regarding community crisis stabilization services and determined that those laws are in alignment with the HCBS setting requirements.</w:t>
            </w:r>
          </w:p>
        </w:tc>
        <w:tc>
          <w:tcPr>
            <w:tcW w:w="1407" w:type="dxa"/>
            <w:shd w:val="clear" w:color="auto" w:fill="D0E4CA"/>
          </w:tcPr>
          <w:p>
            <w:pPr>
              <w:pStyle w:val="TableParagraph"/>
              <w:rPr>
                <w:rFonts w:ascii="Times New Roman"/>
                <w:sz w:val="22"/>
              </w:rPr>
            </w:pPr>
          </w:p>
        </w:tc>
        <w:tc>
          <w:tcPr>
            <w:tcW w:w="3097" w:type="dxa"/>
            <w:shd w:val="clear" w:color="auto" w:fill="D0E4CA"/>
          </w:tcPr>
          <w:p>
            <w:pPr>
              <w:pStyle w:val="TableParagraph"/>
              <w:numPr>
                <w:ilvl w:val="0"/>
                <w:numId w:val="13"/>
              </w:numPr>
              <w:tabs>
                <w:tab w:pos="465" w:val="left" w:leader="none"/>
                <w:tab w:pos="466" w:val="left" w:leader="none"/>
              </w:tabs>
              <w:spacing w:line="240" w:lineRule="auto" w:before="0" w:after="0"/>
              <w:ind w:left="465" w:right="258" w:hanging="360"/>
              <w:jc w:val="left"/>
              <w:rPr>
                <w:sz w:val="22"/>
              </w:rPr>
            </w:pPr>
            <w:r>
              <w:rPr>
                <w:sz w:val="22"/>
              </w:rPr>
              <w:t>Track trends and patterns; and</w:t>
            </w:r>
          </w:p>
          <w:p>
            <w:pPr>
              <w:pStyle w:val="TableParagraph"/>
              <w:numPr>
                <w:ilvl w:val="0"/>
                <w:numId w:val="13"/>
              </w:numPr>
              <w:tabs>
                <w:tab w:pos="466" w:val="left" w:leader="none"/>
                <w:tab w:pos="467" w:val="left" w:leader="none"/>
              </w:tabs>
              <w:spacing w:line="240" w:lineRule="auto" w:before="0" w:after="0"/>
              <w:ind w:left="465" w:right="117" w:hanging="360"/>
              <w:jc w:val="left"/>
              <w:rPr>
                <w:sz w:val="22"/>
              </w:rPr>
            </w:pPr>
            <w:r>
              <w:rPr>
                <w:sz w:val="22"/>
              </w:rPr>
              <w:t>Make recommendations to the Deputy Assistant Secretary regarding system and program</w:t>
            </w:r>
            <w:r>
              <w:rPr>
                <w:spacing w:val="-7"/>
                <w:sz w:val="22"/>
              </w:rPr>
              <w:t> </w:t>
            </w:r>
            <w:r>
              <w:rPr>
                <w:sz w:val="22"/>
              </w:rPr>
              <w:t>enhancement.</w:t>
            </w:r>
          </w:p>
          <w:p>
            <w:pPr>
              <w:pStyle w:val="TableParagraph"/>
              <w:spacing w:before="9"/>
              <w:rPr>
                <w:b/>
                <w:sz w:val="21"/>
              </w:rPr>
            </w:pPr>
          </w:p>
          <w:p>
            <w:pPr>
              <w:pStyle w:val="TableParagraph"/>
              <w:spacing w:line="270" w:lineRule="atLeast"/>
              <w:ind w:left="105" w:right="264"/>
              <w:rPr>
                <w:sz w:val="22"/>
              </w:rPr>
            </w:pPr>
            <w:r>
              <w:rPr>
                <w:sz w:val="22"/>
              </w:rPr>
              <w:t>On-site inspections ensure homes meet all licensing and certification requirements in WAC and RCW, including </w:t>
            </w:r>
            <w:r>
              <w:rPr>
                <w:color w:val="396230"/>
                <w:sz w:val="22"/>
              </w:rPr>
              <w:t>WAC 388-823-1095.</w:t>
            </w:r>
          </w:p>
        </w:tc>
        <w:tc>
          <w:tcPr>
            <w:tcW w:w="2346" w:type="dxa"/>
            <w:shd w:val="clear" w:color="auto" w:fill="D0E4CA"/>
          </w:tcPr>
          <w:p>
            <w:pPr>
              <w:pStyle w:val="TableParagraph"/>
              <w:rPr>
                <w:rFonts w:ascii="Times New Roman"/>
                <w:sz w:val="22"/>
              </w:rPr>
            </w:pPr>
          </w:p>
        </w:tc>
      </w:tr>
      <w:tr>
        <w:trPr>
          <w:trHeight w:val="4854" w:hRule="atLeast"/>
        </w:trPr>
        <w:tc>
          <w:tcPr>
            <w:tcW w:w="3442" w:type="dxa"/>
          </w:tcPr>
          <w:p>
            <w:pPr>
              <w:pStyle w:val="TableParagraph"/>
              <w:ind w:left="107" w:right="238"/>
              <w:rPr>
                <w:b/>
                <w:sz w:val="22"/>
              </w:rPr>
            </w:pPr>
            <w:r>
              <w:rPr>
                <w:b/>
                <w:sz w:val="22"/>
              </w:rPr>
              <w:t>The setting is selected by the individual from among setting options including non-disability specific settings and an option for a private unit in a residential setting. The setting options are identified and documented in the person-centered service plan and are based on the individual’s needs,</w:t>
            </w:r>
          </w:p>
          <w:p>
            <w:pPr>
              <w:pStyle w:val="TableParagraph"/>
              <w:ind w:left="107" w:right="390"/>
              <w:jc w:val="both"/>
              <w:rPr>
                <w:b/>
                <w:sz w:val="22"/>
              </w:rPr>
            </w:pPr>
            <w:r>
              <w:rPr>
                <w:b/>
                <w:sz w:val="22"/>
              </w:rPr>
              <w:t>preferences, and, for residential settings, the resources available for room and board.</w:t>
            </w:r>
          </w:p>
        </w:tc>
        <w:tc>
          <w:tcPr>
            <w:tcW w:w="2648" w:type="dxa"/>
          </w:tcPr>
          <w:p>
            <w:pPr>
              <w:pStyle w:val="TableParagraph"/>
              <w:spacing w:line="264" w:lineRule="exact"/>
              <w:ind w:left="107"/>
              <w:rPr>
                <w:sz w:val="22"/>
              </w:rPr>
            </w:pPr>
            <w:hyperlink r:id="rId23">
              <w:r>
                <w:rPr>
                  <w:color w:val="396230"/>
                  <w:sz w:val="22"/>
                  <w:u w:val="single" w:color="396230"/>
                </w:rPr>
                <w:t>WAC 388-823-1095</w:t>
              </w:r>
              <w:r>
                <w:rPr>
                  <w:color w:val="396230"/>
                  <w:sz w:val="22"/>
                </w:rPr>
                <w:t> </w:t>
              </w:r>
            </w:hyperlink>
            <w:r>
              <w:rPr>
                <w:sz w:val="22"/>
              </w:rPr>
              <w:t>my</w:t>
            </w:r>
          </w:p>
          <w:p>
            <w:pPr>
              <w:pStyle w:val="TableParagraph"/>
              <w:ind w:left="107"/>
              <w:rPr>
                <w:sz w:val="22"/>
              </w:rPr>
            </w:pPr>
            <w:r>
              <w:rPr>
                <w:sz w:val="22"/>
              </w:rPr>
              <w:t>rights as a DDA client</w:t>
            </w:r>
          </w:p>
          <w:p>
            <w:pPr>
              <w:pStyle w:val="TableParagraph"/>
              <w:rPr>
                <w:b/>
                <w:sz w:val="22"/>
              </w:rPr>
            </w:pPr>
          </w:p>
          <w:p>
            <w:pPr>
              <w:pStyle w:val="TableParagraph"/>
              <w:ind w:left="107" w:right="135"/>
              <w:rPr>
                <w:sz w:val="22"/>
              </w:rPr>
            </w:pPr>
            <w:r>
              <w:rPr>
                <w:sz w:val="22"/>
              </w:rPr>
              <w:t>A statewide team of professional staff appointed by the Deputy Assistant Secretary and known as the CCSS Review Team reviews all requests for admission and approves or denies referrals.</w:t>
            </w:r>
          </w:p>
          <w:p>
            <w:pPr>
              <w:pStyle w:val="TableParagraph"/>
              <w:rPr>
                <w:b/>
                <w:sz w:val="22"/>
              </w:rPr>
            </w:pPr>
          </w:p>
          <w:p>
            <w:pPr>
              <w:pStyle w:val="TableParagraph"/>
              <w:ind w:left="107" w:right="327"/>
              <w:rPr>
                <w:sz w:val="22"/>
              </w:rPr>
            </w:pPr>
            <w:r>
              <w:rPr>
                <w:sz w:val="22"/>
              </w:rPr>
              <w:t>The individual or legal representative has provided voluntary consent to participate in</w:t>
            </w:r>
          </w:p>
        </w:tc>
        <w:tc>
          <w:tcPr>
            <w:tcW w:w="1407" w:type="dxa"/>
          </w:tcPr>
          <w:p>
            <w:pPr>
              <w:pStyle w:val="TableParagraph"/>
              <w:ind w:left="106" w:right="350"/>
              <w:rPr>
                <w:sz w:val="22"/>
              </w:rPr>
            </w:pPr>
            <w:r>
              <w:rPr>
                <w:sz w:val="22"/>
              </w:rPr>
              <w:t>Partially Compliant</w:t>
            </w:r>
          </w:p>
        </w:tc>
        <w:tc>
          <w:tcPr>
            <w:tcW w:w="3097" w:type="dxa"/>
          </w:tcPr>
          <w:p>
            <w:pPr>
              <w:pStyle w:val="TableParagraph"/>
              <w:ind w:left="105" w:right="256"/>
              <w:rPr>
                <w:sz w:val="22"/>
              </w:rPr>
            </w:pPr>
            <w:r>
              <w:rPr>
                <w:sz w:val="22"/>
              </w:rPr>
              <w:t>Child Protective Services (CPS) investigates complaints of abuse and neglect.</w:t>
            </w:r>
          </w:p>
          <w:p>
            <w:pPr>
              <w:pStyle w:val="TableParagraph"/>
              <w:spacing w:before="8"/>
              <w:rPr>
                <w:b/>
                <w:sz w:val="21"/>
              </w:rPr>
            </w:pPr>
          </w:p>
          <w:p>
            <w:pPr>
              <w:pStyle w:val="TableParagraph"/>
              <w:spacing w:before="1"/>
              <w:ind w:left="105" w:right="313"/>
              <w:rPr>
                <w:sz w:val="22"/>
              </w:rPr>
            </w:pPr>
            <w:r>
              <w:rPr>
                <w:sz w:val="22"/>
              </w:rPr>
              <w:t>DDA’s Crisis Services Program Manager oversees program operations and monitors for compliance with all statutes, rules and DDA policies.</w:t>
            </w:r>
          </w:p>
          <w:p>
            <w:pPr>
              <w:pStyle w:val="TableParagraph"/>
              <w:ind w:left="106" w:right="259"/>
              <w:rPr>
                <w:sz w:val="22"/>
              </w:rPr>
            </w:pPr>
            <w:r>
              <w:rPr>
                <w:sz w:val="22"/>
              </w:rPr>
              <w:t>Community Crisis Stabilization Services (CCSS) has a quality assurance system to:</w:t>
            </w:r>
          </w:p>
          <w:p>
            <w:pPr>
              <w:pStyle w:val="TableParagraph"/>
              <w:numPr>
                <w:ilvl w:val="0"/>
                <w:numId w:val="14"/>
              </w:numPr>
              <w:tabs>
                <w:tab w:pos="466" w:val="left" w:leader="none"/>
                <w:tab w:pos="467" w:val="left" w:leader="none"/>
              </w:tabs>
              <w:spacing w:line="240" w:lineRule="auto" w:before="0" w:after="0"/>
              <w:ind w:left="466" w:right="227" w:hanging="361"/>
              <w:jc w:val="left"/>
              <w:rPr>
                <w:sz w:val="22"/>
              </w:rPr>
            </w:pPr>
            <w:r>
              <w:rPr>
                <w:sz w:val="22"/>
              </w:rPr>
              <w:t>Assess the effectiveness of the participant’s individualized treatment plan;</w:t>
            </w:r>
          </w:p>
          <w:p>
            <w:pPr>
              <w:pStyle w:val="TableParagraph"/>
              <w:numPr>
                <w:ilvl w:val="0"/>
                <w:numId w:val="14"/>
              </w:numPr>
              <w:tabs>
                <w:tab w:pos="466" w:val="left" w:leader="none"/>
                <w:tab w:pos="467" w:val="left" w:leader="none"/>
              </w:tabs>
              <w:spacing w:line="268" w:lineRule="exact" w:before="5" w:after="0"/>
              <w:ind w:left="465" w:right="129" w:hanging="360"/>
              <w:jc w:val="left"/>
              <w:rPr>
                <w:sz w:val="22"/>
              </w:rPr>
            </w:pPr>
            <w:r>
              <w:rPr>
                <w:sz w:val="22"/>
              </w:rPr>
              <w:t>Identify barriers to implementation in the</w:t>
            </w:r>
            <w:r>
              <w:rPr>
                <w:spacing w:val="-10"/>
                <w:sz w:val="22"/>
              </w:rPr>
              <w:t> </w:t>
            </w:r>
            <w:r>
              <w:rPr>
                <w:sz w:val="22"/>
              </w:rPr>
              <w:t>CCSS</w:t>
            </w:r>
          </w:p>
        </w:tc>
        <w:tc>
          <w:tcPr>
            <w:tcW w:w="2346" w:type="dxa"/>
          </w:tcPr>
          <w:p>
            <w:pPr>
              <w:pStyle w:val="TableParagraph"/>
              <w:ind w:left="104" w:right="14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w:t>
            </w:r>
            <w:r>
              <w:rPr>
                <w:color w:val="396230"/>
                <w:sz w:val="22"/>
              </w:rPr>
              <w:t>and adding language to the contracts requiring adherence to the WAC</w:t>
            </w:r>
            <w:r>
              <w:rPr>
                <w:sz w:val="22"/>
              </w:rPr>
              <w:t>. See </w:t>
            </w:r>
            <w:r>
              <w:rPr>
                <w:color w:val="6B9F24"/>
                <w:sz w:val="22"/>
                <w:u w:val="single" w:color="6B9F24"/>
              </w:rPr>
              <w:t>Appendix C.</w:t>
            </w:r>
          </w:p>
        </w:tc>
      </w:tr>
    </w:tbl>
    <w:p>
      <w:pPr>
        <w:pStyle w:val="BodyText"/>
        <w:spacing w:before="6"/>
        <w:rPr>
          <w:b/>
          <w:sz w:val="13"/>
        </w:rPr>
      </w:pPr>
      <w:r>
        <w:rPr/>
        <w:pict>
          <v:shape style="position:absolute;margin-left:70.559998pt;margin-top:10.4395pt;width:650.9pt;height:.1pt;mso-position-horizontal-relative:page;mso-position-vertical-relative:paragraph;z-index:-251534336;mso-wrap-distance-left:0;mso-wrap-distance-right:0" coordorigin="1411,209" coordsize="13018,0" path="m1411,209l14429,209e" filled="false" stroked="true" strokeweight=".481pt" strokecolor="#d9d9d9">
            <v:path arrowok="t"/>
            <v:stroke dashstyle="solid"/>
            <w10:wrap type="topAndBottom"/>
          </v:shape>
        </w:pict>
      </w:r>
    </w:p>
    <w:p>
      <w:pPr>
        <w:spacing w:after="0"/>
        <w:rPr>
          <w:sz w:val="13"/>
        </w:rPr>
        <w:sectPr>
          <w:pgSz w:w="15840" w:h="12240" w:orient="landscape"/>
          <w:pgMar w:header="0" w:footer="1008"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2"/>
        <w:gridCol w:w="2648"/>
        <w:gridCol w:w="1407"/>
        <w:gridCol w:w="3097"/>
        <w:gridCol w:w="2346"/>
      </w:tblGrid>
      <w:tr>
        <w:trPr>
          <w:trHeight w:val="877" w:hRule="atLeast"/>
        </w:trPr>
        <w:tc>
          <w:tcPr>
            <w:tcW w:w="3442" w:type="dxa"/>
          </w:tcPr>
          <w:p>
            <w:pPr>
              <w:pStyle w:val="TableParagraph"/>
              <w:spacing w:line="292" w:lineRule="exact"/>
              <w:ind w:left="237"/>
              <w:rPr>
                <w:b/>
                <w:sz w:val="24"/>
              </w:rPr>
            </w:pPr>
            <w:r>
              <w:rPr>
                <w:b/>
                <w:sz w:val="24"/>
              </w:rPr>
              <w:t>Characteristics/Requirements</w:t>
            </w:r>
          </w:p>
        </w:tc>
        <w:tc>
          <w:tcPr>
            <w:tcW w:w="2648" w:type="dxa"/>
          </w:tcPr>
          <w:p>
            <w:pPr>
              <w:pStyle w:val="TableParagraph"/>
              <w:ind w:left="273" w:right="247" w:firstLine="180"/>
              <w:rPr>
                <w:b/>
                <w:sz w:val="24"/>
              </w:rPr>
            </w:pPr>
            <w:r>
              <w:rPr>
                <w:b/>
                <w:sz w:val="24"/>
              </w:rPr>
              <w:t>Community Crisis Stabilization Services</w:t>
            </w:r>
          </w:p>
          <w:p>
            <w:pPr>
              <w:pStyle w:val="TableParagraph"/>
              <w:spacing w:line="273" w:lineRule="exact"/>
              <w:ind w:left="508"/>
              <w:rPr>
                <w:b/>
                <w:sz w:val="24"/>
              </w:rPr>
            </w:pPr>
            <w:r>
              <w:rPr>
                <w:b/>
                <w:sz w:val="24"/>
              </w:rPr>
              <w:t>State Evaluation</w:t>
            </w:r>
          </w:p>
        </w:tc>
        <w:tc>
          <w:tcPr>
            <w:tcW w:w="1407" w:type="dxa"/>
          </w:tcPr>
          <w:p>
            <w:pPr>
              <w:pStyle w:val="TableParagraph"/>
              <w:ind w:left="442" w:right="95" w:hanging="327"/>
              <w:rPr>
                <w:b/>
                <w:sz w:val="24"/>
              </w:rPr>
            </w:pPr>
            <w:r>
              <w:rPr>
                <w:b/>
                <w:sz w:val="24"/>
              </w:rPr>
              <w:t>Compliance Level</w:t>
            </w:r>
          </w:p>
        </w:tc>
        <w:tc>
          <w:tcPr>
            <w:tcW w:w="3097" w:type="dxa"/>
          </w:tcPr>
          <w:p>
            <w:pPr>
              <w:pStyle w:val="TableParagraph"/>
              <w:spacing w:line="292" w:lineRule="exact"/>
              <w:ind w:left="660"/>
              <w:rPr>
                <w:b/>
                <w:sz w:val="24"/>
              </w:rPr>
            </w:pPr>
            <w:r>
              <w:rPr>
                <w:b/>
                <w:sz w:val="24"/>
              </w:rPr>
              <w:t>Oversight Process</w:t>
            </w:r>
          </w:p>
        </w:tc>
        <w:tc>
          <w:tcPr>
            <w:tcW w:w="2346" w:type="dxa"/>
          </w:tcPr>
          <w:p>
            <w:pPr>
              <w:pStyle w:val="TableParagraph"/>
              <w:spacing w:line="292" w:lineRule="exact"/>
              <w:ind w:left="529"/>
              <w:rPr>
                <w:b/>
                <w:sz w:val="24"/>
              </w:rPr>
            </w:pPr>
            <w:r>
              <w:rPr>
                <w:b/>
                <w:sz w:val="24"/>
              </w:rPr>
              <w:t>Remediation</w:t>
            </w:r>
          </w:p>
        </w:tc>
      </w:tr>
      <w:tr>
        <w:trPr>
          <w:trHeight w:val="4298" w:hRule="atLeast"/>
        </w:trPr>
        <w:tc>
          <w:tcPr>
            <w:tcW w:w="3442" w:type="dxa"/>
          </w:tcPr>
          <w:p>
            <w:pPr>
              <w:pStyle w:val="TableParagraph"/>
              <w:rPr>
                <w:rFonts w:ascii="Times New Roman"/>
                <w:sz w:val="22"/>
              </w:rPr>
            </w:pPr>
          </w:p>
        </w:tc>
        <w:tc>
          <w:tcPr>
            <w:tcW w:w="2648" w:type="dxa"/>
          </w:tcPr>
          <w:p>
            <w:pPr>
              <w:pStyle w:val="TableParagraph"/>
              <w:ind w:left="107" w:right="379"/>
              <w:rPr>
                <w:sz w:val="22"/>
              </w:rPr>
            </w:pPr>
            <w:r>
              <w:rPr>
                <w:sz w:val="22"/>
              </w:rPr>
              <w:t>CCSS per </w:t>
            </w:r>
            <w:hyperlink r:id="rId107">
              <w:r>
                <w:rPr>
                  <w:color w:val="396230"/>
                  <w:sz w:val="22"/>
                  <w:u w:val="single" w:color="396230"/>
                </w:rPr>
                <w:t>WAC 388-833-</w:t>
              </w:r>
            </w:hyperlink>
            <w:r>
              <w:rPr>
                <w:color w:val="396230"/>
                <w:sz w:val="22"/>
              </w:rPr>
              <w:t> </w:t>
            </w:r>
            <w:hyperlink r:id="rId107">
              <w:r>
                <w:rPr>
                  <w:color w:val="396230"/>
                  <w:sz w:val="22"/>
                  <w:u w:val="single" w:color="396230"/>
                </w:rPr>
                <w:t>0015</w:t>
              </w:r>
              <w:r>
                <w:rPr>
                  <w:sz w:val="22"/>
                </w:rPr>
                <w:t>.</w:t>
              </w:r>
            </w:hyperlink>
          </w:p>
          <w:p>
            <w:pPr>
              <w:pStyle w:val="TableParagraph"/>
              <w:spacing w:before="12"/>
              <w:rPr>
                <w:b/>
                <w:sz w:val="21"/>
              </w:rPr>
            </w:pPr>
          </w:p>
          <w:p>
            <w:pPr>
              <w:pStyle w:val="TableParagraph"/>
              <w:ind w:left="107" w:right="92"/>
              <w:rPr>
                <w:sz w:val="22"/>
              </w:rPr>
            </w:pPr>
            <w:r>
              <w:rPr>
                <w:sz w:val="22"/>
              </w:rPr>
              <w:t>During the assessment process, it is the case manager’s responsibility to inform individuals of their options regarding settings and providers. Participants report via the Assessment Meeting Wrap–up and the Assessment Meeting Survey that they are informed of their options regarding services and</w:t>
            </w:r>
          </w:p>
          <w:p>
            <w:pPr>
              <w:pStyle w:val="TableParagraph"/>
              <w:spacing w:line="249" w:lineRule="exact"/>
              <w:ind w:left="107"/>
              <w:rPr>
                <w:sz w:val="22"/>
              </w:rPr>
            </w:pPr>
            <w:r>
              <w:rPr>
                <w:sz w:val="22"/>
              </w:rPr>
              <w:t>providers.</w:t>
            </w:r>
          </w:p>
        </w:tc>
        <w:tc>
          <w:tcPr>
            <w:tcW w:w="1407" w:type="dxa"/>
          </w:tcPr>
          <w:p>
            <w:pPr>
              <w:pStyle w:val="TableParagraph"/>
              <w:rPr>
                <w:rFonts w:ascii="Times New Roman"/>
                <w:sz w:val="22"/>
              </w:rPr>
            </w:pPr>
          </w:p>
        </w:tc>
        <w:tc>
          <w:tcPr>
            <w:tcW w:w="3097" w:type="dxa"/>
          </w:tcPr>
          <w:p>
            <w:pPr>
              <w:pStyle w:val="TableParagraph"/>
              <w:ind w:left="465" w:right="534"/>
              <w:rPr>
                <w:sz w:val="22"/>
              </w:rPr>
            </w:pPr>
            <w:r>
              <w:rPr>
                <w:sz w:val="22"/>
              </w:rPr>
              <w:t>and in the participant’s home;</w:t>
            </w:r>
          </w:p>
          <w:p>
            <w:pPr>
              <w:pStyle w:val="TableParagraph"/>
              <w:numPr>
                <w:ilvl w:val="0"/>
                <w:numId w:val="15"/>
              </w:numPr>
              <w:tabs>
                <w:tab w:pos="466" w:val="left" w:leader="none"/>
                <w:tab w:pos="467" w:val="left" w:leader="none"/>
              </w:tabs>
              <w:spacing w:line="240" w:lineRule="auto" w:before="0" w:after="0"/>
              <w:ind w:left="466" w:right="258" w:hanging="361"/>
              <w:jc w:val="left"/>
              <w:rPr>
                <w:sz w:val="22"/>
              </w:rPr>
            </w:pPr>
            <w:r>
              <w:rPr>
                <w:sz w:val="22"/>
              </w:rPr>
              <w:t>Track trends and patterns; and</w:t>
            </w:r>
          </w:p>
          <w:p>
            <w:pPr>
              <w:pStyle w:val="TableParagraph"/>
              <w:ind w:left="106" w:right="185"/>
              <w:rPr>
                <w:sz w:val="22"/>
              </w:rPr>
            </w:pPr>
            <w:r>
              <w:rPr>
                <w:sz w:val="22"/>
              </w:rPr>
              <w:t>Make recommendations to the Deputy Assistant Secretary regarding system and program enhancement.</w:t>
            </w:r>
          </w:p>
          <w:p>
            <w:pPr>
              <w:pStyle w:val="TableParagraph"/>
              <w:spacing w:before="11"/>
              <w:rPr>
                <w:b/>
                <w:sz w:val="21"/>
              </w:rPr>
            </w:pPr>
          </w:p>
          <w:p>
            <w:pPr>
              <w:pStyle w:val="TableParagraph"/>
              <w:ind w:left="106" w:right="264"/>
              <w:rPr>
                <w:sz w:val="22"/>
              </w:rPr>
            </w:pPr>
            <w:r>
              <w:rPr>
                <w:sz w:val="22"/>
              </w:rPr>
              <w:t>On-site inspections ensure homes meet all licensing and certification requirements in WAC and RCW, including </w:t>
            </w:r>
            <w:r>
              <w:rPr>
                <w:color w:val="396230"/>
                <w:sz w:val="22"/>
              </w:rPr>
              <w:t>WAC 388-823-1095.</w:t>
            </w:r>
          </w:p>
        </w:tc>
        <w:tc>
          <w:tcPr>
            <w:tcW w:w="2346" w:type="dxa"/>
          </w:tcPr>
          <w:p>
            <w:pPr>
              <w:pStyle w:val="TableParagraph"/>
              <w:rPr>
                <w:rFonts w:ascii="Times New Roman"/>
                <w:sz w:val="22"/>
              </w:rPr>
            </w:pPr>
          </w:p>
        </w:tc>
      </w:tr>
      <w:tr>
        <w:trPr>
          <w:trHeight w:val="3772" w:hRule="atLeast"/>
        </w:trPr>
        <w:tc>
          <w:tcPr>
            <w:tcW w:w="3442" w:type="dxa"/>
            <w:shd w:val="clear" w:color="auto" w:fill="D0E4CA"/>
          </w:tcPr>
          <w:p>
            <w:pPr>
              <w:pStyle w:val="TableParagraph"/>
              <w:ind w:left="107" w:right="257"/>
              <w:rPr>
                <w:b/>
                <w:sz w:val="22"/>
              </w:rPr>
            </w:pPr>
            <w:r>
              <w:rPr>
                <w:b/>
                <w:sz w:val="22"/>
              </w:rPr>
              <w:t>An individual’s essential personal rights of privacy, dignity and respect, and freedom from coercion and restraint are protected.</w:t>
            </w:r>
          </w:p>
        </w:tc>
        <w:tc>
          <w:tcPr>
            <w:tcW w:w="2648" w:type="dxa"/>
            <w:shd w:val="clear" w:color="auto" w:fill="D0E4CA"/>
          </w:tcPr>
          <w:p>
            <w:pPr>
              <w:pStyle w:val="TableParagraph"/>
              <w:spacing w:line="268" w:lineRule="exact"/>
              <w:ind w:left="107"/>
              <w:rPr>
                <w:sz w:val="22"/>
              </w:rPr>
            </w:pPr>
            <w:hyperlink r:id="rId23">
              <w:r>
                <w:rPr>
                  <w:color w:val="396230"/>
                  <w:sz w:val="22"/>
                  <w:u w:val="single" w:color="396230"/>
                </w:rPr>
                <w:t>WAC 388-823-1095</w:t>
              </w:r>
              <w:r>
                <w:rPr>
                  <w:color w:val="396230"/>
                  <w:sz w:val="22"/>
                </w:rPr>
                <w:t> </w:t>
              </w:r>
            </w:hyperlink>
            <w:r>
              <w:rPr>
                <w:sz w:val="22"/>
              </w:rPr>
              <w:t>my</w:t>
            </w:r>
          </w:p>
          <w:p>
            <w:pPr>
              <w:pStyle w:val="TableParagraph"/>
              <w:ind w:left="107"/>
              <w:rPr>
                <w:sz w:val="22"/>
              </w:rPr>
            </w:pPr>
            <w:r>
              <w:rPr>
                <w:sz w:val="22"/>
              </w:rPr>
              <w:t>rights as a DDA client</w:t>
            </w:r>
          </w:p>
        </w:tc>
        <w:tc>
          <w:tcPr>
            <w:tcW w:w="1407" w:type="dxa"/>
            <w:shd w:val="clear" w:color="auto" w:fill="D0E4CA"/>
          </w:tcPr>
          <w:p>
            <w:pPr>
              <w:pStyle w:val="TableParagraph"/>
              <w:ind w:left="106" w:right="267"/>
              <w:rPr>
                <w:sz w:val="24"/>
              </w:rPr>
            </w:pPr>
            <w:r>
              <w:rPr>
                <w:sz w:val="24"/>
              </w:rPr>
              <w:t>Partially Compliant</w:t>
            </w:r>
          </w:p>
        </w:tc>
        <w:tc>
          <w:tcPr>
            <w:tcW w:w="3097" w:type="dxa"/>
            <w:shd w:val="clear" w:color="auto" w:fill="D0E4CA"/>
          </w:tcPr>
          <w:p>
            <w:pPr>
              <w:pStyle w:val="TableParagraph"/>
              <w:ind w:left="105" w:right="256"/>
              <w:rPr>
                <w:sz w:val="22"/>
              </w:rPr>
            </w:pPr>
            <w:r>
              <w:rPr>
                <w:sz w:val="22"/>
              </w:rPr>
              <w:t>Child Protective Services (CPS) investigates complaints of abuse and neglect.</w:t>
            </w:r>
          </w:p>
          <w:p>
            <w:pPr>
              <w:pStyle w:val="TableParagraph"/>
              <w:rPr>
                <w:b/>
                <w:sz w:val="22"/>
              </w:rPr>
            </w:pPr>
          </w:p>
          <w:p>
            <w:pPr>
              <w:pStyle w:val="TableParagraph"/>
              <w:ind w:left="105" w:right="313"/>
              <w:rPr>
                <w:sz w:val="22"/>
              </w:rPr>
            </w:pPr>
            <w:r>
              <w:rPr>
                <w:sz w:val="22"/>
              </w:rPr>
              <w:t>DDA’s Crisis Services Program Manager oversees program operations and monitors for compliance with all statutes, rules and DDA policies.</w:t>
            </w:r>
          </w:p>
          <w:p>
            <w:pPr>
              <w:pStyle w:val="TableParagraph"/>
              <w:ind w:left="105" w:right="260"/>
              <w:rPr>
                <w:sz w:val="22"/>
              </w:rPr>
            </w:pPr>
            <w:r>
              <w:rPr>
                <w:sz w:val="22"/>
              </w:rPr>
              <w:t>Community Crisis Stabilization Services (CCSS) has a quality assurance system to:</w:t>
            </w:r>
          </w:p>
          <w:p>
            <w:pPr>
              <w:pStyle w:val="TableParagraph"/>
              <w:numPr>
                <w:ilvl w:val="0"/>
                <w:numId w:val="16"/>
              </w:numPr>
              <w:tabs>
                <w:tab w:pos="466" w:val="left" w:leader="none"/>
                <w:tab w:pos="467" w:val="left" w:leader="none"/>
              </w:tabs>
              <w:spacing w:line="270" w:lineRule="atLeast" w:before="0" w:after="0"/>
              <w:ind w:left="465" w:right="227" w:hanging="360"/>
              <w:jc w:val="left"/>
              <w:rPr>
                <w:sz w:val="22"/>
              </w:rPr>
            </w:pPr>
            <w:r>
              <w:rPr>
                <w:sz w:val="22"/>
              </w:rPr>
              <w:t>Assess the effectiveness of the participant’s</w:t>
            </w:r>
          </w:p>
        </w:tc>
        <w:tc>
          <w:tcPr>
            <w:tcW w:w="2346" w:type="dxa"/>
            <w:shd w:val="clear" w:color="auto" w:fill="D0E4CA"/>
          </w:tcPr>
          <w:p>
            <w:pPr>
              <w:pStyle w:val="TableParagraph"/>
              <w:ind w:left="104" w:right="14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w:t>
            </w:r>
            <w:r>
              <w:rPr>
                <w:color w:val="396230"/>
                <w:sz w:val="22"/>
              </w:rPr>
              <w:t>and adding language to the contracts requiring adherence to the WAC</w:t>
            </w:r>
            <w:r>
              <w:rPr>
                <w:sz w:val="22"/>
              </w:rPr>
              <w:t>. See </w:t>
            </w:r>
            <w:r>
              <w:rPr>
                <w:color w:val="6B9F24"/>
                <w:sz w:val="22"/>
                <w:u w:val="single" w:color="6B9F24"/>
              </w:rPr>
              <w:t>Appendix C.</w:t>
            </w:r>
          </w:p>
        </w:tc>
      </w:tr>
    </w:tbl>
    <w:p>
      <w:pPr>
        <w:pStyle w:val="BodyText"/>
        <w:spacing w:before="3"/>
        <w:rPr>
          <w:b/>
          <w:sz w:val="16"/>
        </w:rPr>
      </w:pPr>
      <w:r>
        <w:rPr/>
        <w:pict>
          <v:shape style="position:absolute;margin-left:70.559998pt;margin-top:12.1195pt;width:650.9pt;height:.1pt;mso-position-horizontal-relative:page;mso-position-vertical-relative:paragraph;z-index:-251533312;mso-wrap-distance-left:0;mso-wrap-distance-right:0" coordorigin="1411,242" coordsize="13018,0" path="m1411,242l14429,242e" filled="false" stroked="true" strokeweight=".481pt" strokecolor="#d9d9d9">
            <v:path arrowok="t"/>
            <v:stroke dashstyle="solid"/>
            <w10:wrap type="topAndBottom"/>
          </v:shape>
        </w:pict>
      </w:r>
    </w:p>
    <w:p>
      <w:pPr>
        <w:spacing w:after="0"/>
        <w:rPr>
          <w:sz w:val="16"/>
        </w:rPr>
        <w:sectPr>
          <w:footerReference w:type="default" r:id="rId106"/>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2"/>
        <w:gridCol w:w="2648"/>
        <w:gridCol w:w="1407"/>
        <w:gridCol w:w="3097"/>
        <w:gridCol w:w="2346"/>
      </w:tblGrid>
      <w:tr>
        <w:trPr>
          <w:trHeight w:val="877" w:hRule="atLeast"/>
        </w:trPr>
        <w:tc>
          <w:tcPr>
            <w:tcW w:w="3442" w:type="dxa"/>
          </w:tcPr>
          <w:p>
            <w:pPr>
              <w:pStyle w:val="TableParagraph"/>
              <w:spacing w:line="292" w:lineRule="exact"/>
              <w:ind w:left="237"/>
              <w:rPr>
                <w:b/>
                <w:sz w:val="24"/>
              </w:rPr>
            </w:pPr>
            <w:r>
              <w:rPr>
                <w:b/>
                <w:sz w:val="24"/>
              </w:rPr>
              <w:t>Characteristics/Requirements</w:t>
            </w:r>
          </w:p>
        </w:tc>
        <w:tc>
          <w:tcPr>
            <w:tcW w:w="2648" w:type="dxa"/>
          </w:tcPr>
          <w:p>
            <w:pPr>
              <w:pStyle w:val="TableParagraph"/>
              <w:ind w:left="273" w:right="247" w:firstLine="180"/>
              <w:rPr>
                <w:b/>
                <w:sz w:val="24"/>
              </w:rPr>
            </w:pPr>
            <w:r>
              <w:rPr>
                <w:b/>
                <w:sz w:val="24"/>
              </w:rPr>
              <w:t>Community Crisis Stabilization Services</w:t>
            </w:r>
          </w:p>
          <w:p>
            <w:pPr>
              <w:pStyle w:val="TableParagraph"/>
              <w:spacing w:line="273" w:lineRule="exact"/>
              <w:ind w:left="508"/>
              <w:rPr>
                <w:b/>
                <w:sz w:val="24"/>
              </w:rPr>
            </w:pPr>
            <w:r>
              <w:rPr>
                <w:b/>
                <w:sz w:val="24"/>
              </w:rPr>
              <w:t>State Evaluation</w:t>
            </w:r>
          </w:p>
        </w:tc>
        <w:tc>
          <w:tcPr>
            <w:tcW w:w="1407" w:type="dxa"/>
          </w:tcPr>
          <w:p>
            <w:pPr>
              <w:pStyle w:val="TableParagraph"/>
              <w:ind w:left="442" w:right="95" w:hanging="327"/>
              <w:rPr>
                <w:b/>
                <w:sz w:val="24"/>
              </w:rPr>
            </w:pPr>
            <w:r>
              <w:rPr>
                <w:b/>
                <w:sz w:val="24"/>
              </w:rPr>
              <w:t>Compliance Level</w:t>
            </w:r>
          </w:p>
        </w:tc>
        <w:tc>
          <w:tcPr>
            <w:tcW w:w="3097" w:type="dxa"/>
          </w:tcPr>
          <w:p>
            <w:pPr>
              <w:pStyle w:val="TableParagraph"/>
              <w:spacing w:line="292" w:lineRule="exact"/>
              <w:ind w:left="660"/>
              <w:rPr>
                <w:b/>
                <w:sz w:val="24"/>
              </w:rPr>
            </w:pPr>
            <w:r>
              <w:rPr>
                <w:b/>
                <w:sz w:val="24"/>
              </w:rPr>
              <w:t>Oversight Process</w:t>
            </w:r>
          </w:p>
        </w:tc>
        <w:tc>
          <w:tcPr>
            <w:tcW w:w="2346" w:type="dxa"/>
          </w:tcPr>
          <w:p>
            <w:pPr>
              <w:pStyle w:val="TableParagraph"/>
              <w:spacing w:line="292" w:lineRule="exact"/>
              <w:ind w:left="529"/>
              <w:rPr>
                <w:b/>
                <w:sz w:val="24"/>
              </w:rPr>
            </w:pPr>
            <w:r>
              <w:rPr>
                <w:b/>
                <w:sz w:val="24"/>
              </w:rPr>
              <w:t>Remediation</w:t>
            </w:r>
          </w:p>
        </w:tc>
      </w:tr>
      <w:tr>
        <w:trPr>
          <w:trHeight w:val="4590" w:hRule="atLeast"/>
        </w:trPr>
        <w:tc>
          <w:tcPr>
            <w:tcW w:w="3442" w:type="dxa"/>
            <w:shd w:val="clear" w:color="auto" w:fill="D0E4CA"/>
          </w:tcPr>
          <w:p>
            <w:pPr>
              <w:pStyle w:val="TableParagraph"/>
              <w:rPr>
                <w:rFonts w:ascii="Times New Roman"/>
                <w:sz w:val="22"/>
              </w:rPr>
            </w:pPr>
          </w:p>
        </w:tc>
        <w:tc>
          <w:tcPr>
            <w:tcW w:w="2648" w:type="dxa"/>
            <w:shd w:val="clear" w:color="auto" w:fill="D0E4CA"/>
          </w:tcPr>
          <w:p>
            <w:pPr>
              <w:pStyle w:val="TableParagraph"/>
              <w:rPr>
                <w:rFonts w:ascii="Times New Roman"/>
                <w:sz w:val="22"/>
              </w:rPr>
            </w:pPr>
          </w:p>
        </w:tc>
        <w:tc>
          <w:tcPr>
            <w:tcW w:w="1407" w:type="dxa"/>
            <w:shd w:val="clear" w:color="auto" w:fill="D0E4CA"/>
          </w:tcPr>
          <w:p>
            <w:pPr>
              <w:pStyle w:val="TableParagraph"/>
              <w:rPr>
                <w:rFonts w:ascii="Times New Roman"/>
                <w:sz w:val="22"/>
              </w:rPr>
            </w:pPr>
          </w:p>
        </w:tc>
        <w:tc>
          <w:tcPr>
            <w:tcW w:w="3097" w:type="dxa"/>
            <w:shd w:val="clear" w:color="auto" w:fill="D0E4CA"/>
          </w:tcPr>
          <w:p>
            <w:pPr>
              <w:pStyle w:val="TableParagraph"/>
              <w:ind w:left="465" w:right="407"/>
              <w:rPr>
                <w:sz w:val="22"/>
              </w:rPr>
            </w:pPr>
            <w:r>
              <w:rPr>
                <w:sz w:val="22"/>
              </w:rPr>
              <w:t>individualized treatment plan;</w:t>
            </w:r>
          </w:p>
          <w:p>
            <w:pPr>
              <w:pStyle w:val="TableParagraph"/>
              <w:numPr>
                <w:ilvl w:val="0"/>
                <w:numId w:val="17"/>
              </w:numPr>
              <w:tabs>
                <w:tab w:pos="466" w:val="left" w:leader="none"/>
                <w:tab w:pos="467" w:val="left" w:leader="none"/>
              </w:tabs>
              <w:spacing w:line="240" w:lineRule="auto" w:before="0" w:after="0"/>
              <w:ind w:left="465" w:right="130" w:hanging="360"/>
              <w:jc w:val="left"/>
              <w:rPr>
                <w:sz w:val="22"/>
              </w:rPr>
            </w:pPr>
            <w:r>
              <w:rPr>
                <w:sz w:val="22"/>
              </w:rPr>
              <w:t>Identify barriers to implementation in the CCSS and in the participant’s home;</w:t>
            </w:r>
          </w:p>
          <w:p>
            <w:pPr>
              <w:pStyle w:val="TableParagraph"/>
              <w:numPr>
                <w:ilvl w:val="0"/>
                <w:numId w:val="17"/>
              </w:numPr>
              <w:tabs>
                <w:tab w:pos="466" w:val="left" w:leader="none"/>
                <w:tab w:pos="467" w:val="left" w:leader="none"/>
              </w:tabs>
              <w:spacing w:line="237" w:lineRule="auto" w:before="3" w:after="0"/>
              <w:ind w:left="465" w:right="258" w:hanging="360"/>
              <w:jc w:val="left"/>
              <w:rPr>
                <w:sz w:val="22"/>
              </w:rPr>
            </w:pPr>
            <w:r>
              <w:rPr>
                <w:sz w:val="22"/>
              </w:rPr>
              <w:t>Track trends and patterns; and</w:t>
            </w:r>
          </w:p>
          <w:p>
            <w:pPr>
              <w:pStyle w:val="TableParagraph"/>
              <w:spacing w:before="1"/>
              <w:ind w:left="105" w:right="186"/>
              <w:rPr>
                <w:sz w:val="22"/>
              </w:rPr>
            </w:pPr>
            <w:r>
              <w:rPr>
                <w:sz w:val="22"/>
              </w:rPr>
              <w:t>Make recommendations to the Deputy Assistant Secretary regarding system and program enhancement.</w:t>
            </w:r>
          </w:p>
          <w:p>
            <w:pPr>
              <w:pStyle w:val="TableParagraph"/>
              <w:spacing w:line="270" w:lineRule="atLeast"/>
              <w:ind w:left="105" w:right="264"/>
              <w:rPr>
                <w:sz w:val="22"/>
              </w:rPr>
            </w:pPr>
            <w:r>
              <w:rPr>
                <w:sz w:val="22"/>
              </w:rPr>
              <w:t>On-site inspections ensure homes meet all licensing and certification requirements in WAC and RCW, including </w:t>
            </w:r>
            <w:r>
              <w:rPr>
                <w:color w:val="396230"/>
                <w:sz w:val="22"/>
              </w:rPr>
              <w:t>WAC 388-823-1095.</w:t>
            </w:r>
          </w:p>
        </w:tc>
        <w:tc>
          <w:tcPr>
            <w:tcW w:w="2346" w:type="dxa"/>
            <w:shd w:val="clear" w:color="auto" w:fill="D0E4CA"/>
          </w:tcPr>
          <w:p>
            <w:pPr>
              <w:pStyle w:val="TableParagraph"/>
              <w:rPr>
                <w:rFonts w:ascii="Times New Roman"/>
                <w:sz w:val="22"/>
              </w:rPr>
            </w:pPr>
          </w:p>
        </w:tc>
      </w:tr>
      <w:tr>
        <w:trPr>
          <w:trHeight w:val="3218" w:hRule="atLeast"/>
        </w:trPr>
        <w:tc>
          <w:tcPr>
            <w:tcW w:w="3442" w:type="dxa"/>
          </w:tcPr>
          <w:p>
            <w:pPr>
              <w:pStyle w:val="TableParagraph"/>
              <w:ind w:left="107" w:right="274"/>
              <w:rPr>
                <w:b/>
                <w:sz w:val="22"/>
              </w:rPr>
            </w:pPr>
            <w:r>
              <w:rPr>
                <w:b/>
                <w:sz w:val="22"/>
              </w:rPr>
              <w:t>Individual initiative, autonomy, and independence in making life choices, including but not limited to, daily activities, physical environment, and with whom to interact are optimized and not regimented.</w:t>
            </w:r>
          </w:p>
        </w:tc>
        <w:tc>
          <w:tcPr>
            <w:tcW w:w="2648" w:type="dxa"/>
          </w:tcPr>
          <w:p>
            <w:pPr>
              <w:pStyle w:val="TableParagraph"/>
              <w:spacing w:line="264" w:lineRule="exact"/>
              <w:ind w:left="107"/>
              <w:rPr>
                <w:sz w:val="22"/>
              </w:rPr>
            </w:pPr>
            <w:hyperlink r:id="rId23">
              <w:r>
                <w:rPr>
                  <w:color w:val="396230"/>
                  <w:sz w:val="22"/>
                  <w:u w:val="single" w:color="396230"/>
                </w:rPr>
                <w:t>WAC 388-823-1095</w:t>
              </w:r>
              <w:r>
                <w:rPr>
                  <w:color w:val="396230"/>
                  <w:sz w:val="22"/>
                </w:rPr>
                <w:t> </w:t>
              </w:r>
            </w:hyperlink>
            <w:r>
              <w:rPr>
                <w:sz w:val="22"/>
              </w:rPr>
              <w:t>my</w:t>
            </w:r>
          </w:p>
          <w:p>
            <w:pPr>
              <w:pStyle w:val="TableParagraph"/>
              <w:ind w:left="107"/>
              <w:rPr>
                <w:sz w:val="22"/>
              </w:rPr>
            </w:pPr>
            <w:r>
              <w:rPr>
                <w:sz w:val="22"/>
              </w:rPr>
              <w:t>rights as a DDA client</w:t>
            </w:r>
          </w:p>
        </w:tc>
        <w:tc>
          <w:tcPr>
            <w:tcW w:w="1407" w:type="dxa"/>
          </w:tcPr>
          <w:p>
            <w:pPr>
              <w:pStyle w:val="TableParagraph"/>
              <w:ind w:left="106" w:right="267"/>
              <w:rPr>
                <w:sz w:val="24"/>
              </w:rPr>
            </w:pPr>
            <w:r>
              <w:rPr>
                <w:sz w:val="24"/>
              </w:rPr>
              <w:t>Partially Compliant</w:t>
            </w:r>
          </w:p>
        </w:tc>
        <w:tc>
          <w:tcPr>
            <w:tcW w:w="3097" w:type="dxa"/>
          </w:tcPr>
          <w:p>
            <w:pPr>
              <w:pStyle w:val="TableParagraph"/>
              <w:ind w:left="105" w:right="256"/>
              <w:rPr>
                <w:sz w:val="22"/>
              </w:rPr>
            </w:pPr>
            <w:r>
              <w:rPr>
                <w:sz w:val="22"/>
              </w:rPr>
              <w:t>Child Protective Services (CPS) investigates complaints of abuse and neglect.</w:t>
            </w:r>
          </w:p>
          <w:p>
            <w:pPr>
              <w:pStyle w:val="TableParagraph"/>
              <w:spacing w:before="5"/>
              <w:rPr>
                <w:b/>
                <w:sz w:val="21"/>
              </w:rPr>
            </w:pPr>
          </w:p>
          <w:p>
            <w:pPr>
              <w:pStyle w:val="TableParagraph"/>
              <w:spacing w:before="1"/>
              <w:ind w:left="105" w:right="313"/>
              <w:rPr>
                <w:sz w:val="22"/>
              </w:rPr>
            </w:pPr>
            <w:r>
              <w:rPr>
                <w:sz w:val="22"/>
              </w:rPr>
              <w:t>DDA’s Crisis Services Program Manager oversees program operations and monitors for compliance with all statutes, rules and DDA policies.</w:t>
            </w:r>
          </w:p>
          <w:p>
            <w:pPr>
              <w:pStyle w:val="TableParagraph"/>
              <w:spacing w:line="270" w:lineRule="atLeast"/>
              <w:ind w:left="105" w:right="260"/>
              <w:rPr>
                <w:sz w:val="22"/>
              </w:rPr>
            </w:pPr>
            <w:r>
              <w:rPr>
                <w:sz w:val="22"/>
              </w:rPr>
              <w:t>Community Crisis Stabilization Services (CCSS) has a quality assurance system to:</w:t>
            </w:r>
          </w:p>
        </w:tc>
        <w:tc>
          <w:tcPr>
            <w:tcW w:w="2346" w:type="dxa"/>
          </w:tcPr>
          <w:p>
            <w:pPr>
              <w:pStyle w:val="TableParagraph"/>
              <w:ind w:left="104" w:right="14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w:t>
            </w:r>
            <w:r>
              <w:rPr>
                <w:color w:val="396230"/>
                <w:sz w:val="22"/>
              </w:rPr>
              <w:t>and adding language to the contracts requiring adherence to the WAC</w:t>
            </w:r>
            <w:r>
              <w:rPr>
                <w:sz w:val="22"/>
              </w:rPr>
              <w:t>. See </w:t>
            </w:r>
            <w:r>
              <w:rPr>
                <w:color w:val="6B9F24"/>
                <w:sz w:val="22"/>
                <w:u w:val="single" w:color="6B9F24"/>
              </w:rPr>
              <w:t>Appendix C.</w:t>
            </w:r>
          </w:p>
        </w:tc>
      </w:tr>
    </w:tbl>
    <w:p>
      <w:pPr>
        <w:pStyle w:val="BodyText"/>
        <w:rPr>
          <w:b/>
          <w:sz w:val="20"/>
        </w:rPr>
      </w:pPr>
    </w:p>
    <w:p>
      <w:pPr>
        <w:pStyle w:val="BodyText"/>
        <w:spacing w:before="3"/>
        <w:rPr>
          <w:b/>
          <w:sz w:val="17"/>
        </w:rPr>
      </w:pPr>
      <w:r>
        <w:rPr/>
        <w:pict>
          <v:shape style="position:absolute;margin-left:70.559998pt;margin-top:12.752469pt;width:650.9pt;height:.1pt;mso-position-horizontal-relative:page;mso-position-vertical-relative:paragraph;z-index:-251532288;mso-wrap-distance-left:0;mso-wrap-distance-right:0" coordorigin="1411,255" coordsize="13018,0" path="m1411,255l14429,255e" filled="false" stroked="true" strokeweight=".481pt" strokecolor="#d9d9d9">
            <v:path arrowok="t"/>
            <v:stroke dashstyle="solid"/>
            <w10:wrap type="topAndBottom"/>
          </v:shape>
        </w:pict>
      </w:r>
    </w:p>
    <w:p>
      <w:pPr>
        <w:spacing w:after="0"/>
        <w:rPr>
          <w:sz w:val="17"/>
        </w:rPr>
        <w:sectPr>
          <w:footerReference w:type="default" r:id="rId108"/>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111"/>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2"/>
        <w:gridCol w:w="2648"/>
        <w:gridCol w:w="1407"/>
        <w:gridCol w:w="3097"/>
        <w:gridCol w:w="2346"/>
      </w:tblGrid>
      <w:tr>
        <w:trPr>
          <w:trHeight w:val="877" w:hRule="atLeast"/>
        </w:trPr>
        <w:tc>
          <w:tcPr>
            <w:tcW w:w="3442" w:type="dxa"/>
          </w:tcPr>
          <w:p>
            <w:pPr>
              <w:pStyle w:val="TableParagraph"/>
              <w:spacing w:line="292" w:lineRule="exact"/>
              <w:ind w:left="237"/>
              <w:rPr>
                <w:b/>
                <w:sz w:val="24"/>
              </w:rPr>
            </w:pPr>
            <w:r>
              <w:rPr>
                <w:b/>
                <w:sz w:val="24"/>
              </w:rPr>
              <w:t>Characteristics/Requirements</w:t>
            </w:r>
          </w:p>
        </w:tc>
        <w:tc>
          <w:tcPr>
            <w:tcW w:w="2648" w:type="dxa"/>
          </w:tcPr>
          <w:p>
            <w:pPr>
              <w:pStyle w:val="TableParagraph"/>
              <w:ind w:left="273" w:right="247" w:firstLine="180"/>
              <w:rPr>
                <w:b/>
                <w:sz w:val="24"/>
              </w:rPr>
            </w:pPr>
            <w:r>
              <w:rPr>
                <w:b/>
                <w:sz w:val="24"/>
              </w:rPr>
              <w:t>Community Crisis Stabilization Services</w:t>
            </w:r>
          </w:p>
          <w:p>
            <w:pPr>
              <w:pStyle w:val="TableParagraph"/>
              <w:spacing w:line="273" w:lineRule="exact"/>
              <w:ind w:left="508"/>
              <w:rPr>
                <w:b/>
                <w:sz w:val="24"/>
              </w:rPr>
            </w:pPr>
            <w:r>
              <w:rPr>
                <w:b/>
                <w:sz w:val="24"/>
              </w:rPr>
              <w:t>State Evaluation</w:t>
            </w:r>
          </w:p>
        </w:tc>
        <w:tc>
          <w:tcPr>
            <w:tcW w:w="1407" w:type="dxa"/>
          </w:tcPr>
          <w:p>
            <w:pPr>
              <w:pStyle w:val="TableParagraph"/>
              <w:ind w:left="442" w:right="95" w:hanging="327"/>
              <w:rPr>
                <w:b/>
                <w:sz w:val="24"/>
              </w:rPr>
            </w:pPr>
            <w:r>
              <w:rPr>
                <w:b/>
                <w:sz w:val="24"/>
              </w:rPr>
              <w:t>Compliance Level</w:t>
            </w:r>
          </w:p>
        </w:tc>
        <w:tc>
          <w:tcPr>
            <w:tcW w:w="3097" w:type="dxa"/>
          </w:tcPr>
          <w:p>
            <w:pPr>
              <w:pStyle w:val="TableParagraph"/>
              <w:spacing w:line="292" w:lineRule="exact"/>
              <w:ind w:left="660"/>
              <w:rPr>
                <w:b/>
                <w:sz w:val="24"/>
              </w:rPr>
            </w:pPr>
            <w:r>
              <w:rPr>
                <w:b/>
                <w:sz w:val="24"/>
              </w:rPr>
              <w:t>Oversight Process</w:t>
            </w:r>
          </w:p>
        </w:tc>
        <w:tc>
          <w:tcPr>
            <w:tcW w:w="2346" w:type="dxa"/>
          </w:tcPr>
          <w:p>
            <w:pPr>
              <w:pStyle w:val="TableParagraph"/>
              <w:spacing w:line="292" w:lineRule="exact"/>
              <w:ind w:left="529"/>
              <w:rPr>
                <w:b/>
                <w:sz w:val="24"/>
              </w:rPr>
            </w:pPr>
            <w:r>
              <w:rPr>
                <w:b/>
                <w:sz w:val="24"/>
              </w:rPr>
              <w:t>Remediation</w:t>
            </w:r>
          </w:p>
        </w:tc>
      </w:tr>
      <w:tr>
        <w:trPr>
          <w:trHeight w:val="5406" w:hRule="atLeast"/>
        </w:trPr>
        <w:tc>
          <w:tcPr>
            <w:tcW w:w="3442" w:type="dxa"/>
          </w:tcPr>
          <w:p>
            <w:pPr>
              <w:pStyle w:val="TableParagraph"/>
              <w:rPr>
                <w:rFonts w:ascii="Times New Roman"/>
                <w:sz w:val="22"/>
              </w:rPr>
            </w:pPr>
          </w:p>
        </w:tc>
        <w:tc>
          <w:tcPr>
            <w:tcW w:w="2648" w:type="dxa"/>
          </w:tcPr>
          <w:p>
            <w:pPr>
              <w:pStyle w:val="TableParagraph"/>
              <w:rPr>
                <w:rFonts w:ascii="Times New Roman"/>
                <w:sz w:val="22"/>
              </w:rPr>
            </w:pPr>
          </w:p>
        </w:tc>
        <w:tc>
          <w:tcPr>
            <w:tcW w:w="1407" w:type="dxa"/>
          </w:tcPr>
          <w:p>
            <w:pPr>
              <w:pStyle w:val="TableParagraph"/>
              <w:rPr>
                <w:rFonts w:ascii="Times New Roman"/>
                <w:sz w:val="22"/>
              </w:rPr>
            </w:pPr>
          </w:p>
        </w:tc>
        <w:tc>
          <w:tcPr>
            <w:tcW w:w="3097" w:type="dxa"/>
          </w:tcPr>
          <w:p>
            <w:pPr>
              <w:pStyle w:val="TableParagraph"/>
              <w:numPr>
                <w:ilvl w:val="0"/>
                <w:numId w:val="18"/>
              </w:numPr>
              <w:tabs>
                <w:tab w:pos="465" w:val="left" w:leader="none"/>
                <w:tab w:pos="466" w:val="left" w:leader="none"/>
              </w:tabs>
              <w:spacing w:line="240" w:lineRule="auto" w:before="0" w:after="0"/>
              <w:ind w:left="465" w:right="227" w:hanging="360"/>
              <w:jc w:val="left"/>
              <w:rPr>
                <w:sz w:val="22"/>
              </w:rPr>
            </w:pPr>
            <w:r>
              <w:rPr>
                <w:sz w:val="22"/>
              </w:rPr>
              <w:t>Assess the effectiveness of the participant’s individualized treatment plan;</w:t>
            </w:r>
          </w:p>
          <w:p>
            <w:pPr>
              <w:pStyle w:val="TableParagraph"/>
              <w:numPr>
                <w:ilvl w:val="0"/>
                <w:numId w:val="18"/>
              </w:numPr>
              <w:tabs>
                <w:tab w:pos="466" w:val="left" w:leader="none"/>
                <w:tab w:pos="467" w:val="left" w:leader="none"/>
              </w:tabs>
              <w:spacing w:line="240" w:lineRule="auto" w:before="0" w:after="0"/>
              <w:ind w:left="466" w:right="130" w:hanging="361"/>
              <w:jc w:val="left"/>
              <w:rPr>
                <w:sz w:val="22"/>
              </w:rPr>
            </w:pPr>
            <w:r>
              <w:rPr>
                <w:sz w:val="22"/>
              </w:rPr>
              <w:t>Identify barriers to implementation in the CCSS and in the participant’s home;</w:t>
            </w:r>
          </w:p>
          <w:p>
            <w:pPr>
              <w:pStyle w:val="TableParagraph"/>
              <w:numPr>
                <w:ilvl w:val="0"/>
                <w:numId w:val="18"/>
              </w:numPr>
              <w:tabs>
                <w:tab w:pos="466" w:val="left" w:leader="none"/>
                <w:tab w:pos="467" w:val="left" w:leader="none"/>
              </w:tabs>
              <w:spacing w:line="240" w:lineRule="auto" w:before="0" w:after="0"/>
              <w:ind w:left="466" w:right="258" w:hanging="361"/>
              <w:jc w:val="left"/>
              <w:rPr>
                <w:sz w:val="22"/>
              </w:rPr>
            </w:pPr>
            <w:r>
              <w:rPr>
                <w:sz w:val="22"/>
              </w:rPr>
              <w:t>Track trends and patterns; and</w:t>
            </w:r>
          </w:p>
          <w:p>
            <w:pPr>
              <w:pStyle w:val="TableParagraph"/>
              <w:ind w:left="106" w:right="185"/>
              <w:rPr>
                <w:sz w:val="22"/>
              </w:rPr>
            </w:pPr>
            <w:r>
              <w:rPr>
                <w:sz w:val="22"/>
              </w:rPr>
              <w:t>Make recommendations to the Deputy Assistant Secretary regarding system and program enhancement.</w:t>
            </w:r>
          </w:p>
          <w:p>
            <w:pPr>
              <w:pStyle w:val="TableParagraph"/>
              <w:spacing w:before="1"/>
              <w:rPr>
                <w:b/>
                <w:sz w:val="22"/>
              </w:rPr>
            </w:pPr>
          </w:p>
          <w:p>
            <w:pPr>
              <w:pStyle w:val="TableParagraph"/>
              <w:ind w:left="105" w:right="248"/>
              <w:rPr>
                <w:sz w:val="22"/>
              </w:rPr>
            </w:pPr>
            <w:r>
              <w:rPr>
                <w:sz w:val="22"/>
              </w:rPr>
              <w:t>On-site inspections ensure homes meet all licensing and certification requirements in WAC and RCW, including </w:t>
            </w:r>
            <w:r>
              <w:rPr>
                <w:color w:val="396230"/>
                <w:sz w:val="22"/>
              </w:rPr>
              <w:t>WAC</w:t>
            </w:r>
          </w:p>
          <w:p>
            <w:pPr>
              <w:pStyle w:val="TableParagraph"/>
              <w:spacing w:line="248" w:lineRule="exact"/>
              <w:ind w:left="105"/>
              <w:rPr>
                <w:sz w:val="22"/>
              </w:rPr>
            </w:pPr>
            <w:r>
              <w:rPr>
                <w:color w:val="396230"/>
                <w:sz w:val="22"/>
              </w:rPr>
              <w:t>388-823-1095.</w:t>
            </w:r>
          </w:p>
        </w:tc>
        <w:tc>
          <w:tcPr>
            <w:tcW w:w="2346" w:type="dxa"/>
          </w:tcPr>
          <w:p>
            <w:pPr>
              <w:pStyle w:val="TableParagraph"/>
              <w:rPr>
                <w:rFonts w:ascii="Times New Roman"/>
                <w:sz w:val="22"/>
              </w:rPr>
            </w:pPr>
          </w:p>
        </w:tc>
      </w:tr>
      <w:tr>
        <w:trPr>
          <w:trHeight w:val="2418" w:hRule="atLeast"/>
        </w:trPr>
        <w:tc>
          <w:tcPr>
            <w:tcW w:w="3442" w:type="dxa"/>
            <w:shd w:val="clear" w:color="auto" w:fill="D0E4CA"/>
          </w:tcPr>
          <w:p>
            <w:pPr>
              <w:pStyle w:val="TableParagraph"/>
              <w:ind w:left="107" w:right="431"/>
              <w:rPr>
                <w:b/>
                <w:sz w:val="22"/>
              </w:rPr>
            </w:pPr>
            <w:r>
              <w:rPr>
                <w:b/>
                <w:sz w:val="22"/>
              </w:rPr>
              <w:t>Individual choice regarding services and supports, and who provides them, is facilitated.</w:t>
            </w:r>
          </w:p>
        </w:tc>
        <w:tc>
          <w:tcPr>
            <w:tcW w:w="2648" w:type="dxa"/>
            <w:shd w:val="clear" w:color="auto" w:fill="D0E4CA"/>
          </w:tcPr>
          <w:p>
            <w:pPr>
              <w:pStyle w:val="TableParagraph"/>
              <w:spacing w:line="268" w:lineRule="exact"/>
              <w:ind w:left="107"/>
              <w:rPr>
                <w:sz w:val="22"/>
              </w:rPr>
            </w:pPr>
            <w:hyperlink r:id="rId23">
              <w:r>
                <w:rPr>
                  <w:color w:val="396230"/>
                  <w:sz w:val="22"/>
                  <w:u w:val="single" w:color="396230"/>
                </w:rPr>
                <w:t>WAC 388-823-1095</w:t>
              </w:r>
              <w:r>
                <w:rPr>
                  <w:color w:val="396230"/>
                  <w:sz w:val="22"/>
                </w:rPr>
                <w:t> </w:t>
              </w:r>
            </w:hyperlink>
            <w:r>
              <w:rPr>
                <w:sz w:val="22"/>
              </w:rPr>
              <w:t>my</w:t>
            </w:r>
          </w:p>
          <w:p>
            <w:pPr>
              <w:pStyle w:val="TableParagraph"/>
              <w:ind w:left="107"/>
              <w:rPr>
                <w:sz w:val="22"/>
              </w:rPr>
            </w:pPr>
            <w:r>
              <w:rPr>
                <w:sz w:val="22"/>
              </w:rPr>
              <w:t>rights as a DDA client</w:t>
            </w:r>
          </w:p>
        </w:tc>
        <w:tc>
          <w:tcPr>
            <w:tcW w:w="1407" w:type="dxa"/>
            <w:shd w:val="clear" w:color="auto" w:fill="D0E4CA"/>
          </w:tcPr>
          <w:p>
            <w:pPr>
              <w:pStyle w:val="TableParagraph"/>
              <w:ind w:left="106" w:right="267"/>
              <w:rPr>
                <w:sz w:val="24"/>
              </w:rPr>
            </w:pPr>
            <w:r>
              <w:rPr>
                <w:sz w:val="24"/>
              </w:rPr>
              <w:t>Partially Compliant</w:t>
            </w:r>
          </w:p>
        </w:tc>
        <w:tc>
          <w:tcPr>
            <w:tcW w:w="3097" w:type="dxa"/>
            <w:shd w:val="clear" w:color="auto" w:fill="D0E4CA"/>
          </w:tcPr>
          <w:p>
            <w:pPr>
              <w:pStyle w:val="TableParagraph"/>
              <w:ind w:left="105" w:right="256"/>
              <w:rPr>
                <w:sz w:val="22"/>
              </w:rPr>
            </w:pPr>
            <w:r>
              <w:rPr>
                <w:sz w:val="22"/>
              </w:rPr>
              <w:t>Child Protective Services (CPS) investigates complaints of abuse and neglect.</w:t>
            </w:r>
          </w:p>
          <w:p>
            <w:pPr>
              <w:pStyle w:val="TableParagraph"/>
              <w:rPr>
                <w:b/>
                <w:sz w:val="22"/>
              </w:rPr>
            </w:pPr>
          </w:p>
          <w:p>
            <w:pPr>
              <w:pStyle w:val="TableParagraph"/>
              <w:ind w:left="105" w:right="313"/>
              <w:rPr>
                <w:sz w:val="22"/>
              </w:rPr>
            </w:pPr>
            <w:r>
              <w:rPr>
                <w:sz w:val="22"/>
              </w:rPr>
              <w:t>DDA’s Crisis Services Program Manager oversees program operations and monitors for compliance with all statutes,</w:t>
            </w:r>
          </w:p>
          <w:p>
            <w:pPr>
              <w:pStyle w:val="TableParagraph"/>
              <w:spacing w:line="250" w:lineRule="exact"/>
              <w:ind w:left="105"/>
              <w:rPr>
                <w:sz w:val="22"/>
              </w:rPr>
            </w:pPr>
            <w:r>
              <w:rPr>
                <w:sz w:val="22"/>
              </w:rPr>
              <w:t>rules and DDA policies.</w:t>
            </w:r>
          </w:p>
        </w:tc>
        <w:tc>
          <w:tcPr>
            <w:tcW w:w="2346" w:type="dxa"/>
            <w:shd w:val="clear" w:color="auto" w:fill="D0E4CA"/>
          </w:tcPr>
          <w:p>
            <w:pPr>
              <w:pStyle w:val="TableParagraph"/>
              <w:ind w:left="104" w:right="14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w:t>
            </w:r>
            <w:r>
              <w:rPr>
                <w:color w:val="396230"/>
                <w:sz w:val="22"/>
              </w:rPr>
              <w:t>and adding language to the contracts requiring adherence to the WAC</w:t>
            </w:r>
            <w:r>
              <w:rPr>
                <w:sz w:val="22"/>
              </w:rPr>
              <w:t>. See </w:t>
            </w:r>
            <w:r>
              <w:rPr>
                <w:color w:val="6B9F24"/>
                <w:sz w:val="22"/>
                <w:u w:val="single" w:color="6B9F24"/>
              </w:rPr>
              <w:t>Appendix C.</w:t>
            </w:r>
          </w:p>
        </w:tc>
      </w:tr>
    </w:tbl>
    <w:p>
      <w:pPr>
        <w:pStyle w:val="BodyText"/>
        <w:rPr>
          <w:b/>
          <w:sz w:val="20"/>
        </w:rPr>
      </w:pPr>
    </w:p>
    <w:p>
      <w:pPr>
        <w:pStyle w:val="BodyText"/>
        <w:spacing w:before="3"/>
        <w:rPr>
          <w:b/>
          <w:sz w:val="16"/>
        </w:rPr>
      </w:pPr>
      <w:r>
        <w:rPr/>
        <w:pict>
          <v:shape style="position:absolute;margin-left:70.559998pt;margin-top:12.152469pt;width:650.9pt;height:.1pt;mso-position-horizontal-relative:page;mso-position-vertical-relative:paragraph;z-index:-251531264;mso-wrap-distance-left:0;mso-wrap-distance-right:0" coordorigin="1411,243" coordsize="13018,0" path="m1411,243l14429,243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2"/>
        <w:gridCol w:w="2648"/>
        <w:gridCol w:w="1407"/>
        <w:gridCol w:w="3097"/>
        <w:gridCol w:w="2346"/>
      </w:tblGrid>
      <w:tr>
        <w:trPr>
          <w:trHeight w:val="877" w:hRule="atLeast"/>
        </w:trPr>
        <w:tc>
          <w:tcPr>
            <w:tcW w:w="3442" w:type="dxa"/>
          </w:tcPr>
          <w:p>
            <w:pPr>
              <w:pStyle w:val="TableParagraph"/>
              <w:spacing w:line="292" w:lineRule="exact"/>
              <w:ind w:left="237"/>
              <w:rPr>
                <w:b/>
                <w:sz w:val="24"/>
              </w:rPr>
            </w:pPr>
            <w:r>
              <w:rPr>
                <w:b/>
                <w:sz w:val="24"/>
              </w:rPr>
              <w:t>Characteristics/Requirements</w:t>
            </w:r>
          </w:p>
        </w:tc>
        <w:tc>
          <w:tcPr>
            <w:tcW w:w="2648" w:type="dxa"/>
          </w:tcPr>
          <w:p>
            <w:pPr>
              <w:pStyle w:val="TableParagraph"/>
              <w:ind w:left="273" w:right="247" w:firstLine="180"/>
              <w:rPr>
                <w:b/>
                <w:sz w:val="24"/>
              </w:rPr>
            </w:pPr>
            <w:r>
              <w:rPr>
                <w:b/>
                <w:sz w:val="24"/>
              </w:rPr>
              <w:t>Community Crisis Stabilization Services</w:t>
            </w:r>
          </w:p>
          <w:p>
            <w:pPr>
              <w:pStyle w:val="TableParagraph"/>
              <w:spacing w:line="273" w:lineRule="exact"/>
              <w:ind w:left="508"/>
              <w:rPr>
                <w:b/>
                <w:sz w:val="24"/>
              </w:rPr>
            </w:pPr>
            <w:r>
              <w:rPr>
                <w:b/>
                <w:sz w:val="24"/>
              </w:rPr>
              <w:t>State Evaluation</w:t>
            </w:r>
          </w:p>
        </w:tc>
        <w:tc>
          <w:tcPr>
            <w:tcW w:w="1407" w:type="dxa"/>
          </w:tcPr>
          <w:p>
            <w:pPr>
              <w:pStyle w:val="TableParagraph"/>
              <w:ind w:left="442" w:right="95" w:hanging="327"/>
              <w:rPr>
                <w:b/>
                <w:sz w:val="24"/>
              </w:rPr>
            </w:pPr>
            <w:r>
              <w:rPr>
                <w:b/>
                <w:sz w:val="24"/>
              </w:rPr>
              <w:t>Compliance Level</w:t>
            </w:r>
          </w:p>
        </w:tc>
        <w:tc>
          <w:tcPr>
            <w:tcW w:w="3097" w:type="dxa"/>
          </w:tcPr>
          <w:p>
            <w:pPr>
              <w:pStyle w:val="TableParagraph"/>
              <w:spacing w:line="292" w:lineRule="exact"/>
              <w:ind w:left="660"/>
              <w:rPr>
                <w:b/>
                <w:sz w:val="24"/>
              </w:rPr>
            </w:pPr>
            <w:r>
              <w:rPr>
                <w:b/>
                <w:sz w:val="24"/>
              </w:rPr>
              <w:t>Oversight Process</w:t>
            </w:r>
          </w:p>
        </w:tc>
        <w:tc>
          <w:tcPr>
            <w:tcW w:w="2346" w:type="dxa"/>
          </w:tcPr>
          <w:p>
            <w:pPr>
              <w:pStyle w:val="TableParagraph"/>
              <w:spacing w:line="292" w:lineRule="exact"/>
              <w:ind w:left="529"/>
              <w:rPr>
                <w:b/>
                <w:sz w:val="24"/>
              </w:rPr>
            </w:pPr>
            <w:r>
              <w:rPr>
                <w:b/>
                <w:sz w:val="24"/>
              </w:rPr>
              <w:t>Remediation</w:t>
            </w:r>
          </w:p>
        </w:tc>
      </w:tr>
      <w:tr>
        <w:trPr>
          <w:trHeight w:val="6213" w:hRule="atLeast"/>
        </w:trPr>
        <w:tc>
          <w:tcPr>
            <w:tcW w:w="3442" w:type="dxa"/>
            <w:shd w:val="clear" w:color="auto" w:fill="D0E4CA"/>
          </w:tcPr>
          <w:p>
            <w:pPr>
              <w:pStyle w:val="TableParagraph"/>
              <w:rPr>
                <w:rFonts w:ascii="Times New Roman"/>
                <w:sz w:val="22"/>
              </w:rPr>
            </w:pPr>
          </w:p>
        </w:tc>
        <w:tc>
          <w:tcPr>
            <w:tcW w:w="2648" w:type="dxa"/>
            <w:shd w:val="clear" w:color="auto" w:fill="D0E4CA"/>
          </w:tcPr>
          <w:p>
            <w:pPr>
              <w:pStyle w:val="TableParagraph"/>
              <w:rPr>
                <w:rFonts w:ascii="Times New Roman"/>
                <w:sz w:val="22"/>
              </w:rPr>
            </w:pPr>
          </w:p>
        </w:tc>
        <w:tc>
          <w:tcPr>
            <w:tcW w:w="1407" w:type="dxa"/>
            <w:shd w:val="clear" w:color="auto" w:fill="D0E4CA"/>
          </w:tcPr>
          <w:p>
            <w:pPr>
              <w:pStyle w:val="TableParagraph"/>
              <w:rPr>
                <w:rFonts w:ascii="Times New Roman"/>
                <w:sz w:val="22"/>
              </w:rPr>
            </w:pPr>
          </w:p>
        </w:tc>
        <w:tc>
          <w:tcPr>
            <w:tcW w:w="3097" w:type="dxa"/>
            <w:shd w:val="clear" w:color="auto" w:fill="D0E4CA"/>
          </w:tcPr>
          <w:p>
            <w:pPr>
              <w:pStyle w:val="TableParagraph"/>
              <w:ind w:left="105" w:right="260"/>
              <w:rPr>
                <w:sz w:val="22"/>
              </w:rPr>
            </w:pPr>
            <w:r>
              <w:rPr>
                <w:sz w:val="22"/>
              </w:rPr>
              <w:t>Community Crisis Stabilization Services (CCSS) has a quality assurance system to:</w:t>
            </w:r>
          </w:p>
          <w:p>
            <w:pPr>
              <w:pStyle w:val="TableParagraph"/>
              <w:numPr>
                <w:ilvl w:val="0"/>
                <w:numId w:val="19"/>
              </w:numPr>
              <w:tabs>
                <w:tab w:pos="466" w:val="left" w:leader="none"/>
                <w:tab w:pos="467" w:val="left" w:leader="none"/>
              </w:tabs>
              <w:spacing w:line="240" w:lineRule="auto" w:before="0" w:after="0"/>
              <w:ind w:left="465" w:right="227" w:hanging="360"/>
              <w:jc w:val="left"/>
              <w:rPr>
                <w:sz w:val="22"/>
              </w:rPr>
            </w:pPr>
            <w:r>
              <w:rPr>
                <w:sz w:val="22"/>
              </w:rPr>
              <w:t>Assess the effectiveness of the participant’s individualized treatment plan;</w:t>
            </w:r>
          </w:p>
          <w:p>
            <w:pPr>
              <w:pStyle w:val="TableParagraph"/>
              <w:numPr>
                <w:ilvl w:val="0"/>
                <w:numId w:val="19"/>
              </w:numPr>
              <w:tabs>
                <w:tab w:pos="466" w:val="left" w:leader="none"/>
                <w:tab w:pos="467" w:val="left" w:leader="none"/>
              </w:tabs>
              <w:spacing w:line="240" w:lineRule="auto" w:before="0" w:after="0"/>
              <w:ind w:left="465" w:right="130" w:hanging="360"/>
              <w:jc w:val="left"/>
              <w:rPr>
                <w:sz w:val="22"/>
              </w:rPr>
            </w:pPr>
            <w:r>
              <w:rPr>
                <w:sz w:val="22"/>
              </w:rPr>
              <w:t>Identify barriers to implementation in the CCSS and in the participant’s home;</w:t>
            </w:r>
          </w:p>
          <w:p>
            <w:pPr>
              <w:pStyle w:val="TableParagraph"/>
              <w:numPr>
                <w:ilvl w:val="0"/>
                <w:numId w:val="19"/>
              </w:numPr>
              <w:tabs>
                <w:tab w:pos="466" w:val="left" w:leader="none"/>
                <w:tab w:pos="467" w:val="left" w:leader="none"/>
              </w:tabs>
              <w:spacing w:line="240" w:lineRule="auto" w:before="0" w:after="0"/>
              <w:ind w:left="465" w:right="258" w:hanging="360"/>
              <w:jc w:val="left"/>
              <w:rPr>
                <w:sz w:val="22"/>
              </w:rPr>
            </w:pPr>
            <w:r>
              <w:rPr>
                <w:sz w:val="22"/>
              </w:rPr>
              <w:t>Track trends and patterns; and</w:t>
            </w:r>
          </w:p>
          <w:p>
            <w:pPr>
              <w:pStyle w:val="TableParagraph"/>
              <w:ind w:left="105" w:right="186"/>
              <w:rPr>
                <w:sz w:val="22"/>
              </w:rPr>
            </w:pPr>
            <w:r>
              <w:rPr>
                <w:sz w:val="22"/>
              </w:rPr>
              <w:t>Make recommendations to the Deputy Assistant Secretary regarding system and program enhancement.</w:t>
            </w:r>
          </w:p>
          <w:p>
            <w:pPr>
              <w:pStyle w:val="TableParagraph"/>
              <w:spacing w:before="10"/>
              <w:rPr>
                <w:b/>
                <w:sz w:val="21"/>
              </w:rPr>
            </w:pPr>
          </w:p>
          <w:p>
            <w:pPr>
              <w:pStyle w:val="TableParagraph"/>
              <w:spacing w:line="270" w:lineRule="atLeast"/>
              <w:ind w:left="105" w:right="264"/>
              <w:rPr>
                <w:sz w:val="22"/>
              </w:rPr>
            </w:pPr>
            <w:r>
              <w:rPr>
                <w:sz w:val="22"/>
              </w:rPr>
              <w:t>On-site inspections ensure homes meet all licensing and certification requirements in WAC and RCW, including </w:t>
            </w:r>
            <w:r>
              <w:rPr>
                <w:color w:val="396230"/>
                <w:sz w:val="22"/>
              </w:rPr>
              <w:t>WAC 388-823-1095.</w:t>
            </w:r>
          </w:p>
        </w:tc>
        <w:tc>
          <w:tcPr>
            <w:tcW w:w="2346" w:type="dxa"/>
            <w:shd w:val="clear" w:color="auto" w:fill="D0E4CA"/>
          </w:tcPr>
          <w:p>
            <w:pPr>
              <w:pStyle w:val="TableParagraph"/>
              <w:rPr>
                <w:rFonts w:ascii="Times New Roman"/>
                <w:sz w:val="22"/>
              </w:rPr>
            </w:pPr>
          </w:p>
        </w:tc>
      </w:tr>
      <w:tr>
        <w:trPr>
          <w:trHeight w:val="802" w:hRule="atLeast"/>
        </w:trPr>
        <w:tc>
          <w:tcPr>
            <w:tcW w:w="3442" w:type="dxa"/>
          </w:tcPr>
          <w:p>
            <w:pPr>
              <w:pStyle w:val="TableParagraph"/>
              <w:ind w:left="107" w:right="144"/>
              <w:rPr>
                <w:b/>
                <w:sz w:val="22"/>
              </w:rPr>
            </w:pPr>
            <w:r>
              <w:rPr>
                <w:b/>
                <w:sz w:val="22"/>
              </w:rPr>
              <w:t>Privacy: Individuals have a choice of roommates in the setting</w:t>
            </w:r>
          </w:p>
        </w:tc>
        <w:tc>
          <w:tcPr>
            <w:tcW w:w="2648" w:type="dxa"/>
          </w:tcPr>
          <w:p>
            <w:pPr>
              <w:pStyle w:val="TableParagraph"/>
              <w:spacing w:line="264" w:lineRule="exact"/>
              <w:ind w:left="107"/>
              <w:rPr>
                <w:sz w:val="22"/>
              </w:rPr>
            </w:pPr>
            <w:r>
              <w:rPr>
                <w:sz w:val="22"/>
              </w:rPr>
              <w:t>Not applicable. All</w:t>
            </w:r>
          </w:p>
          <w:p>
            <w:pPr>
              <w:pStyle w:val="TableParagraph"/>
              <w:spacing w:line="270" w:lineRule="atLeast"/>
              <w:ind w:left="107" w:right="404"/>
              <w:rPr>
                <w:sz w:val="22"/>
              </w:rPr>
            </w:pPr>
            <w:r>
              <w:rPr>
                <w:sz w:val="22"/>
              </w:rPr>
              <w:t>participants have single occupancy bedrooms.</w:t>
            </w:r>
          </w:p>
        </w:tc>
        <w:tc>
          <w:tcPr>
            <w:tcW w:w="1407" w:type="dxa"/>
          </w:tcPr>
          <w:p>
            <w:pPr>
              <w:pStyle w:val="TableParagraph"/>
              <w:ind w:left="106" w:right="350"/>
              <w:rPr>
                <w:sz w:val="22"/>
              </w:rPr>
            </w:pPr>
            <w:r>
              <w:rPr>
                <w:sz w:val="22"/>
              </w:rPr>
              <w:t>Fully Compliant</w:t>
            </w:r>
          </w:p>
        </w:tc>
        <w:tc>
          <w:tcPr>
            <w:tcW w:w="3097" w:type="dxa"/>
          </w:tcPr>
          <w:p>
            <w:pPr>
              <w:pStyle w:val="TableParagraph"/>
              <w:rPr>
                <w:rFonts w:ascii="Times New Roman"/>
                <w:sz w:val="22"/>
              </w:rPr>
            </w:pPr>
          </w:p>
        </w:tc>
        <w:tc>
          <w:tcPr>
            <w:tcW w:w="2346" w:type="dxa"/>
          </w:tcPr>
          <w:p>
            <w:pPr>
              <w:pStyle w:val="TableParagraph"/>
              <w:rPr>
                <w:rFonts w:ascii="Times New Roman"/>
                <w:sz w:val="22"/>
              </w:rPr>
            </w:pPr>
          </w:p>
        </w:tc>
      </w:tr>
      <w:tr>
        <w:trPr>
          <w:trHeight w:val="1072" w:hRule="atLeast"/>
        </w:trPr>
        <w:tc>
          <w:tcPr>
            <w:tcW w:w="3442" w:type="dxa"/>
            <w:shd w:val="clear" w:color="auto" w:fill="D0E4CA"/>
          </w:tcPr>
          <w:p>
            <w:pPr>
              <w:pStyle w:val="TableParagraph"/>
              <w:ind w:left="107" w:right="325"/>
              <w:rPr>
                <w:b/>
                <w:sz w:val="22"/>
              </w:rPr>
            </w:pPr>
            <w:r>
              <w:rPr>
                <w:b/>
                <w:sz w:val="22"/>
              </w:rPr>
              <w:t>Privacy: Individuals have the freedom to furnish and decorate their sleeping or living units</w:t>
            </w:r>
          </w:p>
        </w:tc>
        <w:tc>
          <w:tcPr>
            <w:tcW w:w="2648" w:type="dxa"/>
            <w:shd w:val="clear" w:color="auto" w:fill="D0E4CA"/>
          </w:tcPr>
          <w:p>
            <w:pPr>
              <w:pStyle w:val="TableParagraph"/>
              <w:spacing w:line="266" w:lineRule="exact"/>
              <w:ind w:left="107"/>
              <w:rPr>
                <w:sz w:val="22"/>
              </w:rPr>
            </w:pPr>
            <w:hyperlink r:id="rId23">
              <w:r>
                <w:rPr>
                  <w:color w:val="396230"/>
                  <w:sz w:val="22"/>
                  <w:u w:val="single" w:color="396230"/>
                </w:rPr>
                <w:t>WAC 388-823-1095</w:t>
              </w:r>
              <w:r>
                <w:rPr>
                  <w:color w:val="396230"/>
                  <w:sz w:val="22"/>
                </w:rPr>
                <w:t> </w:t>
              </w:r>
            </w:hyperlink>
            <w:r>
              <w:rPr>
                <w:sz w:val="22"/>
              </w:rPr>
              <w:t>my</w:t>
            </w:r>
          </w:p>
          <w:p>
            <w:pPr>
              <w:pStyle w:val="TableParagraph"/>
              <w:ind w:left="107"/>
              <w:rPr>
                <w:sz w:val="22"/>
              </w:rPr>
            </w:pPr>
            <w:r>
              <w:rPr>
                <w:sz w:val="22"/>
              </w:rPr>
              <w:t>rights as a DDA client</w:t>
            </w:r>
          </w:p>
        </w:tc>
        <w:tc>
          <w:tcPr>
            <w:tcW w:w="1407" w:type="dxa"/>
            <w:shd w:val="clear" w:color="auto" w:fill="D0E4CA"/>
          </w:tcPr>
          <w:p>
            <w:pPr>
              <w:pStyle w:val="TableParagraph"/>
              <w:ind w:left="106" w:right="350"/>
              <w:rPr>
                <w:sz w:val="22"/>
              </w:rPr>
            </w:pPr>
            <w:r>
              <w:rPr>
                <w:sz w:val="22"/>
              </w:rPr>
              <w:t>Fully Compliant</w:t>
            </w:r>
          </w:p>
        </w:tc>
        <w:tc>
          <w:tcPr>
            <w:tcW w:w="3097" w:type="dxa"/>
            <w:shd w:val="clear" w:color="auto" w:fill="D0E4CA"/>
          </w:tcPr>
          <w:p>
            <w:pPr>
              <w:pStyle w:val="TableParagraph"/>
              <w:ind w:left="105" w:right="256"/>
              <w:rPr>
                <w:sz w:val="22"/>
              </w:rPr>
            </w:pPr>
            <w:r>
              <w:rPr>
                <w:sz w:val="22"/>
              </w:rPr>
              <w:t>Child Protective Services (CPS) investigates complaints of abuse and neglect.</w:t>
            </w:r>
          </w:p>
        </w:tc>
        <w:tc>
          <w:tcPr>
            <w:tcW w:w="2346" w:type="dxa"/>
            <w:shd w:val="clear" w:color="auto" w:fill="D0E4CA"/>
          </w:tcPr>
          <w:p>
            <w:pPr>
              <w:pStyle w:val="TableParagraph"/>
              <w:ind w:left="104" w:right="134"/>
              <w:rPr>
                <w:sz w:val="22"/>
              </w:rPr>
            </w:pPr>
            <w:r>
              <w:rPr>
                <w:color w:val="396230"/>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color w:val="396230"/>
                <w:sz w:val="22"/>
              </w:rPr>
              <w:t>to include all rights listed in the</w:t>
            </w:r>
          </w:p>
          <w:p>
            <w:pPr>
              <w:pStyle w:val="TableParagraph"/>
              <w:spacing w:line="250" w:lineRule="exact"/>
              <w:ind w:left="104"/>
              <w:rPr>
                <w:sz w:val="22"/>
              </w:rPr>
            </w:pPr>
            <w:r>
              <w:rPr>
                <w:color w:val="396230"/>
                <w:sz w:val="22"/>
              </w:rPr>
              <w:t>HCBS rules and adding</w:t>
            </w:r>
          </w:p>
        </w:tc>
      </w:tr>
    </w:tbl>
    <w:p>
      <w:pPr>
        <w:pStyle w:val="BodyText"/>
        <w:spacing w:before="6"/>
        <w:rPr>
          <w:b/>
          <w:sz w:val="13"/>
        </w:rPr>
      </w:pPr>
      <w:r>
        <w:rPr/>
        <w:pict>
          <v:shape style="position:absolute;margin-left:70.559998pt;margin-top:10.4395pt;width:650.9pt;height:.1pt;mso-position-horizontal-relative:page;mso-position-vertical-relative:paragraph;z-index:-251530240;mso-wrap-distance-left:0;mso-wrap-distance-right:0" coordorigin="1411,209" coordsize="13018,0" path="m1411,209l14429,209e" filled="false" stroked="true" strokeweight=".481pt" strokecolor="#d9d9d9">
            <v:path arrowok="t"/>
            <v:stroke dashstyle="solid"/>
            <w10:wrap type="topAndBottom"/>
          </v:shape>
        </w:pict>
      </w:r>
    </w:p>
    <w:p>
      <w:pPr>
        <w:spacing w:after="0"/>
        <w:rPr>
          <w:sz w:val="13"/>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2"/>
        <w:gridCol w:w="2648"/>
        <w:gridCol w:w="1407"/>
        <w:gridCol w:w="3097"/>
        <w:gridCol w:w="2346"/>
      </w:tblGrid>
      <w:tr>
        <w:trPr>
          <w:trHeight w:val="877" w:hRule="atLeast"/>
        </w:trPr>
        <w:tc>
          <w:tcPr>
            <w:tcW w:w="3442" w:type="dxa"/>
          </w:tcPr>
          <w:p>
            <w:pPr>
              <w:pStyle w:val="TableParagraph"/>
              <w:spacing w:line="292" w:lineRule="exact"/>
              <w:ind w:left="237"/>
              <w:rPr>
                <w:b/>
                <w:sz w:val="24"/>
              </w:rPr>
            </w:pPr>
            <w:r>
              <w:rPr>
                <w:b/>
                <w:sz w:val="24"/>
              </w:rPr>
              <w:t>Characteristics/Requirements</w:t>
            </w:r>
          </w:p>
        </w:tc>
        <w:tc>
          <w:tcPr>
            <w:tcW w:w="2648" w:type="dxa"/>
          </w:tcPr>
          <w:p>
            <w:pPr>
              <w:pStyle w:val="TableParagraph"/>
              <w:ind w:left="273" w:right="247" w:firstLine="180"/>
              <w:rPr>
                <w:b/>
                <w:sz w:val="24"/>
              </w:rPr>
            </w:pPr>
            <w:r>
              <w:rPr>
                <w:b/>
                <w:sz w:val="24"/>
              </w:rPr>
              <w:t>Community Crisis Stabilization Services</w:t>
            </w:r>
          </w:p>
          <w:p>
            <w:pPr>
              <w:pStyle w:val="TableParagraph"/>
              <w:spacing w:line="273" w:lineRule="exact"/>
              <w:ind w:left="508"/>
              <w:rPr>
                <w:b/>
                <w:sz w:val="24"/>
              </w:rPr>
            </w:pPr>
            <w:r>
              <w:rPr>
                <w:b/>
                <w:sz w:val="24"/>
              </w:rPr>
              <w:t>State Evaluation</w:t>
            </w:r>
          </w:p>
        </w:tc>
        <w:tc>
          <w:tcPr>
            <w:tcW w:w="1407" w:type="dxa"/>
          </w:tcPr>
          <w:p>
            <w:pPr>
              <w:pStyle w:val="TableParagraph"/>
              <w:ind w:left="442" w:right="95" w:hanging="327"/>
              <w:rPr>
                <w:b/>
                <w:sz w:val="24"/>
              </w:rPr>
            </w:pPr>
            <w:r>
              <w:rPr>
                <w:b/>
                <w:sz w:val="24"/>
              </w:rPr>
              <w:t>Compliance Level</w:t>
            </w:r>
          </w:p>
        </w:tc>
        <w:tc>
          <w:tcPr>
            <w:tcW w:w="3097" w:type="dxa"/>
          </w:tcPr>
          <w:p>
            <w:pPr>
              <w:pStyle w:val="TableParagraph"/>
              <w:spacing w:line="292" w:lineRule="exact"/>
              <w:ind w:left="660"/>
              <w:rPr>
                <w:b/>
                <w:sz w:val="24"/>
              </w:rPr>
            </w:pPr>
            <w:r>
              <w:rPr>
                <w:b/>
                <w:sz w:val="24"/>
              </w:rPr>
              <w:t>Oversight Process</w:t>
            </w:r>
          </w:p>
        </w:tc>
        <w:tc>
          <w:tcPr>
            <w:tcW w:w="2346" w:type="dxa"/>
          </w:tcPr>
          <w:p>
            <w:pPr>
              <w:pStyle w:val="TableParagraph"/>
              <w:spacing w:line="292" w:lineRule="exact"/>
              <w:ind w:left="529"/>
              <w:rPr>
                <w:b/>
                <w:sz w:val="24"/>
              </w:rPr>
            </w:pPr>
            <w:r>
              <w:rPr>
                <w:b/>
                <w:sz w:val="24"/>
              </w:rPr>
              <w:t>Remediation</w:t>
            </w:r>
          </w:p>
        </w:tc>
      </w:tr>
      <w:tr>
        <w:trPr>
          <w:trHeight w:val="7554" w:hRule="atLeast"/>
        </w:trPr>
        <w:tc>
          <w:tcPr>
            <w:tcW w:w="3442" w:type="dxa"/>
            <w:shd w:val="clear" w:color="auto" w:fill="D0E4CA"/>
          </w:tcPr>
          <w:p>
            <w:pPr>
              <w:pStyle w:val="TableParagraph"/>
              <w:rPr>
                <w:rFonts w:ascii="Times New Roman"/>
                <w:sz w:val="22"/>
              </w:rPr>
            </w:pPr>
          </w:p>
        </w:tc>
        <w:tc>
          <w:tcPr>
            <w:tcW w:w="2648" w:type="dxa"/>
            <w:shd w:val="clear" w:color="auto" w:fill="D0E4CA"/>
          </w:tcPr>
          <w:p>
            <w:pPr>
              <w:pStyle w:val="TableParagraph"/>
              <w:rPr>
                <w:rFonts w:ascii="Times New Roman"/>
                <w:sz w:val="22"/>
              </w:rPr>
            </w:pPr>
          </w:p>
        </w:tc>
        <w:tc>
          <w:tcPr>
            <w:tcW w:w="1407" w:type="dxa"/>
            <w:shd w:val="clear" w:color="auto" w:fill="D0E4CA"/>
          </w:tcPr>
          <w:p>
            <w:pPr>
              <w:pStyle w:val="TableParagraph"/>
              <w:rPr>
                <w:rFonts w:ascii="Times New Roman"/>
                <w:sz w:val="22"/>
              </w:rPr>
            </w:pPr>
          </w:p>
        </w:tc>
        <w:tc>
          <w:tcPr>
            <w:tcW w:w="3097" w:type="dxa"/>
            <w:shd w:val="clear" w:color="auto" w:fill="D0E4CA"/>
          </w:tcPr>
          <w:p>
            <w:pPr>
              <w:pStyle w:val="TableParagraph"/>
              <w:ind w:left="105" w:right="313"/>
              <w:rPr>
                <w:sz w:val="22"/>
              </w:rPr>
            </w:pPr>
            <w:r>
              <w:rPr>
                <w:sz w:val="22"/>
              </w:rPr>
              <w:t>DDA’s Crisis Services Program Manager oversees program operations and monitors for compliance with all statutes, rules and DDA policies.</w:t>
            </w:r>
          </w:p>
          <w:p>
            <w:pPr>
              <w:pStyle w:val="TableParagraph"/>
              <w:ind w:left="105" w:right="260"/>
              <w:rPr>
                <w:sz w:val="22"/>
              </w:rPr>
            </w:pPr>
            <w:r>
              <w:rPr>
                <w:sz w:val="22"/>
              </w:rPr>
              <w:t>Community Crisis Stabilization Services (CCSS) has a quality assurance system to:</w:t>
            </w:r>
          </w:p>
          <w:p>
            <w:pPr>
              <w:pStyle w:val="TableParagraph"/>
              <w:numPr>
                <w:ilvl w:val="0"/>
                <w:numId w:val="20"/>
              </w:numPr>
              <w:tabs>
                <w:tab w:pos="466" w:val="left" w:leader="none"/>
                <w:tab w:pos="467" w:val="left" w:leader="none"/>
              </w:tabs>
              <w:spacing w:line="240" w:lineRule="auto" w:before="1" w:after="0"/>
              <w:ind w:left="465" w:right="227" w:hanging="360"/>
              <w:jc w:val="left"/>
              <w:rPr>
                <w:sz w:val="22"/>
              </w:rPr>
            </w:pPr>
            <w:r>
              <w:rPr>
                <w:sz w:val="22"/>
              </w:rPr>
              <w:t>Assess the effectiveness of the participant’s individualized treatment plan;</w:t>
            </w:r>
          </w:p>
          <w:p>
            <w:pPr>
              <w:pStyle w:val="TableParagraph"/>
              <w:numPr>
                <w:ilvl w:val="0"/>
                <w:numId w:val="20"/>
              </w:numPr>
              <w:tabs>
                <w:tab w:pos="466" w:val="left" w:leader="none"/>
                <w:tab w:pos="467" w:val="left" w:leader="none"/>
              </w:tabs>
              <w:spacing w:line="240" w:lineRule="auto" w:before="0" w:after="0"/>
              <w:ind w:left="465" w:right="130" w:hanging="360"/>
              <w:jc w:val="left"/>
              <w:rPr>
                <w:sz w:val="22"/>
              </w:rPr>
            </w:pPr>
            <w:r>
              <w:rPr>
                <w:sz w:val="22"/>
              </w:rPr>
              <w:t>Identify barriers to implementation in the CCSS and in the participant’s home;</w:t>
            </w:r>
          </w:p>
          <w:p>
            <w:pPr>
              <w:pStyle w:val="TableParagraph"/>
              <w:numPr>
                <w:ilvl w:val="0"/>
                <w:numId w:val="20"/>
              </w:numPr>
              <w:tabs>
                <w:tab w:pos="466" w:val="left" w:leader="none"/>
                <w:tab w:pos="467" w:val="left" w:leader="none"/>
              </w:tabs>
              <w:spacing w:line="240" w:lineRule="auto" w:before="0" w:after="0"/>
              <w:ind w:left="465" w:right="258" w:hanging="360"/>
              <w:jc w:val="left"/>
              <w:rPr>
                <w:sz w:val="22"/>
              </w:rPr>
            </w:pPr>
            <w:r>
              <w:rPr>
                <w:sz w:val="22"/>
              </w:rPr>
              <w:t>Track trends and patterns; and</w:t>
            </w:r>
          </w:p>
          <w:p>
            <w:pPr>
              <w:pStyle w:val="TableParagraph"/>
              <w:ind w:left="105" w:right="186"/>
              <w:rPr>
                <w:sz w:val="22"/>
              </w:rPr>
            </w:pPr>
            <w:r>
              <w:rPr>
                <w:sz w:val="22"/>
              </w:rPr>
              <w:t>Make recommendations to the Deputy Assistant Secretary regarding system and program enhancement.</w:t>
            </w:r>
          </w:p>
          <w:p>
            <w:pPr>
              <w:pStyle w:val="TableParagraph"/>
              <w:spacing w:before="12"/>
              <w:rPr>
                <w:b/>
                <w:sz w:val="21"/>
              </w:rPr>
            </w:pPr>
          </w:p>
          <w:p>
            <w:pPr>
              <w:pStyle w:val="TableParagraph"/>
              <w:ind w:left="105" w:right="187"/>
              <w:rPr>
                <w:sz w:val="22"/>
              </w:rPr>
            </w:pPr>
            <w:r>
              <w:rPr>
                <w:sz w:val="22"/>
              </w:rPr>
              <w:t>On-site inspections ensure homes meet all licensing and certification requirements in WAC and RCW, including those</w:t>
            </w:r>
          </w:p>
          <w:p>
            <w:pPr>
              <w:pStyle w:val="TableParagraph"/>
              <w:spacing w:line="248" w:lineRule="exact"/>
              <w:ind w:left="105"/>
              <w:rPr>
                <w:sz w:val="22"/>
              </w:rPr>
            </w:pPr>
            <w:r>
              <w:rPr>
                <w:sz w:val="22"/>
              </w:rPr>
              <w:t>regarding resident rights.</w:t>
            </w:r>
          </w:p>
        </w:tc>
        <w:tc>
          <w:tcPr>
            <w:tcW w:w="2346" w:type="dxa"/>
            <w:shd w:val="clear" w:color="auto" w:fill="D0E4CA"/>
          </w:tcPr>
          <w:p>
            <w:pPr>
              <w:pStyle w:val="TableParagraph"/>
              <w:ind w:left="104" w:right="128"/>
              <w:rPr>
                <w:sz w:val="22"/>
              </w:rPr>
            </w:pPr>
            <w:r>
              <w:rPr>
                <w:color w:val="396230"/>
                <w:sz w:val="22"/>
              </w:rPr>
              <w:t>language to the contracts requiring adherence to the WAC. See </w:t>
            </w:r>
            <w:r>
              <w:rPr>
                <w:color w:val="6B9F24"/>
                <w:sz w:val="22"/>
                <w:u w:val="single" w:color="6B9F24"/>
              </w:rPr>
              <w:t>Appendix C</w:t>
            </w:r>
            <w:r>
              <w:rPr>
                <w:color w:val="396230"/>
                <w:sz w:val="22"/>
              </w:rPr>
              <w:t>.</w:t>
            </w:r>
          </w:p>
        </w:tc>
      </w:tr>
    </w:tbl>
    <w:p>
      <w:pPr>
        <w:pStyle w:val="BodyText"/>
        <w:rPr>
          <w:b/>
          <w:sz w:val="20"/>
        </w:rPr>
      </w:pPr>
    </w:p>
    <w:p>
      <w:pPr>
        <w:pStyle w:val="BodyText"/>
        <w:rPr>
          <w:b/>
          <w:sz w:val="20"/>
        </w:rPr>
      </w:pPr>
    </w:p>
    <w:p>
      <w:pPr>
        <w:pStyle w:val="BodyText"/>
        <w:spacing w:before="3"/>
        <w:rPr>
          <w:b/>
          <w:sz w:val="19"/>
        </w:rPr>
      </w:pPr>
      <w:r>
        <w:rPr/>
        <w:pict>
          <v:shape style="position:absolute;margin-left:70.559998pt;margin-top:13.985437pt;width:650.9pt;height:.1pt;mso-position-horizontal-relative:page;mso-position-vertical-relative:paragraph;z-index:-251529216;mso-wrap-distance-left:0;mso-wrap-distance-right:0" coordorigin="1411,280" coordsize="13018,0" path="m1411,280l14429,280e" filled="false" stroked="true" strokeweight=".481pt" strokecolor="#d9d9d9">
            <v:path arrowok="t"/>
            <v:stroke dashstyle="solid"/>
            <w10:wrap type="topAndBottom"/>
          </v:shape>
        </w:pict>
      </w:r>
    </w:p>
    <w:p>
      <w:pPr>
        <w:spacing w:after="0"/>
        <w:rPr>
          <w:sz w:val="1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2"/>
        <w:gridCol w:w="2648"/>
        <w:gridCol w:w="1407"/>
        <w:gridCol w:w="3097"/>
        <w:gridCol w:w="2346"/>
      </w:tblGrid>
      <w:tr>
        <w:trPr>
          <w:trHeight w:val="877" w:hRule="atLeast"/>
        </w:trPr>
        <w:tc>
          <w:tcPr>
            <w:tcW w:w="3442" w:type="dxa"/>
          </w:tcPr>
          <w:p>
            <w:pPr>
              <w:pStyle w:val="TableParagraph"/>
              <w:spacing w:line="292" w:lineRule="exact"/>
              <w:ind w:left="237"/>
              <w:rPr>
                <w:b/>
                <w:sz w:val="24"/>
              </w:rPr>
            </w:pPr>
            <w:r>
              <w:rPr>
                <w:b/>
                <w:sz w:val="24"/>
              </w:rPr>
              <w:t>Characteristics/Requirements</w:t>
            </w:r>
          </w:p>
        </w:tc>
        <w:tc>
          <w:tcPr>
            <w:tcW w:w="2648" w:type="dxa"/>
          </w:tcPr>
          <w:p>
            <w:pPr>
              <w:pStyle w:val="TableParagraph"/>
              <w:ind w:left="273" w:right="247" w:firstLine="180"/>
              <w:rPr>
                <w:b/>
                <w:sz w:val="24"/>
              </w:rPr>
            </w:pPr>
            <w:r>
              <w:rPr>
                <w:b/>
                <w:sz w:val="24"/>
              </w:rPr>
              <w:t>Community Crisis Stabilization Services</w:t>
            </w:r>
          </w:p>
          <w:p>
            <w:pPr>
              <w:pStyle w:val="TableParagraph"/>
              <w:spacing w:line="273" w:lineRule="exact"/>
              <w:ind w:left="508"/>
              <w:rPr>
                <w:b/>
                <w:sz w:val="24"/>
              </w:rPr>
            </w:pPr>
            <w:r>
              <w:rPr>
                <w:b/>
                <w:sz w:val="24"/>
              </w:rPr>
              <w:t>State Evaluation</w:t>
            </w:r>
          </w:p>
        </w:tc>
        <w:tc>
          <w:tcPr>
            <w:tcW w:w="1407" w:type="dxa"/>
          </w:tcPr>
          <w:p>
            <w:pPr>
              <w:pStyle w:val="TableParagraph"/>
              <w:ind w:left="442" w:right="95" w:hanging="327"/>
              <w:rPr>
                <w:b/>
                <w:sz w:val="24"/>
              </w:rPr>
            </w:pPr>
            <w:r>
              <w:rPr>
                <w:b/>
                <w:sz w:val="24"/>
              </w:rPr>
              <w:t>Compliance Level</w:t>
            </w:r>
          </w:p>
        </w:tc>
        <w:tc>
          <w:tcPr>
            <w:tcW w:w="3097" w:type="dxa"/>
          </w:tcPr>
          <w:p>
            <w:pPr>
              <w:pStyle w:val="TableParagraph"/>
              <w:spacing w:line="292" w:lineRule="exact"/>
              <w:ind w:left="660"/>
              <w:rPr>
                <w:b/>
                <w:sz w:val="24"/>
              </w:rPr>
            </w:pPr>
            <w:r>
              <w:rPr>
                <w:b/>
                <w:sz w:val="24"/>
              </w:rPr>
              <w:t>Oversight Process</w:t>
            </w:r>
          </w:p>
        </w:tc>
        <w:tc>
          <w:tcPr>
            <w:tcW w:w="2346" w:type="dxa"/>
          </w:tcPr>
          <w:p>
            <w:pPr>
              <w:pStyle w:val="TableParagraph"/>
              <w:spacing w:line="292" w:lineRule="exact"/>
              <w:ind w:left="529"/>
              <w:rPr>
                <w:b/>
                <w:sz w:val="24"/>
              </w:rPr>
            </w:pPr>
            <w:r>
              <w:rPr>
                <w:b/>
                <w:sz w:val="24"/>
              </w:rPr>
              <w:t>Remediation</w:t>
            </w:r>
          </w:p>
        </w:tc>
      </w:tr>
      <w:tr>
        <w:trPr>
          <w:trHeight w:val="8092" w:hRule="atLeast"/>
        </w:trPr>
        <w:tc>
          <w:tcPr>
            <w:tcW w:w="3442" w:type="dxa"/>
          </w:tcPr>
          <w:p>
            <w:pPr>
              <w:pStyle w:val="TableParagraph"/>
              <w:ind w:left="107" w:right="203"/>
              <w:rPr>
                <w:b/>
                <w:sz w:val="22"/>
              </w:rPr>
            </w:pPr>
            <w:r>
              <w:rPr>
                <w:b/>
                <w:sz w:val="22"/>
              </w:rPr>
              <w:t>Individuals have the freedom and support to control their own schedules and activities, and have access to food at any time</w:t>
            </w:r>
          </w:p>
        </w:tc>
        <w:tc>
          <w:tcPr>
            <w:tcW w:w="2648" w:type="dxa"/>
          </w:tcPr>
          <w:p>
            <w:pPr>
              <w:pStyle w:val="TableParagraph"/>
              <w:spacing w:line="268" w:lineRule="exact"/>
              <w:ind w:left="107"/>
              <w:rPr>
                <w:sz w:val="22"/>
              </w:rPr>
            </w:pPr>
            <w:hyperlink r:id="rId23">
              <w:r>
                <w:rPr>
                  <w:color w:val="396230"/>
                  <w:sz w:val="22"/>
                  <w:u w:val="single" w:color="396230"/>
                </w:rPr>
                <w:t>WAC 388-823-1095</w:t>
              </w:r>
              <w:r>
                <w:rPr>
                  <w:color w:val="396230"/>
                  <w:sz w:val="22"/>
                </w:rPr>
                <w:t> </w:t>
              </w:r>
            </w:hyperlink>
            <w:r>
              <w:rPr>
                <w:sz w:val="22"/>
              </w:rPr>
              <w:t>my</w:t>
            </w:r>
          </w:p>
          <w:p>
            <w:pPr>
              <w:pStyle w:val="TableParagraph"/>
              <w:ind w:left="107"/>
              <w:rPr>
                <w:sz w:val="22"/>
              </w:rPr>
            </w:pPr>
            <w:r>
              <w:rPr>
                <w:sz w:val="22"/>
              </w:rPr>
              <w:t>rights as a DDA client</w:t>
            </w:r>
          </w:p>
        </w:tc>
        <w:tc>
          <w:tcPr>
            <w:tcW w:w="1407" w:type="dxa"/>
          </w:tcPr>
          <w:p>
            <w:pPr>
              <w:pStyle w:val="TableParagraph"/>
              <w:ind w:left="106" w:right="350"/>
              <w:rPr>
                <w:sz w:val="22"/>
              </w:rPr>
            </w:pPr>
            <w:r>
              <w:rPr>
                <w:sz w:val="22"/>
              </w:rPr>
              <w:t>Partially Compliant</w:t>
            </w:r>
          </w:p>
        </w:tc>
        <w:tc>
          <w:tcPr>
            <w:tcW w:w="3097" w:type="dxa"/>
          </w:tcPr>
          <w:p>
            <w:pPr>
              <w:pStyle w:val="TableParagraph"/>
              <w:ind w:left="105" w:right="256"/>
              <w:rPr>
                <w:sz w:val="22"/>
              </w:rPr>
            </w:pPr>
            <w:r>
              <w:rPr>
                <w:sz w:val="22"/>
              </w:rPr>
              <w:t>Child Protective Services (CPS) investigates complaints of abuse and neglect.</w:t>
            </w:r>
          </w:p>
          <w:p>
            <w:pPr>
              <w:pStyle w:val="TableParagraph"/>
              <w:rPr>
                <w:b/>
                <w:sz w:val="22"/>
              </w:rPr>
            </w:pPr>
          </w:p>
          <w:p>
            <w:pPr>
              <w:pStyle w:val="TableParagraph"/>
              <w:ind w:left="105" w:right="313"/>
              <w:rPr>
                <w:sz w:val="22"/>
              </w:rPr>
            </w:pPr>
            <w:r>
              <w:rPr>
                <w:sz w:val="22"/>
              </w:rPr>
              <w:t>DDA’s Crisis Services Program Manager oversees program operations and monitors for compliance with all statutes, rules and DDA policies.</w:t>
            </w:r>
          </w:p>
          <w:p>
            <w:pPr>
              <w:pStyle w:val="TableParagraph"/>
              <w:spacing w:before="1"/>
              <w:ind w:left="106" w:right="259"/>
              <w:rPr>
                <w:sz w:val="22"/>
              </w:rPr>
            </w:pPr>
            <w:r>
              <w:rPr>
                <w:sz w:val="22"/>
              </w:rPr>
              <w:t>Community Crisis Stabilization Services (CCSS) has a quality assurance system to:</w:t>
            </w:r>
          </w:p>
          <w:p>
            <w:pPr>
              <w:pStyle w:val="TableParagraph"/>
              <w:numPr>
                <w:ilvl w:val="0"/>
                <w:numId w:val="21"/>
              </w:numPr>
              <w:tabs>
                <w:tab w:pos="466" w:val="left" w:leader="none"/>
                <w:tab w:pos="467" w:val="left" w:leader="none"/>
              </w:tabs>
              <w:spacing w:line="240" w:lineRule="auto" w:before="0" w:after="0"/>
              <w:ind w:left="466" w:right="227" w:hanging="361"/>
              <w:jc w:val="left"/>
              <w:rPr>
                <w:sz w:val="22"/>
              </w:rPr>
            </w:pPr>
            <w:r>
              <w:rPr>
                <w:sz w:val="22"/>
              </w:rPr>
              <w:t>Assess the effectiveness of the participant’s individualized treatment plan;</w:t>
            </w:r>
          </w:p>
          <w:p>
            <w:pPr>
              <w:pStyle w:val="TableParagraph"/>
              <w:numPr>
                <w:ilvl w:val="0"/>
                <w:numId w:val="21"/>
              </w:numPr>
              <w:tabs>
                <w:tab w:pos="466" w:val="left" w:leader="none"/>
                <w:tab w:pos="467" w:val="left" w:leader="none"/>
              </w:tabs>
              <w:spacing w:line="240" w:lineRule="auto" w:before="0" w:after="0"/>
              <w:ind w:left="466" w:right="129" w:hanging="361"/>
              <w:jc w:val="left"/>
              <w:rPr>
                <w:sz w:val="22"/>
              </w:rPr>
            </w:pPr>
            <w:r>
              <w:rPr>
                <w:sz w:val="22"/>
              </w:rPr>
              <w:t>Identify barriers to implementation in the CCSS and in the participant’s home;</w:t>
            </w:r>
          </w:p>
          <w:p>
            <w:pPr>
              <w:pStyle w:val="TableParagraph"/>
              <w:numPr>
                <w:ilvl w:val="0"/>
                <w:numId w:val="21"/>
              </w:numPr>
              <w:tabs>
                <w:tab w:pos="466" w:val="left" w:leader="none"/>
                <w:tab w:pos="467" w:val="left" w:leader="none"/>
              </w:tabs>
              <w:spacing w:line="240" w:lineRule="auto" w:before="0" w:after="0"/>
              <w:ind w:left="466" w:right="257" w:hanging="361"/>
              <w:jc w:val="left"/>
              <w:rPr>
                <w:sz w:val="22"/>
              </w:rPr>
            </w:pPr>
            <w:r>
              <w:rPr>
                <w:sz w:val="22"/>
              </w:rPr>
              <w:t>Track trends and patterns; and</w:t>
            </w:r>
          </w:p>
          <w:p>
            <w:pPr>
              <w:pStyle w:val="TableParagraph"/>
              <w:ind w:left="106" w:right="185"/>
              <w:rPr>
                <w:sz w:val="22"/>
              </w:rPr>
            </w:pPr>
            <w:r>
              <w:rPr>
                <w:sz w:val="22"/>
              </w:rPr>
              <w:t>Make recommendations to the Deputy Assistant Secretary regarding system and program enhancement.</w:t>
            </w:r>
          </w:p>
          <w:p>
            <w:pPr>
              <w:pStyle w:val="TableParagraph"/>
              <w:spacing w:before="9"/>
              <w:rPr>
                <w:b/>
                <w:sz w:val="21"/>
              </w:rPr>
            </w:pPr>
          </w:p>
          <w:p>
            <w:pPr>
              <w:pStyle w:val="TableParagraph"/>
              <w:spacing w:line="270" w:lineRule="atLeast"/>
              <w:ind w:left="105" w:right="374"/>
              <w:rPr>
                <w:sz w:val="22"/>
              </w:rPr>
            </w:pPr>
            <w:r>
              <w:rPr>
                <w:sz w:val="22"/>
              </w:rPr>
              <w:t>On-site inspections ensure homes meet all licensing and certification requirements in</w:t>
            </w:r>
          </w:p>
        </w:tc>
        <w:tc>
          <w:tcPr>
            <w:tcW w:w="2346" w:type="dxa"/>
          </w:tcPr>
          <w:p>
            <w:pPr>
              <w:pStyle w:val="TableParagraph"/>
              <w:ind w:left="104" w:right="14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w:t>
            </w:r>
            <w:r>
              <w:rPr>
                <w:color w:val="396230"/>
                <w:sz w:val="22"/>
              </w:rPr>
              <w:t>and adding language to the contracts requiring adherence to the WAC</w:t>
            </w:r>
            <w:r>
              <w:rPr>
                <w:sz w:val="22"/>
              </w:rPr>
              <w:t>. See </w:t>
            </w:r>
            <w:r>
              <w:rPr>
                <w:color w:val="6B9F24"/>
                <w:sz w:val="22"/>
                <w:u w:val="single" w:color="6B9F24"/>
              </w:rPr>
              <w:t>Appendix C.</w:t>
            </w:r>
          </w:p>
        </w:tc>
      </w:tr>
    </w:tbl>
    <w:p>
      <w:pPr>
        <w:pStyle w:val="BodyText"/>
        <w:spacing w:before="3"/>
        <w:rPr>
          <w:b/>
          <w:sz w:val="15"/>
        </w:rPr>
      </w:pPr>
      <w:r>
        <w:rPr/>
        <w:pict>
          <v:shape style="position:absolute;margin-left:70.559998pt;margin-top:11.51950pt;width:650.9pt;height:.1pt;mso-position-horizontal-relative:page;mso-position-vertical-relative:paragraph;z-index:-251528192;mso-wrap-distance-left:0;mso-wrap-distance-right:0" coordorigin="1411,230" coordsize="13018,0" path="m1411,230l14429,230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2"/>
        <w:gridCol w:w="2648"/>
        <w:gridCol w:w="1407"/>
        <w:gridCol w:w="3097"/>
        <w:gridCol w:w="2346"/>
      </w:tblGrid>
      <w:tr>
        <w:trPr>
          <w:trHeight w:val="877" w:hRule="atLeast"/>
        </w:trPr>
        <w:tc>
          <w:tcPr>
            <w:tcW w:w="3442" w:type="dxa"/>
          </w:tcPr>
          <w:p>
            <w:pPr>
              <w:pStyle w:val="TableParagraph"/>
              <w:spacing w:line="292" w:lineRule="exact"/>
              <w:ind w:left="237"/>
              <w:rPr>
                <w:b/>
                <w:sz w:val="24"/>
              </w:rPr>
            </w:pPr>
            <w:r>
              <w:rPr>
                <w:b/>
                <w:sz w:val="24"/>
              </w:rPr>
              <w:t>Characteristics/Requirements</w:t>
            </w:r>
          </w:p>
        </w:tc>
        <w:tc>
          <w:tcPr>
            <w:tcW w:w="2648" w:type="dxa"/>
          </w:tcPr>
          <w:p>
            <w:pPr>
              <w:pStyle w:val="TableParagraph"/>
              <w:ind w:left="273" w:right="247" w:firstLine="180"/>
              <w:rPr>
                <w:b/>
                <w:sz w:val="24"/>
              </w:rPr>
            </w:pPr>
            <w:r>
              <w:rPr>
                <w:b/>
                <w:sz w:val="24"/>
              </w:rPr>
              <w:t>Community Crisis Stabilization Services</w:t>
            </w:r>
          </w:p>
          <w:p>
            <w:pPr>
              <w:pStyle w:val="TableParagraph"/>
              <w:spacing w:line="273" w:lineRule="exact"/>
              <w:ind w:left="508"/>
              <w:rPr>
                <w:b/>
                <w:sz w:val="24"/>
              </w:rPr>
            </w:pPr>
            <w:r>
              <w:rPr>
                <w:b/>
                <w:sz w:val="24"/>
              </w:rPr>
              <w:t>State Evaluation</w:t>
            </w:r>
          </w:p>
        </w:tc>
        <w:tc>
          <w:tcPr>
            <w:tcW w:w="1407" w:type="dxa"/>
          </w:tcPr>
          <w:p>
            <w:pPr>
              <w:pStyle w:val="TableParagraph"/>
              <w:ind w:left="442" w:right="95" w:hanging="327"/>
              <w:rPr>
                <w:b/>
                <w:sz w:val="24"/>
              </w:rPr>
            </w:pPr>
            <w:r>
              <w:rPr>
                <w:b/>
                <w:sz w:val="24"/>
              </w:rPr>
              <w:t>Compliance Level</w:t>
            </w:r>
          </w:p>
        </w:tc>
        <w:tc>
          <w:tcPr>
            <w:tcW w:w="3097" w:type="dxa"/>
          </w:tcPr>
          <w:p>
            <w:pPr>
              <w:pStyle w:val="TableParagraph"/>
              <w:spacing w:line="292" w:lineRule="exact"/>
              <w:ind w:left="660"/>
              <w:rPr>
                <w:b/>
                <w:sz w:val="24"/>
              </w:rPr>
            </w:pPr>
            <w:r>
              <w:rPr>
                <w:b/>
                <w:sz w:val="24"/>
              </w:rPr>
              <w:t>Oversight Process</w:t>
            </w:r>
          </w:p>
        </w:tc>
        <w:tc>
          <w:tcPr>
            <w:tcW w:w="2346" w:type="dxa"/>
          </w:tcPr>
          <w:p>
            <w:pPr>
              <w:pStyle w:val="TableParagraph"/>
              <w:spacing w:line="292" w:lineRule="exact"/>
              <w:ind w:left="529"/>
              <w:rPr>
                <w:b/>
                <w:sz w:val="24"/>
              </w:rPr>
            </w:pPr>
            <w:r>
              <w:rPr>
                <w:b/>
                <w:sz w:val="24"/>
              </w:rPr>
              <w:t>Remediation</w:t>
            </w:r>
          </w:p>
        </w:tc>
      </w:tr>
      <w:tr>
        <w:trPr>
          <w:trHeight w:val="537" w:hRule="atLeast"/>
        </w:trPr>
        <w:tc>
          <w:tcPr>
            <w:tcW w:w="3442" w:type="dxa"/>
          </w:tcPr>
          <w:p>
            <w:pPr>
              <w:pStyle w:val="TableParagraph"/>
              <w:rPr>
                <w:rFonts w:ascii="Times New Roman"/>
                <w:sz w:val="22"/>
              </w:rPr>
            </w:pPr>
          </w:p>
        </w:tc>
        <w:tc>
          <w:tcPr>
            <w:tcW w:w="2648" w:type="dxa"/>
          </w:tcPr>
          <w:p>
            <w:pPr>
              <w:pStyle w:val="TableParagraph"/>
              <w:rPr>
                <w:rFonts w:ascii="Times New Roman"/>
                <w:sz w:val="22"/>
              </w:rPr>
            </w:pPr>
          </w:p>
        </w:tc>
        <w:tc>
          <w:tcPr>
            <w:tcW w:w="1407" w:type="dxa"/>
          </w:tcPr>
          <w:p>
            <w:pPr>
              <w:pStyle w:val="TableParagraph"/>
              <w:rPr>
                <w:rFonts w:ascii="Times New Roman"/>
                <w:sz w:val="22"/>
              </w:rPr>
            </w:pPr>
          </w:p>
        </w:tc>
        <w:tc>
          <w:tcPr>
            <w:tcW w:w="3097" w:type="dxa"/>
          </w:tcPr>
          <w:p>
            <w:pPr>
              <w:pStyle w:val="TableParagraph"/>
              <w:spacing w:line="268" w:lineRule="exact"/>
              <w:ind w:left="105"/>
              <w:rPr>
                <w:sz w:val="22"/>
              </w:rPr>
            </w:pPr>
            <w:r>
              <w:rPr>
                <w:sz w:val="22"/>
              </w:rPr>
              <w:t>WAC and RCW, including </w:t>
            </w:r>
            <w:r>
              <w:rPr>
                <w:color w:val="396230"/>
                <w:sz w:val="22"/>
              </w:rPr>
              <w:t>WAC</w:t>
            </w:r>
          </w:p>
          <w:p>
            <w:pPr>
              <w:pStyle w:val="TableParagraph"/>
              <w:spacing w:line="249" w:lineRule="exact"/>
              <w:ind w:left="105"/>
              <w:rPr>
                <w:sz w:val="22"/>
              </w:rPr>
            </w:pPr>
            <w:r>
              <w:rPr>
                <w:color w:val="396230"/>
                <w:sz w:val="22"/>
              </w:rPr>
              <w:t>388-823-1095.</w:t>
            </w:r>
          </w:p>
        </w:tc>
        <w:tc>
          <w:tcPr>
            <w:tcW w:w="2346" w:type="dxa"/>
          </w:tcPr>
          <w:p>
            <w:pPr>
              <w:pStyle w:val="TableParagraph"/>
              <w:rPr>
                <w:rFonts w:ascii="Times New Roman"/>
                <w:sz w:val="22"/>
              </w:rPr>
            </w:pPr>
          </w:p>
        </w:tc>
      </w:tr>
      <w:tr>
        <w:trPr>
          <w:trHeight w:val="7288" w:hRule="atLeast"/>
        </w:trPr>
        <w:tc>
          <w:tcPr>
            <w:tcW w:w="3442" w:type="dxa"/>
            <w:shd w:val="clear" w:color="auto" w:fill="D0E4CA"/>
          </w:tcPr>
          <w:p>
            <w:pPr>
              <w:pStyle w:val="TableParagraph"/>
              <w:ind w:left="107" w:right="444"/>
              <w:rPr>
                <w:b/>
                <w:sz w:val="22"/>
              </w:rPr>
            </w:pPr>
            <w:r>
              <w:rPr>
                <w:b/>
                <w:sz w:val="22"/>
              </w:rPr>
              <w:t>Individuals are able to have visitors of their choosing at any time</w:t>
            </w:r>
          </w:p>
        </w:tc>
        <w:tc>
          <w:tcPr>
            <w:tcW w:w="2648" w:type="dxa"/>
            <w:shd w:val="clear" w:color="auto" w:fill="D0E4CA"/>
          </w:tcPr>
          <w:p>
            <w:pPr>
              <w:pStyle w:val="TableParagraph"/>
              <w:spacing w:line="268" w:lineRule="exact"/>
              <w:ind w:left="107"/>
              <w:rPr>
                <w:sz w:val="22"/>
              </w:rPr>
            </w:pPr>
            <w:hyperlink r:id="rId23">
              <w:r>
                <w:rPr>
                  <w:color w:val="396230"/>
                  <w:sz w:val="22"/>
                  <w:u w:val="single" w:color="396230"/>
                </w:rPr>
                <w:t>WAC 388-823-1095</w:t>
              </w:r>
              <w:r>
                <w:rPr>
                  <w:color w:val="396230"/>
                  <w:sz w:val="22"/>
                </w:rPr>
                <w:t> </w:t>
              </w:r>
            </w:hyperlink>
            <w:r>
              <w:rPr>
                <w:sz w:val="22"/>
              </w:rPr>
              <w:t>my</w:t>
            </w:r>
          </w:p>
          <w:p>
            <w:pPr>
              <w:pStyle w:val="TableParagraph"/>
              <w:ind w:left="107"/>
              <w:rPr>
                <w:sz w:val="22"/>
              </w:rPr>
            </w:pPr>
            <w:r>
              <w:rPr>
                <w:sz w:val="22"/>
              </w:rPr>
              <w:t>rights as a DDA client</w:t>
            </w:r>
          </w:p>
        </w:tc>
        <w:tc>
          <w:tcPr>
            <w:tcW w:w="1407" w:type="dxa"/>
            <w:shd w:val="clear" w:color="auto" w:fill="D0E4CA"/>
          </w:tcPr>
          <w:p>
            <w:pPr>
              <w:pStyle w:val="TableParagraph"/>
              <w:ind w:left="106" w:right="350"/>
              <w:rPr>
                <w:sz w:val="22"/>
              </w:rPr>
            </w:pPr>
            <w:r>
              <w:rPr>
                <w:sz w:val="22"/>
              </w:rPr>
              <w:t>Partially Compliant</w:t>
            </w:r>
          </w:p>
        </w:tc>
        <w:tc>
          <w:tcPr>
            <w:tcW w:w="3097" w:type="dxa"/>
            <w:shd w:val="clear" w:color="auto" w:fill="D0E4CA"/>
          </w:tcPr>
          <w:p>
            <w:pPr>
              <w:pStyle w:val="TableParagraph"/>
              <w:ind w:left="105" w:right="256"/>
              <w:rPr>
                <w:sz w:val="22"/>
              </w:rPr>
            </w:pPr>
            <w:r>
              <w:rPr>
                <w:sz w:val="22"/>
              </w:rPr>
              <w:t>Child Protective Services (CPS) investigates complaints of abuse and neglect.</w:t>
            </w:r>
          </w:p>
          <w:p>
            <w:pPr>
              <w:pStyle w:val="TableParagraph"/>
              <w:rPr>
                <w:b/>
                <w:sz w:val="22"/>
              </w:rPr>
            </w:pPr>
          </w:p>
          <w:p>
            <w:pPr>
              <w:pStyle w:val="TableParagraph"/>
              <w:ind w:left="105" w:right="313"/>
              <w:rPr>
                <w:sz w:val="22"/>
              </w:rPr>
            </w:pPr>
            <w:r>
              <w:rPr>
                <w:sz w:val="22"/>
              </w:rPr>
              <w:t>DDA’s Crisis Services Program Manager oversees program operations and monitors for compliance with all statutes, rules and DDA policies.</w:t>
            </w:r>
          </w:p>
          <w:p>
            <w:pPr>
              <w:pStyle w:val="TableParagraph"/>
              <w:ind w:left="105" w:right="260"/>
              <w:rPr>
                <w:sz w:val="22"/>
              </w:rPr>
            </w:pPr>
            <w:r>
              <w:rPr>
                <w:sz w:val="22"/>
              </w:rPr>
              <w:t>Community Crisis Stabilization Services (CCSS) has a quality assurance system to:</w:t>
            </w:r>
          </w:p>
          <w:p>
            <w:pPr>
              <w:pStyle w:val="TableParagraph"/>
              <w:numPr>
                <w:ilvl w:val="0"/>
                <w:numId w:val="22"/>
              </w:numPr>
              <w:tabs>
                <w:tab w:pos="466" w:val="left" w:leader="none"/>
                <w:tab w:pos="467" w:val="left" w:leader="none"/>
              </w:tabs>
              <w:spacing w:line="240" w:lineRule="auto" w:before="0" w:after="0"/>
              <w:ind w:left="465" w:right="227" w:hanging="360"/>
              <w:jc w:val="left"/>
              <w:rPr>
                <w:sz w:val="22"/>
              </w:rPr>
            </w:pPr>
            <w:r>
              <w:rPr>
                <w:sz w:val="22"/>
              </w:rPr>
              <w:t>Assess the effectiveness of the participant’s individualized treatment plan;</w:t>
            </w:r>
          </w:p>
          <w:p>
            <w:pPr>
              <w:pStyle w:val="TableParagraph"/>
              <w:numPr>
                <w:ilvl w:val="0"/>
                <w:numId w:val="22"/>
              </w:numPr>
              <w:tabs>
                <w:tab w:pos="466" w:val="left" w:leader="none"/>
                <w:tab w:pos="467" w:val="left" w:leader="none"/>
              </w:tabs>
              <w:spacing w:line="240" w:lineRule="auto" w:before="1" w:after="0"/>
              <w:ind w:left="465" w:right="130" w:hanging="360"/>
              <w:jc w:val="left"/>
              <w:rPr>
                <w:sz w:val="22"/>
              </w:rPr>
            </w:pPr>
            <w:r>
              <w:rPr>
                <w:sz w:val="22"/>
              </w:rPr>
              <w:t>Identify barriers to implementation in the CCSS and in the participant’s home;</w:t>
            </w:r>
          </w:p>
          <w:p>
            <w:pPr>
              <w:pStyle w:val="TableParagraph"/>
              <w:numPr>
                <w:ilvl w:val="0"/>
                <w:numId w:val="22"/>
              </w:numPr>
              <w:tabs>
                <w:tab w:pos="466" w:val="left" w:leader="none"/>
                <w:tab w:pos="467" w:val="left" w:leader="none"/>
              </w:tabs>
              <w:spacing w:line="240" w:lineRule="auto" w:before="0" w:after="0"/>
              <w:ind w:left="465" w:right="258" w:hanging="360"/>
              <w:jc w:val="left"/>
              <w:rPr>
                <w:sz w:val="22"/>
              </w:rPr>
            </w:pPr>
            <w:r>
              <w:rPr>
                <w:sz w:val="22"/>
              </w:rPr>
              <w:t>Track trends and patterns; and</w:t>
            </w:r>
          </w:p>
          <w:p>
            <w:pPr>
              <w:pStyle w:val="TableParagraph"/>
              <w:ind w:left="105" w:right="186"/>
              <w:rPr>
                <w:sz w:val="22"/>
              </w:rPr>
            </w:pPr>
            <w:r>
              <w:rPr>
                <w:sz w:val="22"/>
              </w:rPr>
              <w:t>Make recommendations to the Deputy Assistant Secretary regarding system and program enhancement.</w:t>
            </w:r>
          </w:p>
        </w:tc>
        <w:tc>
          <w:tcPr>
            <w:tcW w:w="2346" w:type="dxa"/>
            <w:shd w:val="clear" w:color="auto" w:fill="D0E4CA"/>
          </w:tcPr>
          <w:p>
            <w:pPr>
              <w:pStyle w:val="TableParagraph"/>
              <w:ind w:left="104" w:right="14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w:t>
            </w:r>
            <w:r>
              <w:rPr>
                <w:color w:val="396230"/>
                <w:sz w:val="22"/>
              </w:rPr>
              <w:t>and adding language to the contracts requiring adherence to the WAC</w:t>
            </w:r>
            <w:r>
              <w:rPr>
                <w:sz w:val="22"/>
              </w:rPr>
              <w:t>. See </w:t>
            </w:r>
            <w:r>
              <w:rPr>
                <w:color w:val="6B9F24"/>
                <w:sz w:val="22"/>
                <w:u w:val="single" w:color="6B9F24"/>
              </w:rPr>
              <w:t>Appendix C.</w:t>
            </w:r>
          </w:p>
        </w:tc>
      </w:tr>
    </w:tbl>
    <w:p>
      <w:pPr>
        <w:pStyle w:val="BodyText"/>
        <w:rPr>
          <w:b/>
          <w:sz w:val="20"/>
        </w:rPr>
      </w:pPr>
    </w:p>
    <w:p>
      <w:pPr>
        <w:pStyle w:val="BodyText"/>
        <w:spacing w:before="3"/>
        <w:rPr>
          <w:b/>
          <w:sz w:val="16"/>
        </w:rPr>
      </w:pPr>
      <w:r>
        <w:rPr/>
        <w:pict>
          <v:shape style="position:absolute;margin-left:70.559998pt;margin-top:12.152469pt;width:650.9pt;height:.1pt;mso-position-horizontal-relative:page;mso-position-vertical-relative:paragraph;z-index:-251527168;mso-wrap-distance-left:0;mso-wrap-distance-right:0" coordorigin="1411,243" coordsize="13018,0" path="m1411,243l14429,243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2"/>
        <w:gridCol w:w="2648"/>
        <w:gridCol w:w="1407"/>
        <w:gridCol w:w="3097"/>
        <w:gridCol w:w="2346"/>
      </w:tblGrid>
      <w:tr>
        <w:trPr>
          <w:trHeight w:val="877" w:hRule="atLeast"/>
        </w:trPr>
        <w:tc>
          <w:tcPr>
            <w:tcW w:w="3442" w:type="dxa"/>
          </w:tcPr>
          <w:p>
            <w:pPr>
              <w:pStyle w:val="TableParagraph"/>
              <w:spacing w:line="292" w:lineRule="exact"/>
              <w:ind w:left="237"/>
              <w:rPr>
                <w:b/>
                <w:sz w:val="24"/>
              </w:rPr>
            </w:pPr>
            <w:r>
              <w:rPr>
                <w:b/>
                <w:sz w:val="24"/>
              </w:rPr>
              <w:t>Characteristics/Requirements</w:t>
            </w:r>
          </w:p>
        </w:tc>
        <w:tc>
          <w:tcPr>
            <w:tcW w:w="2648" w:type="dxa"/>
          </w:tcPr>
          <w:p>
            <w:pPr>
              <w:pStyle w:val="TableParagraph"/>
              <w:ind w:left="273" w:right="247" w:firstLine="180"/>
              <w:rPr>
                <w:b/>
                <w:sz w:val="24"/>
              </w:rPr>
            </w:pPr>
            <w:r>
              <w:rPr>
                <w:b/>
                <w:sz w:val="24"/>
              </w:rPr>
              <w:t>Community Crisis Stabilization Services</w:t>
            </w:r>
          </w:p>
          <w:p>
            <w:pPr>
              <w:pStyle w:val="TableParagraph"/>
              <w:spacing w:line="273" w:lineRule="exact"/>
              <w:ind w:left="508"/>
              <w:rPr>
                <w:b/>
                <w:sz w:val="24"/>
              </w:rPr>
            </w:pPr>
            <w:r>
              <w:rPr>
                <w:b/>
                <w:sz w:val="24"/>
              </w:rPr>
              <w:t>State Evaluation</w:t>
            </w:r>
          </w:p>
        </w:tc>
        <w:tc>
          <w:tcPr>
            <w:tcW w:w="1407" w:type="dxa"/>
          </w:tcPr>
          <w:p>
            <w:pPr>
              <w:pStyle w:val="TableParagraph"/>
              <w:ind w:left="442" w:right="95" w:hanging="327"/>
              <w:rPr>
                <w:b/>
                <w:sz w:val="24"/>
              </w:rPr>
            </w:pPr>
            <w:r>
              <w:rPr>
                <w:b/>
                <w:sz w:val="24"/>
              </w:rPr>
              <w:t>Compliance Level</w:t>
            </w:r>
          </w:p>
        </w:tc>
        <w:tc>
          <w:tcPr>
            <w:tcW w:w="3097" w:type="dxa"/>
          </w:tcPr>
          <w:p>
            <w:pPr>
              <w:pStyle w:val="TableParagraph"/>
              <w:spacing w:line="292" w:lineRule="exact"/>
              <w:ind w:left="660"/>
              <w:rPr>
                <w:b/>
                <w:sz w:val="24"/>
              </w:rPr>
            </w:pPr>
            <w:r>
              <w:rPr>
                <w:b/>
                <w:sz w:val="24"/>
              </w:rPr>
              <w:t>Oversight Process</w:t>
            </w:r>
          </w:p>
        </w:tc>
        <w:tc>
          <w:tcPr>
            <w:tcW w:w="2346" w:type="dxa"/>
          </w:tcPr>
          <w:p>
            <w:pPr>
              <w:pStyle w:val="TableParagraph"/>
              <w:spacing w:line="292" w:lineRule="exact"/>
              <w:ind w:left="529"/>
              <w:rPr>
                <w:b/>
                <w:sz w:val="24"/>
              </w:rPr>
            </w:pPr>
            <w:r>
              <w:rPr>
                <w:b/>
                <w:sz w:val="24"/>
              </w:rPr>
              <w:t>Remediation</w:t>
            </w:r>
          </w:p>
        </w:tc>
      </w:tr>
      <w:tr>
        <w:trPr>
          <w:trHeight w:val="1343" w:hRule="atLeast"/>
        </w:trPr>
        <w:tc>
          <w:tcPr>
            <w:tcW w:w="3442" w:type="dxa"/>
            <w:shd w:val="clear" w:color="auto" w:fill="D0E4CA"/>
          </w:tcPr>
          <w:p>
            <w:pPr>
              <w:pStyle w:val="TableParagraph"/>
              <w:rPr>
                <w:rFonts w:ascii="Times New Roman"/>
                <w:sz w:val="22"/>
              </w:rPr>
            </w:pPr>
          </w:p>
        </w:tc>
        <w:tc>
          <w:tcPr>
            <w:tcW w:w="2648" w:type="dxa"/>
            <w:shd w:val="clear" w:color="auto" w:fill="D0E4CA"/>
          </w:tcPr>
          <w:p>
            <w:pPr>
              <w:pStyle w:val="TableParagraph"/>
              <w:rPr>
                <w:rFonts w:ascii="Times New Roman"/>
                <w:sz w:val="22"/>
              </w:rPr>
            </w:pPr>
          </w:p>
        </w:tc>
        <w:tc>
          <w:tcPr>
            <w:tcW w:w="1407" w:type="dxa"/>
            <w:shd w:val="clear" w:color="auto" w:fill="D0E4CA"/>
          </w:tcPr>
          <w:p>
            <w:pPr>
              <w:pStyle w:val="TableParagraph"/>
              <w:rPr>
                <w:rFonts w:ascii="Times New Roman"/>
                <w:sz w:val="22"/>
              </w:rPr>
            </w:pPr>
          </w:p>
        </w:tc>
        <w:tc>
          <w:tcPr>
            <w:tcW w:w="3097" w:type="dxa"/>
            <w:shd w:val="clear" w:color="auto" w:fill="D0E4CA"/>
          </w:tcPr>
          <w:p>
            <w:pPr>
              <w:pStyle w:val="TableParagraph"/>
              <w:ind w:left="105" w:right="248"/>
              <w:rPr>
                <w:sz w:val="22"/>
              </w:rPr>
            </w:pPr>
            <w:r>
              <w:rPr>
                <w:sz w:val="22"/>
              </w:rPr>
              <w:t>On-site inspections ensure homes meet all licensing and certification requirements in WAC and RCW, including </w:t>
            </w:r>
            <w:r>
              <w:rPr>
                <w:color w:val="396230"/>
                <w:sz w:val="22"/>
              </w:rPr>
              <w:t>WAC</w:t>
            </w:r>
          </w:p>
          <w:p>
            <w:pPr>
              <w:pStyle w:val="TableParagraph"/>
              <w:spacing w:line="249" w:lineRule="exact"/>
              <w:ind w:left="105"/>
              <w:rPr>
                <w:sz w:val="22"/>
              </w:rPr>
            </w:pPr>
            <w:r>
              <w:rPr>
                <w:color w:val="396230"/>
                <w:sz w:val="22"/>
              </w:rPr>
              <w:t>388-823-1095.</w:t>
            </w:r>
          </w:p>
        </w:tc>
        <w:tc>
          <w:tcPr>
            <w:tcW w:w="2346" w:type="dxa"/>
            <w:shd w:val="clear" w:color="auto" w:fill="D0E4CA"/>
          </w:tcPr>
          <w:p>
            <w:pPr>
              <w:pStyle w:val="TableParagraph"/>
              <w:rPr>
                <w:rFonts w:ascii="Times New Roman"/>
                <w:sz w:val="22"/>
              </w:rPr>
            </w:pPr>
          </w:p>
        </w:tc>
      </w:tr>
      <w:tr>
        <w:trPr>
          <w:trHeight w:val="282" w:hRule="atLeast"/>
        </w:trPr>
        <w:tc>
          <w:tcPr>
            <w:tcW w:w="3442" w:type="dxa"/>
            <w:tcBorders>
              <w:bottom w:val="nil"/>
            </w:tcBorders>
          </w:tcPr>
          <w:p>
            <w:pPr>
              <w:pStyle w:val="TableParagraph"/>
              <w:spacing w:line="263" w:lineRule="exact"/>
              <w:ind w:left="107"/>
              <w:rPr>
                <w:b/>
                <w:sz w:val="22"/>
              </w:rPr>
            </w:pPr>
            <w:r>
              <w:rPr>
                <w:b/>
                <w:sz w:val="22"/>
              </w:rPr>
              <w:t>The setting is physically accessible</w:t>
            </w:r>
          </w:p>
        </w:tc>
        <w:tc>
          <w:tcPr>
            <w:tcW w:w="2648" w:type="dxa"/>
            <w:tcBorders>
              <w:bottom w:val="nil"/>
            </w:tcBorders>
          </w:tcPr>
          <w:p>
            <w:pPr>
              <w:pStyle w:val="TableParagraph"/>
              <w:spacing w:line="263" w:lineRule="exact"/>
              <w:ind w:left="107"/>
              <w:rPr>
                <w:sz w:val="22"/>
              </w:rPr>
            </w:pPr>
            <w:hyperlink r:id="rId23">
              <w:r>
                <w:rPr>
                  <w:color w:val="396230"/>
                  <w:sz w:val="22"/>
                  <w:u w:val="single" w:color="396230"/>
                </w:rPr>
                <w:t>WAC 388-823-1095</w:t>
              </w:r>
              <w:r>
                <w:rPr>
                  <w:color w:val="396230"/>
                  <w:sz w:val="22"/>
                </w:rPr>
                <w:t> </w:t>
              </w:r>
            </w:hyperlink>
            <w:r>
              <w:rPr>
                <w:sz w:val="22"/>
              </w:rPr>
              <w:t>my</w:t>
            </w:r>
          </w:p>
        </w:tc>
        <w:tc>
          <w:tcPr>
            <w:tcW w:w="1407" w:type="dxa"/>
            <w:tcBorders>
              <w:bottom w:val="nil"/>
            </w:tcBorders>
          </w:tcPr>
          <w:p>
            <w:pPr>
              <w:pStyle w:val="TableParagraph"/>
              <w:spacing w:line="263" w:lineRule="exact"/>
              <w:ind w:left="106"/>
              <w:rPr>
                <w:sz w:val="22"/>
              </w:rPr>
            </w:pPr>
            <w:r>
              <w:rPr>
                <w:sz w:val="22"/>
              </w:rPr>
              <w:t>Partially</w:t>
            </w:r>
          </w:p>
        </w:tc>
        <w:tc>
          <w:tcPr>
            <w:tcW w:w="3097" w:type="dxa"/>
            <w:vMerge w:val="restart"/>
          </w:tcPr>
          <w:p>
            <w:pPr>
              <w:pStyle w:val="TableParagraph"/>
              <w:ind w:left="105" w:right="256"/>
              <w:rPr>
                <w:sz w:val="22"/>
              </w:rPr>
            </w:pPr>
            <w:r>
              <w:rPr>
                <w:sz w:val="22"/>
              </w:rPr>
              <w:t>Child Protective Services (CPS) investigates complaints of abuse and neglect.</w:t>
            </w:r>
          </w:p>
          <w:p>
            <w:pPr>
              <w:pStyle w:val="TableParagraph"/>
              <w:rPr>
                <w:b/>
                <w:sz w:val="22"/>
              </w:rPr>
            </w:pPr>
          </w:p>
          <w:p>
            <w:pPr>
              <w:pStyle w:val="TableParagraph"/>
              <w:ind w:left="105" w:right="313"/>
              <w:rPr>
                <w:sz w:val="22"/>
              </w:rPr>
            </w:pPr>
            <w:r>
              <w:rPr>
                <w:sz w:val="22"/>
              </w:rPr>
              <w:t>DDA’s Crisis Services Program Manager oversees program operations and monitors for compliance with all statutes, rules and DDA policies.</w:t>
            </w:r>
          </w:p>
          <w:p>
            <w:pPr>
              <w:pStyle w:val="TableParagraph"/>
              <w:ind w:left="106" w:right="259"/>
              <w:rPr>
                <w:sz w:val="22"/>
              </w:rPr>
            </w:pPr>
            <w:r>
              <w:rPr>
                <w:sz w:val="22"/>
              </w:rPr>
              <w:t>Community Crisis Stabilization Services (CCSS) has a quality assurance system to:</w:t>
            </w:r>
          </w:p>
          <w:p>
            <w:pPr>
              <w:pStyle w:val="TableParagraph"/>
              <w:numPr>
                <w:ilvl w:val="0"/>
                <w:numId w:val="23"/>
              </w:numPr>
              <w:tabs>
                <w:tab w:pos="466" w:val="left" w:leader="none"/>
                <w:tab w:pos="467" w:val="left" w:leader="none"/>
              </w:tabs>
              <w:spacing w:line="240" w:lineRule="auto" w:before="0" w:after="0"/>
              <w:ind w:left="466" w:right="227" w:hanging="361"/>
              <w:jc w:val="left"/>
              <w:rPr>
                <w:sz w:val="22"/>
              </w:rPr>
            </w:pPr>
            <w:r>
              <w:rPr>
                <w:sz w:val="22"/>
              </w:rPr>
              <w:t>Assess the effectiveness of the participant’s individualized treatment plan;</w:t>
            </w:r>
          </w:p>
          <w:p>
            <w:pPr>
              <w:pStyle w:val="TableParagraph"/>
              <w:numPr>
                <w:ilvl w:val="0"/>
                <w:numId w:val="23"/>
              </w:numPr>
              <w:tabs>
                <w:tab w:pos="466" w:val="left" w:leader="none"/>
                <w:tab w:pos="467" w:val="left" w:leader="none"/>
              </w:tabs>
              <w:spacing w:line="240" w:lineRule="auto" w:before="0" w:after="0"/>
              <w:ind w:left="466" w:right="129" w:hanging="361"/>
              <w:jc w:val="left"/>
              <w:rPr>
                <w:sz w:val="22"/>
              </w:rPr>
            </w:pPr>
            <w:r>
              <w:rPr>
                <w:sz w:val="22"/>
              </w:rPr>
              <w:t>Identify barriers to implementation in the CCSS and in the participant’s home;</w:t>
            </w:r>
          </w:p>
          <w:p>
            <w:pPr>
              <w:pStyle w:val="TableParagraph"/>
              <w:numPr>
                <w:ilvl w:val="0"/>
                <w:numId w:val="23"/>
              </w:numPr>
              <w:tabs>
                <w:tab w:pos="466" w:val="left" w:leader="none"/>
                <w:tab w:pos="467" w:val="left" w:leader="none"/>
              </w:tabs>
              <w:spacing w:line="240" w:lineRule="auto" w:before="0" w:after="0"/>
              <w:ind w:left="466" w:right="257" w:hanging="361"/>
              <w:jc w:val="left"/>
              <w:rPr>
                <w:sz w:val="22"/>
              </w:rPr>
            </w:pPr>
            <w:r>
              <w:rPr>
                <w:sz w:val="22"/>
              </w:rPr>
              <w:t>Track trends and patterns; and</w:t>
            </w:r>
          </w:p>
          <w:p>
            <w:pPr>
              <w:pStyle w:val="TableParagraph"/>
              <w:ind w:left="106" w:right="185"/>
              <w:rPr>
                <w:sz w:val="22"/>
              </w:rPr>
            </w:pPr>
            <w:r>
              <w:rPr>
                <w:sz w:val="22"/>
              </w:rPr>
              <w:t>Make recommendations to the Deputy Assistant Secretary</w:t>
            </w:r>
          </w:p>
        </w:tc>
        <w:tc>
          <w:tcPr>
            <w:tcW w:w="2346" w:type="dxa"/>
            <w:tcBorders>
              <w:bottom w:val="nil"/>
            </w:tcBorders>
          </w:tcPr>
          <w:p>
            <w:pPr>
              <w:pStyle w:val="TableParagraph"/>
              <w:spacing w:line="263" w:lineRule="exact"/>
              <w:ind w:left="104"/>
              <w:rPr>
                <w:sz w:val="22"/>
              </w:rPr>
            </w:pPr>
            <w:r>
              <w:rPr>
                <w:sz w:val="22"/>
              </w:rPr>
              <w:t>Revising </w:t>
            </w:r>
            <w:hyperlink r:id="rId23">
              <w:r>
                <w:rPr>
                  <w:color w:val="6B9F24"/>
                  <w:sz w:val="22"/>
                  <w:u w:val="single" w:color="6B9F24"/>
                </w:rPr>
                <w:t>WAC 388-823-</w:t>
              </w:r>
            </w:hyperlink>
          </w:p>
        </w:tc>
      </w:tr>
      <w:tr>
        <w:trPr>
          <w:trHeight w:val="258" w:hRule="atLeast"/>
        </w:trPr>
        <w:tc>
          <w:tcPr>
            <w:tcW w:w="3442" w:type="dxa"/>
            <w:tcBorders>
              <w:top w:val="nil"/>
              <w:bottom w:val="nil"/>
            </w:tcBorders>
          </w:tcPr>
          <w:p>
            <w:pPr>
              <w:pStyle w:val="TableParagraph"/>
              <w:spacing w:line="239" w:lineRule="exact"/>
              <w:ind w:left="107"/>
              <w:rPr>
                <w:b/>
                <w:sz w:val="22"/>
              </w:rPr>
            </w:pPr>
            <w:r>
              <w:rPr>
                <w:b/>
                <w:sz w:val="22"/>
              </w:rPr>
              <w:t>to the individual</w:t>
            </w:r>
          </w:p>
        </w:tc>
        <w:tc>
          <w:tcPr>
            <w:tcW w:w="2648" w:type="dxa"/>
            <w:tcBorders>
              <w:top w:val="nil"/>
              <w:bottom w:val="nil"/>
            </w:tcBorders>
          </w:tcPr>
          <w:p>
            <w:pPr>
              <w:pStyle w:val="TableParagraph"/>
              <w:spacing w:line="239" w:lineRule="exact"/>
              <w:ind w:left="107"/>
              <w:rPr>
                <w:sz w:val="22"/>
              </w:rPr>
            </w:pPr>
            <w:r>
              <w:rPr>
                <w:sz w:val="22"/>
              </w:rPr>
              <w:t>rights as a DDA client.</w:t>
            </w:r>
          </w:p>
        </w:tc>
        <w:tc>
          <w:tcPr>
            <w:tcW w:w="1407" w:type="dxa"/>
            <w:tcBorders>
              <w:top w:val="nil"/>
              <w:bottom w:val="nil"/>
            </w:tcBorders>
          </w:tcPr>
          <w:p>
            <w:pPr>
              <w:pStyle w:val="TableParagraph"/>
              <w:spacing w:line="239" w:lineRule="exact"/>
              <w:ind w:left="106"/>
              <w:rPr>
                <w:sz w:val="22"/>
              </w:rPr>
            </w:pPr>
            <w:r>
              <w:rPr>
                <w:sz w:val="22"/>
              </w:rPr>
              <w:t>Compliant</w:t>
            </w:r>
          </w:p>
        </w:tc>
        <w:tc>
          <w:tcPr>
            <w:tcW w:w="3097" w:type="dxa"/>
            <w:vMerge/>
            <w:tcBorders>
              <w:top w:val="nil"/>
            </w:tcBorders>
          </w:tcPr>
          <w:p>
            <w:pPr>
              <w:rPr>
                <w:sz w:val="2"/>
                <w:szCs w:val="2"/>
              </w:rPr>
            </w:pPr>
          </w:p>
        </w:tc>
        <w:tc>
          <w:tcPr>
            <w:tcW w:w="2346" w:type="dxa"/>
            <w:tcBorders>
              <w:top w:val="nil"/>
              <w:bottom w:val="nil"/>
            </w:tcBorders>
          </w:tcPr>
          <w:p>
            <w:pPr>
              <w:pStyle w:val="TableParagraph"/>
              <w:spacing w:line="239" w:lineRule="exact"/>
              <w:ind w:left="104"/>
              <w:rPr>
                <w:sz w:val="22"/>
              </w:rPr>
            </w:pPr>
            <w:hyperlink r:id="rId23">
              <w:r>
                <w:rPr>
                  <w:color w:val="6B9F24"/>
                  <w:sz w:val="22"/>
                  <w:u w:val="single" w:color="6B9F24"/>
                </w:rPr>
                <w:t>1095</w:t>
              </w:r>
              <w:r>
                <w:rPr>
                  <w:color w:val="6B9F24"/>
                  <w:sz w:val="22"/>
                </w:rPr>
                <w:t> </w:t>
              </w:r>
            </w:hyperlink>
            <w:r>
              <w:rPr>
                <w:sz w:val="22"/>
              </w:rPr>
              <w:t>to include all</w:t>
            </w:r>
          </w:p>
        </w:tc>
      </w:tr>
      <w:tr>
        <w:trPr>
          <w:trHeight w:val="258" w:hRule="atLeast"/>
        </w:trPr>
        <w:tc>
          <w:tcPr>
            <w:tcW w:w="3442" w:type="dxa"/>
            <w:tcBorders>
              <w:top w:val="nil"/>
              <w:bottom w:val="nil"/>
            </w:tcBorders>
          </w:tcPr>
          <w:p>
            <w:pPr>
              <w:pStyle w:val="TableParagraph"/>
              <w:rPr>
                <w:rFonts w:ascii="Times New Roman"/>
                <w:sz w:val="18"/>
              </w:rPr>
            </w:pPr>
          </w:p>
        </w:tc>
        <w:tc>
          <w:tcPr>
            <w:tcW w:w="2648" w:type="dxa"/>
            <w:tcBorders>
              <w:top w:val="nil"/>
              <w:bottom w:val="nil"/>
            </w:tcBorders>
          </w:tcPr>
          <w:p>
            <w:pPr>
              <w:pStyle w:val="TableParagraph"/>
              <w:rPr>
                <w:rFonts w:ascii="Times New Roman"/>
                <w:sz w:val="18"/>
              </w:rPr>
            </w:pPr>
          </w:p>
        </w:tc>
        <w:tc>
          <w:tcPr>
            <w:tcW w:w="1407" w:type="dxa"/>
            <w:tcBorders>
              <w:top w:val="nil"/>
              <w:bottom w:val="nil"/>
            </w:tcBorders>
          </w:tcPr>
          <w:p>
            <w:pPr>
              <w:pStyle w:val="TableParagraph"/>
              <w:rPr>
                <w:rFonts w:ascii="Times New Roman"/>
                <w:sz w:val="18"/>
              </w:rPr>
            </w:pPr>
          </w:p>
        </w:tc>
        <w:tc>
          <w:tcPr>
            <w:tcW w:w="3097" w:type="dxa"/>
            <w:vMerge/>
            <w:tcBorders>
              <w:top w:val="nil"/>
            </w:tcBorders>
          </w:tcPr>
          <w:p>
            <w:pPr>
              <w:rPr>
                <w:sz w:val="2"/>
                <w:szCs w:val="2"/>
              </w:rPr>
            </w:pPr>
          </w:p>
        </w:tc>
        <w:tc>
          <w:tcPr>
            <w:tcW w:w="2346" w:type="dxa"/>
            <w:tcBorders>
              <w:top w:val="nil"/>
              <w:bottom w:val="nil"/>
            </w:tcBorders>
          </w:tcPr>
          <w:p>
            <w:pPr>
              <w:pStyle w:val="TableParagraph"/>
              <w:spacing w:line="239" w:lineRule="exact"/>
              <w:ind w:left="104"/>
              <w:rPr>
                <w:sz w:val="22"/>
              </w:rPr>
            </w:pPr>
            <w:r>
              <w:rPr>
                <w:sz w:val="22"/>
              </w:rPr>
              <w:t>rights listed in the</w:t>
            </w:r>
          </w:p>
        </w:tc>
      </w:tr>
      <w:tr>
        <w:trPr>
          <w:trHeight w:val="1407" w:hRule="atLeast"/>
        </w:trPr>
        <w:tc>
          <w:tcPr>
            <w:tcW w:w="3442" w:type="dxa"/>
            <w:tcBorders>
              <w:top w:val="nil"/>
              <w:bottom w:val="nil"/>
            </w:tcBorders>
          </w:tcPr>
          <w:p>
            <w:pPr>
              <w:pStyle w:val="TableParagraph"/>
              <w:rPr>
                <w:rFonts w:ascii="Times New Roman"/>
                <w:sz w:val="22"/>
              </w:rPr>
            </w:pPr>
          </w:p>
        </w:tc>
        <w:tc>
          <w:tcPr>
            <w:tcW w:w="2648" w:type="dxa"/>
            <w:tcBorders>
              <w:top w:val="nil"/>
              <w:bottom w:val="nil"/>
            </w:tcBorders>
          </w:tcPr>
          <w:p>
            <w:pPr>
              <w:pStyle w:val="TableParagraph"/>
              <w:spacing w:line="270" w:lineRule="atLeast" w:before="48"/>
              <w:ind w:left="107" w:right="124"/>
              <w:rPr>
                <w:sz w:val="22"/>
              </w:rPr>
            </w:pPr>
            <w:r>
              <w:rPr>
                <w:sz w:val="22"/>
              </w:rPr>
              <w:t>As part of the person centered service planning process, participants are provided with options that meet their physical</w:t>
            </w:r>
          </w:p>
        </w:tc>
        <w:tc>
          <w:tcPr>
            <w:tcW w:w="1407" w:type="dxa"/>
            <w:tcBorders>
              <w:top w:val="nil"/>
              <w:bottom w:val="nil"/>
            </w:tcBorders>
          </w:tcPr>
          <w:p>
            <w:pPr>
              <w:pStyle w:val="TableParagraph"/>
              <w:rPr>
                <w:rFonts w:ascii="Times New Roman"/>
                <w:sz w:val="22"/>
              </w:rPr>
            </w:pPr>
          </w:p>
        </w:tc>
        <w:tc>
          <w:tcPr>
            <w:tcW w:w="3097" w:type="dxa"/>
            <w:vMerge/>
            <w:tcBorders>
              <w:top w:val="nil"/>
            </w:tcBorders>
          </w:tcPr>
          <w:p>
            <w:pPr>
              <w:rPr>
                <w:sz w:val="2"/>
                <w:szCs w:val="2"/>
              </w:rPr>
            </w:pPr>
          </w:p>
        </w:tc>
        <w:tc>
          <w:tcPr>
            <w:tcW w:w="2346" w:type="dxa"/>
            <w:tcBorders>
              <w:top w:val="nil"/>
              <w:bottom w:val="nil"/>
            </w:tcBorders>
          </w:tcPr>
          <w:p>
            <w:pPr>
              <w:pStyle w:val="TableParagraph"/>
              <w:spacing w:line="244" w:lineRule="exact"/>
              <w:ind w:left="104"/>
              <w:rPr>
                <w:sz w:val="22"/>
              </w:rPr>
            </w:pPr>
            <w:r>
              <w:rPr>
                <w:sz w:val="22"/>
              </w:rPr>
              <w:t>HCBS rules </w:t>
            </w:r>
            <w:r>
              <w:rPr>
                <w:color w:val="396230"/>
                <w:sz w:val="22"/>
              </w:rPr>
              <w:t>and adding</w:t>
            </w:r>
          </w:p>
          <w:p>
            <w:pPr>
              <w:pStyle w:val="TableParagraph"/>
              <w:ind w:left="104" w:right="128"/>
              <w:rPr>
                <w:sz w:val="22"/>
              </w:rPr>
            </w:pPr>
            <w:r>
              <w:rPr>
                <w:color w:val="396230"/>
                <w:sz w:val="22"/>
              </w:rPr>
              <w:t>language to the contracts requiring adherence to the WAC</w:t>
            </w:r>
            <w:r>
              <w:rPr>
                <w:sz w:val="22"/>
              </w:rPr>
              <w:t>. See </w:t>
            </w:r>
            <w:r>
              <w:rPr>
                <w:color w:val="6B9F24"/>
                <w:sz w:val="22"/>
                <w:u w:val="single" w:color="6B9F24"/>
              </w:rPr>
              <w:t>Appendix C.</w:t>
            </w:r>
          </w:p>
        </w:tc>
      </w:tr>
      <w:tr>
        <w:trPr>
          <w:trHeight w:val="257" w:hRule="atLeast"/>
        </w:trPr>
        <w:tc>
          <w:tcPr>
            <w:tcW w:w="3442" w:type="dxa"/>
            <w:tcBorders>
              <w:top w:val="nil"/>
              <w:bottom w:val="nil"/>
            </w:tcBorders>
          </w:tcPr>
          <w:p>
            <w:pPr>
              <w:pStyle w:val="TableParagraph"/>
              <w:rPr>
                <w:rFonts w:ascii="Times New Roman"/>
                <w:sz w:val="18"/>
              </w:rPr>
            </w:pPr>
          </w:p>
        </w:tc>
        <w:tc>
          <w:tcPr>
            <w:tcW w:w="2648" w:type="dxa"/>
            <w:tcBorders>
              <w:top w:val="nil"/>
              <w:bottom w:val="nil"/>
            </w:tcBorders>
          </w:tcPr>
          <w:p>
            <w:pPr>
              <w:pStyle w:val="TableParagraph"/>
              <w:spacing w:line="238" w:lineRule="exact"/>
              <w:ind w:left="107"/>
              <w:rPr>
                <w:sz w:val="22"/>
              </w:rPr>
            </w:pPr>
            <w:r>
              <w:rPr>
                <w:sz w:val="22"/>
              </w:rPr>
              <w:t>accessibility requirements.</w:t>
            </w:r>
          </w:p>
        </w:tc>
        <w:tc>
          <w:tcPr>
            <w:tcW w:w="1407" w:type="dxa"/>
            <w:tcBorders>
              <w:top w:val="nil"/>
              <w:bottom w:val="nil"/>
            </w:tcBorders>
          </w:tcPr>
          <w:p>
            <w:pPr>
              <w:pStyle w:val="TableParagraph"/>
              <w:rPr>
                <w:rFonts w:ascii="Times New Roman"/>
                <w:sz w:val="18"/>
              </w:rPr>
            </w:pPr>
          </w:p>
        </w:tc>
        <w:tc>
          <w:tcPr>
            <w:tcW w:w="3097" w:type="dxa"/>
            <w:vMerge/>
            <w:tcBorders>
              <w:top w:val="nil"/>
            </w:tcBorders>
          </w:tcPr>
          <w:p>
            <w:pPr>
              <w:rPr>
                <w:sz w:val="2"/>
                <w:szCs w:val="2"/>
              </w:rPr>
            </w:pPr>
          </w:p>
        </w:tc>
        <w:tc>
          <w:tcPr>
            <w:tcW w:w="2346" w:type="dxa"/>
            <w:tcBorders>
              <w:top w:val="nil"/>
              <w:bottom w:val="nil"/>
            </w:tcBorders>
          </w:tcPr>
          <w:p>
            <w:pPr>
              <w:pStyle w:val="TableParagraph"/>
              <w:rPr>
                <w:rFonts w:ascii="Times New Roman"/>
                <w:sz w:val="18"/>
              </w:rPr>
            </w:pPr>
          </w:p>
        </w:tc>
      </w:tr>
      <w:tr>
        <w:trPr>
          <w:trHeight w:val="257" w:hRule="atLeast"/>
        </w:trPr>
        <w:tc>
          <w:tcPr>
            <w:tcW w:w="3442" w:type="dxa"/>
            <w:tcBorders>
              <w:top w:val="nil"/>
              <w:bottom w:val="nil"/>
            </w:tcBorders>
          </w:tcPr>
          <w:p>
            <w:pPr>
              <w:pStyle w:val="TableParagraph"/>
              <w:rPr>
                <w:rFonts w:ascii="Times New Roman"/>
                <w:sz w:val="18"/>
              </w:rPr>
            </w:pPr>
          </w:p>
        </w:tc>
        <w:tc>
          <w:tcPr>
            <w:tcW w:w="2648" w:type="dxa"/>
            <w:tcBorders>
              <w:top w:val="nil"/>
              <w:bottom w:val="nil"/>
            </w:tcBorders>
          </w:tcPr>
          <w:p>
            <w:pPr>
              <w:pStyle w:val="TableParagraph"/>
              <w:spacing w:line="238" w:lineRule="exact"/>
              <w:ind w:left="107"/>
              <w:rPr>
                <w:sz w:val="22"/>
              </w:rPr>
            </w:pPr>
            <w:r>
              <w:rPr>
                <w:sz w:val="22"/>
              </w:rPr>
              <w:t>If a participant’s needs</w:t>
            </w:r>
          </w:p>
        </w:tc>
        <w:tc>
          <w:tcPr>
            <w:tcW w:w="1407" w:type="dxa"/>
            <w:tcBorders>
              <w:top w:val="nil"/>
              <w:bottom w:val="nil"/>
            </w:tcBorders>
          </w:tcPr>
          <w:p>
            <w:pPr>
              <w:pStyle w:val="TableParagraph"/>
              <w:rPr>
                <w:rFonts w:ascii="Times New Roman"/>
                <w:sz w:val="18"/>
              </w:rPr>
            </w:pPr>
          </w:p>
        </w:tc>
        <w:tc>
          <w:tcPr>
            <w:tcW w:w="3097" w:type="dxa"/>
            <w:vMerge/>
            <w:tcBorders>
              <w:top w:val="nil"/>
            </w:tcBorders>
          </w:tcPr>
          <w:p>
            <w:pPr>
              <w:rPr>
                <w:sz w:val="2"/>
                <w:szCs w:val="2"/>
              </w:rPr>
            </w:pPr>
          </w:p>
        </w:tc>
        <w:tc>
          <w:tcPr>
            <w:tcW w:w="2346" w:type="dxa"/>
            <w:tcBorders>
              <w:top w:val="nil"/>
              <w:bottom w:val="nil"/>
            </w:tcBorders>
          </w:tcPr>
          <w:p>
            <w:pPr>
              <w:pStyle w:val="TableParagraph"/>
              <w:rPr>
                <w:rFonts w:ascii="Times New Roman"/>
                <w:sz w:val="18"/>
              </w:rPr>
            </w:pPr>
          </w:p>
        </w:tc>
      </w:tr>
      <w:tr>
        <w:trPr>
          <w:trHeight w:val="258" w:hRule="atLeast"/>
        </w:trPr>
        <w:tc>
          <w:tcPr>
            <w:tcW w:w="3442" w:type="dxa"/>
            <w:tcBorders>
              <w:top w:val="nil"/>
              <w:bottom w:val="nil"/>
            </w:tcBorders>
          </w:tcPr>
          <w:p>
            <w:pPr>
              <w:pStyle w:val="TableParagraph"/>
              <w:rPr>
                <w:rFonts w:ascii="Times New Roman"/>
                <w:sz w:val="18"/>
              </w:rPr>
            </w:pPr>
          </w:p>
        </w:tc>
        <w:tc>
          <w:tcPr>
            <w:tcW w:w="2648" w:type="dxa"/>
            <w:tcBorders>
              <w:top w:val="nil"/>
              <w:bottom w:val="nil"/>
            </w:tcBorders>
          </w:tcPr>
          <w:p>
            <w:pPr>
              <w:pStyle w:val="TableParagraph"/>
              <w:spacing w:line="239" w:lineRule="exact"/>
              <w:ind w:left="107"/>
              <w:rPr>
                <w:sz w:val="22"/>
              </w:rPr>
            </w:pPr>
            <w:r>
              <w:rPr>
                <w:sz w:val="22"/>
              </w:rPr>
              <w:t>change regarding</w:t>
            </w:r>
          </w:p>
        </w:tc>
        <w:tc>
          <w:tcPr>
            <w:tcW w:w="1407" w:type="dxa"/>
            <w:tcBorders>
              <w:top w:val="nil"/>
              <w:bottom w:val="nil"/>
            </w:tcBorders>
          </w:tcPr>
          <w:p>
            <w:pPr>
              <w:pStyle w:val="TableParagraph"/>
              <w:rPr>
                <w:rFonts w:ascii="Times New Roman"/>
                <w:sz w:val="18"/>
              </w:rPr>
            </w:pPr>
          </w:p>
        </w:tc>
        <w:tc>
          <w:tcPr>
            <w:tcW w:w="3097" w:type="dxa"/>
            <w:vMerge/>
            <w:tcBorders>
              <w:top w:val="nil"/>
            </w:tcBorders>
          </w:tcPr>
          <w:p>
            <w:pPr>
              <w:rPr>
                <w:sz w:val="2"/>
                <w:szCs w:val="2"/>
              </w:rPr>
            </w:pPr>
          </w:p>
        </w:tc>
        <w:tc>
          <w:tcPr>
            <w:tcW w:w="2346" w:type="dxa"/>
            <w:tcBorders>
              <w:top w:val="nil"/>
              <w:bottom w:val="nil"/>
            </w:tcBorders>
          </w:tcPr>
          <w:p>
            <w:pPr>
              <w:pStyle w:val="TableParagraph"/>
              <w:rPr>
                <w:rFonts w:ascii="Times New Roman"/>
                <w:sz w:val="18"/>
              </w:rPr>
            </w:pPr>
          </w:p>
        </w:tc>
      </w:tr>
      <w:tr>
        <w:trPr>
          <w:trHeight w:val="258" w:hRule="atLeast"/>
        </w:trPr>
        <w:tc>
          <w:tcPr>
            <w:tcW w:w="3442" w:type="dxa"/>
            <w:tcBorders>
              <w:top w:val="nil"/>
              <w:bottom w:val="nil"/>
            </w:tcBorders>
          </w:tcPr>
          <w:p>
            <w:pPr>
              <w:pStyle w:val="TableParagraph"/>
              <w:rPr>
                <w:rFonts w:ascii="Times New Roman"/>
                <w:sz w:val="18"/>
              </w:rPr>
            </w:pPr>
          </w:p>
        </w:tc>
        <w:tc>
          <w:tcPr>
            <w:tcW w:w="2648" w:type="dxa"/>
            <w:tcBorders>
              <w:top w:val="nil"/>
              <w:bottom w:val="nil"/>
            </w:tcBorders>
          </w:tcPr>
          <w:p>
            <w:pPr>
              <w:pStyle w:val="TableParagraph"/>
              <w:spacing w:line="239" w:lineRule="exact"/>
              <w:ind w:left="107"/>
              <w:rPr>
                <w:sz w:val="22"/>
              </w:rPr>
            </w:pPr>
            <w:r>
              <w:rPr>
                <w:sz w:val="22"/>
              </w:rPr>
              <w:t>accessibility, the case</w:t>
            </w:r>
          </w:p>
        </w:tc>
        <w:tc>
          <w:tcPr>
            <w:tcW w:w="1407" w:type="dxa"/>
            <w:tcBorders>
              <w:top w:val="nil"/>
              <w:bottom w:val="nil"/>
            </w:tcBorders>
          </w:tcPr>
          <w:p>
            <w:pPr>
              <w:pStyle w:val="TableParagraph"/>
              <w:rPr>
                <w:rFonts w:ascii="Times New Roman"/>
                <w:sz w:val="18"/>
              </w:rPr>
            </w:pPr>
          </w:p>
        </w:tc>
        <w:tc>
          <w:tcPr>
            <w:tcW w:w="3097" w:type="dxa"/>
            <w:vMerge/>
            <w:tcBorders>
              <w:top w:val="nil"/>
            </w:tcBorders>
          </w:tcPr>
          <w:p>
            <w:pPr>
              <w:rPr>
                <w:sz w:val="2"/>
                <w:szCs w:val="2"/>
              </w:rPr>
            </w:pPr>
          </w:p>
        </w:tc>
        <w:tc>
          <w:tcPr>
            <w:tcW w:w="2346" w:type="dxa"/>
            <w:tcBorders>
              <w:top w:val="nil"/>
              <w:bottom w:val="nil"/>
            </w:tcBorders>
          </w:tcPr>
          <w:p>
            <w:pPr>
              <w:pStyle w:val="TableParagraph"/>
              <w:rPr>
                <w:rFonts w:ascii="Times New Roman"/>
                <w:sz w:val="18"/>
              </w:rPr>
            </w:pPr>
          </w:p>
        </w:tc>
      </w:tr>
      <w:tr>
        <w:trPr>
          <w:trHeight w:val="258" w:hRule="atLeast"/>
        </w:trPr>
        <w:tc>
          <w:tcPr>
            <w:tcW w:w="3442" w:type="dxa"/>
            <w:tcBorders>
              <w:top w:val="nil"/>
              <w:bottom w:val="nil"/>
            </w:tcBorders>
          </w:tcPr>
          <w:p>
            <w:pPr>
              <w:pStyle w:val="TableParagraph"/>
              <w:rPr>
                <w:rFonts w:ascii="Times New Roman"/>
                <w:sz w:val="18"/>
              </w:rPr>
            </w:pPr>
          </w:p>
        </w:tc>
        <w:tc>
          <w:tcPr>
            <w:tcW w:w="2648" w:type="dxa"/>
            <w:tcBorders>
              <w:top w:val="nil"/>
              <w:bottom w:val="nil"/>
            </w:tcBorders>
          </w:tcPr>
          <w:p>
            <w:pPr>
              <w:pStyle w:val="TableParagraph"/>
              <w:spacing w:line="239" w:lineRule="exact"/>
              <w:ind w:left="107"/>
              <w:rPr>
                <w:sz w:val="22"/>
              </w:rPr>
            </w:pPr>
            <w:r>
              <w:rPr>
                <w:sz w:val="22"/>
              </w:rPr>
              <w:t>manager works with the</w:t>
            </w:r>
          </w:p>
        </w:tc>
        <w:tc>
          <w:tcPr>
            <w:tcW w:w="1407" w:type="dxa"/>
            <w:tcBorders>
              <w:top w:val="nil"/>
              <w:bottom w:val="nil"/>
            </w:tcBorders>
          </w:tcPr>
          <w:p>
            <w:pPr>
              <w:pStyle w:val="TableParagraph"/>
              <w:rPr>
                <w:rFonts w:ascii="Times New Roman"/>
                <w:sz w:val="18"/>
              </w:rPr>
            </w:pPr>
          </w:p>
        </w:tc>
        <w:tc>
          <w:tcPr>
            <w:tcW w:w="3097" w:type="dxa"/>
            <w:vMerge/>
            <w:tcBorders>
              <w:top w:val="nil"/>
            </w:tcBorders>
          </w:tcPr>
          <w:p>
            <w:pPr>
              <w:rPr>
                <w:sz w:val="2"/>
                <w:szCs w:val="2"/>
              </w:rPr>
            </w:pPr>
          </w:p>
        </w:tc>
        <w:tc>
          <w:tcPr>
            <w:tcW w:w="2346" w:type="dxa"/>
            <w:tcBorders>
              <w:top w:val="nil"/>
              <w:bottom w:val="nil"/>
            </w:tcBorders>
          </w:tcPr>
          <w:p>
            <w:pPr>
              <w:pStyle w:val="TableParagraph"/>
              <w:rPr>
                <w:rFonts w:ascii="Times New Roman"/>
                <w:sz w:val="18"/>
              </w:rPr>
            </w:pPr>
          </w:p>
        </w:tc>
      </w:tr>
      <w:tr>
        <w:trPr>
          <w:trHeight w:val="258" w:hRule="atLeast"/>
        </w:trPr>
        <w:tc>
          <w:tcPr>
            <w:tcW w:w="3442" w:type="dxa"/>
            <w:tcBorders>
              <w:top w:val="nil"/>
              <w:bottom w:val="nil"/>
            </w:tcBorders>
          </w:tcPr>
          <w:p>
            <w:pPr>
              <w:pStyle w:val="TableParagraph"/>
              <w:rPr>
                <w:rFonts w:ascii="Times New Roman"/>
                <w:sz w:val="18"/>
              </w:rPr>
            </w:pPr>
          </w:p>
        </w:tc>
        <w:tc>
          <w:tcPr>
            <w:tcW w:w="2648" w:type="dxa"/>
            <w:tcBorders>
              <w:top w:val="nil"/>
              <w:bottom w:val="nil"/>
            </w:tcBorders>
          </w:tcPr>
          <w:p>
            <w:pPr>
              <w:pStyle w:val="TableParagraph"/>
              <w:spacing w:line="239" w:lineRule="exact"/>
              <w:ind w:left="107"/>
              <w:rPr>
                <w:sz w:val="22"/>
              </w:rPr>
            </w:pPr>
            <w:r>
              <w:rPr>
                <w:sz w:val="22"/>
              </w:rPr>
              <w:t>resident and facility to</w:t>
            </w:r>
          </w:p>
        </w:tc>
        <w:tc>
          <w:tcPr>
            <w:tcW w:w="1407" w:type="dxa"/>
            <w:tcBorders>
              <w:top w:val="nil"/>
              <w:bottom w:val="nil"/>
            </w:tcBorders>
          </w:tcPr>
          <w:p>
            <w:pPr>
              <w:pStyle w:val="TableParagraph"/>
              <w:rPr>
                <w:rFonts w:ascii="Times New Roman"/>
                <w:sz w:val="18"/>
              </w:rPr>
            </w:pPr>
          </w:p>
        </w:tc>
        <w:tc>
          <w:tcPr>
            <w:tcW w:w="3097" w:type="dxa"/>
            <w:vMerge/>
            <w:tcBorders>
              <w:top w:val="nil"/>
            </w:tcBorders>
          </w:tcPr>
          <w:p>
            <w:pPr>
              <w:rPr>
                <w:sz w:val="2"/>
                <w:szCs w:val="2"/>
              </w:rPr>
            </w:pPr>
          </w:p>
        </w:tc>
        <w:tc>
          <w:tcPr>
            <w:tcW w:w="2346" w:type="dxa"/>
            <w:tcBorders>
              <w:top w:val="nil"/>
              <w:bottom w:val="nil"/>
            </w:tcBorders>
          </w:tcPr>
          <w:p>
            <w:pPr>
              <w:pStyle w:val="TableParagraph"/>
              <w:rPr>
                <w:rFonts w:ascii="Times New Roman"/>
                <w:sz w:val="18"/>
              </w:rPr>
            </w:pPr>
          </w:p>
        </w:tc>
      </w:tr>
      <w:tr>
        <w:trPr>
          <w:trHeight w:val="258" w:hRule="atLeast"/>
        </w:trPr>
        <w:tc>
          <w:tcPr>
            <w:tcW w:w="3442" w:type="dxa"/>
            <w:tcBorders>
              <w:top w:val="nil"/>
              <w:bottom w:val="nil"/>
            </w:tcBorders>
          </w:tcPr>
          <w:p>
            <w:pPr>
              <w:pStyle w:val="TableParagraph"/>
              <w:rPr>
                <w:rFonts w:ascii="Times New Roman"/>
                <w:sz w:val="18"/>
              </w:rPr>
            </w:pPr>
          </w:p>
        </w:tc>
        <w:tc>
          <w:tcPr>
            <w:tcW w:w="2648" w:type="dxa"/>
            <w:tcBorders>
              <w:top w:val="nil"/>
              <w:bottom w:val="nil"/>
            </w:tcBorders>
          </w:tcPr>
          <w:p>
            <w:pPr>
              <w:pStyle w:val="TableParagraph"/>
              <w:spacing w:line="239" w:lineRule="exact"/>
              <w:ind w:left="107"/>
              <w:rPr>
                <w:sz w:val="22"/>
              </w:rPr>
            </w:pPr>
            <w:r>
              <w:rPr>
                <w:sz w:val="22"/>
              </w:rPr>
              <w:t>accommodate the</w:t>
            </w:r>
          </w:p>
        </w:tc>
        <w:tc>
          <w:tcPr>
            <w:tcW w:w="1407" w:type="dxa"/>
            <w:tcBorders>
              <w:top w:val="nil"/>
              <w:bottom w:val="nil"/>
            </w:tcBorders>
          </w:tcPr>
          <w:p>
            <w:pPr>
              <w:pStyle w:val="TableParagraph"/>
              <w:rPr>
                <w:rFonts w:ascii="Times New Roman"/>
                <w:sz w:val="18"/>
              </w:rPr>
            </w:pPr>
          </w:p>
        </w:tc>
        <w:tc>
          <w:tcPr>
            <w:tcW w:w="3097" w:type="dxa"/>
            <w:vMerge/>
            <w:tcBorders>
              <w:top w:val="nil"/>
            </w:tcBorders>
          </w:tcPr>
          <w:p>
            <w:pPr>
              <w:rPr>
                <w:sz w:val="2"/>
                <w:szCs w:val="2"/>
              </w:rPr>
            </w:pPr>
          </w:p>
        </w:tc>
        <w:tc>
          <w:tcPr>
            <w:tcW w:w="2346" w:type="dxa"/>
            <w:tcBorders>
              <w:top w:val="nil"/>
              <w:bottom w:val="nil"/>
            </w:tcBorders>
          </w:tcPr>
          <w:p>
            <w:pPr>
              <w:pStyle w:val="TableParagraph"/>
              <w:rPr>
                <w:rFonts w:ascii="Times New Roman"/>
                <w:sz w:val="18"/>
              </w:rPr>
            </w:pPr>
          </w:p>
        </w:tc>
      </w:tr>
      <w:tr>
        <w:trPr>
          <w:trHeight w:val="258" w:hRule="atLeast"/>
        </w:trPr>
        <w:tc>
          <w:tcPr>
            <w:tcW w:w="3442" w:type="dxa"/>
            <w:tcBorders>
              <w:top w:val="nil"/>
              <w:bottom w:val="nil"/>
            </w:tcBorders>
          </w:tcPr>
          <w:p>
            <w:pPr>
              <w:pStyle w:val="TableParagraph"/>
              <w:rPr>
                <w:rFonts w:ascii="Times New Roman"/>
                <w:sz w:val="18"/>
              </w:rPr>
            </w:pPr>
          </w:p>
        </w:tc>
        <w:tc>
          <w:tcPr>
            <w:tcW w:w="2648" w:type="dxa"/>
            <w:tcBorders>
              <w:top w:val="nil"/>
              <w:bottom w:val="nil"/>
            </w:tcBorders>
          </w:tcPr>
          <w:p>
            <w:pPr>
              <w:pStyle w:val="TableParagraph"/>
              <w:spacing w:line="239" w:lineRule="exact"/>
              <w:ind w:left="107"/>
              <w:rPr>
                <w:sz w:val="22"/>
              </w:rPr>
            </w:pPr>
            <w:r>
              <w:rPr>
                <w:sz w:val="22"/>
              </w:rPr>
              <w:t>resident’s needs. As a part</w:t>
            </w:r>
          </w:p>
        </w:tc>
        <w:tc>
          <w:tcPr>
            <w:tcW w:w="1407" w:type="dxa"/>
            <w:tcBorders>
              <w:top w:val="nil"/>
              <w:bottom w:val="nil"/>
            </w:tcBorders>
          </w:tcPr>
          <w:p>
            <w:pPr>
              <w:pStyle w:val="TableParagraph"/>
              <w:rPr>
                <w:rFonts w:ascii="Times New Roman"/>
                <w:sz w:val="18"/>
              </w:rPr>
            </w:pPr>
          </w:p>
        </w:tc>
        <w:tc>
          <w:tcPr>
            <w:tcW w:w="3097" w:type="dxa"/>
            <w:vMerge/>
            <w:tcBorders>
              <w:top w:val="nil"/>
            </w:tcBorders>
          </w:tcPr>
          <w:p>
            <w:pPr>
              <w:rPr>
                <w:sz w:val="2"/>
                <w:szCs w:val="2"/>
              </w:rPr>
            </w:pPr>
          </w:p>
        </w:tc>
        <w:tc>
          <w:tcPr>
            <w:tcW w:w="2346" w:type="dxa"/>
            <w:tcBorders>
              <w:top w:val="nil"/>
              <w:bottom w:val="nil"/>
            </w:tcBorders>
          </w:tcPr>
          <w:p>
            <w:pPr>
              <w:pStyle w:val="TableParagraph"/>
              <w:rPr>
                <w:rFonts w:ascii="Times New Roman"/>
                <w:sz w:val="18"/>
              </w:rPr>
            </w:pPr>
          </w:p>
        </w:tc>
      </w:tr>
      <w:tr>
        <w:trPr>
          <w:trHeight w:val="258" w:hRule="atLeast"/>
        </w:trPr>
        <w:tc>
          <w:tcPr>
            <w:tcW w:w="3442" w:type="dxa"/>
            <w:tcBorders>
              <w:top w:val="nil"/>
              <w:bottom w:val="nil"/>
            </w:tcBorders>
          </w:tcPr>
          <w:p>
            <w:pPr>
              <w:pStyle w:val="TableParagraph"/>
              <w:rPr>
                <w:rFonts w:ascii="Times New Roman"/>
                <w:sz w:val="18"/>
              </w:rPr>
            </w:pPr>
          </w:p>
        </w:tc>
        <w:tc>
          <w:tcPr>
            <w:tcW w:w="2648" w:type="dxa"/>
            <w:tcBorders>
              <w:top w:val="nil"/>
              <w:bottom w:val="nil"/>
            </w:tcBorders>
          </w:tcPr>
          <w:p>
            <w:pPr>
              <w:pStyle w:val="TableParagraph"/>
              <w:spacing w:line="239" w:lineRule="exact"/>
              <w:ind w:left="107"/>
              <w:rPr>
                <w:sz w:val="22"/>
              </w:rPr>
            </w:pPr>
            <w:r>
              <w:rPr>
                <w:sz w:val="22"/>
              </w:rPr>
              <w:t>of the inspection process,</w:t>
            </w:r>
          </w:p>
        </w:tc>
        <w:tc>
          <w:tcPr>
            <w:tcW w:w="1407" w:type="dxa"/>
            <w:tcBorders>
              <w:top w:val="nil"/>
              <w:bottom w:val="nil"/>
            </w:tcBorders>
          </w:tcPr>
          <w:p>
            <w:pPr>
              <w:pStyle w:val="TableParagraph"/>
              <w:rPr>
                <w:rFonts w:ascii="Times New Roman"/>
                <w:sz w:val="18"/>
              </w:rPr>
            </w:pPr>
          </w:p>
        </w:tc>
        <w:tc>
          <w:tcPr>
            <w:tcW w:w="3097" w:type="dxa"/>
            <w:vMerge/>
            <w:tcBorders>
              <w:top w:val="nil"/>
            </w:tcBorders>
          </w:tcPr>
          <w:p>
            <w:pPr>
              <w:rPr>
                <w:sz w:val="2"/>
                <w:szCs w:val="2"/>
              </w:rPr>
            </w:pPr>
          </w:p>
        </w:tc>
        <w:tc>
          <w:tcPr>
            <w:tcW w:w="2346" w:type="dxa"/>
            <w:tcBorders>
              <w:top w:val="nil"/>
              <w:bottom w:val="nil"/>
            </w:tcBorders>
          </w:tcPr>
          <w:p>
            <w:pPr>
              <w:pStyle w:val="TableParagraph"/>
              <w:rPr>
                <w:rFonts w:ascii="Times New Roman"/>
                <w:sz w:val="18"/>
              </w:rPr>
            </w:pPr>
          </w:p>
        </w:tc>
      </w:tr>
      <w:tr>
        <w:trPr>
          <w:trHeight w:val="258" w:hRule="atLeast"/>
        </w:trPr>
        <w:tc>
          <w:tcPr>
            <w:tcW w:w="3442" w:type="dxa"/>
            <w:tcBorders>
              <w:top w:val="nil"/>
              <w:bottom w:val="nil"/>
            </w:tcBorders>
          </w:tcPr>
          <w:p>
            <w:pPr>
              <w:pStyle w:val="TableParagraph"/>
              <w:rPr>
                <w:rFonts w:ascii="Times New Roman"/>
                <w:sz w:val="18"/>
              </w:rPr>
            </w:pPr>
          </w:p>
        </w:tc>
        <w:tc>
          <w:tcPr>
            <w:tcW w:w="2648" w:type="dxa"/>
            <w:tcBorders>
              <w:top w:val="nil"/>
              <w:bottom w:val="nil"/>
            </w:tcBorders>
          </w:tcPr>
          <w:p>
            <w:pPr>
              <w:pStyle w:val="TableParagraph"/>
              <w:spacing w:line="239" w:lineRule="exact"/>
              <w:ind w:left="107"/>
              <w:rPr>
                <w:sz w:val="22"/>
              </w:rPr>
            </w:pPr>
            <w:r>
              <w:rPr>
                <w:sz w:val="22"/>
              </w:rPr>
              <w:t>licensors also look at</w:t>
            </w:r>
          </w:p>
        </w:tc>
        <w:tc>
          <w:tcPr>
            <w:tcW w:w="1407" w:type="dxa"/>
            <w:tcBorders>
              <w:top w:val="nil"/>
              <w:bottom w:val="nil"/>
            </w:tcBorders>
          </w:tcPr>
          <w:p>
            <w:pPr>
              <w:pStyle w:val="TableParagraph"/>
              <w:rPr>
                <w:rFonts w:ascii="Times New Roman"/>
                <w:sz w:val="18"/>
              </w:rPr>
            </w:pPr>
          </w:p>
        </w:tc>
        <w:tc>
          <w:tcPr>
            <w:tcW w:w="3097" w:type="dxa"/>
            <w:vMerge/>
            <w:tcBorders>
              <w:top w:val="nil"/>
            </w:tcBorders>
          </w:tcPr>
          <w:p>
            <w:pPr>
              <w:rPr>
                <w:sz w:val="2"/>
                <w:szCs w:val="2"/>
              </w:rPr>
            </w:pPr>
          </w:p>
        </w:tc>
        <w:tc>
          <w:tcPr>
            <w:tcW w:w="2346" w:type="dxa"/>
            <w:tcBorders>
              <w:top w:val="nil"/>
              <w:bottom w:val="nil"/>
            </w:tcBorders>
          </w:tcPr>
          <w:p>
            <w:pPr>
              <w:pStyle w:val="TableParagraph"/>
              <w:rPr>
                <w:rFonts w:ascii="Times New Roman"/>
                <w:sz w:val="18"/>
              </w:rPr>
            </w:pPr>
          </w:p>
        </w:tc>
      </w:tr>
      <w:tr>
        <w:trPr>
          <w:trHeight w:val="257" w:hRule="atLeast"/>
        </w:trPr>
        <w:tc>
          <w:tcPr>
            <w:tcW w:w="3442" w:type="dxa"/>
            <w:tcBorders>
              <w:top w:val="nil"/>
              <w:bottom w:val="nil"/>
            </w:tcBorders>
          </w:tcPr>
          <w:p>
            <w:pPr>
              <w:pStyle w:val="TableParagraph"/>
              <w:rPr>
                <w:rFonts w:ascii="Times New Roman"/>
                <w:sz w:val="18"/>
              </w:rPr>
            </w:pPr>
          </w:p>
        </w:tc>
        <w:tc>
          <w:tcPr>
            <w:tcW w:w="2648" w:type="dxa"/>
            <w:tcBorders>
              <w:top w:val="nil"/>
              <w:bottom w:val="nil"/>
            </w:tcBorders>
          </w:tcPr>
          <w:p>
            <w:pPr>
              <w:pStyle w:val="TableParagraph"/>
              <w:spacing w:line="238" w:lineRule="exact"/>
              <w:ind w:left="107"/>
              <w:rPr>
                <w:sz w:val="22"/>
              </w:rPr>
            </w:pPr>
            <w:r>
              <w:rPr>
                <w:sz w:val="22"/>
              </w:rPr>
              <w:t>residents and their</w:t>
            </w:r>
          </w:p>
        </w:tc>
        <w:tc>
          <w:tcPr>
            <w:tcW w:w="1407" w:type="dxa"/>
            <w:tcBorders>
              <w:top w:val="nil"/>
              <w:bottom w:val="nil"/>
            </w:tcBorders>
          </w:tcPr>
          <w:p>
            <w:pPr>
              <w:pStyle w:val="TableParagraph"/>
              <w:rPr>
                <w:rFonts w:ascii="Times New Roman"/>
                <w:sz w:val="18"/>
              </w:rPr>
            </w:pPr>
          </w:p>
        </w:tc>
        <w:tc>
          <w:tcPr>
            <w:tcW w:w="3097" w:type="dxa"/>
            <w:vMerge/>
            <w:tcBorders>
              <w:top w:val="nil"/>
            </w:tcBorders>
          </w:tcPr>
          <w:p>
            <w:pPr>
              <w:rPr>
                <w:sz w:val="2"/>
                <w:szCs w:val="2"/>
              </w:rPr>
            </w:pPr>
          </w:p>
        </w:tc>
        <w:tc>
          <w:tcPr>
            <w:tcW w:w="2346" w:type="dxa"/>
            <w:tcBorders>
              <w:top w:val="nil"/>
              <w:bottom w:val="nil"/>
            </w:tcBorders>
          </w:tcPr>
          <w:p>
            <w:pPr>
              <w:pStyle w:val="TableParagraph"/>
              <w:rPr>
                <w:rFonts w:ascii="Times New Roman"/>
                <w:sz w:val="18"/>
              </w:rPr>
            </w:pPr>
          </w:p>
        </w:tc>
      </w:tr>
      <w:tr>
        <w:trPr>
          <w:trHeight w:val="257" w:hRule="atLeast"/>
        </w:trPr>
        <w:tc>
          <w:tcPr>
            <w:tcW w:w="3442" w:type="dxa"/>
            <w:tcBorders>
              <w:top w:val="nil"/>
              <w:bottom w:val="nil"/>
            </w:tcBorders>
          </w:tcPr>
          <w:p>
            <w:pPr>
              <w:pStyle w:val="TableParagraph"/>
              <w:rPr>
                <w:rFonts w:ascii="Times New Roman"/>
                <w:sz w:val="18"/>
              </w:rPr>
            </w:pPr>
          </w:p>
        </w:tc>
        <w:tc>
          <w:tcPr>
            <w:tcW w:w="2648" w:type="dxa"/>
            <w:tcBorders>
              <w:top w:val="nil"/>
              <w:bottom w:val="nil"/>
            </w:tcBorders>
          </w:tcPr>
          <w:p>
            <w:pPr>
              <w:pStyle w:val="TableParagraph"/>
              <w:spacing w:line="238" w:lineRule="exact"/>
              <w:ind w:left="107"/>
              <w:rPr>
                <w:sz w:val="22"/>
              </w:rPr>
            </w:pPr>
            <w:r>
              <w:rPr>
                <w:sz w:val="22"/>
              </w:rPr>
              <w:t>assessments to make sure</w:t>
            </w:r>
          </w:p>
        </w:tc>
        <w:tc>
          <w:tcPr>
            <w:tcW w:w="1407" w:type="dxa"/>
            <w:tcBorders>
              <w:top w:val="nil"/>
              <w:bottom w:val="nil"/>
            </w:tcBorders>
          </w:tcPr>
          <w:p>
            <w:pPr>
              <w:pStyle w:val="TableParagraph"/>
              <w:rPr>
                <w:rFonts w:ascii="Times New Roman"/>
                <w:sz w:val="18"/>
              </w:rPr>
            </w:pPr>
          </w:p>
        </w:tc>
        <w:tc>
          <w:tcPr>
            <w:tcW w:w="3097" w:type="dxa"/>
            <w:vMerge/>
            <w:tcBorders>
              <w:top w:val="nil"/>
            </w:tcBorders>
          </w:tcPr>
          <w:p>
            <w:pPr>
              <w:rPr>
                <w:sz w:val="2"/>
                <w:szCs w:val="2"/>
              </w:rPr>
            </w:pPr>
          </w:p>
        </w:tc>
        <w:tc>
          <w:tcPr>
            <w:tcW w:w="2346" w:type="dxa"/>
            <w:tcBorders>
              <w:top w:val="nil"/>
              <w:bottom w:val="nil"/>
            </w:tcBorders>
          </w:tcPr>
          <w:p>
            <w:pPr>
              <w:pStyle w:val="TableParagraph"/>
              <w:rPr>
                <w:rFonts w:ascii="Times New Roman"/>
                <w:sz w:val="18"/>
              </w:rPr>
            </w:pPr>
          </w:p>
        </w:tc>
      </w:tr>
      <w:tr>
        <w:trPr>
          <w:trHeight w:val="258" w:hRule="atLeast"/>
        </w:trPr>
        <w:tc>
          <w:tcPr>
            <w:tcW w:w="3442" w:type="dxa"/>
            <w:tcBorders>
              <w:top w:val="nil"/>
              <w:bottom w:val="nil"/>
            </w:tcBorders>
          </w:tcPr>
          <w:p>
            <w:pPr>
              <w:pStyle w:val="TableParagraph"/>
              <w:rPr>
                <w:rFonts w:ascii="Times New Roman"/>
                <w:sz w:val="18"/>
              </w:rPr>
            </w:pPr>
          </w:p>
        </w:tc>
        <w:tc>
          <w:tcPr>
            <w:tcW w:w="2648" w:type="dxa"/>
            <w:tcBorders>
              <w:top w:val="nil"/>
              <w:bottom w:val="nil"/>
            </w:tcBorders>
          </w:tcPr>
          <w:p>
            <w:pPr>
              <w:pStyle w:val="TableParagraph"/>
              <w:spacing w:line="239" w:lineRule="exact"/>
              <w:ind w:left="107"/>
              <w:rPr>
                <w:sz w:val="22"/>
              </w:rPr>
            </w:pPr>
            <w:r>
              <w:rPr>
                <w:sz w:val="22"/>
              </w:rPr>
              <w:t>the setting, including</w:t>
            </w:r>
          </w:p>
        </w:tc>
        <w:tc>
          <w:tcPr>
            <w:tcW w:w="1407" w:type="dxa"/>
            <w:tcBorders>
              <w:top w:val="nil"/>
              <w:bottom w:val="nil"/>
            </w:tcBorders>
          </w:tcPr>
          <w:p>
            <w:pPr>
              <w:pStyle w:val="TableParagraph"/>
              <w:rPr>
                <w:rFonts w:ascii="Times New Roman"/>
                <w:sz w:val="18"/>
              </w:rPr>
            </w:pPr>
          </w:p>
        </w:tc>
        <w:tc>
          <w:tcPr>
            <w:tcW w:w="3097" w:type="dxa"/>
            <w:vMerge/>
            <w:tcBorders>
              <w:top w:val="nil"/>
            </w:tcBorders>
          </w:tcPr>
          <w:p>
            <w:pPr>
              <w:rPr>
                <w:sz w:val="2"/>
                <w:szCs w:val="2"/>
              </w:rPr>
            </w:pPr>
          </w:p>
        </w:tc>
        <w:tc>
          <w:tcPr>
            <w:tcW w:w="2346" w:type="dxa"/>
            <w:tcBorders>
              <w:top w:val="nil"/>
              <w:bottom w:val="nil"/>
            </w:tcBorders>
          </w:tcPr>
          <w:p>
            <w:pPr>
              <w:pStyle w:val="TableParagraph"/>
              <w:rPr>
                <w:rFonts w:ascii="Times New Roman"/>
                <w:sz w:val="18"/>
              </w:rPr>
            </w:pPr>
          </w:p>
        </w:tc>
      </w:tr>
      <w:tr>
        <w:trPr>
          <w:trHeight w:val="258" w:hRule="atLeast"/>
        </w:trPr>
        <w:tc>
          <w:tcPr>
            <w:tcW w:w="3442" w:type="dxa"/>
            <w:tcBorders>
              <w:top w:val="nil"/>
              <w:bottom w:val="nil"/>
            </w:tcBorders>
          </w:tcPr>
          <w:p>
            <w:pPr>
              <w:pStyle w:val="TableParagraph"/>
              <w:rPr>
                <w:rFonts w:ascii="Times New Roman"/>
                <w:sz w:val="18"/>
              </w:rPr>
            </w:pPr>
          </w:p>
        </w:tc>
        <w:tc>
          <w:tcPr>
            <w:tcW w:w="2648" w:type="dxa"/>
            <w:tcBorders>
              <w:top w:val="nil"/>
              <w:bottom w:val="nil"/>
            </w:tcBorders>
          </w:tcPr>
          <w:p>
            <w:pPr>
              <w:pStyle w:val="TableParagraph"/>
              <w:spacing w:line="239" w:lineRule="exact"/>
              <w:ind w:left="107"/>
              <w:rPr>
                <w:sz w:val="22"/>
              </w:rPr>
            </w:pPr>
            <w:r>
              <w:rPr>
                <w:sz w:val="22"/>
              </w:rPr>
              <w:t>physical plant</w:t>
            </w:r>
          </w:p>
        </w:tc>
        <w:tc>
          <w:tcPr>
            <w:tcW w:w="1407" w:type="dxa"/>
            <w:tcBorders>
              <w:top w:val="nil"/>
              <w:bottom w:val="nil"/>
            </w:tcBorders>
          </w:tcPr>
          <w:p>
            <w:pPr>
              <w:pStyle w:val="TableParagraph"/>
              <w:rPr>
                <w:rFonts w:ascii="Times New Roman"/>
                <w:sz w:val="18"/>
              </w:rPr>
            </w:pPr>
          </w:p>
        </w:tc>
        <w:tc>
          <w:tcPr>
            <w:tcW w:w="3097" w:type="dxa"/>
            <w:vMerge/>
            <w:tcBorders>
              <w:top w:val="nil"/>
            </w:tcBorders>
          </w:tcPr>
          <w:p>
            <w:pPr>
              <w:rPr>
                <w:sz w:val="2"/>
                <w:szCs w:val="2"/>
              </w:rPr>
            </w:pPr>
          </w:p>
        </w:tc>
        <w:tc>
          <w:tcPr>
            <w:tcW w:w="2346" w:type="dxa"/>
            <w:tcBorders>
              <w:top w:val="nil"/>
              <w:bottom w:val="nil"/>
            </w:tcBorders>
          </w:tcPr>
          <w:p>
            <w:pPr>
              <w:pStyle w:val="TableParagraph"/>
              <w:rPr>
                <w:rFonts w:ascii="Times New Roman"/>
                <w:sz w:val="18"/>
              </w:rPr>
            </w:pPr>
          </w:p>
        </w:tc>
      </w:tr>
      <w:tr>
        <w:trPr>
          <w:trHeight w:val="257" w:hRule="atLeast"/>
        </w:trPr>
        <w:tc>
          <w:tcPr>
            <w:tcW w:w="3442" w:type="dxa"/>
            <w:tcBorders>
              <w:top w:val="nil"/>
              <w:bottom w:val="nil"/>
            </w:tcBorders>
          </w:tcPr>
          <w:p>
            <w:pPr>
              <w:pStyle w:val="TableParagraph"/>
              <w:rPr>
                <w:rFonts w:ascii="Times New Roman"/>
                <w:sz w:val="18"/>
              </w:rPr>
            </w:pPr>
          </w:p>
        </w:tc>
        <w:tc>
          <w:tcPr>
            <w:tcW w:w="2648" w:type="dxa"/>
            <w:tcBorders>
              <w:top w:val="nil"/>
              <w:bottom w:val="nil"/>
            </w:tcBorders>
          </w:tcPr>
          <w:p>
            <w:pPr>
              <w:pStyle w:val="TableParagraph"/>
              <w:spacing w:line="238" w:lineRule="exact"/>
              <w:ind w:left="107"/>
              <w:rPr>
                <w:sz w:val="22"/>
              </w:rPr>
            </w:pPr>
            <w:r>
              <w:rPr>
                <w:sz w:val="22"/>
              </w:rPr>
              <w:t>requirements, is meeting</w:t>
            </w:r>
          </w:p>
        </w:tc>
        <w:tc>
          <w:tcPr>
            <w:tcW w:w="1407" w:type="dxa"/>
            <w:tcBorders>
              <w:top w:val="nil"/>
              <w:bottom w:val="nil"/>
            </w:tcBorders>
          </w:tcPr>
          <w:p>
            <w:pPr>
              <w:pStyle w:val="TableParagraph"/>
              <w:rPr>
                <w:rFonts w:ascii="Times New Roman"/>
                <w:sz w:val="18"/>
              </w:rPr>
            </w:pPr>
          </w:p>
        </w:tc>
        <w:tc>
          <w:tcPr>
            <w:tcW w:w="3097" w:type="dxa"/>
            <w:vMerge/>
            <w:tcBorders>
              <w:top w:val="nil"/>
            </w:tcBorders>
          </w:tcPr>
          <w:p>
            <w:pPr>
              <w:rPr>
                <w:sz w:val="2"/>
                <w:szCs w:val="2"/>
              </w:rPr>
            </w:pPr>
          </w:p>
        </w:tc>
        <w:tc>
          <w:tcPr>
            <w:tcW w:w="2346" w:type="dxa"/>
            <w:tcBorders>
              <w:top w:val="nil"/>
              <w:bottom w:val="nil"/>
            </w:tcBorders>
          </w:tcPr>
          <w:p>
            <w:pPr>
              <w:pStyle w:val="TableParagraph"/>
              <w:rPr>
                <w:rFonts w:ascii="Times New Roman"/>
                <w:sz w:val="18"/>
              </w:rPr>
            </w:pPr>
          </w:p>
        </w:tc>
      </w:tr>
      <w:tr>
        <w:trPr>
          <w:trHeight w:val="398" w:hRule="atLeast"/>
        </w:trPr>
        <w:tc>
          <w:tcPr>
            <w:tcW w:w="3442" w:type="dxa"/>
            <w:tcBorders>
              <w:top w:val="nil"/>
            </w:tcBorders>
          </w:tcPr>
          <w:p>
            <w:pPr>
              <w:pStyle w:val="TableParagraph"/>
              <w:rPr>
                <w:rFonts w:ascii="Times New Roman"/>
                <w:sz w:val="22"/>
              </w:rPr>
            </w:pPr>
          </w:p>
        </w:tc>
        <w:tc>
          <w:tcPr>
            <w:tcW w:w="2648" w:type="dxa"/>
            <w:tcBorders>
              <w:top w:val="nil"/>
            </w:tcBorders>
          </w:tcPr>
          <w:p>
            <w:pPr>
              <w:pStyle w:val="TableParagraph"/>
              <w:spacing w:line="243" w:lineRule="exact"/>
              <w:ind w:left="107"/>
              <w:rPr>
                <w:sz w:val="22"/>
              </w:rPr>
            </w:pPr>
            <w:r>
              <w:rPr>
                <w:sz w:val="22"/>
              </w:rPr>
              <w:t>their needs.</w:t>
            </w:r>
          </w:p>
        </w:tc>
        <w:tc>
          <w:tcPr>
            <w:tcW w:w="1407" w:type="dxa"/>
            <w:tcBorders>
              <w:top w:val="nil"/>
            </w:tcBorders>
          </w:tcPr>
          <w:p>
            <w:pPr>
              <w:pStyle w:val="TableParagraph"/>
              <w:rPr>
                <w:rFonts w:ascii="Times New Roman"/>
                <w:sz w:val="22"/>
              </w:rPr>
            </w:pPr>
          </w:p>
        </w:tc>
        <w:tc>
          <w:tcPr>
            <w:tcW w:w="3097" w:type="dxa"/>
            <w:vMerge/>
            <w:tcBorders>
              <w:top w:val="nil"/>
            </w:tcBorders>
          </w:tcPr>
          <w:p>
            <w:pPr>
              <w:rPr>
                <w:sz w:val="2"/>
                <w:szCs w:val="2"/>
              </w:rPr>
            </w:pPr>
          </w:p>
        </w:tc>
        <w:tc>
          <w:tcPr>
            <w:tcW w:w="2346" w:type="dxa"/>
            <w:tcBorders>
              <w:top w:val="nil"/>
            </w:tcBorders>
          </w:tcPr>
          <w:p>
            <w:pPr>
              <w:pStyle w:val="TableParagraph"/>
              <w:rPr>
                <w:rFonts w:ascii="Times New Roman"/>
                <w:sz w:val="22"/>
              </w:rPr>
            </w:pPr>
          </w:p>
        </w:tc>
      </w:tr>
    </w:tbl>
    <w:p>
      <w:pPr>
        <w:pStyle w:val="BodyText"/>
        <w:spacing w:before="9"/>
        <w:rPr>
          <w:b/>
          <w:sz w:val="20"/>
        </w:rPr>
      </w:pPr>
      <w:r>
        <w:rPr/>
        <w:pict>
          <v:shape style="position:absolute;margin-left:70.559998pt;margin-top:14.8795pt;width:650.9pt;height:.1pt;mso-position-horizontal-relative:page;mso-position-vertical-relative:paragraph;z-index:-251526144;mso-wrap-distance-left:0;mso-wrap-distance-right:0" coordorigin="1411,298" coordsize="13018,0" path="m1411,298l14429,298e" filled="false" stroked="true" strokeweight=".481pt" strokecolor="#d9d9d9">
            <v:path arrowok="t"/>
            <v:stroke dashstyle="solid"/>
            <w10:wrap type="topAndBottom"/>
          </v:shape>
        </w:pict>
      </w:r>
    </w:p>
    <w:p>
      <w:pPr>
        <w:spacing w:after="0"/>
        <w:rPr>
          <w:sz w:val="20"/>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2"/>
        <w:gridCol w:w="2648"/>
        <w:gridCol w:w="1407"/>
        <w:gridCol w:w="3097"/>
        <w:gridCol w:w="2346"/>
      </w:tblGrid>
      <w:tr>
        <w:trPr>
          <w:trHeight w:val="877" w:hRule="atLeast"/>
        </w:trPr>
        <w:tc>
          <w:tcPr>
            <w:tcW w:w="3442" w:type="dxa"/>
          </w:tcPr>
          <w:p>
            <w:pPr>
              <w:pStyle w:val="TableParagraph"/>
              <w:spacing w:line="292" w:lineRule="exact"/>
              <w:ind w:left="237"/>
              <w:rPr>
                <w:b/>
                <w:sz w:val="24"/>
              </w:rPr>
            </w:pPr>
            <w:r>
              <w:rPr>
                <w:b/>
                <w:sz w:val="24"/>
              </w:rPr>
              <w:t>Characteristics/Requirements</w:t>
            </w:r>
          </w:p>
        </w:tc>
        <w:tc>
          <w:tcPr>
            <w:tcW w:w="2648" w:type="dxa"/>
          </w:tcPr>
          <w:p>
            <w:pPr>
              <w:pStyle w:val="TableParagraph"/>
              <w:ind w:left="273" w:right="247" w:firstLine="180"/>
              <w:rPr>
                <w:b/>
                <w:sz w:val="24"/>
              </w:rPr>
            </w:pPr>
            <w:r>
              <w:rPr>
                <w:b/>
                <w:sz w:val="24"/>
              </w:rPr>
              <w:t>Community Crisis Stabilization Services</w:t>
            </w:r>
          </w:p>
          <w:p>
            <w:pPr>
              <w:pStyle w:val="TableParagraph"/>
              <w:spacing w:line="273" w:lineRule="exact"/>
              <w:ind w:left="508"/>
              <w:rPr>
                <w:b/>
                <w:sz w:val="24"/>
              </w:rPr>
            </w:pPr>
            <w:r>
              <w:rPr>
                <w:b/>
                <w:sz w:val="24"/>
              </w:rPr>
              <w:t>State Evaluation</w:t>
            </w:r>
          </w:p>
        </w:tc>
        <w:tc>
          <w:tcPr>
            <w:tcW w:w="1407" w:type="dxa"/>
          </w:tcPr>
          <w:p>
            <w:pPr>
              <w:pStyle w:val="TableParagraph"/>
              <w:ind w:left="442" w:right="95" w:hanging="327"/>
              <w:rPr>
                <w:b/>
                <w:sz w:val="24"/>
              </w:rPr>
            </w:pPr>
            <w:r>
              <w:rPr>
                <w:b/>
                <w:sz w:val="24"/>
              </w:rPr>
              <w:t>Compliance Level</w:t>
            </w:r>
          </w:p>
        </w:tc>
        <w:tc>
          <w:tcPr>
            <w:tcW w:w="3097" w:type="dxa"/>
          </w:tcPr>
          <w:p>
            <w:pPr>
              <w:pStyle w:val="TableParagraph"/>
              <w:spacing w:line="292" w:lineRule="exact"/>
              <w:ind w:left="660"/>
              <w:rPr>
                <w:b/>
                <w:sz w:val="24"/>
              </w:rPr>
            </w:pPr>
            <w:r>
              <w:rPr>
                <w:b/>
                <w:sz w:val="24"/>
              </w:rPr>
              <w:t>Oversight Process</w:t>
            </w:r>
          </w:p>
        </w:tc>
        <w:tc>
          <w:tcPr>
            <w:tcW w:w="2346" w:type="dxa"/>
          </w:tcPr>
          <w:p>
            <w:pPr>
              <w:pStyle w:val="TableParagraph"/>
              <w:spacing w:line="292" w:lineRule="exact"/>
              <w:ind w:left="529"/>
              <w:rPr>
                <w:b/>
                <w:sz w:val="24"/>
              </w:rPr>
            </w:pPr>
            <w:r>
              <w:rPr>
                <w:b/>
                <w:sz w:val="24"/>
              </w:rPr>
              <w:t>Remediation</w:t>
            </w:r>
          </w:p>
        </w:tc>
      </w:tr>
      <w:tr>
        <w:trPr>
          <w:trHeight w:val="1881" w:hRule="atLeast"/>
        </w:trPr>
        <w:tc>
          <w:tcPr>
            <w:tcW w:w="3442" w:type="dxa"/>
          </w:tcPr>
          <w:p>
            <w:pPr>
              <w:pStyle w:val="TableParagraph"/>
              <w:rPr>
                <w:rFonts w:ascii="Times New Roman"/>
                <w:sz w:val="22"/>
              </w:rPr>
            </w:pPr>
          </w:p>
        </w:tc>
        <w:tc>
          <w:tcPr>
            <w:tcW w:w="2648" w:type="dxa"/>
          </w:tcPr>
          <w:p>
            <w:pPr>
              <w:pStyle w:val="TableParagraph"/>
              <w:rPr>
                <w:rFonts w:ascii="Times New Roman"/>
                <w:sz w:val="22"/>
              </w:rPr>
            </w:pPr>
          </w:p>
        </w:tc>
        <w:tc>
          <w:tcPr>
            <w:tcW w:w="1407" w:type="dxa"/>
          </w:tcPr>
          <w:p>
            <w:pPr>
              <w:pStyle w:val="TableParagraph"/>
              <w:rPr>
                <w:rFonts w:ascii="Times New Roman"/>
                <w:sz w:val="22"/>
              </w:rPr>
            </w:pPr>
          </w:p>
        </w:tc>
        <w:tc>
          <w:tcPr>
            <w:tcW w:w="3097" w:type="dxa"/>
          </w:tcPr>
          <w:p>
            <w:pPr>
              <w:pStyle w:val="TableParagraph"/>
              <w:ind w:left="105" w:right="218"/>
              <w:rPr>
                <w:sz w:val="22"/>
              </w:rPr>
            </w:pPr>
            <w:r>
              <w:rPr>
                <w:sz w:val="22"/>
              </w:rPr>
              <w:t>regarding system and program enhancement.</w:t>
            </w:r>
          </w:p>
          <w:p>
            <w:pPr>
              <w:pStyle w:val="TableParagraph"/>
              <w:ind w:left="105" w:right="248"/>
              <w:rPr>
                <w:sz w:val="22"/>
              </w:rPr>
            </w:pPr>
            <w:r>
              <w:rPr>
                <w:sz w:val="22"/>
              </w:rPr>
              <w:t>On-site inspections ensure homes meet all licensing and certification requirements in WAC and RCW, including </w:t>
            </w:r>
            <w:r>
              <w:rPr>
                <w:color w:val="396230"/>
                <w:sz w:val="22"/>
              </w:rPr>
              <w:t>WAC</w:t>
            </w:r>
          </w:p>
          <w:p>
            <w:pPr>
              <w:pStyle w:val="TableParagraph"/>
              <w:spacing w:line="249" w:lineRule="exact"/>
              <w:ind w:left="105"/>
              <w:rPr>
                <w:sz w:val="22"/>
              </w:rPr>
            </w:pPr>
            <w:r>
              <w:rPr>
                <w:color w:val="396230"/>
                <w:sz w:val="22"/>
              </w:rPr>
              <w:t>388-823-1095.</w:t>
            </w:r>
          </w:p>
        </w:tc>
        <w:tc>
          <w:tcPr>
            <w:tcW w:w="2346" w:type="dxa"/>
          </w:tcPr>
          <w:p>
            <w:pPr>
              <w:pStyle w:val="TableParagraph"/>
              <w:rPr>
                <w:rFonts w:ascii="Times New Roman"/>
                <w:sz w:val="22"/>
              </w:rPr>
            </w:pPr>
          </w:p>
        </w:tc>
      </w:tr>
      <w:tr>
        <w:trPr>
          <w:trHeight w:val="3222" w:hRule="atLeast"/>
        </w:trPr>
        <w:tc>
          <w:tcPr>
            <w:tcW w:w="3442" w:type="dxa"/>
            <w:shd w:val="clear" w:color="auto" w:fill="D0E4CA"/>
          </w:tcPr>
          <w:p>
            <w:pPr>
              <w:pStyle w:val="TableParagraph"/>
              <w:ind w:left="107" w:right="149"/>
              <w:rPr>
                <w:b/>
                <w:sz w:val="22"/>
              </w:rPr>
            </w:pPr>
            <w:r>
              <w:rPr>
                <w:b/>
                <w:sz w:val="22"/>
              </w:rPr>
              <w:t>The setting that is located in a building that is also a publicly or privately operated facility that provides inpatient institutional treatment, or in a building on the grounds of, or immediately adjacent to, a public institution, or any other setting that has the effect of isolating individuals receiving Medicaid HCBS from the broader community of individuals</w:t>
            </w:r>
          </w:p>
          <w:p>
            <w:pPr>
              <w:pStyle w:val="TableParagraph"/>
              <w:spacing w:line="249" w:lineRule="exact"/>
              <w:ind w:left="107"/>
              <w:rPr>
                <w:b/>
                <w:sz w:val="22"/>
              </w:rPr>
            </w:pPr>
            <w:r>
              <w:rPr>
                <w:b/>
                <w:sz w:val="22"/>
              </w:rPr>
              <w:t>not receiving HCBS.</w:t>
            </w:r>
          </w:p>
        </w:tc>
        <w:tc>
          <w:tcPr>
            <w:tcW w:w="2648" w:type="dxa"/>
            <w:shd w:val="clear" w:color="auto" w:fill="D0E4CA"/>
          </w:tcPr>
          <w:p>
            <w:pPr>
              <w:pStyle w:val="TableParagraph"/>
              <w:ind w:left="107" w:right="196"/>
              <w:rPr>
                <w:sz w:val="22"/>
              </w:rPr>
            </w:pPr>
            <w:r>
              <w:rPr>
                <w:sz w:val="22"/>
              </w:rPr>
              <w:t>Not applicable. Community Crisis Stabilization Services is located in a single-family home in a typical residential neighborhood.</w:t>
            </w:r>
          </w:p>
        </w:tc>
        <w:tc>
          <w:tcPr>
            <w:tcW w:w="1407" w:type="dxa"/>
            <w:shd w:val="clear" w:color="auto" w:fill="D0E4CA"/>
          </w:tcPr>
          <w:p>
            <w:pPr>
              <w:pStyle w:val="TableParagraph"/>
              <w:ind w:left="106" w:right="350"/>
              <w:rPr>
                <w:sz w:val="22"/>
              </w:rPr>
            </w:pPr>
            <w:r>
              <w:rPr>
                <w:sz w:val="22"/>
              </w:rPr>
              <w:t>Fully Compliant</w:t>
            </w:r>
          </w:p>
        </w:tc>
        <w:tc>
          <w:tcPr>
            <w:tcW w:w="3097" w:type="dxa"/>
            <w:shd w:val="clear" w:color="auto" w:fill="D0E4CA"/>
          </w:tcPr>
          <w:p>
            <w:pPr>
              <w:pStyle w:val="TableParagraph"/>
              <w:rPr>
                <w:rFonts w:ascii="Times New Roman"/>
                <w:sz w:val="22"/>
              </w:rPr>
            </w:pPr>
          </w:p>
        </w:tc>
        <w:tc>
          <w:tcPr>
            <w:tcW w:w="2346" w:type="dxa"/>
            <w:shd w:val="clear" w:color="auto" w:fill="D0E4CA"/>
          </w:tcPr>
          <w:p>
            <w:pPr>
              <w:pStyle w:val="TableParagraph"/>
              <w:rPr>
                <w:rFonts w:ascii="Times New Roman"/>
                <w:sz w:val="22"/>
              </w:rPr>
            </w:pPr>
          </w:p>
        </w:tc>
      </w:tr>
      <w:tr>
        <w:trPr>
          <w:trHeight w:val="2685" w:hRule="atLeast"/>
        </w:trPr>
        <w:tc>
          <w:tcPr>
            <w:tcW w:w="3442" w:type="dxa"/>
          </w:tcPr>
          <w:p>
            <w:pPr>
              <w:pStyle w:val="TableParagraph"/>
              <w:ind w:left="107" w:right="204"/>
              <w:rPr>
                <w:b/>
                <w:sz w:val="22"/>
              </w:rPr>
            </w:pPr>
            <w:r>
              <w:rPr>
                <w:b/>
                <w:sz w:val="22"/>
              </w:rPr>
              <w:t>The unit or room is a specific physical place that can be owned, rented or occupied under another legally enforceable agreement by the individual receiving services, and the individual has, at a minimum, the same responsibilities and protections from eviction that tenants have</w:t>
            </w:r>
          </w:p>
          <w:p>
            <w:pPr>
              <w:pStyle w:val="TableParagraph"/>
              <w:spacing w:line="249" w:lineRule="exact"/>
              <w:ind w:left="107"/>
              <w:rPr>
                <w:b/>
                <w:sz w:val="22"/>
              </w:rPr>
            </w:pPr>
            <w:r>
              <w:rPr>
                <w:b/>
                <w:sz w:val="22"/>
              </w:rPr>
              <w:t>under the landlord tenant law of</w:t>
            </w:r>
          </w:p>
        </w:tc>
        <w:tc>
          <w:tcPr>
            <w:tcW w:w="2648" w:type="dxa"/>
          </w:tcPr>
          <w:p>
            <w:pPr>
              <w:pStyle w:val="TableParagraph"/>
              <w:ind w:left="107" w:right="137"/>
              <w:rPr>
                <w:sz w:val="22"/>
              </w:rPr>
            </w:pPr>
            <w:r>
              <w:rPr>
                <w:sz w:val="22"/>
              </w:rPr>
              <w:t>Not applicable. CCSS is not the residence of the participant but a temporary treatment setting where 24 hours a day/7 days a week behavioral health and crisis stabilization services and supports are available</w:t>
            </w:r>
          </w:p>
          <w:p>
            <w:pPr>
              <w:pStyle w:val="TableParagraph"/>
              <w:spacing w:line="249" w:lineRule="exact"/>
              <w:ind w:left="107"/>
              <w:rPr>
                <w:sz w:val="22"/>
              </w:rPr>
            </w:pPr>
            <w:r>
              <w:rPr>
                <w:sz w:val="22"/>
              </w:rPr>
              <w:t>for eligible participants.</w:t>
            </w:r>
          </w:p>
        </w:tc>
        <w:tc>
          <w:tcPr>
            <w:tcW w:w="1407" w:type="dxa"/>
          </w:tcPr>
          <w:p>
            <w:pPr>
              <w:pStyle w:val="TableParagraph"/>
              <w:ind w:left="106" w:right="350"/>
              <w:rPr>
                <w:sz w:val="22"/>
              </w:rPr>
            </w:pPr>
            <w:r>
              <w:rPr>
                <w:sz w:val="22"/>
              </w:rPr>
              <w:t>Fully Compliant</w:t>
            </w:r>
          </w:p>
        </w:tc>
        <w:tc>
          <w:tcPr>
            <w:tcW w:w="3097" w:type="dxa"/>
          </w:tcPr>
          <w:p>
            <w:pPr>
              <w:pStyle w:val="TableParagraph"/>
              <w:rPr>
                <w:rFonts w:ascii="Times New Roman"/>
                <w:sz w:val="22"/>
              </w:rPr>
            </w:pPr>
          </w:p>
        </w:tc>
        <w:tc>
          <w:tcPr>
            <w:tcW w:w="2346" w:type="dxa"/>
          </w:tcPr>
          <w:p>
            <w:pPr>
              <w:pStyle w:val="TableParagraph"/>
              <w:rPr>
                <w:rFonts w:ascii="Times New Roman"/>
                <w:sz w:val="22"/>
              </w:rPr>
            </w:pPr>
          </w:p>
        </w:tc>
      </w:tr>
    </w:tbl>
    <w:p>
      <w:pPr>
        <w:pStyle w:val="BodyText"/>
        <w:rPr>
          <w:b/>
          <w:sz w:val="20"/>
        </w:rPr>
      </w:pPr>
    </w:p>
    <w:p>
      <w:pPr>
        <w:pStyle w:val="BodyText"/>
        <w:spacing w:before="5"/>
        <w:rPr>
          <w:b/>
          <w:sz w:val="18"/>
        </w:rPr>
      </w:pPr>
      <w:r>
        <w:rPr/>
        <w:pict>
          <v:shape style="position:absolute;margin-left:70.559998pt;margin-top:13.472468pt;width:650.9pt;height:.1pt;mso-position-horizontal-relative:page;mso-position-vertical-relative:paragraph;z-index:-251525120;mso-wrap-distance-left:0;mso-wrap-distance-right:0" coordorigin="1411,269" coordsize="13018,0" path="m1411,269l14429,269e" filled="false" stroked="true" strokeweight=".481pt" strokecolor="#d9d9d9">
            <v:path arrowok="t"/>
            <v:stroke dashstyle="solid"/>
            <w10:wrap type="topAndBottom"/>
          </v:shape>
        </w:pict>
      </w:r>
    </w:p>
    <w:p>
      <w:pPr>
        <w:spacing w:after="0"/>
        <w:rPr>
          <w:sz w:val="1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2"/>
        <w:gridCol w:w="2648"/>
        <w:gridCol w:w="1407"/>
        <w:gridCol w:w="3097"/>
        <w:gridCol w:w="2346"/>
      </w:tblGrid>
      <w:tr>
        <w:trPr>
          <w:trHeight w:val="877" w:hRule="atLeast"/>
        </w:trPr>
        <w:tc>
          <w:tcPr>
            <w:tcW w:w="3442" w:type="dxa"/>
          </w:tcPr>
          <w:p>
            <w:pPr>
              <w:pStyle w:val="TableParagraph"/>
              <w:spacing w:line="292" w:lineRule="exact"/>
              <w:ind w:left="237"/>
              <w:rPr>
                <w:b/>
                <w:sz w:val="24"/>
              </w:rPr>
            </w:pPr>
            <w:r>
              <w:rPr>
                <w:b/>
                <w:sz w:val="24"/>
              </w:rPr>
              <w:t>Characteristics/Requirements</w:t>
            </w:r>
          </w:p>
        </w:tc>
        <w:tc>
          <w:tcPr>
            <w:tcW w:w="2648" w:type="dxa"/>
          </w:tcPr>
          <w:p>
            <w:pPr>
              <w:pStyle w:val="TableParagraph"/>
              <w:ind w:left="273" w:right="247" w:firstLine="180"/>
              <w:rPr>
                <w:b/>
                <w:sz w:val="24"/>
              </w:rPr>
            </w:pPr>
            <w:r>
              <w:rPr>
                <w:b/>
                <w:sz w:val="24"/>
              </w:rPr>
              <w:t>Community Crisis Stabilization Services</w:t>
            </w:r>
          </w:p>
          <w:p>
            <w:pPr>
              <w:pStyle w:val="TableParagraph"/>
              <w:spacing w:line="273" w:lineRule="exact"/>
              <w:ind w:left="508"/>
              <w:rPr>
                <w:b/>
                <w:sz w:val="24"/>
              </w:rPr>
            </w:pPr>
            <w:r>
              <w:rPr>
                <w:b/>
                <w:sz w:val="24"/>
              </w:rPr>
              <w:t>State Evaluation</w:t>
            </w:r>
          </w:p>
        </w:tc>
        <w:tc>
          <w:tcPr>
            <w:tcW w:w="1407" w:type="dxa"/>
          </w:tcPr>
          <w:p>
            <w:pPr>
              <w:pStyle w:val="TableParagraph"/>
              <w:ind w:left="442" w:right="95" w:hanging="327"/>
              <w:rPr>
                <w:b/>
                <w:sz w:val="24"/>
              </w:rPr>
            </w:pPr>
            <w:r>
              <w:rPr>
                <w:b/>
                <w:sz w:val="24"/>
              </w:rPr>
              <w:t>Compliance Level</w:t>
            </w:r>
          </w:p>
        </w:tc>
        <w:tc>
          <w:tcPr>
            <w:tcW w:w="3097" w:type="dxa"/>
          </w:tcPr>
          <w:p>
            <w:pPr>
              <w:pStyle w:val="TableParagraph"/>
              <w:spacing w:line="292" w:lineRule="exact"/>
              <w:ind w:left="660"/>
              <w:rPr>
                <w:b/>
                <w:sz w:val="24"/>
              </w:rPr>
            </w:pPr>
            <w:r>
              <w:rPr>
                <w:b/>
                <w:sz w:val="24"/>
              </w:rPr>
              <w:t>Oversight Process</w:t>
            </w:r>
          </w:p>
        </w:tc>
        <w:tc>
          <w:tcPr>
            <w:tcW w:w="2346" w:type="dxa"/>
          </w:tcPr>
          <w:p>
            <w:pPr>
              <w:pStyle w:val="TableParagraph"/>
              <w:spacing w:line="292" w:lineRule="exact"/>
              <w:ind w:left="529"/>
              <w:rPr>
                <w:b/>
                <w:sz w:val="24"/>
              </w:rPr>
            </w:pPr>
            <w:r>
              <w:rPr>
                <w:b/>
                <w:sz w:val="24"/>
              </w:rPr>
              <w:t>Remediation</w:t>
            </w:r>
          </w:p>
        </w:tc>
      </w:tr>
      <w:tr>
        <w:trPr>
          <w:trHeight w:val="539" w:hRule="atLeast"/>
        </w:trPr>
        <w:tc>
          <w:tcPr>
            <w:tcW w:w="3442" w:type="dxa"/>
          </w:tcPr>
          <w:p>
            <w:pPr>
              <w:pStyle w:val="TableParagraph"/>
              <w:spacing w:line="268" w:lineRule="exact"/>
              <w:ind w:left="107"/>
              <w:rPr>
                <w:b/>
                <w:sz w:val="22"/>
              </w:rPr>
            </w:pPr>
            <w:r>
              <w:rPr>
                <w:b/>
                <w:sz w:val="22"/>
              </w:rPr>
              <w:t>the State, county, city or other</w:t>
            </w:r>
          </w:p>
          <w:p>
            <w:pPr>
              <w:pStyle w:val="TableParagraph"/>
              <w:spacing w:line="252" w:lineRule="exact"/>
              <w:ind w:left="107"/>
              <w:rPr>
                <w:b/>
                <w:sz w:val="22"/>
              </w:rPr>
            </w:pPr>
            <w:r>
              <w:rPr>
                <w:b/>
                <w:sz w:val="22"/>
              </w:rPr>
              <w:t>designated entity.</w:t>
            </w:r>
          </w:p>
        </w:tc>
        <w:tc>
          <w:tcPr>
            <w:tcW w:w="2648" w:type="dxa"/>
          </w:tcPr>
          <w:p>
            <w:pPr>
              <w:pStyle w:val="TableParagraph"/>
              <w:rPr>
                <w:rFonts w:ascii="Times New Roman"/>
                <w:sz w:val="22"/>
              </w:rPr>
            </w:pPr>
          </w:p>
        </w:tc>
        <w:tc>
          <w:tcPr>
            <w:tcW w:w="1407" w:type="dxa"/>
          </w:tcPr>
          <w:p>
            <w:pPr>
              <w:pStyle w:val="TableParagraph"/>
              <w:rPr>
                <w:rFonts w:ascii="Times New Roman"/>
                <w:sz w:val="22"/>
              </w:rPr>
            </w:pPr>
          </w:p>
        </w:tc>
        <w:tc>
          <w:tcPr>
            <w:tcW w:w="3097" w:type="dxa"/>
          </w:tcPr>
          <w:p>
            <w:pPr>
              <w:pStyle w:val="TableParagraph"/>
              <w:rPr>
                <w:rFonts w:ascii="Times New Roman"/>
                <w:sz w:val="22"/>
              </w:rPr>
            </w:pPr>
          </w:p>
        </w:tc>
        <w:tc>
          <w:tcPr>
            <w:tcW w:w="2346" w:type="dxa"/>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
        <w:rPr>
          <w:b/>
          <w:sz w:val="13"/>
        </w:rPr>
      </w:pPr>
      <w:r>
        <w:rPr/>
        <w:pict>
          <v:shape style="position:absolute;margin-left:70.559998pt;margin-top:10.741531pt;width:650.9pt;height:.1pt;mso-position-horizontal-relative:page;mso-position-vertical-relative:paragraph;z-index:-251524096;mso-wrap-distance-left:0;mso-wrap-distance-right:0" coordorigin="1411,215" coordsize="13018,0" path="m1411,215l14429,215e" filled="false" stroked="true" strokeweight=".481pt" strokecolor="#d9d9d9">
            <v:path arrowok="t"/>
            <v:stroke dashstyle="solid"/>
            <w10:wrap type="topAndBottom"/>
          </v:shape>
        </w:pict>
      </w:r>
    </w:p>
    <w:p>
      <w:pPr>
        <w:spacing w:after="0"/>
        <w:rPr>
          <w:sz w:val="13"/>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1" w:right="2956" w:firstLine="0"/>
        <w:jc w:val="center"/>
        <w:rPr>
          <w:b/>
          <w:sz w:val="28"/>
        </w:rPr>
      </w:pPr>
      <w:bookmarkStart w:name="Vehicle Modification Providers" w:id="73"/>
      <w:bookmarkEnd w:id="73"/>
      <w:r>
        <w:rPr/>
      </w:r>
      <w:bookmarkStart w:name="_bookmark33" w:id="74"/>
      <w:bookmarkEnd w:id="74"/>
      <w:r>
        <w:rPr/>
      </w:r>
      <w:r>
        <w:rPr>
          <w:b/>
          <w:sz w:val="28"/>
        </w:rPr>
        <w:t>Vehicle Modification Providers</w:t>
      </w:r>
    </w:p>
    <w:p>
      <w:pPr>
        <w:pStyle w:val="BodyText"/>
        <w:rPr>
          <w:b/>
          <w:sz w:val="28"/>
        </w:rPr>
      </w:pPr>
    </w:p>
    <w:p>
      <w:pPr>
        <w:pStyle w:val="BodyText"/>
        <w:spacing w:line="276" w:lineRule="auto" w:before="242"/>
        <w:ind w:left="1060" w:right="1135"/>
      </w:pPr>
      <w:r>
        <w:rPr/>
        <w:t>Setting Description: These providers are located in typical community locations (such as car repair shops, care dealers, and vehicle modification shops). All community members have free access to these services and settings including both Medicaid and non-Medicaid funded participants.</w:t>
      </w:r>
    </w:p>
    <w:p>
      <w:pPr>
        <w:pStyle w:val="BodyText"/>
        <w:spacing w:before="6"/>
        <w:rPr>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799"/>
        <w:gridCol w:w="3600"/>
        <w:gridCol w:w="1440"/>
        <w:gridCol w:w="4229"/>
      </w:tblGrid>
      <w:tr>
        <w:trPr>
          <w:trHeight w:val="586" w:hRule="atLeast"/>
        </w:trPr>
        <w:tc>
          <w:tcPr>
            <w:tcW w:w="3799" w:type="dxa"/>
            <w:tcBorders>
              <w:bottom w:val="single" w:sz="18" w:space="0" w:color="4E8542"/>
            </w:tcBorders>
          </w:tcPr>
          <w:p>
            <w:pPr>
              <w:pStyle w:val="TableParagraph"/>
              <w:spacing w:before="1"/>
              <w:ind w:left="414"/>
              <w:rPr>
                <w:b/>
                <w:sz w:val="24"/>
              </w:rPr>
            </w:pPr>
            <w:r>
              <w:rPr>
                <w:b/>
                <w:sz w:val="24"/>
              </w:rPr>
              <w:t>Characteristics/Requirements</w:t>
            </w:r>
          </w:p>
        </w:tc>
        <w:tc>
          <w:tcPr>
            <w:tcW w:w="3600" w:type="dxa"/>
            <w:tcBorders>
              <w:bottom w:val="single" w:sz="18" w:space="0" w:color="4E8542"/>
            </w:tcBorders>
          </w:tcPr>
          <w:p>
            <w:pPr>
              <w:pStyle w:val="TableParagraph"/>
              <w:spacing w:line="290" w:lineRule="atLeast" w:before="1"/>
              <w:ind w:left="983" w:right="230" w:hanging="718"/>
              <w:rPr>
                <w:b/>
                <w:sz w:val="24"/>
              </w:rPr>
            </w:pPr>
            <w:r>
              <w:rPr>
                <w:b/>
                <w:sz w:val="24"/>
              </w:rPr>
              <w:t>Vehicle Modification Providers State Evaluation</w:t>
            </w:r>
          </w:p>
        </w:tc>
        <w:tc>
          <w:tcPr>
            <w:tcW w:w="1440" w:type="dxa"/>
            <w:tcBorders>
              <w:bottom w:val="single" w:sz="18" w:space="0" w:color="4E8542"/>
            </w:tcBorders>
          </w:tcPr>
          <w:p>
            <w:pPr>
              <w:pStyle w:val="TableParagraph"/>
              <w:spacing w:line="290" w:lineRule="atLeast" w:before="1"/>
              <w:ind w:left="460" w:right="100" w:hanging="327"/>
              <w:rPr>
                <w:b/>
                <w:sz w:val="24"/>
              </w:rPr>
            </w:pPr>
            <w:r>
              <w:rPr>
                <w:b/>
                <w:sz w:val="24"/>
              </w:rPr>
              <w:t>Compliance Level</w:t>
            </w:r>
          </w:p>
        </w:tc>
        <w:tc>
          <w:tcPr>
            <w:tcW w:w="4229" w:type="dxa"/>
            <w:tcBorders>
              <w:bottom w:val="single" w:sz="18" w:space="0" w:color="4E8542"/>
            </w:tcBorders>
          </w:tcPr>
          <w:p>
            <w:pPr>
              <w:pStyle w:val="TableParagraph"/>
              <w:spacing w:before="1"/>
              <w:ind w:left="1228"/>
              <w:rPr>
                <w:b/>
                <w:sz w:val="24"/>
              </w:rPr>
            </w:pPr>
            <w:r>
              <w:rPr>
                <w:b/>
                <w:sz w:val="24"/>
              </w:rPr>
              <w:t>Oversight Process</w:t>
            </w:r>
          </w:p>
        </w:tc>
      </w:tr>
      <w:tr>
        <w:trPr>
          <w:trHeight w:val="2149" w:hRule="atLeast"/>
        </w:trPr>
        <w:tc>
          <w:tcPr>
            <w:tcW w:w="3799" w:type="dxa"/>
            <w:tcBorders>
              <w:top w:val="single" w:sz="18" w:space="0" w:color="4E8542"/>
            </w:tcBorders>
            <w:shd w:val="clear" w:color="auto" w:fill="D0E4CA"/>
          </w:tcPr>
          <w:p>
            <w:pPr>
              <w:pStyle w:val="TableParagraph"/>
              <w:ind w:left="107" w:right="124"/>
              <w:rPr>
                <w:b/>
                <w:sz w:val="22"/>
              </w:rPr>
            </w:pPr>
            <w:r>
              <w:rPr>
                <w:b/>
                <w:sz w:val="22"/>
              </w:rPr>
              <w:t>Individual choice regarding services and supports, and who provides them, is facilitated.</w:t>
            </w:r>
          </w:p>
        </w:tc>
        <w:tc>
          <w:tcPr>
            <w:tcW w:w="3600" w:type="dxa"/>
            <w:tcBorders>
              <w:top w:val="single" w:sz="18" w:space="0" w:color="4E8542"/>
            </w:tcBorders>
            <w:shd w:val="clear" w:color="auto" w:fill="D0E4CA"/>
          </w:tcPr>
          <w:p>
            <w:pPr>
              <w:pStyle w:val="TableParagraph"/>
              <w:ind w:left="107" w:right="215"/>
              <w:rPr>
                <w:sz w:val="22"/>
              </w:rPr>
            </w:pPr>
            <w:r>
              <w:rPr>
                <w:sz w:val="22"/>
              </w:rPr>
              <w:t>During the assessment and planning process, case managers inform participants of all options regarding services and providers, and ensure that this is documented either by client signature or in the client’s service episode record.</w:t>
            </w:r>
          </w:p>
        </w:tc>
        <w:tc>
          <w:tcPr>
            <w:tcW w:w="1440" w:type="dxa"/>
            <w:tcBorders>
              <w:top w:val="single" w:sz="18" w:space="0" w:color="4E8542"/>
            </w:tcBorders>
            <w:shd w:val="clear" w:color="auto" w:fill="D0E4CA"/>
          </w:tcPr>
          <w:p>
            <w:pPr>
              <w:pStyle w:val="TableParagraph"/>
              <w:ind w:left="107" w:right="372"/>
              <w:rPr>
                <w:sz w:val="22"/>
              </w:rPr>
            </w:pPr>
            <w:r>
              <w:rPr>
                <w:sz w:val="22"/>
              </w:rPr>
              <w:t>Fully Compliant</w:t>
            </w:r>
          </w:p>
        </w:tc>
        <w:tc>
          <w:tcPr>
            <w:tcW w:w="4229" w:type="dxa"/>
            <w:tcBorders>
              <w:top w:val="single" w:sz="18" w:space="0" w:color="4E8542"/>
            </w:tcBorders>
            <w:shd w:val="clear" w:color="auto" w:fill="D0E4CA"/>
          </w:tcPr>
          <w:p>
            <w:pPr>
              <w:pStyle w:val="TableParagraph"/>
              <w:ind w:left="107" w:right="258"/>
              <w:rPr>
                <w:sz w:val="22"/>
              </w:rPr>
            </w:pPr>
            <w:r>
              <w:rPr>
                <w:sz w:val="22"/>
              </w:rPr>
              <w:t>Monitoring is conducted during the annual Quality Assurance monitoring cycle.</w:t>
            </w:r>
          </w:p>
        </w:tc>
      </w:tr>
      <w:tr>
        <w:trPr>
          <w:trHeight w:val="4566" w:hRule="atLeast"/>
        </w:trPr>
        <w:tc>
          <w:tcPr>
            <w:tcW w:w="3799" w:type="dxa"/>
          </w:tcPr>
          <w:p>
            <w:pPr>
              <w:pStyle w:val="TableParagraph"/>
              <w:ind w:left="107" w:right="101"/>
              <w:rPr>
                <w:b/>
                <w:sz w:val="22"/>
              </w:rPr>
            </w:pPr>
            <w:r>
              <w:rPr>
                <w:b/>
                <w:sz w:val="22"/>
              </w:rPr>
              <w:t>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 degree of access as individuals not receiving Medicaid HCBS.</w:t>
            </w:r>
          </w:p>
        </w:tc>
        <w:tc>
          <w:tcPr>
            <w:tcW w:w="3600" w:type="dxa"/>
          </w:tcPr>
          <w:p>
            <w:pPr>
              <w:pStyle w:val="TableParagraph"/>
              <w:ind w:left="107" w:right="293"/>
              <w:rPr>
                <w:sz w:val="22"/>
              </w:rPr>
            </w:pPr>
            <w:r>
              <w:rPr>
                <w:sz w:val="22"/>
              </w:rPr>
              <w:t>The settings are integrated into the greater community and do not preclude access to the community.</w:t>
            </w:r>
          </w:p>
          <w:p>
            <w:pPr>
              <w:pStyle w:val="TableParagraph"/>
              <w:spacing w:before="9"/>
              <w:rPr>
                <w:sz w:val="21"/>
              </w:rPr>
            </w:pPr>
          </w:p>
          <w:p>
            <w:pPr>
              <w:pStyle w:val="TableParagraph"/>
              <w:spacing w:before="1"/>
              <w:ind w:left="107" w:right="151"/>
              <w:rPr>
                <w:sz w:val="22"/>
              </w:rPr>
            </w:pPr>
            <w:r>
              <w:rPr>
                <w:sz w:val="22"/>
              </w:rPr>
              <w:t>Washington's legislature has codified its intent that choice, participation, privacy, and the opportunity to engage in religious, political, recreational, and other social activities foster a sense of self-worth and enhance the quality of life for long-term care participants.</w:t>
            </w:r>
          </w:p>
          <w:p>
            <w:pPr>
              <w:pStyle w:val="TableParagraph"/>
              <w:spacing w:before="11"/>
              <w:rPr>
                <w:sz w:val="21"/>
              </w:rPr>
            </w:pPr>
          </w:p>
          <w:p>
            <w:pPr>
              <w:pStyle w:val="TableParagraph"/>
              <w:ind w:left="107" w:right="168"/>
              <w:jc w:val="both"/>
              <w:rPr>
                <w:sz w:val="22"/>
              </w:rPr>
            </w:pPr>
            <w:r>
              <w:rPr>
                <w:sz w:val="22"/>
              </w:rPr>
              <w:t>Washington State Law provides clear protections of rights. </w:t>
            </w:r>
            <w:hyperlink r:id="rId92">
              <w:r>
                <w:rPr>
                  <w:color w:val="6B9F24"/>
                  <w:sz w:val="22"/>
                  <w:u w:val="single" w:color="6B9F24"/>
                </w:rPr>
                <w:t>Chapter 49.60</w:t>
              </w:r>
            </w:hyperlink>
            <w:r>
              <w:rPr>
                <w:color w:val="6B9F24"/>
                <w:sz w:val="22"/>
              </w:rPr>
              <w:t> </w:t>
            </w:r>
            <w:r>
              <w:rPr>
                <w:sz w:val="22"/>
              </w:rPr>
              <w:t>RCW is the state's law against</w:t>
            </w:r>
          </w:p>
          <w:p>
            <w:pPr>
              <w:pStyle w:val="TableParagraph"/>
              <w:spacing w:line="251" w:lineRule="exact" w:before="1"/>
              <w:ind w:left="107"/>
              <w:jc w:val="both"/>
              <w:rPr>
                <w:sz w:val="22"/>
              </w:rPr>
            </w:pPr>
            <w:r>
              <w:rPr>
                <w:sz w:val="22"/>
              </w:rPr>
              <w:t>discrimination and which created the</w:t>
            </w:r>
          </w:p>
        </w:tc>
        <w:tc>
          <w:tcPr>
            <w:tcW w:w="1440" w:type="dxa"/>
          </w:tcPr>
          <w:p>
            <w:pPr>
              <w:pStyle w:val="TableParagraph"/>
              <w:ind w:left="107" w:right="372"/>
              <w:rPr>
                <w:sz w:val="22"/>
              </w:rPr>
            </w:pPr>
            <w:r>
              <w:rPr>
                <w:sz w:val="22"/>
              </w:rPr>
              <w:t>Fully Compliant</w:t>
            </w:r>
          </w:p>
        </w:tc>
        <w:tc>
          <w:tcPr>
            <w:tcW w:w="4229" w:type="dxa"/>
          </w:tcPr>
          <w:p>
            <w:pPr>
              <w:pStyle w:val="TableParagraph"/>
              <w:ind w:left="107" w:right="178"/>
              <w:rPr>
                <w:sz w:val="22"/>
              </w:rPr>
            </w:pPr>
            <w:r>
              <w:rPr>
                <w:sz w:val="22"/>
              </w:rPr>
              <w:t>Automotive Repair Providers are governed by </w:t>
            </w:r>
            <w:hyperlink r:id="rId110">
              <w:r>
                <w:rPr>
                  <w:color w:val="6B9F24"/>
                  <w:sz w:val="22"/>
                  <w:u w:val="single" w:color="6B9F24"/>
                </w:rPr>
                <w:t>Chapter 46.71 RCW</w:t>
              </w:r>
              <w:r>
                <w:rPr>
                  <w:sz w:val="22"/>
                </w:rPr>
                <w:t>.</w:t>
              </w:r>
            </w:hyperlink>
            <w:r>
              <w:rPr>
                <w:sz w:val="22"/>
              </w:rPr>
              <w:t> Complaints regarding auto repairs can be submitted to the Washington Attorney General’s Consumer Protection Division. These providers are also required to have a business license from the Washington State Dept. of Revenue.</w:t>
            </w:r>
          </w:p>
        </w:tc>
      </w:tr>
    </w:tbl>
    <w:p>
      <w:pPr>
        <w:pStyle w:val="BodyText"/>
        <w:spacing w:before="10"/>
        <w:rPr>
          <w:sz w:val="5"/>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footerReference w:type="default" r:id="rId109"/>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799"/>
        <w:gridCol w:w="3600"/>
        <w:gridCol w:w="1440"/>
        <w:gridCol w:w="4229"/>
      </w:tblGrid>
      <w:tr>
        <w:trPr>
          <w:trHeight w:val="584" w:hRule="atLeast"/>
        </w:trPr>
        <w:tc>
          <w:tcPr>
            <w:tcW w:w="3799" w:type="dxa"/>
            <w:tcBorders>
              <w:bottom w:val="single" w:sz="18" w:space="0" w:color="4E8542"/>
            </w:tcBorders>
          </w:tcPr>
          <w:p>
            <w:pPr>
              <w:pStyle w:val="TableParagraph"/>
              <w:spacing w:line="292" w:lineRule="exact"/>
              <w:ind w:left="414"/>
              <w:rPr>
                <w:b/>
                <w:sz w:val="24"/>
              </w:rPr>
            </w:pPr>
            <w:r>
              <w:rPr>
                <w:b/>
                <w:sz w:val="24"/>
              </w:rPr>
              <w:t>Characteristics/Requirements</w:t>
            </w:r>
          </w:p>
        </w:tc>
        <w:tc>
          <w:tcPr>
            <w:tcW w:w="3600" w:type="dxa"/>
            <w:tcBorders>
              <w:bottom w:val="single" w:sz="18" w:space="0" w:color="4E8542"/>
            </w:tcBorders>
          </w:tcPr>
          <w:p>
            <w:pPr>
              <w:pStyle w:val="TableParagraph"/>
              <w:spacing w:line="292" w:lineRule="exact"/>
              <w:ind w:left="122" w:right="102"/>
              <w:jc w:val="center"/>
              <w:rPr>
                <w:b/>
                <w:sz w:val="24"/>
              </w:rPr>
            </w:pPr>
            <w:r>
              <w:rPr>
                <w:b/>
                <w:sz w:val="24"/>
              </w:rPr>
              <w:t>Vehicle Modification Providers</w:t>
            </w:r>
          </w:p>
          <w:p>
            <w:pPr>
              <w:pStyle w:val="TableParagraph"/>
              <w:spacing w:line="272" w:lineRule="exact"/>
              <w:ind w:left="121" w:right="103"/>
              <w:jc w:val="center"/>
              <w:rPr>
                <w:b/>
                <w:sz w:val="24"/>
              </w:rPr>
            </w:pPr>
            <w:r>
              <w:rPr>
                <w:b/>
                <w:sz w:val="24"/>
              </w:rPr>
              <w:t>State Evaluation</w:t>
            </w:r>
          </w:p>
        </w:tc>
        <w:tc>
          <w:tcPr>
            <w:tcW w:w="1440" w:type="dxa"/>
            <w:tcBorders>
              <w:bottom w:val="single" w:sz="18" w:space="0" w:color="4E8542"/>
            </w:tcBorders>
          </w:tcPr>
          <w:p>
            <w:pPr>
              <w:pStyle w:val="TableParagraph"/>
              <w:spacing w:line="292" w:lineRule="exact"/>
              <w:ind w:left="115" w:right="98"/>
              <w:jc w:val="center"/>
              <w:rPr>
                <w:b/>
                <w:sz w:val="24"/>
              </w:rPr>
            </w:pPr>
            <w:r>
              <w:rPr>
                <w:b/>
                <w:sz w:val="24"/>
              </w:rPr>
              <w:t>Compliance</w:t>
            </w:r>
          </w:p>
          <w:p>
            <w:pPr>
              <w:pStyle w:val="TableParagraph"/>
              <w:spacing w:line="272" w:lineRule="exact"/>
              <w:ind w:left="111" w:right="98"/>
              <w:jc w:val="center"/>
              <w:rPr>
                <w:b/>
                <w:sz w:val="24"/>
              </w:rPr>
            </w:pPr>
            <w:r>
              <w:rPr>
                <w:b/>
                <w:sz w:val="24"/>
              </w:rPr>
              <w:t>Level</w:t>
            </w:r>
          </w:p>
        </w:tc>
        <w:tc>
          <w:tcPr>
            <w:tcW w:w="4229" w:type="dxa"/>
            <w:tcBorders>
              <w:bottom w:val="single" w:sz="18" w:space="0" w:color="4E8542"/>
            </w:tcBorders>
          </w:tcPr>
          <w:p>
            <w:pPr>
              <w:pStyle w:val="TableParagraph"/>
              <w:spacing w:line="292" w:lineRule="exact"/>
              <w:ind w:left="1228"/>
              <w:rPr>
                <w:b/>
                <w:sz w:val="24"/>
              </w:rPr>
            </w:pPr>
            <w:r>
              <w:rPr>
                <w:b/>
                <w:sz w:val="24"/>
              </w:rPr>
              <w:t>Oversight Process</w:t>
            </w:r>
          </w:p>
        </w:tc>
      </w:tr>
      <w:tr>
        <w:trPr>
          <w:trHeight w:val="1856" w:hRule="atLeast"/>
        </w:trPr>
        <w:tc>
          <w:tcPr>
            <w:tcW w:w="3799" w:type="dxa"/>
            <w:tcBorders>
              <w:top w:val="single" w:sz="18" w:space="0" w:color="4E8542"/>
            </w:tcBorders>
          </w:tcPr>
          <w:p>
            <w:pPr>
              <w:pStyle w:val="TableParagraph"/>
              <w:rPr>
                <w:rFonts w:ascii="Times New Roman"/>
                <w:sz w:val="22"/>
              </w:rPr>
            </w:pPr>
          </w:p>
        </w:tc>
        <w:tc>
          <w:tcPr>
            <w:tcW w:w="3600" w:type="dxa"/>
            <w:tcBorders>
              <w:top w:val="single" w:sz="18" w:space="0" w:color="4E8542"/>
            </w:tcBorders>
          </w:tcPr>
          <w:p>
            <w:pPr>
              <w:pStyle w:val="TableParagraph"/>
              <w:spacing w:line="245" w:lineRule="exact"/>
              <w:ind w:left="107"/>
              <w:rPr>
                <w:sz w:val="22"/>
              </w:rPr>
            </w:pPr>
            <w:r>
              <w:rPr>
                <w:sz w:val="22"/>
              </w:rPr>
              <w:t>Washington State Human Rights</w:t>
            </w:r>
          </w:p>
          <w:p>
            <w:pPr>
              <w:pStyle w:val="TableParagraph"/>
              <w:ind w:left="107" w:right="112"/>
              <w:rPr>
                <w:sz w:val="22"/>
              </w:rPr>
            </w:pPr>
            <w:r>
              <w:rPr>
                <w:sz w:val="22"/>
              </w:rPr>
              <w:t>Commission to develop policies and rules to eliminate and prevent discrimination. </w:t>
            </w:r>
            <w:hyperlink r:id="rId102">
              <w:r>
                <w:rPr>
                  <w:color w:val="6B9F24"/>
                  <w:sz w:val="22"/>
                  <w:u w:val="single" w:color="6B9F24"/>
                </w:rPr>
                <w:t>Chapter 162-26 WAC</w:t>
              </w:r>
            </w:hyperlink>
            <w:r>
              <w:rPr>
                <w:color w:val="6B9F24"/>
                <w:sz w:val="22"/>
              </w:rPr>
              <w:t> </w:t>
            </w:r>
            <w:r>
              <w:rPr>
                <w:sz w:val="22"/>
              </w:rPr>
              <w:t>identifies unfair practices to include reasonable accommodations,</w:t>
            </w:r>
          </w:p>
          <w:p>
            <w:pPr>
              <w:pStyle w:val="TableParagraph"/>
              <w:spacing w:line="248" w:lineRule="exact"/>
              <w:ind w:left="107"/>
              <w:rPr>
                <w:sz w:val="22"/>
              </w:rPr>
            </w:pPr>
            <w:r>
              <w:rPr>
                <w:sz w:val="22"/>
              </w:rPr>
              <w:t>accessibility and service animals.</w:t>
            </w:r>
          </w:p>
        </w:tc>
        <w:tc>
          <w:tcPr>
            <w:tcW w:w="1440" w:type="dxa"/>
            <w:tcBorders>
              <w:top w:val="single" w:sz="18" w:space="0" w:color="4E8542"/>
            </w:tcBorders>
          </w:tcPr>
          <w:p>
            <w:pPr>
              <w:pStyle w:val="TableParagraph"/>
              <w:rPr>
                <w:rFonts w:ascii="Times New Roman"/>
                <w:sz w:val="22"/>
              </w:rPr>
            </w:pPr>
          </w:p>
        </w:tc>
        <w:tc>
          <w:tcPr>
            <w:tcW w:w="4229" w:type="dxa"/>
            <w:tcBorders>
              <w:top w:val="single" w:sz="18" w:space="0" w:color="4E8542"/>
            </w:tcBorders>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5"/>
        </w:rPr>
      </w:pPr>
      <w:r>
        <w:rPr/>
        <w:pict>
          <v:shape style="position:absolute;margin-left:70.559998pt;margin-top:17.896687pt;width:650.9pt;height:.1pt;mso-position-horizontal-relative:page;mso-position-vertical-relative:paragraph;z-index:-251522048;mso-wrap-distance-left:0;mso-wrap-distance-right:0" coordorigin="1411,358" coordsize="13018,0" path="m1411,358l14429,358e" filled="false" stroked="true" strokeweight=".481pt" strokecolor="#d9d9d9">
            <v:path arrowok="t"/>
            <v:stroke dashstyle="solid"/>
            <w10:wrap type="topAndBottom"/>
          </v:shape>
        </w:pict>
      </w:r>
    </w:p>
    <w:p>
      <w:pPr>
        <w:spacing w:after="0"/>
        <w:rPr>
          <w:sz w:val="25"/>
        </w:rPr>
        <w:sectPr>
          <w:footerReference w:type="default" r:id="rId111"/>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121"/>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1" w:right="2956" w:firstLine="0"/>
        <w:jc w:val="center"/>
        <w:rPr>
          <w:b/>
          <w:sz w:val="28"/>
        </w:rPr>
      </w:pPr>
      <w:bookmarkStart w:name="Veterinarians for Service Animals" w:id="75"/>
      <w:bookmarkEnd w:id="75"/>
      <w:r>
        <w:rPr/>
      </w:r>
      <w:bookmarkStart w:name="_bookmark34" w:id="76"/>
      <w:bookmarkEnd w:id="76"/>
      <w:r>
        <w:rPr/>
      </w:r>
      <w:r>
        <w:rPr>
          <w:b/>
          <w:sz w:val="28"/>
        </w:rPr>
        <w:t>Veterinarians for Service Animals</w:t>
      </w:r>
    </w:p>
    <w:p>
      <w:pPr>
        <w:pStyle w:val="BodyText"/>
        <w:rPr>
          <w:b/>
          <w:sz w:val="28"/>
        </w:rPr>
      </w:pPr>
    </w:p>
    <w:p>
      <w:pPr>
        <w:pStyle w:val="BodyText"/>
        <w:spacing w:line="276" w:lineRule="auto" w:before="242"/>
        <w:ind w:left="1060" w:right="1192"/>
      </w:pPr>
      <w:r>
        <w:rPr/>
        <w:t>Setting Description: These providers are located in typical community locations (such as veterinarian offices and clinics). All community members have free access to these services and settings including both Medicaid and non-Medicaid funded participants.</w:t>
      </w:r>
    </w:p>
    <w:p>
      <w:pPr>
        <w:pStyle w:val="BodyText"/>
        <w:spacing w:before="6"/>
        <w:rPr>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799"/>
        <w:gridCol w:w="3600"/>
        <w:gridCol w:w="1440"/>
        <w:gridCol w:w="4320"/>
      </w:tblGrid>
      <w:tr>
        <w:trPr>
          <w:trHeight w:val="586" w:hRule="atLeast"/>
        </w:trPr>
        <w:tc>
          <w:tcPr>
            <w:tcW w:w="3799" w:type="dxa"/>
            <w:tcBorders>
              <w:bottom w:val="single" w:sz="18" w:space="0" w:color="4E8542"/>
            </w:tcBorders>
          </w:tcPr>
          <w:p>
            <w:pPr>
              <w:pStyle w:val="TableParagraph"/>
              <w:spacing w:before="1"/>
              <w:ind w:left="414"/>
              <w:rPr>
                <w:b/>
                <w:sz w:val="24"/>
              </w:rPr>
            </w:pPr>
            <w:r>
              <w:rPr>
                <w:b/>
                <w:sz w:val="24"/>
              </w:rPr>
              <w:t>Characteristics/Requirements</w:t>
            </w:r>
          </w:p>
        </w:tc>
        <w:tc>
          <w:tcPr>
            <w:tcW w:w="3600" w:type="dxa"/>
            <w:tcBorders>
              <w:bottom w:val="single" w:sz="18" w:space="0" w:color="4E8542"/>
            </w:tcBorders>
          </w:tcPr>
          <w:p>
            <w:pPr>
              <w:pStyle w:val="TableParagraph"/>
              <w:spacing w:line="290" w:lineRule="atLeast" w:before="1"/>
              <w:ind w:left="983" w:right="106" w:hanging="843"/>
              <w:rPr>
                <w:b/>
                <w:sz w:val="24"/>
              </w:rPr>
            </w:pPr>
            <w:r>
              <w:rPr>
                <w:b/>
                <w:sz w:val="24"/>
              </w:rPr>
              <w:t>Veterinarians for Service Animals State Evaluation</w:t>
            </w:r>
          </w:p>
        </w:tc>
        <w:tc>
          <w:tcPr>
            <w:tcW w:w="1440" w:type="dxa"/>
            <w:tcBorders>
              <w:bottom w:val="single" w:sz="18" w:space="0" w:color="4E8542"/>
            </w:tcBorders>
          </w:tcPr>
          <w:p>
            <w:pPr>
              <w:pStyle w:val="TableParagraph"/>
              <w:spacing w:line="290" w:lineRule="atLeast" w:before="1"/>
              <w:ind w:left="460" w:right="100" w:hanging="327"/>
              <w:rPr>
                <w:b/>
                <w:sz w:val="24"/>
              </w:rPr>
            </w:pPr>
            <w:r>
              <w:rPr>
                <w:b/>
                <w:sz w:val="24"/>
              </w:rPr>
              <w:t>Compliance Level</w:t>
            </w:r>
          </w:p>
        </w:tc>
        <w:tc>
          <w:tcPr>
            <w:tcW w:w="4320" w:type="dxa"/>
            <w:tcBorders>
              <w:bottom w:val="single" w:sz="18" w:space="0" w:color="4E8542"/>
            </w:tcBorders>
          </w:tcPr>
          <w:p>
            <w:pPr>
              <w:pStyle w:val="TableParagraph"/>
              <w:spacing w:before="1"/>
              <w:ind w:left="1274"/>
              <w:rPr>
                <w:b/>
                <w:sz w:val="24"/>
              </w:rPr>
            </w:pPr>
            <w:r>
              <w:rPr>
                <w:b/>
                <w:sz w:val="24"/>
              </w:rPr>
              <w:t>Oversight Process</w:t>
            </w:r>
          </w:p>
        </w:tc>
      </w:tr>
      <w:tr>
        <w:trPr>
          <w:trHeight w:val="2149" w:hRule="atLeast"/>
        </w:trPr>
        <w:tc>
          <w:tcPr>
            <w:tcW w:w="3799" w:type="dxa"/>
            <w:tcBorders>
              <w:top w:val="single" w:sz="18" w:space="0" w:color="4E8542"/>
            </w:tcBorders>
            <w:shd w:val="clear" w:color="auto" w:fill="D0E4CA"/>
          </w:tcPr>
          <w:p>
            <w:pPr>
              <w:pStyle w:val="TableParagraph"/>
              <w:ind w:left="107" w:right="124"/>
              <w:rPr>
                <w:b/>
                <w:sz w:val="22"/>
              </w:rPr>
            </w:pPr>
            <w:r>
              <w:rPr>
                <w:b/>
                <w:sz w:val="22"/>
              </w:rPr>
              <w:t>Individual choice regarding services and supports, and who provides them, is facilitated.</w:t>
            </w:r>
          </w:p>
        </w:tc>
        <w:tc>
          <w:tcPr>
            <w:tcW w:w="3600" w:type="dxa"/>
            <w:tcBorders>
              <w:top w:val="single" w:sz="18" w:space="0" w:color="4E8542"/>
            </w:tcBorders>
            <w:shd w:val="clear" w:color="auto" w:fill="D0E4CA"/>
          </w:tcPr>
          <w:p>
            <w:pPr>
              <w:pStyle w:val="TableParagraph"/>
              <w:ind w:left="107" w:right="215"/>
              <w:rPr>
                <w:sz w:val="22"/>
              </w:rPr>
            </w:pPr>
            <w:r>
              <w:rPr>
                <w:sz w:val="22"/>
              </w:rPr>
              <w:t>During the assessment and planning process, case managers inform participants of all options regarding services and providers, and ensure that this is documented either by client signature or in the client’s service episode record.</w:t>
            </w:r>
          </w:p>
        </w:tc>
        <w:tc>
          <w:tcPr>
            <w:tcW w:w="1440" w:type="dxa"/>
            <w:tcBorders>
              <w:top w:val="single" w:sz="18" w:space="0" w:color="4E8542"/>
            </w:tcBorders>
            <w:shd w:val="clear" w:color="auto" w:fill="D0E4CA"/>
          </w:tcPr>
          <w:p>
            <w:pPr>
              <w:pStyle w:val="TableParagraph"/>
              <w:ind w:left="107" w:right="372"/>
              <w:rPr>
                <w:sz w:val="22"/>
              </w:rPr>
            </w:pPr>
            <w:r>
              <w:rPr>
                <w:sz w:val="22"/>
              </w:rPr>
              <w:t>Fully Compliant</w:t>
            </w:r>
          </w:p>
        </w:tc>
        <w:tc>
          <w:tcPr>
            <w:tcW w:w="4320" w:type="dxa"/>
            <w:tcBorders>
              <w:top w:val="single" w:sz="18" w:space="0" w:color="4E8542"/>
            </w:tcBorders>
            <w:shd w:val="clear" w:color="auto" w:fill="D0E4CA"/>
          </w:tcPr>
          <w:p>
            <w:pPr>
              <w:pStyle w:val="TableParagraph"/>
              <w:ind w:left="107" w:right="349"/>
              <w:rPr>
                <w:sz w:val="22"/>
              </w:rPr>
            </w:pPr>
            <w:r>
              <w:rPr>
                <w:sz w:val="22"/>
              </w:rPr>
              <w:t>Monitoring is conducted during the annual Quality Assurance monitoring cycle.</w:t>
            </w:r>
          </w:p>
        </w:tc>
      </w:tr>
      <w:tr>
        <w:trPr>
          <w:trHeight w:val="4566" w:hRule="atLeast"/>
        </w:trPr>
        <w:tc>
          <w:tcPr>
            <w:tcW w:w="3799" w:type="dxa"/>
          </w:tcPr>
          <w:p>
            <w:pPr>
              <w:pStyle w:val="TableParagraph"/>
              <w:ind w:left="107" w:right="101"/>
              <w:rPr>
                <w:b/>
                <w:sz w:val="22"/>
              </w:rPr>
            </w:pPr>
            <w:r>
              <w:rPr>
                <w:b/>
                <w:sz w:val="22"/>
              </w:rPr>
              <w:t>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 degree of access as individuals not receiving Medicaid HCBS.</w:t>
            </w:r>
          </w:p>
        </w:tc>
        <w:tc>
          <w:tcPr>
            <w:tcW w:w="3600" w:type="dxa"/>
          </w:tcPr>
          <w:p>
            <w:pPr>
              <w:pStyle w:val="TableParagraph"/>
              <w:ind w:left="107" w:right="293"/>
              <w:rPr>
                <w:sz w:val="22"/>
              </w:rPr>
            </w:pPr>
            <w:r>
              <w:rPr>
                <w:sz w:val="22"/>
              </w:rPr>
              <w:t>The settings are integrated into the greater community and do not preclude access to the community.</w:t>
            </w:r>
          </w:p>
          <w:p>
            <w:pPr>
              <w:pStyle w:val="TableParagraph"/>
              <w:spacing w:before="9"/>
              <w:rPr>
                <w:sz w:val="21"/>
              </w:rPr>
            </w:pPr>
          </w:p>
          <w:p>
            <w:pPr>
              <w:pStyle w:val="TableParagraph"/>
              <w:spacing w:before="1"/>
              <w:ind w:left="107" w:right="151"/>
              <w:rPr>
                <w:sz w:val="22"/>
              </w:rPr>
            </w:pPr>
            <w:r>
              <w:rPr>
                <w:sz w:val="22"/>
              </w:rPr>
              <w:t>Washington's legislature has codified its intent that choice, participation, privacy, and the opportunity to engage in religious, political, recreational, and other social activities foster a sense of self-worth and enhance the quality of life for long-term care participants.</w:t>
            </w:r>
          </w:p>
          <w:p>
            <w:pPr>
              <w:pStyle w:val="TableParagraph"/>
              <w:spacing w:before="11"/>
              <w:rPr>
                <w:sz w:val="21"/>
              </w:rPr>
            </w:pPr>
          </w:p>
          <w:p>
            <w:pPr>
              <w:pStyle w:val="TableParagraph"/>
              <w:ind w:left="107" w:right="168"/>
              <w:jc w:val="both"/>
              <w:rPr>
                <w:sz w:val="22"/>
              </w:rPr>
            </w:pPr>
            <w:r>
              <w:rPr>
                <w:sz w:val="22"/>
              </w:rPr>
              <w:t>Washington State Law provides clear protections of rights. </w:t>
            </w:r>
            <w:hyperlink r:id="rId92">
              <w:r>
                <w:rPr>
                  <w:color w:val="6B9F24"/>
                  <w:sz w:val="22"/>
                  <w:u w:val="single" w:color="6B9F24"/>
                </w:rPr>
                <w:t>Chapter 49.60</w:t>
              </w:r>
            </w:hyperlink>
            <w:r>
              <w:rPr>
                <w:color w:val="6B9F24"/>
                <w:sz w:val="22"/>
              </w:rPr>
              <w:t> </w:t>
            </w:r>
            <w:r>
              <w:rPr>
                <w:sz w:val="22"/>
              </w:rPr>
              <w:t>RCW is the state's law against</w:t>
            </w:r>
          </w:p>
          <w:p>
            <w:pPr>
              <w:pStyle w:val="TableParagraph"/>
              <w:spacing w:line="251" w:lineRule="exact" w:before="1"/>
              <w:ind w:left="107"/>
              <w:jc w:val="both"/>
              <w:rPr>
                <w:sz w:val="22"/>
              </w:rPr>
            </w:pPr>
            <w:r>
              <w:rPr>
                <w:sz w:val="22"/>
              </w:rPr>
              <w:t>discrimination and which created the</w:t>
            </w:r>
          </w:p>
        </w:tc>
        <w:tc>
          <w:tcPr>
            <w:tcW w:w="1440" w:type="dxa"/>
          </w:tcPr>
          <w:p>
            <w:pPr>
              <w:pStyle w:val="TableParagraph"/>
              <w:ind w:left="107" w:right="372"/>
              <w:rPr>
                <w:sz w:val="22"/>
              </w:rPr>
            </w:pPr>
            <w:r>
              <w:rPr>
                <w:sz w:val="22"/>
              </w:rPr>
              <w:t>Fully Compliant</w:t>
            </w:r>
          </w:p>
        </w:tc>
        <w:tc>
          <w:tcPr>
            <w:tcW w:w="4320" w:type="dxa"/>
          </w:tcPr>
          <w:p>
            <w:pPr>
              <w:pStyle w:val="TableParagraph"/>
              <w:ind w:left="107" w:right="491"/>
              <w:rPr>
                <w:sz w:val="22"/>
              </w:rPr>
            </w:pPr>
            <w:r>
              <w:rPr>
                <w:sz w:val="22"/>
              </w:rPr>
              <w:t>Veterinarians are regulated by the Department of Health (DOH) per </w:t>
            </w:r>
            <w:hyperlink r:id="rId112">
              <w:r>
                <w:rPr>
                  <w:color w:val="6B9F24"/>
                  <w:sz w:val="22"/>
                  <w:u w:val="single" w:color="6B9F24"/>
                </w:rPr>
                <w:t>Chapter</w:t>
              </w:r>
            </w:hyperlink>
            <w:r>
              <w:rPr>
                <w:color w:val="6B9F24"/>
                <w:sz w:val="22"/>
              </w:rPr>
              <w:t> </w:t>
            </w:r>
            <w:hyperlink r:id="rId112">
              <w:r>
                <w:rPr>
                  <w:color w:val="6B9F24"/>
                  <w:sz w:val="22"/>
                  <w:u w:val="single" w:color="6B9F24"/>
                </w:rPr>
                <w:t>18.92 RCW</w:t>
              </w:r>
              <w:r>
                <w:rPr>
                  <w:color w:val="6B9F24"/>
                  <w:sz w:val="22"/>
                </w:rPr>
                <w:t> </w:t>
              </w:r>
            </w:hyperlink>
            <w:r>
              <w:rPr>
                <w:sz w:val="22"/>
              </w:rPr>
              <w:t>and </w:t>
            </w:r>
            <w:hyperlink r:id="rId113">
              <w:r>
                <w:rPr>
                  <w:color w:val="6B9F24"/>
                  <w:sz w:val="22"/>
                  <w:u w:val="single" w:color="6B9F24"/>
                </w:rPr>
                <w:t>Chapter 246-937 WAC</w:t>
              </w:r>
            </w:hyperlink>
            <w:r>
              <w:rPr>
                <w:sz w:val="22"/>
              </w:rPr>
              <w:t>. Complaints are investigated by DOH.</w:t>
            </w:r>
          </w:p>
        </w:tc>
      </w:tr>
    </w:tbl>
    <w:p>
      <w:pPr>
        <w:pStyle w:val="BodyText"/>
        <w:spacing w:before="10"/>
        <w:rPr>
          <w:sz w:val="5"/>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799"/>
        <w:gridCol w:w="3600"/>
        <w:gridCol w:w="1440"/>
        <w:gridCol w:w="4320"/>
      </w:tblGrid>
      <w:tr>
        <w:trPr>
          <w:trHeight w:val="584" w:hRule="atLeast"/>
        </w:trPr>
        <w:tc>
          <w:tcPr>
            <w:tcW w:w="3799" w:type="dxa"/>
            <w:tcBorders>
              <w:bottom w:val="single" w:sz="18" w:space="0" w:color="4E8542"/>
            </w:tcBorders>
          </w:tcPr>
          <w:p>
            <w:pPr>
              <w:pStyle w:val="TableParagraph"/>
              <w:spacing w:line="292" w:lineRule="exact"/>
              <w:ind w:left="414"/>
              <w:rPr>
                <w:b/>
                <w:sz w:val="24"/>
              </w:rPr>
            </w:pPr>
            <w:r>
              <w:rPr>
                <w:b/>
                <w:sz w:val="24"/>
              </w:rPr>
              <w:t>Characteristics/Requirements</w:t>
            </w:r>
          </w:p>
        </w:tc>
        <w:tc>
          <w:tcPr>
            <w:tcW w:w="3600" w:type="dxa"/>
            <w:tcBorders>
              <w:bottom w:val="single" w:sz="18" w:space="0" w:color="4E8542"/>
            </w:tcBorders>
          </w:tcPr>
          <w:p>
            <w:pPr>
              <w:pStyle w:val="TableParagraph"/>
              <w:spacing w:line="292" w:lineRule="exact"/>
              <w:ind w:left="122" w:right="103"/>
              <w:jc w:val="center"/>
              <w:rPr>
                <w:b/>
                <w:sz w:val="24"/>
              </w:rPr>
            </w:pPr>
            <w:r>
              <w:rPr>
                <w:b/>
                <w:sz w:val="24"/>
              </w:rPr>
              <w:t>Veterinarians for Service Animals</w:t>
            </w:r>
          </w:p>
          <w:p>
            <w:pPr>
              <w:pStyle w:val="TableParagraph"/>
              <w:spacing w:line="272" w:lineRule="exact"/>
              <w:ind w:left="121" w:right="103"/>
              <w:jc w:val="center"/>
              <w:rPr>
                <w:b/>
                <w:sz w:val="24"/>
              </w:rPr>
            </w:pPr>
            <w:r>
              <w:rPr>
                <w:b/>
                <w:sz w:val="24"/>
              </w:rPr>
              <w:t>State Evaluation</w:t>
            </w:r>
          </w:p>
        </w:tc>
        <w:tc>
          <w:tcPr>
            <w:tcW w:w="1440" w:type="dxa"/>
            <w:tcBorders>
              <w:bottom w:val="single" w:sz="18" w:space="0" w:color="4E8542"/>
            </w:tcBorders>
          </w:tcPr>
          <w:p>
            <w:pPr>
              <w:pStyle w:val="TableParagraph"/>
              <w:spacing w:line="292" w:lineRule="exact"/>
              <w:ind w:left="115" w:right="98"/>
              <w:jc w:val="center"/>
              <w:rPr>
                <w:b/>
                <w:sz w:val="24"/>
              </w:rPr>
            </w:pPr>
            <w:r>
              <w:rPr>
                <w:b/>
                <w:sz w:val="24"/>
              </w:rPr>
              <w:t>Compliance</w:t>
            </w:r>
          </w:p>
          <w:p>
            <w:pPr>
              <w:pStyle w:val="TableParagraph"/>
              <w:spacing w:line="272" w:lineRule="exact"/>
              <w:ind w:left="111" w:right="98"/>
              <w:jc w:val="center"/>
              <w:rPr>
                <w:b/>
                <w:sz w:val="24"/>
              </w:rPr>
            </w:pPr>
            <w:r>
              <w:rPr>
                <w:b/>
                <w:sz w:val="24"/>
              </w:rPr>
              <w:t>Level</w:t>
            </w:r>
          </w:p>
        </w:tc>
        <w:tc>
          <w:tcPr>
            <w:tcW w:w="4320" w:type="dxa"/>
            <w:tcBorders>
              <w:bottom w:val="single" w:sz="18" w:space="0" w:color="4E8542"/>
            </w:tcBorders>
          </w:tcPr>
          <w:p>
            <w:pPr>
              <w:pStyle w:val="TableParagraph"/>
              <w:spacing w:line="292" w:lineRule="exact"/>
              <w:ind w:left="1274"/>
              <w:rPr>
                <w:b/>
                <w:sz w:val="24"/>
              </w:rPr>
            </w:pPr>
            <w:r>
              <w:rPr>
                <w:b/>
                <w:sz w:val="24"/>
              </w:rPr>
              <w:t>Oversight Process</w:t>
            </w:r>
          </w:p>
        </w:tc>
      </w:tr>
      <w:tr>
        <w:trPr>
          <w:trHeight w:val="1856" w:hRule="atLeast"/>
        </w:trPr>
        <w:tc>
          <w:tcPr>
            <w:tcW w:w="3799" w:type="dxa"/>
            <w:tcBorders>
              <w:top w:val="single" w:sz="18" w:space="0" w:color="4E8542"/>
            </w:tcBorders>
          </w:tcPr>
          <w:p>
            <w:pPr>
              <w:pStyle w:val="TableParagraph"/>
              <w:rPr>
                <w:rFonts w:ascii="Times New Roman"/>
                <w:sz w:val="22"/>
              </w:rPr>
            </w:pPr>
          </w:p>
        </w:tc>
        <w:tc>
          <w:tcPr>
            <w:tcW w:w="3600" w:type="dxa"/>
            <w:tcBorders>
              <w:top w:val="single" w:sz="18" w:space="0" w:color="4E8542"/>
            </w:tcBorders>
          </w:tcPr>
          <w:p>
            <w:pPr>
              <w:pStyle w:val="TableParagraph"/>
              <w:spacing w:line="245" w:lineRule="exact"/>
              <w:ind w:left="107"/>
              <w:rPr>
                <w:sz w:val="22"/>
              </w:rPr>
            </w:pPr>
            <w:r>
              <w:rPr>
                <w:sz w:val="22"/>
              </w:rPr>
              <w:t>Washington State Human Rights</w:t>
            </w:r>
          </w:p>
          <w:p>
            <w:pPr>
              <w:pStyle w:val="TableParagraph"/>
              <w:ind w:left="107" w:right="112"/>
              <w:rPr>
                <w:sz w:val="22"/>
              </w:rPr>
            </w:pPr>
            <w:r>
              <w:rPr>
                <w:sz w:val="22"/>
              </w:rPr>
              <w:t>Commission to develop policies and rules to eliminate and prevent discrimination. </w:t>
            </w:r>
            <w:hyperlink r:id="rId102">
              <w:r>
                <w:rPr>
                  <w:color w:val="6B9F24"/>
                  <w:sz w:val="22"/>
                  <w:u w:val="single" w:color="6B9F24"/>
                </w:rPr>
                <w:t>Chapter 162-26 WAC</w:t>
              </w:r>
            </w:hyperlink>
            <w:r>
              <w:rPr>
                <w:color w:val="6B9F24"/>
                <w:sz w:val="22"/>
              </w:rPr>
              <w:t> </w:t>
            </w:r>
            <w:r>
              <w:rPr>
                <w:sz w:val="22"/>
              </w:rPr>
              <w:t>identifies unfair practices to include reasonable accommodations,</w:t>
            </w:r>
          </w:p>
          <w:p>
            <w:pPr>
              <w:pStyle w:val="TableParagraph"/>
              <w:spacing w:line="248" w:lineRule="exact"/>
              <w:ind w:left="107"/>
              <w:rPr>
                <w:sz w:val="22"/>
              </w:rPr>
            </w:pPr>
            <w:r>
              <w:rPr>
                <w:sz w:val="22"/>
              </w:rPr>
              <w:t>accessibility and service animals.</w:t>
            </w:r>
          </w:p>
        </w:tc>
        <w:tc>
          <w:tcPr>
            <w:tcW w:w="1440" w:type="dxa"/>
            <w:tcBorders>
              <w:top w:val="single" w:sz="18" w:space="0" w:color="4E8542"/>
            </w:tcBorders>
          </w:tcPr>
          <w:p>
            <w:pPr>
              <w:pStyle w:val="TableParagraph"/>
              <w:rPr>
                <w:rFonts w:ascii="Times New Roman"/>
                <w:sz w:val="22"/>
              </w:rPr>
            </w:pPr>
          </w:p>
        </w:tc>
        <w:tc>
          <w:tcPr>
            <w:tcW w:w="4320" w:type="dxa"/>
            <w:tcBorders>
              <w:top w:val="single" w:sz="18" w:space="0" w:color="4E8542"/>
            </w:tcBorders>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5"/>
        </w:rPr>
      </w:pPr>
      <w:r>
        <w:rPr/>
        <w:pict>
          <v:shape style="position:absolute;margin-left:70.559998pt;margin-top:17.896687pt;width:650.9pt;height:.1pt;mso-position-horizontal-relative:page;mso-position-vertical-relative:paragraph;z-index:-251520000;mso-wrap-distance-left:0;mso-wrap-distance-right:0" coordorigin="1411,358" coordsize="13018,0" path="m1411,358l14429,358e" filled="false" stroked="true" strokeweight=".481pt" strokecolor="#d9d9d9">
            <v:path arrowok="t"/>
            <v:stroke dashstyle="solid"/>
            <w10:wrap type="topAndBottom"/>
          </v:shape>
        </w:pict>
      </w:r>
    </w:p>
    <w:p>
      <w:pPr>
        <w:spacing w:after="0"/>
        <w:rPr>
          <w:sz w:val="2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19" w:right="2957" w:firstLine="0"/>
        <w:jc w:val="center"/>
        <w:rPr>
          <w:b/>
          <w:sz w:val="28"/>
        </w:rPr>
      </w:pPr>
      <w:bookmarkStart w:name="Transportation Providers" w:id="77"/>
      <w:bookmarkEnd w:id="77"/>
      <w:r>
        <w:rPr/>
      </w:r>
      <w:bookmarkStart w:name="_bookmark35" w:id="78"/>
      <w:bookmarkEnd w:id="78"/>
      <w:r>
        <w:rPr/>
      </w:r>
      <w:r>
        <w:rPr>
          <w:b/>
          <w:sz w:val="28"/>
        </w:rPr>
        <w:t>Transportation Providers</w:t>
      </w:r>
    </w:p>
    <w:p>
      <w:pPr>
        <w:pStyle w:val="BodyText"/>
        <w:rPr>
          <w:b/>
          <w:sz w:val="28"/>
        </w:rPr>
      </w:pPr>
    </w:p>
    <w:p>
      <w:pPr>
        <w:pStyle w:val="BodyText"/>
        <w:spacing w:line="276" w:lineRule="auto" w:before="216"/>
        <w:ind w:left="1059" w:right="1531"/>
      </w:pPr>
      <w:r>
        <w:rPr/>
        <w:t>Setting Description: Transportation services are provided by typical community modes of transportation (such as car, taxi, bus, and private vehicle). All community members have free access to these services and settings including both Medicaid and non-Medicaid funded participants.</w:t>
      </w:r>
    </w:p>
    <w:p>
      <w:pPr>
        <w:pStyle w:val="BodyText"/>
        <w:spacing w:before="4"/>
        <w:rPr>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799"/>
        <w:gridCol w:w="3600"/>
        <w:gridCol w:w="1440"/>
        <w:gridCol w:w="4320"/>
      </w:tblGrid>
      <w:tr>
        <w:trPr>
          <w:trHeight w:val="586" w:hRule="atLeast"/>
        </w:trPr>
        <w:tc>
          <w:tcPr>
            <w:tcW w:w="3799" w:type="dxa"/>
            <w:tcBorders>
              <w:bottom w:val="single" w:sz="18" w:space="0" w:color="4E8542"/>
            </w:tcBorders>
          </w:tcPr>
          <w:p>
            <w:pPr>
              <w:pStyle w:val="TableParagraph"/>
              <w:spacing w:before="1"/>
              <w:ind w:left="414"/>
              <w:rPr>
                <w:b/>
                <w:sz w:val="24"/>
              </w:rPr>
            </w:pPr>
            <w:r>
              <w:rPr>
                <w:b/>
                <w:sz w:val="24"/>
              </w:rPr>
              <w:t>Characteristics/Requirements</w:t>
            </w:r>
          </w:p>
        </w:tc>
        <w:tc>
          <w:tcPr>
            <w:tcW w:w="3600" w:type="dxa"/>
            <w:tcBorders>
              <w:bottom w:val="single" w:sz="18" w:space="0" w:color="4E8542"/>
            </w:tcBorders>
          </w:tcPr>
          <w:p>
            <w:pPr>
              <w:pStyle w:val="TableParagraph"/>
              <w:spacing w:line="290" w:lineRule="atLeast" w:before="1"/>
              <w:ind w:left="983" w:right="515" w:hanging="430"/>
              <w:rPr>
                <w:b/>
                <w:sz w:val="24"/>
              </w:rPr>
            </w:pPr>
            <w:r>
              <w:rPr>
                <w:b/>
                <w:sz w:val="24"/>
              </w:rPr>
              <w:t>Transportation Providers State Evaluation</w:t>
            </w:r>
          </w:p>
        </w:tc>
        <w:tc>
          <w:tcPr>
            <w:tcW w:w="1440" w:type="dxa"/>
            <w:tcBorders>
              <w:bottom w:val="single" w:sz="18" w:space="0" w:color="4E8542"/>
            </w:tcBorders>
          </w:tcPr>
          <w:p>
            <w:pPr>
              <w:pStyle w:val="TableParagraph"/>
              <w:spacing w:line="290" w:lineRule="atLeast" w:before="1"/>
              <w:ind w:left="460" w:right="100" w:hanging="327"/>
              <w:rPr>
                <w:b/>
                <w:sz w:val="24"/>
              </w:rPr>
            </w:pPr>
            <w:r>
              <w:rPr>
                <w:b/>
                <w:sz w:val="24"/>
              </w:rPr>
              <w:t>Compliance Level</w:t>
            </w:r>
          </w:p>
        </w:tc>
        <w:tc>
          <w:tcPr>
            <w:tcW w:w="4320" w:type="dxa"/>
            <w:tcBorders>
              <w:bottom w:val="single" w:sz="18" w:space="0" w:color="4E8542"/>
            </w:tcBorders>
          </w:tcPr>
          <w:p>
            <w:pPr>
              <w:pStyle w:val="TableParagraph"/>
              <w:spacing w:before="1"/>
              <w:ind w:left="1274"/>
              <w:rPr>
                <w:b/>
                <w:sz w:val="24"/>
              </w:rPr>
            </w:pPr>
            <w:r>
              <w:rPr>
                <w:b/>
                <w:sz w:val="24"/>
              </w:rPr>
              <w:t>Oversight Process</w:t>
            </w:r>
          </w:p>
        </w:tc>
      </w:tr>
      <w:tr>
        <w:trPr>
          <w:trHeight w:val="1909" w:hRule="atLeast"/>
        </w:trPr>
        <w:tc>
          <w:tcPr>
            <w:tcW w:w="3799" w:type="dxa"/>
            <w:tcBorders>
              <w:top w:val="single" w:sz="18" w:space="0" w:color="4E8542"/>
            </w:tcBorders>
            <w:shd w:val="clear" w:color="auto" w:fill="D0E4CA"/>
          </w:tcPr>
          <w:p>
            <w:pPr>
              <w:pStyle w:val="TableParagraph"/>
              <w:ind w:left="107" w:right="124"/>
              <w:rPr>
                <w:b/>
                <w:sz w:val="22"/>
              </w:rPr>
            </w:pPr>
            <w:r>
              <w:rPr>
                <w:b/>
                <w:sz w:val="22"/>
              </w:rPr>
              <w:t>Individual choice regarding services and supports, and who provides them, is facilitated.</w:t>
            </w:r>
          </w:p>
        </w:tc>
        <w:tc>
          <w:tcPr>
            <w:tcW w:w="3600" w:type="dxa"/>
            <w:tcBorders>
              <w:top w:val="single" w:sz="18" w:space="0" w:color="4E8542"/>
            </w:tcBorders>
            <w:shd w:val="clear" w:color="auto" w:fill="D0E4CA"/>
          </w:tcPr>
          <w:p>
            <w:pPr>
              <w:pStyle w:val="TableParagraph"/>
              <w:ind w:left="107" w:right="215"/>
              <w:rPr>
                <w:sz w:val="22"/>
              </w:rPr>
            </w:pPr>
            <w:r>
              <w:rPr>
                <w:sz w:val="22"/>
              </w:rPr>
              <w:t>During the assessment and planning process, case managers inform participants of all options regarding services and providers, and ensure that this is documented either by client signature or in the client’s service episode record.</w:t>
            </w:r>
          </w:p>
        </w:tc>
        <w:tc>
          <w:tcPr>
            <w:tcW w:w="1440" w:type="dxa"/>
            <w:tcBorders>
              <w:top w:val="single" w:sz="18" w:space="0" w:color="4E8542"/>
            </w:tcBorders>
            <w:shd w:val="clear" w:color="auto" w:fill="D0E4CA"/>
          </w:tcPr>
          <w:p>
            <w:pPr>
              <w:pStyle w:val="TableParagraph"/>
              <w:ind w:left="107" w:right="372"/>
              <w:rPr>
                <w:sz w:val="22"/>
              </w:rPr>
            </w:pPr>
            <w:r>
              <w:rPr>
                <w:sz w:val="22"/>
              </w:rPr>
              <w:t>Fully Compliant</w:t>
            </w:r>
          </w:p>
        </w:tc>
        <w:tc>
          <w:tcPr>
            <w:tcW w:w="4320" w:type="dxa"/>
            <w:tcBorders>
              <w:top w:val="single" w:sz="18" w:space="0" w:color="4E8542"/>
            </w:tcBorders>
            <w:shd w:val="clear" w:color="auto" w:fill="D0E4CA"/>
          </w:tcPr>
          <w:p>
            <w:pPr>
              <w:pStyle w:val="TableParagraph"/>
              <w:ind w:left="107" w:right="349"/>
              <w:rPr>
                <w:sz w:val="22"/>
              </w:rPr>
            </w:pPr>
            <w:r>
              <w:rPr>
                <w:sz w:val="22"/>
              </w:rPr>
              <w:t>Monitoring is conducted during the annual Quality Assurance monitoring cycle.</w:t>
            </w:r>
          </w:p>
        </w:tc>
      </w:tr>
      <w:tr>
        <w:trPr>
          <w:trHeight w:val="4396" w:hRule="atLeast"/>
        </w:trPr>
        <w:tc>
          <w:tcPr>
            <w:tcW w:w="3799" w:type="dxa"/>
          </w:tcPr>
          <w:p>
            <w:pPr>
              <w:pStyle w:val="TableParagraph"/>
              <w:ind w:left="107" w:right="127"/>
              <w:rPr>
                <w:b/>
                <w:sz w:val="24"/>
              </w:rPr>
            </w:pPr>
            <w:r>
              <w:rPr>
                <w:b/>
                <w:sz w:val="24"/>
              </w:rPr>
              <w:t>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 degree of access as individuals not receiving Medicaid HCBS.</w:t>
            </w:r>
          </w:p>
        </w:tc>
        <w:tc>
          <w:tcPr>
            <w:tcW w:w="3600" w:type="dxa"/>
          </w:tcPr>
          <w:p>
            <w:pPr>
              <w:pStyle w:val="TableParagraph"/>
              <w:ind w:left="107" w:right="668"/>
              <w:rPr>
                <w:sz w:val="24"/>
              </w:rPr>
            </w:pPr>
            <w:r>
              <w:rPr>
                <w:sz w:val="24"/>
              </w:rPr>
              <w:t>The settings do not preclude access to the community.</w:t>
            </w:r>
          </w:p>
          <w:p>
            <w:pPr>
              <w:pStyle w:val="TableParagraph"/>
              <w:ind w:left="107" w:right="105"/>
              <w:rPr>
                <w:sz w:val="24"/>
              </w:rPr>
            </w:pPr>
            <w:r>
              <w:rPr>
                <w:sz w:val="24"/>
              </w:rPr>
              <w:t>Washington's legislature has codified its intent that choice, participation, privacy, and the opportunity to engage in religious, political, recreational, and other social activities foster a sense of self-worth and enhance the quality of life for long-term care participants.</w:t>
            </w:r>
          </w:p>
          <w:p>
            <w:pPr>
              <w:pStyle w:val="TableParagraph"/>
              <w:ind w:left="107" w:right="382"/>
              <w:rPr>
                <w:sz w:val="24"/>
              </w:rPr>
            </w:pPr>
            <w:r>
              <w:rPr>
                <w:sz w:val="24"/>
              </w:rPr>
              <w:t>Washington State Law provides clear protections of rights.</w:t>
            </w:r>
          </w:p>
          <w:p>
            <w:pPr>
              <w:pStyle w:val="TableParagraph"/>
              <w:spacing w:line="293" w:lineRule="exact"/>
              <w:ind w:left="107"/>
              <w:rPr>
                <w:sz w:val="24"/>
              </w:rPr>
            </w:pPr>
            <w:hyperlink r:id="rId92">
              <w:r>
                <w:rPr>
                  <w:color w:val="6B9F24"/>
                  <w:sz w:val="24"/>
                  <w:u w:val="single" w:color="6B9F24"/>
                </w:rPr>
                <w:t>Chapter 49.60</w:t>
              </w:r>
              <w:r>
                <w:rPr>
                  <w:color w:val="6B9F24"/>
                  <w:sz w:val="24"/>
                </w:rPr>
                <w:t> </w:t>
              </w:r>
            </w:hyperlink>
            <w:r>
              <w:rPr>
                <w:sz w:val="24"/>
              </w:rPr>
              <w:t>RCW is the state's</w:t>
            </w:r>
          </w:p>
          <w:p>
            <w:pPr>
              <w:pStyle w:val="TableParagraph"/>
              <w:spacing w:line="275" w:lineRule="exact"/>
              <w:ind w:left="107"/>
              <w:rPr>
                <w:sz w:val="24"/>
              </w:rPr>
            </w:pPr>
            <w:r>
              <w:rPr>
                <w:sz w:val="24"/>
              </w:rPr>
              <w:t>law against discrimination and</w:t>
            </w:r>
          </w:p>
        </w:tc>
        <w:tc>
          <w:tcPr>
            <w:tcW w:w="1440" w:type="dxa"/>
          </w:tcPr>
          <w:p>
            <w:pPr>
              <w:pStyle w:val="TableParagraph"/>
              <w:ind w:left="107" w:right="289"/>
              <w:rPr>
                <w:sz w:val="24"/>
              </w:rPr>
            </w:pPr>
            <w:r>
              <w:rPr>
                <w:sz w:val="24"/>
              </w:rPr>
              <w:t>Fully Compliant</w:t>
            </w:r>
          </w:p>
        </w:tc>
        <w:tc>
          <w:tcPr>
            <w:tcW w:w="4320" w:type="dxa"/>
          </w:tcPr>
          <w:p>
            <w:pPr>
              <w:pStyle w:val="TableParagraph"/>
              <w:ind w:left="107" w:right="223"/>
              <w:rPr>
                <w:sz w:val="24"/>
              </w:rPr>
            </w:pPr>
            <w:r>
              <w:rPr>
                <w:sz w:val="24"/>
              </w:rPr>
              <w:t>At the time of initial contracting and at contract renewal, the FMS ensures that the provider meets all provider qualifications including business licenses and any other credentials related to the provision of contracted services.</w:t>
            </w:r>
          </w:p>
        </w:tc>
      </w:tr>
    </w:tbl>
    <w:p>
      <w:pPr>
        <w:pStyle w:val="BodyText"/>
        <w:spacing w:before="3"/>
        <w:rPr>
          <w:sz w:val="13"/>
        </w:rPr>
      </w:pPr>
      <w:r>
        <w:rPr/>
        <w:pict>
          <v:shape style="position:absolute;margin-left:70.559998pt;margin-top:10.3195pt;width:650.9pt;height:.1pt;mso-position-horizontal-relative:page;mso-position-vertical-relative:paragraph;z-index:-251518976;mso-wrap-distance-left:0;mso-wrap-distance-right:0" coordorigin="1411,206" coordsize="13018,0" path="m1411,206l14429,206e" filled="false" stroked="true" strokeweight=".481pt" strokecolor="#d9d9d9">
            <v:path arrowok="t"/>
            <v:stroke dashstyle="solid"/>
            <w10:wrap type="topAndBottom"/>
          </v:shape>
        </w:pict>
      </w:r>
    </w:p>
    <w:p>
      <w:pPr>
        <w:spacing w:after="0"/>
        <w:rPr>
          <w:sz w:val="13"/>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799"/>
        <w:gridCol w:w="3600"/>
        <w:gridCol w:w="1440"/>
        <w:gridCol w:w="4320"/>
      </w:tblGrid>
      <w:tr>
        <w:trPr>
          <w:trHeight w:val="584" w:hRule="atLeast"/>
        </w:trPr>
        <w:tc>
          <w:tcPr>
            <w:tcW w:w="3799" w:type="dxa"/>
            <w:tcBorders>
              <w:bottom w:val="single" w:sz="18" w:space="0" w:color="4E8542"/>
            </w:tcBorders>
          </w:tcPr>
          <w:p>
            <w:pPr>
              <w:pStyle w:val="TableParagraph"/>
              <w:spacing w:line="292" w:lineRule="exact"/>
              <w:ind w:left="414"/>
              <w:rPr>
                <w:b/>
                <w:sz w:val="24"/>
              </w:rPr>
            </w:pPr>
            <w:r>
              <w:rPr>
                <w:b/>
                <w:sz w:val="24"/>
              </w:rPr>
              <w:t>Characteristics/Requirements</w:t>
            </w:r>
          </w:p>
        </w:tc>
        <w:tc>
          <w:tcPr>
            <w:tcW w:w="3600" w:type="dxa"/>
            <w:tcBorders>
              <w:bottom w:val="single" w:sz="18" w:space="0" w:color="4E8542"/>
            </w:tcBorders>
          </w:tcPr>
          <w:p>
            <w:pPr>
              <w:pStyle w:val="TableParagraph"/>
              <w:spacing w:line="292" w:lineRule="exact"/>
              <w:ind w:left="121" w:right="103"/>
              <w:jc w:val="center"/>
              <w:rPr>
                <w:b/>
                <w:sz w:val="24"/>
              </w:rPr>
            </w:pPr>
            <w:r>
              <w:rPr>
                <w:b/>
                <w:sz w:val="24"/>
              </w:rPr>
              <w:t>Transportation Providers</w:t>
            </w:r>
          </w:p>
          <w:p>
            <w:pPr>
              <w:pStyle w:val="TableParagraph"/>
              <w:spacing w:line="272" w:lineRule="exact"/>
              <w:ind w:left="121" w:right="103"/>
              <w:jc w:val="center"/>
              <w:rPr>
                <w:b/>
                <w:sz w:val="24"/>
              </w:rPr>
            </w:pPr>
            <w:r>
              <w:rPr>
                <w:b/>
                <w:sz w:val="24"/>
              </w:rPr>
              <w:t>State Evaluation</w:t>
            </w:r>
          </w:p>
        </w:tc>
        <w:tc>
          <w:tcPr>
            <w:tcW w:w="1440" w:type="dxa"/>
            <w:tcBorders>
              <w:bottom w:val="single" w:sz="18" w:space="0" w:color="4E8542"/>
            </w:tcBorders>
          </w:tcPr>
          <w:p>
            <w:pPr>
              <w:pStyle w:val="TableParagraph"/>
              <w:spacing w:line="292" w:lineRule="exact"/>
              <w:ind w:left="115" w:right="98"/>
              <w:jc w:val="center"/>
              <w:rPr>
                <w:b/>
                <w:sz w:val="24"/>
              </w:rPr>
            </w:pPr>
            <w:r>
              <w:rPr>
                <w:b/>
                <w:sz w:val="24"/>
              </w:rPr>
              <w:t>Compliance</w:t>
            </w:r>
          </w:p>
          <w:p>
            <w:pPr>
              <w:pStyle w:val="TableParagraph"/>
              <w:spacing w:line="272" w:lineRule="exact"/>
              <w:ind w:left="111" w:right="98"/>
              <w:jc w:val="center"/>
              <w:rPr>
                <w:b/>
                <w:sz w:val="24"/>
              </w:rPr>
            </w:pPr>
            <w:r>
              <w:rPr>
                <w:b/>
                <w:sz w:val="24"/>
              </w:rPr>
              <w:t>Level</w:t>
            </w:r>
          </w:p>
        </w:tc>
        <w:tc>
          <w:tcPr>
            <w:tcW w:w="4320" w:type="dxa"/>
            <w:tcBorders>
              <w:bottom w:val="single" w:sz="18" w:space="0" w:color="4E8542"/>
            </w:tcBorders>
          </w:tcPr>
          <w:p>
            <w:pPr>
              <w:pStyle w:val="TableParagraph"/>
              <w:spacing w:line="292" w:lineRule="exact"/>
              <w:ind w:left="1274"/>
              <w:rPr>
                <w:b/>
                <w:sz w:val="24"/>
              </w:rPr>
            </w:pPr>
            <w:r>
              <w:rPr>
                <w:b/>
                <w:sz w:val="24"/>
              </w:rPr>
              <w:t>Oversight Process</w:t>
            </w:r>
          </w:p>
        </w:tc>
      </w:tr>
      <w:tr>
        <w:trPr>
          <w:trHeight w:val="2801" w:hRule="atLeast"/>
        </w:trPr>
        <w:tc>
          <w:tcPr>
            <w:tcW w:w="3799" w:type="dxa"/>
            <w:tcBorders>
              <w:top w:val="single" w:sz="18" w:space="0" w:color="4E8542"/>
            </w:tcBorders>
          </w:tcPr>
          <w:p>
            <w:pPr>
              <w:pStyle w:val="TableParagraph"/>
              <w:rPr>
                <w:rFonts w:ascii="Times New Roman"/>
                <w:sz w:val="22"/>
              </w:rPr>
            </w:pPr>
          </w:p>
        </w:tc>
        <w:tc>
          <w:tcPr>
            <w:tcW w:w="3600" w:type="dxa"/>
            <w:tcBorders>
              <w:top w:val="single" w:sz="18" w:space="0" w:color="4E8542"/>
            </w:tcBorders>
          </w:tcPr>
          <w:p>
            <w:pPr>
              <w:pStyle w:val="TableParagraph"/>
              <w:spacing w:line="270" w:lineRule="exact"/>
              <w:ind w:left="107"/>
              <w:rPr>
                <w:sz w:val="24"/>
              </w:rPr>
            </w:pPr>
            <w:r>
              <w:rPr>
                <w:sz w:val="24"/>
              </w:rPr>
              <w:t>which created the Washington</w:t>
            </w:r>
          </w:p>
          <w:p>
            <w:pPr>
              <w:pStyle w:val="TableParagraph"/>
              <w:ind w:left="107" w:right="94"/>
              <w:rPr>
                <w:sz w:val="24"/>
              </w:rPr>
            </w:pPr>
            <w:r>
              <w:rPr>
                <w:sz w:val="24"/>
              </w:rPr>
              <w:t>State Human Rights Commission to develop policies and rules to eliminate and prevent discrimination. </w:t>
            </w:r>
            <w:hyperlink r:id="rId102">
              <w:r>
                <w:rPr>
                  <w:color w:val="6B9F24"/>
                  <w:sz w:val="24"/>
                  <w:u w:val="single" w:color="6B9F24"/>
                </w:rPr>
                <w:t>Chapter 162-26</w:t>
              </w:r>
            </w:hyperlink>
            <w:r>
              <w:rPr>
                <w:color w:val="6B9F24"/>
                <w:sz w:val="24"/>
              </w:rPr>
              <w:t> </w:t>
            </w:r>
            <w:hyperlink r:id="rId102">
              <w:r>
                <w:rPr>
                  <w:color w:val="6B9F24"/>
                  <w:sz w:val="24"/>
                  <w:u w:val="single" w:color="6B9F24"/>
                </w:rPr>
                <w:t>WAC</w:t>
              </w:r>
              <w:r>
                <w:rPr>
                  <w:color w:val="6B9F24"/>
                  <w:sz w:val="24"/>
                </w:rPr>
                <w:t> </w:t>
              </w:r>
            </w:hyperlink>
            <w:r>
              <w:rPr>
                <w:sz w:val="24"/>
              </w:rPr>
              <w:t>identifies unfair practices to include reasonable accommodations, accessibility and service animals.</w:t>
            </w:r>
          </w:p>
        </w:tc>
        <w:tc>
          <w:tcPr>
            <w:tcW w:w="1440" w:type="dxa"/>
            <w:tcBorders>
              <w:top w:val="single" w:sz="18" w:space="0" w:color="4E8542"/>
            </w:tcBorders>
          </w:tcPr>
          <w:p>
            <w:pPr>
              <w:pStyle w:val="TableParagraph"/>
              <w:rPr>
                <w:rFonts w:ascii="Times New Roman"/>
                <w:sz w:val="22"/>
              </w:rPr>
            </w:pPr>
          </w:p>
        </w:tc>
        <w:tc>
          <w:tcPr>
            <w:tcW w:w="4320" w:type="dxa"/>
            <w:tcBorders>
              <w:top w:val="single" w:sz="18" w:space="0" w:color="4E8542"/>
            </w:tcBorders>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8"/>
        </w:rPr>
      </w:pPr>
      <w:r>
        <w:rPr/>
        <w:pict>
          <v:shape style="position:absolute;margin-left:70.559998pt;margin-top:19.444813pt;width:650.9pt;height:.1pt;mso-position-horizontal-relative:page;mso-position-vertical-relative:paragraph;z-index:-251517952;mso-wrap-distance-left:0;mso-wrap-distance-right:0" coordorigin="1411,389" coordsize="13018,0" path="m1411,389l14429,389e" filled="false" stroked="true" strokeweight=".481pt" strokecolor="#d9d9d9">
            <v:path arrowok="t"/>
            <v:stroke dashstyle="solid"/>
            <w10:wrap type="topAndBottom"/>
          </v:shape>
        </w:pict>
      </w:r>
    </w:p>
    <w:p>
      <w:pPr>
        <w:spacing w:after="0"/>
        <w:rPr>
          <w:sz w:val="2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1" w:right="2957" w:firstLine="0"/>
        <w:jc w:val="center"/>
        <w:rPr>
          <w:b/>
          <w:sz w:val="28"/>
        </w:rPr>
      </w:pPr>
      <w:bookmarkStart w:name="DDA Group Training Homes" w:id="79"/>
      <w:bookmarkEnd w:id="79"/>
      <w:r>
        <w:rPr/>
      </w:r>
      <w:bookmarkStart w:name="_bookmark36" w:id="80"/>
      <w:bookmarkEnd w:id="80"/>
      <w:r>
        <w:rPr/>
      </w:r>
      <w:r>
        <w:rPr>
          <w:b/>
          <w:sz w:val="28"/>
        </w:rPr>
        <w:t>DDA Group Training Homes</w:t>
      </w:r>
    </w:p>
    <w:p>
      <w:pPr>
        <w:pStyle w:val="BodyText"/>
        <w:spacing w:before="6"/>
        <w:rPr>
          <w:b/>
          <w:sz w:val="31"/>
        </w:rPr>
      </w:pPr>
    </w:p>
    <w:p>
      <w:pPr>
        <w:pStyle w:val="BodyText"/>
        <w:spacing w:line="276" w:lineRule="auto"/>
        <w:ind w:left="1060" w:right="1135"/>
      </w:pPr>
      <w:r>
        <w:rPr/>
        <w:t>Setting Description: A DDA Group Training Home is a licensed and certified nonprofit residential facility that provides full-time care, treatment, training, and maintenance for individuals. Effective February 1, 2008, the legislature required that any newly licensed/certified Group Training Home must be licensed as an adult family home and therefore must meet the AFH licensing requirements of </w:t>
      </w:r>
      <w:hyperlink r:id="rId114">
        <w:r>
          <w:rPr>
            <w:color w:val="6B9F24"/>
            <w:u w:val="single" w:color="6B9F24"/>
          </w:rPr>
          <w:t>Chapter 388-76 WAC</w:t>
        </w:r>
      </w:hyperlink>
      <w:r>
        <w:rPr/>
        <w:t>.</w:t>
      </w:r>
    </w:p>
    <w:p>
      <w:pPr>
        <w:pStyle w:val="BodyText"/>
        <w:spacing w:before="9"/>
        <w:rPr>
          <w:sz w:val="20"/>
        </w:rPr>
      </w:pPr>
    </w:p>
    <w:p>
      <w:pPr>
        <w:pStyle w:val="BodyText"/>
        <w:spacing w:line="276" w:lineRule="auto" w:before="57"/>
        <w:ind w:left="1060" w:right="1192"/>
      </w:pPr>
      <w:r>
        <w:rPr/>
        <w:t>Number of Group Training Homes: 2 serving 20 individuals (these two homes, Merry Glen and Sound View, were in existence prior to February 1, 2008, so they are not required to meet the adult family home licensing requirements but must meet the supported living certification requirements of </w:t>
      </w:r>
      <w:hyperlink r:id="rId115">
        <w:r>
          <w:rPr>
            <w:color w:val="6B9F24"/>
            <w:u w:val="single" w:color="6B9F24"/>
          </w:rPr>
          <w:t>Chapter 388-101 WAC</w:t>
        </w:r>
      </w:hyperlink>
      <w:r>
        <w:rPr/>
        <w:t>).</w:t>
      </w:r>
    </w:p>
    <w:p>
      <w:pPr>
        <w:pStyle w:val="BodyText"/>
        <w:spacing w:before="1"/>
        <w:rPr>
          <w:sz w:val="21"/>
        </w:rPr>
      </w:pPr>
    </w:p>
    <w:p>
      <w:pPr>
        <w:spacing w:before="52" w:after="44"/>
        <w:ind w:left="2915" w:right="2957" w:firstLine="0"/>
        <w:jc w:val="center"/>
        <w:rPr>
          <w:b/>
          <w:sz w:val="24"/>
        </w:rPr>
      </w:pPr>
      <w:r>
        <w:rPr>
          <w:b/>
          <w:sz w:val="24"/>
        </w:rPr>
        <w:t>Characteristics/Requirements Met</w:t>
      </w: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01"/>
        <w:gridCol w:w="2698"/>
        <w:gridCol w:w="1407"/>
        <w:gridCol w:w="3123"/>
        <w:gridCol w:w="2314"/>
      </w:tblGrid>
      <w:tr>
        <w:trPr>
          <w:trHeight w:val="879" w:hRule="atLeast"/>
        </w:trPr>
        <w:tc>
          <w:tcPr>
            <w:tcW w:w="3401" w:type="dxa"/>
            <w:tcBorders>
              <w:bottom w:val="single" w:sz="18" w:space="0" w:color="4E8542"/>
            </w:tcBorders>
          </w:tcPr>
          <w:p>
            <w:pPr>
              <w:pStyle w:val="TableParagraph"/>
              <w:spacing w:before="1"/>
              <w:ind w:left="215"/>
              <w:rPr>
                <w:b/>
                <w:sz w:val="24"/>
              </w:rPr>
            </w:pPr>
            <w:r>
              <w:rPr>
                <w:b/>
                <w:sz w:val="24"/>
              </w:rPr>
              <w:t>Characteristics/Requirements</w:t>
            </w:r>
          </w:p>
        </w:tc>
        <w:tc>
          <w:tcPr>
            <w:tcW w:w="2698" w:type="dxa"/>
            <w:tcBorders>
              <w:bottom w:val="single" w:sz="18" w:space="0" w:color="4E8542"/>
            </w:tcBorders>
          </w:tcPr>
          <w:p>
            <w:pPr>
              <w:pStyle w:val="TableParagraph"/>
              <w:spacing w:before="1"/>
              <w:ind w:left="352" w:right="327"/>
              <w:jc w:val="center"/>
              <w:rPr>
                <w:b/>
                <w:sz w:val="24"/>
              </w:rPr>
            </w:pPr>
            <w:r>
              <w:rPr>
                <w:b/>
                <w:sz w:val="24"/>
              </w:rPr>
              <w:t>DDA Group Training Homes</w:t>
            </w:r>
          </w:p>
          <w:p>
            <w:pPr>
              <w:pStyle w:val="TableParagraph"/>
              <w:spacing w:line="272" w:lineRule="exact"/>
              <w:ind w:left="349" w:right="327"/>
              <w:jc w:val="center"/>
              <w:rPr>
                <w:b/>
                <w:sz w:val="24"/>
              </w:rPr>
            </w:pPr>
            <w:r>
              <w:rPr>
                <w:b/>
                <w:sz w:val="24"/>
              </w:rPr>
              <w:t>State Evaluation</w:t>
            </w:r>
          </w:p>
        </w:tc>
        <w:tc>
          <w:tcPr>
            <w:tcW w:w="1407" w:type="dxa"/>
            <w:tcBorders>
              <w:bottom w:val="single" w:sz="18" w:space="0" w:color="4E8542"/>
            </w:tcBorders>
          </w:tcPr>
          <w:p>
            <w:pPr>
              <w:pStyle w:val="TableParagraph"/>
              <w:spacing w:before="1"/>
              <w:ind w:left="442" w:right="85" w:hanging="327"/>
              <w:rPr>
                <w:b/>
                <w:sz w:val="24"/>
              </w:rPr>
            </w:pPr>
            <w:r>
              <w:rPr>
                <w:b/>
                <w:sz w:val="24"/>
              </w:rPr>
              <w:t>Compliance Level</w:t>
            </w:r>
          </w:p>
        </w:tc>
        <w:tc>
          <w:tcPr>
            <w:tcW w:w="3123" w:type="dxa"/>
            <w:tcBorders>
              <w:bottom w:val="single" w:sz="18" w:space="0" w:color="4E8542"/>
            </w:tcBorders>
          </w:tcPr>
          <w:p>
            <w:pPr>
              <w:pStyle w:val="TableParagraph"/>
              <w:spacing w:before="1"/>
              <w:ind w:left="672"/>
              <w:rPr>
                <w:b/>
                <w:sz w:val="24"/>
              </w:rPr>
            </w:pPr>
            <w:r>
              <w:rPr>
                <w:b/>
                <w:sz w:val="24"/>
              </w:rPr>
              <w:t>Oversight Process</w:t>
            </w:r>
          </w:p>
        </w:tc>
        <w:tc>
          <w:tcPr>
            <w:tcW w:w="2314" w:type="dxa"/>
            <w:tcBorders>
              <w:bottom w:val="single" w:sz="18" w:space="0" w:color="4E8542"/>
            </w:tcBorders>
          </w:tcPr>
          <w:p>
            <w:pPr>
              <w:pStyle w:val="TableParagraph"/>
              <w:spacing w:before="1"/>
              <w:ind w:left="513"/>
              <w:rPr>
                <w:b/>
                <w:sz w:val="24"/>
              </w:rPr>
            </w:pPr>
            <w:r>
              <w:rPr>
                <w:b/>
                <w:sz w:val="24"/>
              </w:rPr>
              <w:t>Remediation</w:t>
            </w:r>
          </w:p>
        </w:tc>
      </w:tr>
      <w:tr>
        <w:trPr>
          <w:trHeight w:val="4565" w:hRule="atLeast"/>
        </w:trPr>
        <w:tc>
          <w:tcPr>
            <w:tcW w:w="3401" w:type="dxa"/>
            <w:tcBorders>
              <w:top w:val="single" w:sz="18" w:space="0" w:color="4E8542"/>
            </w:tcBorders>
            <w:shd w:val="clear" w:color="auto" w:fill="D0E4CA"/>
          </w:tcPr>
          <w:p>
            <w:pPr>
              <w:pStyle w:val="TableParagraph"/>
              <w:spacing w:before="1"/>
              <w:ind w:left="107" w:right="93"/>
              <w:rPr>
                <w:b/>
                <w:sz w:val="22"/>
              </w:rPr>
            </w:pPr>
            <w:r>
              <w:rPr>
                <w:b/>
                <w:sz w:val="22"/>
              </w:rPr>
              <w:t>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 degree of access as individuals not receiving Medicaid HCBS.</w:t>
            </w:r>
          </w:p>
        </w:tc>
        <w:tc>
          <w:tcPr>
            <w:tcW w:w="2698" w:type="dxa"/>
            <w:tcBorders>
              <w:top w:val="single" w:sz="18" w:space="0" w:color="4E8542"/>
            </w:tcBorders>
            <w:shd w:val="clear" w:color="auto" w:fill="D0E4CA"/>
          </w:tcPr>
          <w:p>
            <w:pPr>
              <w:pStyle w:val="TableParagraph"/>
              <w:spacing w:before="1"/>
              <w:ind w:left="107" w:right="174"/>
              <w:rPr>
                <w:sz w:val="22"/>
              </w:rPr>
            </w:pPr>
            <w:r>
              <w:rPr>
                <w:sz w:val="22"/>
              </w:rPr>
              <w:t>DDA Group Training Homes/Certified Community Residential Services and Supports (CCRSS) rules are in Chapter </w:t>
            </w:r>
            <w:hyperlink r:id="rId116">
              <w:r>
                <w:rPr>
                  <w:color w:val="6B9F24"/>
                  <w:sz w:val="22"/>
                  <w:u w:val="single" w:color="6B9F24"/>
                </w:rPr>
                <w:t>388-101 WAC</w:t>
              </w:r>
              <w:r>
                <w:rPr>
                  <w:color w:val="6B9F24"/>
                  <w:sz w:val="22"/>
                </w:rPr>
                <w:t> </w:t>
              </w:r>
            </w:hyperlink>
            <w:r>
              <w:rPr>
                <w:sz w:val="22"/>
              </w:rPr>
              <w:t>and Chapter </w:t>
            </w:r>
            <w:hyperlink r:id="rId22">
              <w:r>
                <w:rPr>
                  <w:color w:val="6B9F24"/>
                  <w:sz w:val="22"/>
                  <w:u w:val="single" w:color="6B9F24"/>
                </w:rPr>
                <w:t>388-101D</w:t>
              </w:r>
              <w:r>
                <w:rPr>
                  <w:color w:val="6B9F24"/>
                  <w:spacing w:val="-2"/>
                  <w:sz w:val="22"/>
                  <w:u w:val="single" w:color="6B9F24"/>
                </w:rPr>
                <w:t> </w:t>
              </w:r>
              <w:r>
                <w:rPr>
                  <w:color w:val="6B9F24"/>
                  <w:sz w:val="22"/>
                  <w:u w:val="single" w:color="6B9F24"/>
                </w:rPr>
                <w:t>WAC</w:t>
              </w:r>
            </w:hyperlink>
            <w:r>
              <w:rPr>
                <w:sz w:val="22"/>
              </w:rPr>
              <w:t>.</w:t>
            </w:r>
          </w:p>
          <w:p>
            <w:pPr>
              <w:pStyle w:val="TableParagraph"/>
              <w:spacing w:before="11"/>
              <w:rPr>
                <w:b/>
                <w:sz w:val="21"/>
              </w:rPr>
            </w:pPr>
          </w:p>
          <w:p>
            <w:pPr>
              <w:pStyle w:val="TableParagraph"/>
              <w:ind w:left="107"/>
              <w:rPr>
                <w:sz w:val="22"/>
              </w:rPr>
            </w:pPr>
            <w:hyperlink r:id="rId117">
              <w:r>
                <w:rPr>
                  <w:color w:val="6B9F24"/>
                  <w:sz w:val="22"/>
                  <w:u w:val="single" w:color="6B9F24"/>
                </w:rPr>
                <w:t>RCW 71A.22.020</w:t>
              </w:r>
              <w:r>
                <w:rPr>
                  <w:color w:val="6B9F24"/>
                  <w:sz w:val="22"/>
                </w:rPr>
                <w:t> </w:t>
              </w:r>
            </w:hyperlink>
            <w:r>
              <w:rPr>
                <w:sz w:val="22"/>
              </w:rPr>
              <w:t>(2)</w:t>
            </w:r>
            <w:r>
              <w:rPr>
                <w:spacing w:val="-11"/>
                <w:sz w:val="22"/>
              </w:rPr>
              <w:t> </w:t>
            </w:r>
            <w:r>
              <w:rPr>
                <w:sz w:val="22"/>
              </w:rPr>
              <w:t>and</w:t>
            </w:r>
          </w:p>
          <w:p>
            <w:pPr>
              <w:pStyle w:val="TableParagraph"/>
              <w:spacing w:before="1"/>
              <w:ind w:left="107" w:right="117"/>
              <w:rPr>
                <w:sz w:val="22"/>
              </w:rPr>
            </w:pPr>
            <w:hyperlink r:id="rId37">
              <w:r>
                <w:rPr>
                  <w:color w:val="6B9F24"/>
                  <w:sz w:val="22"/>
                  <w:u w:val="single" w:color="6B9F24"/>
                </w:rPr>
                <w:t>70.129.140</w:t>
              </w:r>
              <w:r>
                <w:rPr>
                  <w:color w:val="6B9F24"/>
                  <w:sz w:val="22"/>
                </w:rPr>
                <w:t> </w:t>
              </w:r>
            </w:hyperlink>
            <w:r>
              <w:rPr>
                <w:sz w:val="22"/>
              </w:rPr>
              <w:t>(b) interact with members of the community both inside and outside the</w:t>
            </w:r>
            <w:r>
              <w:rPr>
                <w:spacing w:val="-2"/>
                <w:sz w:val="22"/>
              </w:rPr>
              <w:t> </w:t>
            </w:r>
            <w:r>
              <w:rPr>
                <w:sz w:val="22"/>
              </w:rPr>
              <w:t>facility.</w:t>
            </w:r>
          </w:p>
          <w:p>
            <w:pPr>
              <w:pStyle w:val="TableParagraph"/>
              <w:spacing w:line="267" w:lineRule="exact"/>
              <w:ind w:left="107"/>
              <w:rPr>
                <w:sz w:val="22"/>
              </w:rPr>
            </w:pPr>
            <w:r>
              <w:rPr>
                <w:sz w:val="22"/>
              </w:rPr>
              <w:t>RCW </w:t>
            </w:r>
            <w:hyperlink r:id="rId38">
              <w:r>
                <w:rPr>
                  <w:color w:val="6B9F24"/>
                  <w:sz w:val="22"/>
                  <w:u w:val="single" w:color="6B9F24"/>
                </w:rPr>
                <w:t>70.129.040</w:t>
              </w:r>
              <w:r>
                <w:rPr>
                  <w:color w:val="6B9F24"/>
                  <w:sz w:val="22"/>
                </w:rPr>
                <w:t> </w:t>
              </w:r>
            </w:hyperlink>
            <w:r>
              <w:rPr>
                <w:sz w:val="22"/>
              </w:rPr>
              <w:t>(1)</w:t>
            </w:r>
          </w:p>
          <w:p>
            <w:pPr>
              <w:pStyle w:val="TableParagraph"/>
              <w:ind w:left="107"/>
              <w:rPr>
                <w:sz w:val="22"/>
              </w:rPr>
            </w:pPr>
            <w:r>
              <w:rPr>
                <w:sz w:val="22"/>
              </w:rPr>
              <w:t>personal resources</w:t>
            </w:r>
          </w:p>
          <w:p>
            <w:pPr>
              <w:pStyle w:val="TableParagraph"/>
              <w:spacing w:line="270" w:lineRule="atLeast"/>
              <w:ind w:left="107" w:right="288"/>
              <w:rPr>
                <w:sz w:val="22"/>
              </w:rPr>
            </w:pPr>
            <w:r>
              <w:rPr>
                <w:sz w:val="22"/>
              </w:rPr>
              <w:t>RCW </w:t>
            </w:r>
            <w:hyperlink r:id="rId39">
              <w:r>
                <w:rPr>
                  <w:color w:val="6B9F24"/>
                  <w:sz w:val="22"/>
                  <w:u w:val="single" w:color="6B9F24"/>
                </w:rPr>
                <w:t>70.129.020</w:t>
              </w:r>
              <w:r>
                <w:rPr>
                  <w:color w:val="6B9F24"/>
                  <w:sz w:val="22"/>
                </w:rPr>
                <w:t> </w:t>
              </w:r>
            </w:hyperlink>
            <w:r>
              <w:rPr>
                <w:sz w:val="22"/>
              </w:rPr>
              <w:t>Exercise of rights.</w:t>
            </w:r>
          </w:p>
        </w:tc>
        <w:tc>
          <w:tcPr>
            <w:tcW w:w="1407" w:type="dxa"/>
            <w:tcBorders>
              <w:top w:val="single" w:sz="18" w:space="0" w:color="4E8542"/>
            </w:tcBorders>
            <w:shd w:val="clear" w:color="auto" w:fill="D0E4CA"/>
          </w:tcPr>
          <w:p>
            <w:pPr>
              <w:pStyle w:val="TableParagraph"/>
              <w:spacing w:before="1"/>
              <w:ind w:left="106" w:right="340"/>
              <w:rPr>
                <w:sz w:val="22"/>
              </w:rPr>
            </w:pPr>
            <w:r>
              <w:rPr>
                <w:sz w:val="22"/>
              </w:rPr>
              <w:t>Partially Compliant</w:t>
            </w:r>
          </w:p>
        </w:tc>
        <w:tc>
          <w:tcPr>
            <w:tcW w:w="3123" w:type="dxa"/>
            <w:tcBorders>
              <w:top w:val="single" w:sz="18" w:space="0" w:color="4E8542"/>
            </w:tcBorders>
            <w:shd w:val="clear" w:color="auto" w:fill="D0E4CA"/>
          </w:tcPr>
          <w:p>
            <w:pPr>
              <w:pStyle w:val="TableParagraph"/>
              <w:spacing w:before="1"/>
              <w:ind w:left="106" w:right="148"/>
              <w:rPr>
                <w:sz w:val="22"/>
              </w:rPr>
            </w:pPr>
            <w:r>
              <w:rPr>
                <w:sz w:val="22"/>
              </w:rPr>
              <w:t>As part of the certification and complaint investigation process described in the overview, Residential Care Services (RCS) Contracted Evaluators and RCS Investigators conduct client observations, client and collateral interviews, service provider and staff interviews. RCS contracted evaluators and RCS Investigators also reviews clients’ finances and conducts client record reviews to ensure service providers’ compliance.</w:t>
            </w:r>
          </w:p>
          <w:p>
            <w:pPr>
              <w:pStyle w:val="TableParagraph"/>
              <w:spacing w:before="9"/>
              <w:rPr>
                <w:b/>
                <w:sz w:val="21"/>
              </w:rPr>
            </w:pPr>
          </w:p>
          <w:p>
            <w:pPr>
              <w:pStyle w:val="TableParagraph"/>
              <w:spacing w:line="270" w:lineRule="atLeast"/>
              <w:ind w:left="106" w:right="289"/>
              <w:rPr>
                <w:sz w:val="22"/>
              </w:rPr>
            </w:pPr>
            <w:r>
              <w:rPr>
                <w:sz w:val="22"/>
              </w:rPr>
              <w:t>The state certification process includes a determination of</w:t>
            </w:r>
          </w:p>
        </w:tc>
        <w:tc>
          <w:tcPr>
            <w:tcW w:w="2314" w:type="dxa"/>
            <w:tcBorders>
              <w:top w:val="single" w:sz="18" w:space="0" w:color="4E8542"/>
            </w:tcBorders>
            <w:shd w:val="clear" w:color="auto" w:fill="D0E4CA"/>
          </w:tcPr>
          <w:p>
            <w:pPr>
              <w:pStyle w:val="TableParagraph"/>
              <w:spacing w:before="1"/>
              <w:ind w:left="105" w:right="99"/>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p>
        </w:tc>
      </w:tr>
    </w:tbl>
    <w:p>
      <w:pPr>
        <w:pStyle w:val="BodyText"/>
        <w:spacing w:before="9"/>
        <w:rPr>
          <w:b/>
          <w:sz w:val="9"/>
        </w:rPr>
      </w:pPr>
      <w:r>
        <w:rPr/>
        <w:pict>
          <v:shape style="position:absolute;margin-left:70.559998pt;margin-top:8.1595pt;width:650.9pt;height:.1pt;mso-position-horizontal-relative:page;mso-position-vertical-relative:paragraph;z-index:-251516928;mso-wrap-distance-left:0;mso-wrap-distance-right:0" coordorigin="1411,163" coordsize="13018,0" path="m1411,163l14429,163e" filled="false" stroked="true" strokeweight=".481pt" strokecolor="#d9d9d9">
            <v:path arrowok="t"/>
            <v:stroke dashstyle="solid"/>
            <w10:wrap type="topAndBottom"/>
          </v:shape>
        </w:pict>
      </w:r>
    </w:p>
    <w:p>
      <w:pPr>
        <w:spacing w:after="0"/>
        <w:rPr>
          <w:sz w:val="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01"/>
        <w:gridCol w:w="2698"/>
        <w:gridCol w:w="1407"/>
        <w:gridCol w:w="3123"/>
        <w:gridCol w:w="2314"/>
      </w:tblGrid>
      <w:tr>
        <w:trPr>
          <w:trHeight w:val="9131" w:hRule="atLeast"/>
        </w:trPr>
        <w:tc>
          <w:tcPr>
            <w:tcW w:w="3401" w:type="dxa"/>
            <w:shd w:val="clear" w:color="auto" w:fill="D0E4CA"/>
          </w:tcPr>
          <w:p>
            <w:pPr>
              <w:pStyle w:val="TableParagraph"/>
              <w:rPr>
                <w:rFonts w:ascii="Times New Roman"/>
                <w:sz w:val="22"/>
              </w:rPr>
            </w:pPr>
          </w:p>
        </w:tc>
        <w:tc>
          <w:tcPr>
            <w:tcW w:w="2698" w:type="dxa"/>
            <w:shd w:val="clear" w:color="auto" w:fill="D0E4CA"/>
          </w:tcPr>
          <w:p>
            <w:pPr>
              <w:pStyle w:val="TableParagraph"/>
              <w:spacing w:line="267" w:lineRule="exact"/>
              <w:ind w:left="107"/>
              <w:rPr>
                <w:sz w:val="22"/>
              </w:rPr>
            </w:pPr>
            <w:hyperlink r:id="rId23">
              <w:r>
                <w:rPr>
                  <w:color w:val="6B9F24"/>
                  <w:sz w:val="22"/>
                  <w:u w:val="single" w:color="6B9F24"/>
                </w:rPr>
                <w:t>WAC 388-823-1095</w:t>
              </w:r>
              <w:r>
                <w:rPr>
                  <w:color w:val="6B9F24"/>
                  <w:sz w:val="22"/>
                </w:rPr>
                <w:t> </w:t>
              </w:r>
            </w:hyperlink>
            <w:r>
              <w:rPr>
                <w:sz w:val="22"/>
              </w:rPr>
              <w:t>My</w:t>
            </w:r>
          </w:p>
          <w:p>
            <w:pPr>
              <w:pStyle w:val="TableParagraph"/>
              <w:spacing w:line="480" w:lineRule="auto"/>
              <w:ind w:left="107" w:right="602"/>
              <w:rPr>
                <w:sz w:val="22"/>
              </w:rPr>
            </w:pPr>
            <w:r>
              <w:rPr>
                <w:sz w:val="22"/>
              </w:rPr>
              <w:t>rights as a DDA client. WAC </w:t>
            </w:r>
            <w:hyperlink r:id="rId118">
              <w:r>
                <w:rPr>
                  <w:color w:val="6B9F24"/>
                  <w:sz w:val="22"/>
                  <w:u w:val="single" w:color="6B9F24"/>
                </w:rPr>
                <w:t>388-101-3170</w:t>
              </w:r>
            </w:hyperlink>
          </w:p>
          <w:p>
            <w:pPr>
              <w:pStyle w:val="TableParagraph"/>
              <w:spacing w:before="1"/>
              <w:ind w:left="107" w:right="144"/>
              <w:rPr>
                <w:sz w:val="22"/>
              </w:rPr>
            </w:pPr>
            <w:r>
              <w:rPr>
                <w:sz w:val="22"/>
              </w:rPr>
              <w:t>The State has completed a review of state statutes and regulations regarding DDA group training homes and determined that those laws are in alignment with the HCBS setting requirements.</w:t>
            </w:r>
          </w:p>
        </w:tc>
        <w:tc>
          <w:tcPr>
            <w:tcW w:w="1407" w:type="dxa"/>
            <w:shd w:val="clear" w:color="auto" w:fill="D0E4CA"/>
          </w:tcPr>
          <w:p>
            <w:pPr>
              <w:pStyle w:val="TableParagraph"/>
              <w:rPr>
                <w:rFonts w:ascii="Times New Roman"/>
                <w:sz w:val="22"/>
              </w:rPr>
            </w:pPr>
          </w:p>
        </w:tc>
        <w:tc>
          <w:tcPr>
            <w:tcW w:w="3123" w:type="dxa"/>
            <w:shd w:val="clear" w:color="auto" w:fill="D0E4CA"/>
          </w:tcPr>
          <w:p>
            <w:pPr>
              <w:pStyle w:val="TableParagraph"/>
              <w:ind w:left="106" w:right="140"/>
              <w:rPr>
                <w:sz w:val="22"/>
              </w:rPr>
            </w:pPr>
            <w:r>
              <w:rPr>
                <w:sz w:val="22"/>
              </w:rPr>
              <w:t>whether providers are adhering to the Individual Instruction &amp; Support Plan (IISP).</w:t>
            </w:r>
          </w:p>
          <w:p>
            <w:pPr>
              <w:pStyle w:val="TableParagraph"/>
              <w:ind w:left="106" w:right="249"/>
              <w:rPr>
                <w:sz w:val="22"/>
              </w:rPr>
            </w:pPr>
            <w:r>
              <w:rPr>
                <w:sz w:val="22"/>
              </w:rPr>
              <w:t>While completing regular certification evaluations and complaint investigations, the CCRSS provider is evaluated to ensure quality of supports and services and client rights are being protected.</w:t>
            </w:r>
          </w:p>
          <w:p>
            <w:pPr>
              <w:pStyle w:val="TableParagraph"/>
              <w:spacing w:before="11"/>
              <w:rPr>
                <w:b/>
                <w:sz w:val="21"/>
              </w:rPr>
            </w:pPr>
          </w:p>
          <w:p>
            <w:pPr>
              <w:pStyle w:val="TableParagraph"/>
              <w:ind w:left="106" w:right="333"/>
              <w:rPr>
                <w:sz w:val="22"/>
              </w:rPr>
            </w:pPr>
            <w:r>
              <w:rPr>
                <w:sz w:val="22"/>
              </w:rPr>
              <w:t>In addition to the monitoring activities overseen by RCS, DDA has taken the following steps: 1) Increasing DDA’s QA system with the addition of a Residential Quality Assurance Unit which includes three Residential Specialists to develop and share best</w:t>
            </w:r>
          </w:p>
          <w:p>
            <w:pPr>
              <w:pStyle w:val="TableParagraph"/>
              <w:ind w:left="106" w:right="106"/>
              <w:rPr>
                <w:sz w:val="22"/>
              </w:rPr>
            </w:pPr>
            <w:r>
              <w:rPr>
                <w:sz w:val="22"/>
              </w:rPr>
              <w:t>practices; 2) A training Program Manager has been hired to develop a 70 hour training program to be implemented for all residential staff beginning January 2016; 3) DDA has added a quality assurance researcher to review and analyze agency Individual Support Plans (ISPs) to assist agencies to increase quality of goal writing and data tracking; 4) DDA has also hired an auditor to ensure each</w:t>
            </w:r>
            <w:r>
              <w:rPr>
                <w:spacing w:val="-11"/>
                <w:sz w:val="22"/>
              </w:rPr>
              <w:t> </w:t>
            </w:r>
            <w:r>
              <w:rPr>
                <w:sz w:val="22"/>
              </w:rPr>
              <w:t>client</w:t>
            </w:r>
          </w:p>
          <w:p>
            <w:pPr>
              <w:pStyle w:val="TableParagraph"/>
              <w:spacing w:line="249" w:lineRule="exact" w:before="1"/>
              <w:ind w:left="106"/>
              <w:rPr>
                <w:sz w:val="22"/>
              </w:rPr>
            </w:pPr>
            <w:r>
              <w:rPr>
                <w:sz w:val="22"/>
              </w:rPr>
              <w:t>is receiving the ISS hours</w:t>
            </w:r>
          </w:p>
        </w:tc>
        <w:tc>
          <w:tcPr>
            <w:tcW w:w="2314" w:type="dxa"/>
            <w:shd w:val="clear" w:color="auto" w:fill="D0E4CA"/>
          </w:tcPr>
          <w:p>
            <w:pPr>
              <w:pStyle w:val="TableParagraph"/>
              <w:rPr>
                <w:rFonts w:ascii="Times New Roman"/>
                <w:sz w:val="22"/>
              </w:rPr>
            </w:pPr>
          </w:p>
        </w:tc>
      </w:tr>
    </w:tbl>
    <w:p>
      <w:pPr>
        <w:pStyle w:val="BodyText"/>
        <w:spacing w:before="6"/>
        <w:rPr>
          <w:b/>
          <w:sz w:val="4"/>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01"/>
        <w:gridCol w:w="2698"/>
        <w:gridCol w:w="1407"/>
        <w:gridCol w:w="3123"/>
        <w:gridCol w:w="2314"/>
      </w:tblGrid>
      <w:tr>
        <w:trPr>
          <w:trHeight w:val="8994" w:hRule="atLeast"/>
        </w:trPr>
        <w:tc>
          <w:tcPr>
            <w:tcW w:w="3401" w:type="dxa"/>
            <w:shd w:val="clear" w:color="auto" w:fill="D0E4CA"/>
          </w:tcPr>
          <w:p>
            <w:pPr>
              <w:pStyle w:val="TableParagraph"/>
              <w:rPr>
                <w:rFonts w:ascii="Times New Roman"/>
                <w:sz w:val="22"/>
              </w:rPr>
            </w:pPr>
          </w:p>
        </w:tc>
        <w:tc>
          <w:tcPr>
            <w:tcW w:w="2698" w:type="dxa"/>
            <w:shd w:val="clear" w:color="auto" w:fill="D0E4CA"/>
          </w:tcPr>
          <w:p>
            <w:pPr>
              <w:pStyle w:val="TableParagraph"/>
              <w:rPr>
                <w:rFonts w:ascii="Times New Roman"/>
                <w:sz w:val="22"/>
              </w:rPr>
            </w:pPr>
          </w:p>
        </w:tc>
        <w:tc>
          <w:tcPr>
            <w:tcW w:w="1407" w:type="dxa"/>
            <w:shd w:val="clear" w:color="auto" w:fill="D0E4CA"/>
          </w:tcPr>
          <w:p>
            <w:pPr>
              <w:pStyle w:val="TableParagraph"/>
              <w:rPr>
                <w:rFonts w:ascii="Times New Roman"/>
                <w:sz w:val="22"/>
              </w:rPr>
            </w:pPr>
          </w:p>
        </w:tc>
        <w:tc>
          <w:tcPr>
            <w:tcW w:w="3123" w:type="dxa"/>
            <w:shd w:val="clear" w:color="auto" w:fill="D0E4CA"/>
          </w:tcPr>
          <w:p>
            <w:pPr>
              <w:pStyle w:val="TableParagraph"/>
              <w:ind w:left="106" w:right="303"/>
              <w:rPr>
                <w:sz w:val="22"/>
              </w:rPr>
            </w:pPr>
            <w:r>
              <w:rPr>
                <w:sz w:val="22"/>
              </w:rPr>
              <w:t>identified in their ISP and that client funds are expended correctly.</w:t>
            </w:r>
          </w:p>
          <w:p>
            <w:pPr>
              <w:pStyle w:val="TableParagraph"/>
              <w:spacing w:before="3"/>
              <w:rPr>
                <w:b/>
                <w:sz w:val="16"/>
              </w:rPr>
            </w:pPr>
          </w:p>
          <w:p>
            <w:pPr>
              <w:pStyle w:val="TableParagraph"/>
              <w:ind w:left="106" w:right="123"/>
              <w:rPr>
                <w:sz w:val="22"/>
              </w:rPr>
            </w:pPr>
            <w:r>
              <w:rPr>
                <w:sz w:val="22"/>
              </w:rPr>
              <w:t>Facilities are required to follow the RCW.  The RCW provides the basis for RCS inspections and citations when a facility violates a resident’s rights. The RCW states the resident has the a right to choose activities, schedules, and care, interact with members of the community both inside and outside the facility, make choices about aspects for his or her life, and participate in social, religious, and community activities.</w:t>
            </w:r>
          </w:p>
          <w:p>
            <w:pPr>
              <w:pStyle w:val="TableParagraph"/>
              <w:spacing w:before="5"/>
              <w:rPr>
                <w:b/>
                <w:sz w:val="16"/>
              </w:rPr>
            </w:pPr>
          </w:p>
          <w:p>
            <w:pPr>
              <w:pStyle w:val="TableParagraph"/>
              <w:ind w:left="106" w:right="112"/>
              <w:rPr>
                <w:sz w:val="22"/>
              </w:rPr>
            </w:pPr>
            <w:r>
              <w:rPr>
                <w:sz w:val="22"/>
              </w:rPr>
              <w:t>The Residential Care Services (RCS) Division of ALTSA monitors compliance with the HCBS setting requirements. RCS conducts inspections and complaint investigations of all licensed facilities. Residential Care Services (RCS) conducts inspections every 9-18 months with the average being 12 months. Inspections are unannounced and unpredictable as to when</w:t>
            </w:r>
            <w:r>
              <w:rPr>
                <w:spacing w:val="-8"/>
                <w:sz w:val="22"/>
              </w:rPr>
              <w:t> </w:t>
            </w:r>
            <w:r>
              <w:rPr>
                <w:sz w:val="22"/>
              </w:rPr>
              <w:t>they</w:t>
            </w:r>
          </w:p>
          <w:p>
            <w:pPr>
              <w:pStyle w:val="TableParagraph"/>
              <w:spacing w:line="249" w:lineRule="exact" w:before="1"/>
              <w:ind w:left="106"/>
              <w:rPr>
                <w:sz w:val="22"/>
              </w:rPr>
            </w:pPr>
            <w:r>
              <w:rPr>
                <w:sz w:val="22"/>
              </w:rPr>
              <w:t>will occur.  If a facility is</w:t>
            </w:r>
            <w:r>
              <w:rPr>
                <w:spacing w:val="-16"/>
                <w:sz w:val="22"/>
              </w:rPr>
              <w:t> </w:t>
            </w:r>
            <w:r>
              <w:rPr>
                <w:sz w:val="22"/>
              </w:rPr>
              <w:t>found</w:t>
            </w:r>
          </w:p>
        </w:tc>
        <w:tc>
          <w:tcPr>
            <w:tcW w:w="2314" w:type="dxa"/>
            <w:shd w:val="clear" w:color="auto" w:fill="D0E4CA"/>
          </w:tcPr>
          <w:p>
            <w:pPr>
              <w:pStyle w:val="TableParagraph"/>
              <w:rPr>
                <w:rFonts w:ascii="Times New Roman"/>
                <w:sz w:val="22"/>
              </w:rPr>
            </w:pPr>
          </w:p>
        </w:tc>
      </w:tr>
    </w:tbl>
    <w:p>
      <w:pPr>
        <w:pStyle w:val="BodyText"/>
        <w:spacing w:before="6"/>
        <w:rPr>
          <w:b/>
          <w:sz w:val="12"/>
        </w:rPr>
      </w:pPr>
      <w:r>
        <w:rPr/>
        <w:pict>
          <v:shape style="position:absolute;margin-left:70.559998pt;margin-top:9.839500pt;width:650.9pt;height:.1pt;mso-position-horizontal-relative:page;mso-position-vertical-relative:paragraph;z-index:-251514880;mso-wrap-distance-left:0;mso-wrap-distance-right:0" coordorigin="1411,197" coordsize="13018,0" path="m1411,197l14429,197e" filled="false" stroked="true" strokeweight=".481pt" strokecolor="#d9d9d9">
            <v:path arrowok="t"/>
            <v:stroke dashstyle="solid"/>
            <w10:wrap type="topAndBottom"/>
          </v:shape>
        </w:pict>
      </w:r>
    </w:p>
    <w:p>
      <w:pPr>
        <w:spacing w:after="0"/>
        <w:rPr>
          <w:sz w:val="1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01"/>
        <w:gridCol w:w="2698"/>
        <w:gridCol w:w="1407"/>
        <w:gridCol w:w="3123"/>
        <w:gridCol w:w="2314"/>
      </w:tblGrid>
      <w:tr>
        <w:trPr>
          <w:trHeight w:val="6983" w:hRule="atLeast"/>
        </w:trPr>
        <w:tc>
          <w:tcPr>
            <w:tcW w:w="3401" w:type="dxa"/>
            <w:shd w:val="clear" w:color="auto" w:fill="D0E4CA"/>
          </w:tcPr>
          <w:p>
            <w:pPr>
              <w:pStyle w:val="TableParagraph"/>
              <w:rPr>
                <w:rFonts w:ascii="Times New Roman"/>
                <w:sz w:val="22"/>
              </w:rPr>
            </w:pPr>
          </w:p>
        </w:tc>
        <w:tc>
          <w:tcPr>
            <w:tcW w:w="2698" w:type="dxa"/>
            <w:shd w:val="clear" w:color="auto" w:fill="D0E4CA"/>
          </w:tcPr>
          <w:p>
            <w:pPr>
              <w:pStyle w:val="TableParagraph"/>
              <w:rPr>
                <w:rFonts w:ascii="Times New Roman"/>
                <w:sz w:val="22"/>
              </w:rPr>
            </w:pPr>
          </w:p>
        </w:tc>
        <w:tc>
          <w:tcPr>
            <w:tcW w:w="1407" w:type="dxa"/>
            <w:shd w:val="clear" w:color="auto" w:fill="D0E4CA"/>
          </w:tcPr>
          <w:p>
            <w:pPr>
              <w:pStyle w:val="TableParagraph"/>
              <w:rPr>
                <w:rFonts w:ascii="Times New Roman"/>
                <w:sz w:val="22"/>
              </w:rPr>
            </w:pPr>
          </w:p>
        </w:tc>
        <w:tc>
          <w:tcPr>
            <w:tcW w:w="3123" w:type="dxa"/>
            <w:shd w:val="clear" w:color="auto" w:fill="D0E4CA"/>
          </w:tcPr>
          <w:p>
            <w:pPr>
              <w:pStyle w:val="TableParagraph"/>
              <w:ind w:left="106" w:right="113"/>
              <w:rPr>
                <w:sz w:val="22"/>
              </w:rPr>
            </w:pPr>
            <w:r>
              <w:rPr>
                <w:sz w:val="22"/>
              </w:rPr>
              <w:t>not to be in compliance with any of the client’s rights identified in the HCB settings rules, including isolating residents from the broader community, RCS takes an enforcement action against the facility and the facility is required to develop a corrective action plan to address the issue. For repeat violations, RCS may fine the facility, or revoke the license. As part of the RCS inspection, RCS interviews residents using a survey</w:t>
            </w:r>
            <w:r>
              <w:rPr>
                <w:spacing w:val="-6"/>
                <w:sz w:val="22"/>
              </w:rPr>
              <w:t> </w:t>
            </w:r>
            <w:r>
              <w:rPr>
                <w:sz w:val="22"/>
              </w:rPr>
              <w:t>tool.</w:t>
            </w:r>
          </w:p>
          <w:p>
            <w:pPr>
              <w:pStyle w:val="TableParagraph"/>
              <w:ind w:left="106" w:right="374"/>
              <w:rPr>
                <w:sz w:val="22"/>
              </w:rPr>
            </w:pPr>
            <w:r>
              <w:rPr>
                <w:sz w:val="22"/>
              </w:rPr>
              <w:t>Questions were added to the RCS resident survey (see Appendix E) to elicit resident feedback on whether their rights are being violated.</w:t>
            </w:r>
          </w:p>
          <w:p>
            <w:pPr>
              <w:pStyle w:val="TableParagraph"/>
              <w:spacing w:before="10"/>
              <w:rPr>
                <w:b/>
                <w:sz w:val="21"/>
              </w:rPr>
            </w:pPr>
          </w:p>
          <w:p>
            <w:pPr>
              <w:pStyle w:val="TableParagraph"/>
              <w:spacing w:line="270" w:lineRule="atLeast"/>
              <w:ind w:left="106" w:right="280"/>
              <w:rPr>
                <w:sz w:val="22"/>
              </w:rPr>
            </w:pPr>
            <w:r>
              <w:rPr>
                <w:sz w:val="22"/>
              </w:rPr>
              <w:t>On-site inspections ensure homes meet all licensing and certification requirements in WAC and RCW, including WAC 388-823-1095.</w:t>
            </w:r>
          </w:p>
        </w:tc>
        <w:tc>
          <w:tcPr>
            <w:tcW w:w="2314" w:type="dxa"/>
            <w:shd w:val="clear" w:color="auto" w:fill="D0E4CA"/>
          </w:tcPr>
          <w:p>
            <w:pPr>
              <w:pStyle w:val="TableParagraph"/>
              <w:rPr>
                <w:rFonts w:ascii="Times New Roman"/>
                <w:sz w:val="22"/>
              </w:rPr>
            </w:pPr>
          </w:p>
        </w:tc>
      </w:tr>
      <w:tr>
        <w:trPr>
          <w:trHeight w:val="2145" w:hRule="atLeast"/>
        </w:trPr>
        <w:tc>
          <w:tcPr>
            <w:tcW w:w="3401" w:type="dxa"/>
          </w:tcPr>
          <w:p>
            <w:pPr>
              <w:pStyle w:val="TableParagraph"/>
              <w:ind w:left="107" w:right="171"/>
              <w:rPr>
                <w:b/>
                <w:sz w:val="22"/>
              </w:rPr>
            </w:pPr>
            <w:r>
              <w:rPr>
                <w:b/>
                <w:sz w:val="22"/>
              </w:rPr>
              <w:t>The setting is selected by the individual from among setting options including non-disability specific settings and an option for a private unit in a residential setting. The setting options are identified and documented in</w:t>
            </w:r>
            <w:r>
              <w:rPr>
                <w:b/>
                <w:spacing w:val="-13"/>
                <w:sz w:val="22"/>
              </w:rPr>
              <w:t> </w:t>
            </w:r>
            <w:r>
              <w:rPr>
                <w:b/>
                <w:sz w:val="22"/>
              </w:rPr>
              <w:t>the</w:t>
            </w:r>
          </w:p>
          <w:p>
            <w:pPr>
              <w:pStyle w:val="TableParagraph"/>
              <w:spacing w:line="251" w:lineRule="exact"/>
              <w:ind w:left="107"/>
              <w:rPr>
                <w:b/>
                <w:sz w:val="22"/>
              </w:rPr>
            </w:pPr>
            <w:r>
              <w:rPr>
                <w:b/>
                <w:sz w:val="22"/>
              </w:rPr>
              <w:t>person-centered service plan</w:t>
            </w:r>
            <w:r>
              <w:rPr>
                <w:b/>
                <w:spacing w:val="-15"/>
                <w:sz w:val="22"/>
              </w:rPr>
              <w:t> </w:t>
            </w:r>
            <w:r>
              <w:rPr>
                <w:b/>
                <w:sz w:val="22"/>
              </w:rPr>
              <w:t>and</w:t>
            </w:r>
          </w:p>
        </w:tc>
        <w:tc>
          <w:tcPr>
            <w:tcW w:w="2698" w:type="dxa"/>
          </w:tcPr>
          <w:p>
            <w:pPr>
              <w:pStyle w:val="TableParagraph"/>
              <w:ind w:left="107" w:right="164"/>
              <w:rPr>
                <w:sz w:val="22"/>
              </w:rPr>
            </w:pPr>
            <w:r>
              <w:rPr>
                <w:sz w:val="22"/>
              </w:rPr>
              <w:t>During the assessment process, it is a CM responsibility to inform individuals of their options regarding settings and providers. DDA participants report via the</w:t>
            </w:r>
          </w:p>
          <w:p>
            <w:pPr>
              <w:pStyle w:val="TableParagraph"/>
              <w:spacing w:line="251" w:lineRule="exact"/>
              <w:ind w:left="107"/>
              <w:rPr>
                <w:sz w:val="22"/>
              </w:rPr>
            </w:pPr>
            <w:r>
              <w:rPr>
                <w:sz w:val="22"/>
              </w:rPr>
              <w:t>Assessment Meeting</w:t>
            </w:r>
          </w:p>
        </w:tc>
        <w:tc>
          <w:tcPr>
            <w:tcW w:w="1407" w:type="dxa"/>
          </w:tcPr>
          <w:p>
            <w:pPr>
              <w:pStyle w:val="TableParagraph"/>
              <w:ind w:left="106" w:right="340"/>
              <w:rPr>
                <w:sz w:val="22"/>
              </w:rPr>
            </w:pPr>
            <w:r>
              <w:rPr>
                <w:sz w:val="22"/>
              </w:rPr>
              <w:t>Partially Compliant</w:t>
            </w:r>
          </w:p>
        </w:tc>
        <w:tc>
          <w:tcPr>
            <w:tcW w:w="3123" w:type="dxa"/>
          </w:tcPr>
          <w:p>
            <w:pPr>
              <w:pStyle w:val="TableParagraph"/>
              <w:ind w:left="106" w:right="93"/>
              <w:rPr>
                <w:sz w:val="22"/>
              </w:rPr>
            </w:pPr>
            <w:r>
              <w:rPr>
                <w:sz w:val="22"/>
              </w:rPr>
              <w:t>CMs offer the individual choices of settings and provider types. This is a component of the CARE assessment process.</w:t>
            </w:r>
          </w:p>
          <w:p>
            <w:pPr>
              <w:pStyle w:val="TableParagraph"/>
              <w:spacing w:before="4"/>
              <w:rPr>
                <w:b/>
                <w:sz w:val="21"/>
              </w:rPr>
            </w:pPr>
          </w:p>
          <w:p>
            <w:pPr>
              <w:pStyle w:val="TableParagraph"/>
              <w:spacing w:line="270" w:lineRule="atLeast"/>
              <w:ind w:left="106" w:right="249"/>
              <w:rPr>
                <w:sz w:val="22"/>
              </w:rPr>
            </w:pPr>
            <w:r>
              <w:rPr>
                <w:sz w:val="22"/>
              </w:rPr>
              <w:t>As part of the certification and RCS complaint investigation process described in the</w:t>
            </w:r>
          </w:p>
        </w:tc>
        <w:tc>
          <w:tcPr>
            <w:tcW w:w="2314" w:type="dxa"/>
          </w:tcPr>
          <w:p>
            <w:pPr>
              <w:pStyle w:val="TableParagraph"/>
              <w:ind w:left="105" w:right="99"/>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w:t>
            </w:r>
            <w:r>
              <w:rPr>
                <w:spacing w:val="-6"/>
                <w:sz w:val="22"/>
              </w:rPr>
              <w:t> </w:t>
            </w:r>
            <w:r>
              <w:rPr>
                <w:sz w:val="22"/>
              </w:rPr>
              <w:t>WAC.</w:t>
            </w:r>
          </w:p>
          <w:p>
            <w:pPr>
              <w:pStyle w:val="TableParagraph"/>
              <w:spacing w:line="251" w:lineRule="exact"/>
              <w:ind w:left="105"/>
              <w:rPr>
                <w:sz w:val="22"/>
              </w:rPr>
            </w:pPr>
            <w:r>
              <w:rPr>
                <w:sz w:val="22"/>
              </w:rPr>
              <w:t>See </w:t>
            </w:r>
            <w:r>
              <w:rPr>
                <w:color w:val="6B9F24"/>
                <w:sz w:val="22"/>
                <w:u w:val="single" w:color="6B9F24"/>
              </w:rPr>
              <w:t>Appendix C.</w:t>
            </w:r>
          </w:p>
        </w:tc>
      </w:tr>
    </w:tbl>
    <w:p>
      <w:pPr>
        <w:pStyle w:val="BodyText"/>
        <w:spacing w:before="8"/>
        <w:rPr>
          <w:b/>
          <w:sz w:val="2"/>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01"/>
        <w:gridCol w:w="2698"/>
        <w:gridCol w:w="1407"/>
        <w:gridCol w:w="3123"/>
        <w:gridCol w:w="2314"/>
      </w:tblGrid>
      <w:tr>
        <w:trPr>
          <w:trHeight w:val="4028" w:hRule="atLeast"/>
        </w:trPr>
        <w:tc>
          <w:tcPr>
            <w:tcW w:w="3401" w:type="dxa"/>
          </w:tcPr>
          <w:p>
            <w:pPr>
              <w:pStyle w:val="TableParagraph"/>
              <w:ind w:left="107" w:right="175"/>
              <w:rPr>
                <w:b/>
                <w:sz w:val="22"/>
              </w:rPr>
            </w:pPr>
            <w:r>
              <w:rPr>
                <w:b/>
                <w:sz w:val="22"/>
              </w:rPr>
              <w:t>are based on the individual’s needs, preferences, and, for residential settings, the resources available for room and board.</w:t>
            </w:r>
          </w:p>
        </w:tc>
        <w:tc>
          <w:tcPr>
            <w:tcW w:w="2698" w:type="dxa"/>
          </w:tcPr>
          <w:p>
            <w:pPr>
              <w:pStyle w:val="TableParagraph"/>
              <w:ind w:left="107" w:right="292"/>
              <w:rPr>
                <w:sz w:val="22"/>
              </w:rPr>
            </w:pPr>
            <w:r>
              <w:rPr>
                <w:sz w:val="22"/>
              </w:rPr>
              <w:t>Wrap–up and the Assessment Meeting Survey that they are informed of their options regarding services and providers.</w:t>
            </w:r>
          </w:p>
          <w:p>
            <w:pPr>
              <w:pStyle w:val="TableParagraph"/>
              <w:rPr>
                <w:b/>
                <w:sz w:val="22"/>
              </w:rPr>
            </w:pPr>
          </w:p>
          <w:p>
            <w:pPr>
              <w:pStyle w:val="TableParagraph"/>
              <w:ind w:left="107" w:right="161"/>
              <w:rPr>
                <w:sz w:val="22"/>
              </w:rPr>
            </w:pPr>
            <w:r>
              <w:rPr>
                <w:sz w:val="22"/>
              </w:rPr>
              <w:t>For individuals served by DDA, the Assessment Meeting Wrap-up (</w:t>
            </w:r>
            <w:hyperlink r:id="rId120">
              <w:r>
                <w:rPr>
                  <w:color w:val="6B9F24"/>
                  <w:sz w:val="22"/>
                  <w:u w:val="single" w:color="6B9F24"/>
                </w:rPr>
                <w:t>DSHS</w:t>
              </w:r>
            </w:hyperlink>
            <w:r>
              <w:rPr>
                <w:color w:val="6B9F24"/>
                <w:sz w:val="22"/>
              </w:rPr>
              <w:t> </w:t>
            </w:r>
            <w:hyperlink r:id="rId120">
              <w:r>
                <w:rPr>
                  <w:color w:val="6B9F24"/>
                  <w:sz w:val="22"/>
                  <w:u w:val="single" w:color="6B9F24"/>
                </w:rPr>
                <w:t>14-492</w:t>
              </w:r>
            </w:hyperlink>
            <w:r>
              <w:rPr>
                <w:sz w:val="22"/>
              </w:rPr>
              <w:t>) documents that individuals are informed of their options regarding settings and providers.</w:t>
            </w:r>
          </w:p>
        </w:tc>
        <w:tc>
          <w:tcPr>
            <w:tcW w:w="1407" w:type="dxa"/>
          </w:tcPr>
          <w:p>
            <w:pPr>
              <w:pStyle w:val="TableParagraph"/>
              <w:rPr>
                <w:rFonts w:ascii="Times New Roman"/>
                <w:sz w:val="22"/>
              </w:rPr>
            </w:pPr>
          </w:p>
        </w:tc>
        <w:tc>
          <w:tcPr>
            <w:tcW w:w="3123" w:type="dxa"/>
          </w:tcPr>
          <w:p>
            <w:pPr>
              <w:pStyle w:val="TableParagraph"/>
              <w:ind w:left="106" w:right="403"/>
              <w:rPr>
                <w:sz w:val="22"/>
              </w:rPr>
            </w:pPr>
            <w:r>
              <w:rPr>
                <w:sz w:val="22"/>
              </w:rPr>
              <w:t>overview, RCS Contracted Evaluators and RCS Investigators conduct client observations, client and collateral interviews, service provider and staff interviews and client record reviews to ensure service providers’ compliance.</w:t>
            </w:r>
          </w:p>
          <w:p>
            <w:pPr>
              <w:pStyle w:val="TableParagraph"/>
              <w:spacing w:before="11"/>
              <w:rPr>
                <w:b/>
                <w:sz w:val="21"/>
              </w:rPr>
            </w:pPr>
          </w:p>
          <w:p>
            <w:pPr>
              <w:pStyle w:val="TableParagraph"/>
              <w:ind w:left="106" w:right="263"/>
              <w:rPr>
                <w:sz w:val="22"/>
              </w:rPr>
            </w:pPr>
            <w:r>
              <w:rPr>
                <w:sz w:val="22"/>
              </w:rPr>
              <w:t>On-site inspections ensure homes meet all licensing and certification requirements in WAC and RCW, including WAC</w:t>
            </w:r>
          </w:p>
          <w:p>
            <w:pPr>
              <w:pStyle w:val="TableParagraph"/>
              <w:spacing w:line="249" w:lineRule="exact" w:before="1"/>
              <w:ind w:left="106"/>
              <w:rPr>
                <w:sz w:val="22"/>
              </w:rPr>
            </w:pPr>
            <w:r>
              <w:rPr>
                <w:sz w:val="22"/>
              </w:rPr>
              <w:t>388-823-1095.</w:t>
            </w:r>
          </w:p>
        </w:tc>
        <w:tc>
          <w:tcPr>
            <w:tcW w:w="2314" w:type="dxa"/>
          </w:tcPr>
          <w:p>
            <w:pPr>
              <w:pStyle w:val="TableParagraph"/>
              <w:rPr>
                <w:rFonts w:ascii="Times New Roman"/>
                <w:sz w:val="22"/>
              </w:rPr>
            </w:pPr>
          </w:p>
        </w:tc>
      </w:tr>
      <w:tr>
        <w:trPr>
          <w:trHeight w:val="3376" w:hRule="atLeast"/>
        </w:trPr>
        <w:tc>
          <w:tcPr>
            <w:tcW w:w="3401" w:type="dxa"/>
            <w:tcBorders>
              <w:bottom w:val="nil"/>
            </w:tcBorders>
            <w:shd w:val="clear" w:color="auto" w:fill="D0E4CA"/>
          </w:tcPr>
          <w:p>
            <w:pPr>
              <w:pStyle w:val="TableParagraph"/>
              <w:ind w:left="107" w:right="206"/>
              <w:rPr>
                <w:b/>
                <w:sz w:val="22"/>
              </w:rPr>
            </w:pPr>
            <w:r>
              <w:rPr>
                <w:b/>
                <w:sz w:val="22"/>
              </w:rPr>
              <w:t>An individual’s essential personal rights of privacy, dignity and respect, and freedom from coercion and restraint are protected.</w:t>
            </w:r>
          </w:p>
        </w:tc>
        <w:tc>
          <w:tcPr>
            <w:tcW w:w="2698" w:type="dxa"/>
            <w:tcBorders>
              <w:bottom w:val="nil"/>
            </w:tcBorders>
            <w:shd w:val="clear" w:color="auto" w:fill="D0E4CA"/>
          </w:tcPr>
          <w:p>
            <w:pPr>
              <w:pStyle w:val="TableParagraph"/>
              <w:ind w:left="107" w:right="134"/>
              <w:rPr>
                <w:sz w:val="22"/>
              </w:rPr>
            </w:pPr>
            <w:r>
              <w:rPr>
                <w:sz w:val="22"/>
              </w:rPr>
              <w:t>Rights are protected in </w:t>
            </w:r>
            <w:hyperlink r:id="rId49">
              <w:r>
                <w:rPr>
                  <w:color w:val="6B9F24"/>
                  <w:sz w:val="22"/>
                  <w:u w:val="single" w:color="6B9F24"/>
                </w:rPr>
                <w:t>RCW 70.129.005</w:t>
              </w:r>
              <w:r>
                <w:rPr>
                  <w:color w:val="6B9F24"/>
                  <w:sz w:val="22"/>
                </w:rPr>
                <w:t> </w:t>
              </w:r>
            </w:hyperlink>
            <w:r>
              <w:rPr>
                <w:sz w:val="22"/>
              </w:rPr>
              <w:t>and WAC,</w:t>
            </w:r>
          </w:p>
          <w:p>
            <w:pPr>
              <w:pStyle w:val="TableParagraph"/>
              <w:ind w:left="107" w:right="203"/>
              <w:rPr>
                <w:sz w:val="22"/>
              </w:rPr>
            </w:pPr>
            <w:r>
              <w:rPr>
                <w:sz w:val="22"/>
              </w:rPr>
              <w:t>including not using restraints on any resident. (</w:t>
            </w:r>
            <w:hyperlink r:id="rId50">
              <w:r>
                <w:rPr>
                  <w:color w:val="6B9F24"/>
                  <w:sz w:val="22"/>
                  <w:u w:val="single" w:color="6B9F24"/>
                </w:rPr>
                <w:t>RCW 70.129.120</w:t>
              </w:r>
            </w:hyperlink>
            <w:r>
              <w:rPr>
                <w:sz w:val="22"/>
              </w:rPr>
              <w:t>)</w:t>
            </w:r>
          </w:p>
          <w:p>
            <w:pPr>
              <w:pStyle w:val="TableParagraph"/>
              <w:ind w:left="107" w:right="415"/>
              <w:rPr>
                <w:sz w:val="22"/>
              </w:rPr>
            </w:pPr>
            <w:r>
              <w:rPr>
                <w:sz w:val="22"/>
              </w:rPr>
              <w:t>Protection of rights is enforced through </w:t>
            </w:r>
            <w:hyperlink r:id="rId25">
              <w:r>
                <w:rPr>
                  <w:color w:val="6B9F24"/>
                  <w:sz w:val="22"/>
                  <w:u w:val="single" w:color="6B9F24"/>
                </w:rPr>
                <w:t>WAC</w:t>
              </w:r>
            </w:hyperlink>
            <w:r>
              <w:rPr>
                <w:color w:val="6B9F24"/>
                <w:sz w:val="22"/>
              </w:rPr>
              <w:t> </w:t>
            </w:r>
            <w:hyperlink r:id="rId25">
              <w:r>
                <w:rPr>
                  <w:color w:val="6B9F24"/>
                  <w:sz w:val="22"/>
                  <w:u w:val="single" w:color="6B9F24"/>
                </w:rPr>
                <w:t>388-101D-0125</w:t>
              </w:r>
              <w:r>
                <w:rPr>
                  <w:color w:val="6B9F24"/>
                  <w:sz w:val="22"/>
                </w:rPr>
                <w:t> </w:t>
              </w:r>
            </w:hyperlink>
            <w:r>
              <w:rPr>
                <w:sz w:val="22"/>
              </w:rPr>
              <w:t>through </w:t>
            </w:r>
            <w:hyperlink r:id="rId29">
              <w:r>
                <w:rPr>
                  <w:color w:val="6B9F24"/>
                  <w:sz w:val="22"/>
                  <w:u w:val="single" w:color="6B9F24"/>
                </w:rPr>
                <w:t>WAC 388-101D-0145.</w:t>
              </w:r>
            </w:hyperlink>
          </w:p>
        </w:tc>
        <w:tc>
          <w:tcPr>
            <w:tcW w:w="1407" w:type="dxa"/>
            <w:tcBorders>
              <w:bottom w:val="nil"/>
            </w:tcBorders>
            <w:shd w:val="clear" w:color="auto" w:fill="D0E4CA"/>
          </w:tcPr>
          <w:p>
            <w:pPr>
              <w:pStyle w:val="TableParagraph"/>
              <w:ind w:left="106" w:right="340"/>
              <w:rPr>
                <w:sz w:val="22"/>
              </w:rPr>
            </w:pPr>
            <w:r>
              <w:rPr>
                <w:sz w:val="22"/>
              </w:rPr>
              <w:t>Partially Compliant</w:t>
            </w:r>
          </w:p>
        </w:tc>
        <w:tc>
          <w:tcPr>
            <w:tcW w:w="3123" w:type="dxa"/>
            <w:tcBorders>
              <w:bottom w:val="nil"/>
            </w:tcBorders>
            <w:shd w:val="clear" w:color="auto" w:fill="D0E4CA"/>
          </w:tcPr>
          <w:p>
            <w:pPr>
              <w:pStyle w:val="TableParagraph"/>
              <w:ind w:left="106" w:right="249"/>
              <w:rPr>
                <w:sz w:val="22"/>
              </w:rPr>
            </w:pPr>
            <w:r>
              <w:rPr>
                <w:sz w:val="22"/>
              </w:rPr>
              <w:t>As part of the certification and RCS complaint investigation process described in the overview, RCS Contracted Evaluators and RCS Investigators conduct client observations, client and collateral interviews, service provider and staff interviews and client record reviews to ensure service providers’ compliance.</w:t>
            </w:r>
          </w:p>
        </w:tc>
        <w:tc>
          <w:tcPr>
            <w:tcW w:w="2314" w:type="dxa"/>
            <w:tcBorders>
              <w:bottom w:val="nil"/>
            </w:tcBorders>
            <w:shd w:val="clear" w:color="auto" w:fill="D0E4CA"/>
          </w:tcPr>
          <w:p>
            <w:pPr>
              <w:pStyle w:val="TableParagraph"/>
              <w:ind w:left="105" w:right="99"/>
              <w:rPr>
                <w:sz w:val="22"/>
              </w:rPr>
            </w:pPr>
            <w:r>
              <w:rPr>
                <w:sz w:val="22"/>
              </w:rPr>
              <w:t>Revising WAC 388-823- 1095 to include all rights listed in the HCBS rules and adding language to the contracts requiring adherence to the WAC. See </w:t>
            </w:r>
            <w:r>
              <w:rPr>
                <w:color w:val="6B9F24"/>
                <w:sz w:val="22"/>
                <w:u w:val="single" w:color="6B9F24"/>
              </w:rPr>
              <w:t>Appendix C.</w:t>
            </w:r>
          </w:p>
        </w:tc>
      </w:tr>
      <w:tr>
        <w:trPr>
          <w:trHeight w:val="1072" w:hRule="atLeast"/>
        </w:trPr>
        <w:tc>
          <w:tcPr>
            <w:tcW w:w="3401" w:type="dxa"/>
            <w:tcBorders>
              <w:top w:val="nil"/>
              <w:bottom w:val="nil"/>
            </w:tcBorders>
            <w:shd w:val="clear" w:color="auto" w:fill="D0E4CA"/>
          </w:tcPr>
          <w:p>
            <w:pPr>
              <w:pStyle w:val="TableParagraph"/>
              <w:rPr>
                <w:rFonts w:ascii="Times New Roman"/>
                <w:sz w:val="22"/>
              </w:rPr>
            </w:pPr>
          </w:p>
        </w:tc>
        <w:tc>
          <w:tcPr>
            <w:tcW w:w="2698" w:type="dxa"/>
            <w:tcBorders>
              <w:top w:val="nil"/>
              <w:bottom w:val="nil"/>
            </w:tcBorders>
            <w:shd w:val="clear" w:color="auto" w:fill="D0E4CA"/>
          </w:tcPr>
          <w:p>
            <w:pPr>
              <w:pStyle w:val="TableParagraph"/>
              <w:rPr>
                <w:rFonts w:ascii="Times New Roman"/>
                <w:sz w:val="22"/>
              </w:rPr>
            </w:pPr>
          </w:p>
        </w:tc>
        <w:tc>
          <w:tcPr>
            <w:tcW w:w="1407" w:type="dxa"/>
            <w:tcBorders>
              <w:top w:val="nil"/>
              <w:bottom w:val="nil"/>
            </w:tcBorders>
            <w:shd w:val="clear" w:color="auto" w:fill="D0E4CA"/>
          </w:tcPr>
          <w:p>
            <w:pPr>
              <w:pStyle w:val="TableParagraph"/>
              <w:rPr>
                <w:rFonts w:ascii="Times New Roman"/>
                <w:sz w:val="22"/>
              </w:rPr>
            </w:pPr>
          </w:p>
        </w:tc>
        <w:tc>
          <w:tcPr>
            <w:tcW w:w="3123" w:type="dxa"/>
            <w:tcBorders>
              <w:top w:val="nil"/>
              <w:bottom w:val="nil"/>
            </w:tcBorders>
            <w:shd w:val="clear" w:color="auto" w:fill="D0E4CA"/>
          </w:tcPr>
          <w:p>
            <w:pPr>
              <w:pStyle w:val="TableParagraph"/>
              <w:spacing w:before="114"/>
              <w:ind w:left="106" w:right="161"/>
              <w:rPr>
                <w:sz w:val="22"/>
              </w:rPr>
            </w:pPr>
            <w:r>
              <w:rPr>
                <w:sz w:val="22"/>
              </w:rPr>
              <w:t>The DDA Residential Quality Assurance Unit is monitoring to </w:t>
            </w:r>
            <w:hyperlink r:id="rId28">
              <w:r>
                <w:rPr>
                  <w:color w:val="6B9F24"/>
                  <w:sz w:val="22"/>
                  <w:u w:val="single" w:color="6B9F24"/>
                </w:rPr>
                <w:t>WAC 388-101D-0140.</w:t>
              </w:r>
            </w:hyperlink>
          </w:p>
        </w:tc>
        <w:tc>
          <w:tcPr>
            <w:tcW w:w="2314" w:type="dxa"/>
            <w:tcBorders>
              <w:top w:val="nil"/>
              <w:bottom w:val="nil"/>
            </w:tcBorders>
            <w:shd w:val="clear" w:color="auto" w:fill="D0E4CA"/>
          </w:tcPr>
          <w:p>
            <w:pPr>
              <w:pStyle w:val="TableParagraph"/>
              <w:rPr>
                <w:rFonts w:ascii="Times New Roman"/>
                <w:sz w:val="22"/>
              </w:rPr>
            </w:pPr>
          </w:p>
        </w:tc>
      </w:tr>
      <w:tr>
        <w:trPr>
          <w:trHeight w:val="654" w:hRule="atLeast"/>
        </w:trPr>
        <w:tc>
          <w:tcPr>
            <w:tcW w:w="3401" w:type="dxa"/>
            <w:tcBorders>
              <w:top w:val="nil"/>
            </w:tcBorders>
            <w:shd w:val="clear" w:color="auto" w:fill="D0E4CA"/>
          </w:tcPr>
          <w:p>
            <w:pPr>
              <w:pStyle w:val="TableParagraph"/>
              <w:rPr>
                <w:rFonts w:ascii="Times New Roman"/>
                <w:sz w:val="22"/>
              </w:rPr>
            </w:pPr>
          </w:p>
        </w:tc>
        <w:tc>
          <w:tcPr>
            <w:tcW w:w="2698" w:type="dxa"/>
            <w:tcBorders>
              <w:top w:val="nil"/>
            </w:tcBorders>
            <w:shd w:val="clear" w:color="auto" w:fill="D0E4CA"/>
          </w:tcPr>
          <w:p>
            <w:pPr>
              <w:pStyle w:val="TableParagraph"/>
              <w:rPr>
                <w:rFonts w:ascii="Times New Roman"/>
                <w:sz w:val="22"/>
              </w:rPr>
            </w:pPr>
          </w:p>
        </w:tc>
        <w:tc>
          <w:tcPr>
            <w:tcW w:w="1407" w:type="dxa"/>
            <w:tcBorders>
              <w:top w:val="nil"/>
            </w:tcBorders>
            <w:shd w:val="clear" w:color="auto" w:fill="D0E4CA"/>
          </w:tcPr>
          <w:p>
            <w:pPr>
              <w:pStyle w:val="TableParagraph"/>
              <w:rPr>
                <w:rFonts w:ascii="Times New Roman"/>
                <w:sz w:val="22"/>
              </w:rPr>
            </w:pPr>
          </w:p>
        </w:tc>
        <w:tc>
          <w:tcPr>
            <w:tcW w:w="3123" w:type="dxa"/>
            <w:tcBorders>
              <w:top w:val="nil"/>
            </w:tcBorders>
            <w:shd w:val="clear" w:color="auto" w:fill="D0E4CA"/>
          </w:tcPr>
          <w:p>
            <w:pPr>
              <w:pStyle w:val="TableParagraph"/>
              <w:spacing w:line="270" w:lineRule="atLeast" w:before="113"/>
              <w:ind w:left="106" w:right="389"/>
              <w:rPr>
                <w:sz w:val="22"/>
              </w:rPr>
            </w:pPr>
            <w:r>
              <w:rPr>
                <w:sz w:val="22"/>
              </w:rPr>
              <w:t>On-site inspections ensure homes meet all licensing and</w:t>
            </w:r>
          </w:p>
        </w:tc>
        <w:tc>
          <w:tcPr>
            <w:tcW w:w="2314" w:type="dxa"/>
            <w:tcBorders>
              <w:top w:val="nil"/>
            </w:tcBorders>
            <w:shd w:val="clear" w:color="auto" w:fill="D0E4CA"/>
          </w:tcPr>
          <w:p>
            <w:pPr>
              <w:pStyle w:val="TableParagraph"/>
              <w:rPr>
                <w:rFonts w:ascii="Times New Roman"/>
                <w:sz w:val="22"/>
              </w:rPr>
            </w:pPr>
          </w:p>
        </w:tc>
      </w:tr>
    </w:tbl>
    <w:p>
      <w:pPr>
        <w:pStyle w:val="BodyText"/>
        <w:spacing w:before="8"/>
        <w:rPr>
          <w:b/>
          <w:sz w:val="2"/>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footerReference w:type="default" r:id="rId119"/>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01"/>
        <w:gridCol w:w="2698"/>
        <w:gridCol w:w="1407"/>
        <w:gridCol w:w="3123"/>
        <w:gridCol w:w="2314"/>
      </w:tblGrid>
      <w:tr>
        <w:trPr>
          <w:trHeight w:val="805" w:hRule="atLeast"/>
        </w:trPr>
        <w:tc>
          <w:tcPr>
            <w:tcW w:w="3401" w:type="dxa"/>
            <w:shd w:val="clear" w:color="auto" w:fill="D0E4CA"/>
          </w:tcPr>
          <w:p>
            <w:pPr>
              <w:pStyle w:val="TableParagraph"/>
              <w:rPr>
                <w:rFonts w:ascii="Times New Roman"/>
                <w:sz w:val="22"/>
              </w:rPr>
            </w:pPr>
          </w:p>
        </w:tc>
        <w:tc>
          <w:tcPr>
            <w:tcW w:w="2698" w:type="dxa"/>
            <w:shd w:val="clear" w:color="auto" w:fill="D0E4CA"/>
          </w:tcPr>
          <w:p>
            <w:pPr>
              <w:pStyle w:val="TableParagraph"/>
              <w:rPr>
                <w:rFonts w:ascii="Times New Roman"/>
                <w:sz w:val="22"/>
              </w:rPr>
            </w:pPr>
          </w:p>
        </w:tc>
        <w:tc>
          <w:tcPr>
            <w:tcW w:w="1407" w:type="dxa"/>
            <w:shd w:val="clear" w:color="auto" w:fill="D0E4CA"/>
          </w:tcPr>
          <w:p>
            <w:pPr>
              <w:pStyle w:val="TableParagraph"/>
              <w:rPr>
                <w:rFonts w:ascii="Times New Roman"/>
                <w:sz w:val="22"/>
              </w:rPr>
            </w:pPr>
          </w:p>
        </w:tc>
        <w:tc>
          <w:tcPr>
            <w:tcW w:w="3123" w:type="dxa"/>
            <w:shd w:val="clear" w:color="auto" w:fill="D0E4CA"/>
          </w:tcPr>
          <w:p>
            <w:pPr>
              <w:pStyle w:val="TableParagraph"/>
              <w:ind w:left="106" w:right="263"/>
              <w:rPr>
                <w:sz w:val="22"/>
              </w:rPr>
            </w:pPr>
            <w:r>
              <w:rPr>
                <w:sz w:val="22"/>
              </w:rPr>
              <w:t>certification requirements in WAC and RCW, including WAC</w:t>
            </w:r>
          </w:p>
          <w:p>
            <w:pPr>
              <w:pStyle w:val="TableParagraph"/>
              <w:spacing w:line="249" w:lineRule="exact"/>
              <w:ind w:left="106"/>
              <w:rPr>
                <w:sz w:val="22"/>
              </w:rPr>
            </w:pPr>
            <w:r>
              <w:rPr>
                <w:sz w:val="22"/>
              </w:rPr>
              <w:t>388-823-1095.</w:t>
            </w:r>
          </w:p>
        </w:tc>
        <w:tc>
          <w:tcPr>
            <w:tcW w:w="2314" w:type="dxa"/>
            <w:shd w:val="clear" w:color="auto" w:fill="D0E4CA"/>
          </w:tcPr>
          <w:p>
            <w:pPr>
              <w:pStyle w:val="TableParagraph"/>
              <w:rPr>
                <w:rFonts w:ascii="Times New Roman"/>
                <w:sz w:val="22"/>
              </w:rPr>
            </w:pPr>
          </w:p>
        </w:tc>
      </w:tr>
      <w:tr>
        <w:trPr>
          <w:trHeight w:val="4182" w:hRule="atLeast"/>
        </w:trPr>
        <w:tc>
          <w:tcPr>
            <w:tcW w:w="3401" w:type="dxa"/>
            <w:tcBorders>
              <w:bottom w:val="nil"/>
            </w:tcBorders>
          </w:tcPr>
          <w:p>
            <w:pPr>
              <w:pStyle w:val="TableParagraph"/>
              <w:ind w:left="107" w:right="223"/>
              <w:rPr>
                <w:b/>
                <w:sz w:val="22"/>
              </w:rPr>
            </w:pPr>
            <w:r>
              <w:rPr>
                <w:b/>
                <w:sz w:val="22"/>
              </w:rPr>
              <w:t>Individual initiative, autonomy, and independence in making life choices, including but not limited to, daily activities, physical environment, and with whom to interact are optimized and not regimented.</w:t>
            </w:r>
          </w:p>
        </w:tc>
        <w:tc>
          <w:tcPr>
            <w:tcW w:w="2698" w:type="dxa"/>
            <w:tcBorders>
              <w:bottom w:val="nil"/>
            </w:tcBorders>
          </w:tcPr>
          <w:p>
            <w:pPr>
              <w:pStyle w:val="TableParagraph"/>
              <w:ind w:left="107" w:right="197"/>
              <w:rPr>
                <w:sz w:val="22"/>
              </w:rPr>
            </w:pPr>
            <w:r>
              <w:rPr>
                <w:sz w:val="22"/>
              </w:rPr>
              <w:t>Rights are protected in </w:t>
            </w:r>
            <w:hyperlink r:id="rId37">
              <w:r>
                <w:rPr>
                  <w:color w:val="6B9F24"/>
                  <w:sz w:val="22"/>
                  <w:u w:val="single" w:color="6B9F24"/>
                </w:rPr>
                <w:t>RCW 70.129.140</w:t>
              </w:r>
              <w:r>
                <w:rPr>
                  <w:color w:val="6B9F24"/>
                  <w:sz w:val="22"/>
                </w:rPr>
                <w:t> </w:t>
              </w:r>
            </w:hyperlink>
            <w:r>
              <w:rPr>
                <w:sz w:val="22"/>
              </w:rPr>
              <w:t>and </w:t>
            </w:r>
            <w:hyperlink r:id="rId49">
              <w:r>
                <w:rPr>
                  <w:color w:val="6B9F24"/>
                  <w:sz w:val="22"/>
                  <w:u w:val="single" w:color="6B9F24"/>
                </w:rPr>
                <w:t>RCW</w:t>
              </w:r>
            </w:hyperlink>
            <w:r>
              <w:rPr>
                <w:color w:val="6B9F24"/>
                <w:sz w:val="22"/>
              </w:rPr>
              <w:t> </w:t>
            </w:r>
            <w:hyperlink r:id="rId49">
              <w:r>
                <w:rPr>
                  <w:color w:val="6B9F24"/>
                  <w:sz w:val="22"/>
                  <w:u w:val="single" w:color="6B9F24"/>
                </w:rPr>
                <w:t>70.129.005</w:t>
              </w:r>
              <w:r>
                <w:rPr>
                  <w:sz w:val="22"/>
                </w:rPr>
                <w:t>.</w:t>
              </w:r>
            </w:hyperlink>
          </w:p>
          <w:p>
            <w:pPr>
              <w:pStyle w:val="TableParagraph"/>
              <w:ind w:left="107" w:right="415"/>
              <w:rPr>
                <w:sz w:val="22"/>
              </w:rPr>
            </w:pPr>
            <w:r>
              <w:rPr>
                <w:sz w:val="22"/>
              </w:rPr>
              <w:t>Protection of rights is enforced through </w:t>
            </w:r>
            <w:hyperlink r:id="rId25">
              <w:r>
                <w:rPr>
                  <w:color w:val="6B9F24"/>
                  <w:sz w:val="22"/>
                  <w:u w:val="single" w:color="6B9F24"/>
                </w:rPr>
                <w:t>WAC</w:t>
              </w:r>
            </w:hyperlink>
            <w:r>
              <w:rPr>
                <w:color w:val="6B9F24"/>
                <w:sz w:val="22"/>
              </w:rPr>
              <w:t> </w:t>
            </w:r>
            <w:hyperlink r:id="rId25">
              <w:r>
                <w:rPr>
                  <w:color w:val="6B9F24"/>
                  <w:sz w:val="22"/>
                  <w:u w:val="single" w:color="6B9F24"/>
                </w:rPr>
                <w:t>388-101D-0125</w:t>
              </w:r>
              <w:r>
                <w:rPr>
                  <w:color w:val="6B9F24"/>
                  <w:sz w:val="22"/>
                </w:rPr>
                <w:t> </w:t>
              </w:r>
            </w:hyperlink>
            <w:r>
              <w:rPr>
                <w:sz w:val="22"/>
              </w:rPr>
              <w:t>through </w:t>
            </w:r>
            <w:hyperlink r:id="rId29">
              <w:r>
                <w:rPr>
                  <w:color w:val="6B9F24"/>
                  <w:sz w:val="22"/>
                  <w:u w:val="single" w:color="6B9F24"/>
                </w:rPr>
                <w:t>WAC 388-101D-0145</w:t>
              </w:r>
            </w:hyperlink>
          </w:p>
        </w:tc>
        <w:tc>
          <w:tcPr>
            <w:tcW w:w="1407" w:type="dxa"/>
            <w:tcBorders>
              <w:bottom w:val="nil"/>
            </w:tcBorders>
          </w:tcPr>
          <w:p>
            <w:pPr>
              <w:pStyle w:val="TableParagraph"/>
              <w:ind w:left="106" w:right="340"/>
              <w:rPr>
                <w:sz w:val="22"/>
              </w:rPr>
            </w:pPr>
            <w:r>
              <w:rPr>
                <w:sz w:val="22"/>
              </w:rPr>
              <w:t>Fully Compliant</w:t>
            </w:r>
          </w:p>
        </w:tc>
        <w:tc>
          <w:tcPr>
            <w:tcW w:w="3123" w:type="dxa"/>
            <w:tcBorders>
              <w:bottom w:val="nil"/>
            </w:tcBorders>
          </w:tcPr>
          <w:p>
            <w:pPr>
              <w:pStyle w:val="TableParagraph"/>
              <w:ind w:left="106" w:right="249"/>
              <w:rPr>
                <w:sz w:val="22"/>
              </w:rPr>
            </w:pPr>
            <w:r>
              <w:rPr>
                <w:sz w:val="22"/>
              </w:rPr>
              <w:t>As part of the certification and RCS complaint investigation process described in the overview, RCS Contracted Evaluators and RCS Investigators conduct client observations, client and collateral interviews, service provider and staff interviews and client record reviews to ensure service providers’ compliance.</w:t>
            </w:r>
          </w:p>
          <w:p>
            <w:pPr>
              <w:pStyle w:val="TableParagraph"/>
              <w:ind w:left="106" w:right="161"/>
              <w:rPr>
                <w:sz w:val="22"/>
              </w:rPr>
            </w:pPr>
            <w:r>
              <w:rPr>
                <w:sz w:val="22"/>
              </w:rPr>
              <w:t>The DDA Residential Quality Assurance Unit is monitoring to </w:t>
            </w:r>
            <w:hyperlink r:id="rId28">
              <w:r>
                <w:rPr>
                  <w:color w:val="6B9F24"/>
                  <w:sz w:val="22"/>
                  <w:u w:val="single" w:color="6B9F24"/>
                </w:rPr>
                <w:t>WAC 388-101D-0140.</w:t>
              </w:r>
            </w:hyperlink>
          </w:p>
        </w:tc>
        <w:tc>
          <w:tcPr>
            <w:tcW w:w="2314" w:type="dxa"/>
            <w:tcBorders>
              <w:bottom w:val="nil"/>
            </w:tcBorders>
          </w:tcPr>
          <w:p>
            <w:pPr>
              <w:pStyle w:val="TableParagraph"/>
              <w:ind w:left="105" w:right="99"/>
              <w:rPr>
                <w:sz w:val="22"/>
              </w:rPr>
            </w:pPr>
            <w:r>
              <w:rPr>
                <w:sz w:val="22"/>
              </w:rPr>
              <w:t>See </w:t>
            </w:r>
            <w:hyperlink w:history="true" w:anchor="_bookmark43">
              <w:r>
                <w:rPr>
                  <w:color w:val="6B9F24"/>
                  <w:sz w:val="22"/>
                  <w:u w:val="single" w:color="6B9F24"/>
                </w:rPr>
                <w:t>Appendix C</w:t>
              </w:r>
              <w:r>
                <w:rPr>
                  <w:sz w:val="22"/>
                </w:rPr>
                <w:t>.</w:t>
              </w:r>
            </w:hyperlink>
            <w:r>
              <w:rPr>
                <w:sz w:val="22"/>
              </w:rPr>
              <w:t> 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1456" w:hRule="atLeast"/>
        </w:trPr>
        <w:tc>
          <w:tcPr>
            <w:tcW w:w="3401" w:type="dxa"/>
            <w:tcBorders>
              <w:top w:val="nil"/>
            </w:tcBorders>
          </w:tcPr>
          <w:p>
            <w:pPr>
              <w:pStyle w:val="TableParagraph"/>
              <w:rPr>
                <w:rFonts w:ascii="Times New Roman"/>
                <w:sz w:val="22"/>
              </w:rPr>
            </w:pPr>
          </w:p>
        </w:tc>
        <w:tc>
          <w:tcPr>
            <w:tcW w:w="2698" w:type="dxa"/>
            <w:tcBorders>
              <w:top w:val="nil"/>
            </w:tcBorders>
          </w:tcPr>
          <w:p>
            <w:pPr>
              <w:pStyle w:val="TableParagraph"/>
              <w:rPr>
                <w:rFonts w:ascii="Times New Roman"/>
                <w:sz w:val="22"/>
              </w:rPr>
            </w:pPr>
          </w:p>
        </w:tc>
        <w:tc>
          <w:tcPr>
            <w:tcW w:w="1407" w:type="dxa"/>
            <w:tcBorders>
              <w:top w:val="nil"/>
            </w:tcBorders>
          </w:tcPr>
          <w:p>
            <w:pPr>
              <w:pStyle w:val="TableParagraph"/>
              <w:rPr>
                <w:rFonts w:ascii="Times New Roman"/>
                <w:sz w:val="22"/>
              </w:rPr>
            </w:pPr>
          </w:p>
        </w:tc>
        <w:tc>
          <w:tcPr>
            <w:tcW w:w="3123" w:type="dxa"/>
            <w:tcBorders>
              <w:top w:val="nil"/>
            </w:tcBorders>
          </w:tcPr>
          <w:p>
            <w:pPr>
              <w:pStyle w:val="TableParagraph"/>
              <w:spacing w:before="114"/>
              <w:ind w:left="106" w:right="263"/>
              <w:rPr>
                <w:sz w:val="22"/>
              </w:rPr>
            </w:pPr>
            <w:r>
              <w:rPr>
                <w:sz w:val="22"/>
              </w:rPr>
              <w:t>On-site inspections ensure homes meet all licensing and certification requirements in WAC and RCW, including WAC</w:t>
            </w:r>
          </w:p>
          <w:p>
            <w:pPr>
              <w:pStyle w:val="TableParagraph"/>
              <w:spacing w:line="248" w:lineRule="exact"/>
              <w:ind w:left="106"/>
              <w:rPr>
                <w:sz w:val="22"/>
              </w:rPr>
            </w:pPr>
            <w:r>
              <w:rPr>
                <w:sz w:val="22"/>
              </w:rPr>
              <w:t>388-823-1095.</w:t>
            </w:r>
          </w:p>
        </w:tc>
        <w:tc>
          <w:tcPr>
            <w:tcW w:w="2314" w:type="dxa"/>
            <w:tcBorders>
              <w:top w:val="nil"/>
            </w:tcBorders>
          </w:tcPr>
          <w:p>
            <w:pPr>
              <w:pStyle w:val="TableParagraph"/>
              <w:rPr>
                <w:rFonts w:ascii="Times New Roman"/>
                <w:sz w:val="22"/>
              </w:rPr>
            </w:pPr>
          </w:p>
        </w:tc>
      </w:tr>
      <w:tr>
        <w:trPr>
          <w:trHeight w:val="2694" w:hRule="atLeast"/>
        </w:trPr>
        <w:tc>
          <w:tcPr>
            <w:tcW w:w="3401" w:type="dxa"/>
            <w:tcBorders>
              <w:bottom w:val="thinThickMediumGap" w:sz="4" w:space="0" w:color="4E8542"/>
            </w:tcBorders>
            <w:shd w:val="clear" w:color="auto" w:fill="D0E4CA"/>
          </w:tcPr>
          <w:p>
            <w:pPr>
              <w:pStyle w:val="TableParagraph"/>
              <w:ind w:left="107" w:right="380"/>
              <w:rPr>
                <w:b/>
                <w:sz w:val="22"/>
              </w:rPr>
            </w:pPr>
            <w:r>
              <w:rPr>
                <w:b/>
                <w:sz w:val="22"/>
              </w:rPr>
              <w:t>Individual choice regarding services and supports, and who provides them, is facilitated.</w:t>
            </w:r>
          </w:p>
        </w:tc>
        <w:tc>
          <w:tcPr>
            <w:tcW w:w="2698" w:type="dxa"/>
            <w:tcBorders>
              <w:bottom w:val="thinThickMediumGap" w:sz="4" w:space="0" w:color="4E8542"/>
            </w:tcBorders>
            <w:shd w:val="clear" w:color="auto" w:fill="D0E4CA"/>
          </w:tcPr>
          <w:p>
            <w:pPr>
              <w:pStyle w:val="TableParagraph"/>
              <w:ind w:left="107" w:right="164"/>
              <w:rPr>
                <w:sz w:val="22"/>
              </w:rPr>
            </w:pPr>
            <w:r>
              <w:rPr>
                <w:sz w:val="22"/>
              </w:rPr>
              <w:t>During the assessment process, it is a CM responsibility to inform individuals of their options regarding settings and providers.</w:t>
            </w:r>
          </w:p>
          <w:p>
            <w:pPr>
              <w:pStyle w:val="TableParagraph"/>
              <w:rPr>
                <w:b/>
                <w:sz w:val="22"/>
              </w:rPr>
            </w:pPr>
          </w:p>
          <w:p>
            <w:pPr>
              <w:pStyle w:val="TableParagraph"/>
              <w:ind w:left="107" w:right="491"/>
              <w:rPr>
                <w:sz w:val="22"/>
              </w:rPr>
            </w:pPr>
            <w:r>
              <w:rPr>
                <w:sz w:val="22"/>
              </w:rPr>
              <w:t>Protection of rights is enforced through </w:t>
            </w:r>
            <w:hyperlink r:id="rId25">
              <w:r>
                <w:rPr>
                  <w:color w:val="6B9F24"/>
                  <w:sz w:val="22"/>
                  <w:u w:val="single" w:color="6B9F24"/>
                </w:rPr>
                <w:t>WAC</w:t>
              </w:r>
            </w:hyperlink>
          </w:p>
        </w:tc>
        <w:tc>
          <w:tcPr>
            <w:tcW w:w="1407" w:type="dxa"/>
            <w:tcBorders>
              <w:bottom w:val="thinThickMediumGap" w:sz="4" w:space="0" w:color="4E8542"/>
            </w:tcBorders>
            <w:shd w:val="clear" w:color="auto" w:fill="D0E4CA"/>
          </w:tcPr>
          <w:p>
            <w:pPr>
              <w:pStyle w:val="TableParagraph"/>
              <w:ind w:left="106" w:right="340"/>
              <w:rPr>
                <w:sz w:val="22"/>
              </w:rPr>
            </w:pPr>
            <w:r>
              <w:rPr>
                <w:sz w:val="22"/>
              </w:rPr>
              <w:t>Fully Compliant</w:t>
            </w:r>
          </w:p>
        </w:tc>
        <w:tc>
          <w:tcPr>
            <w:tcW w:w="3123" w:type="dxa"/>
            <w:tcBorders>
              <w:bottom w:val="thinThickMediumGap" w:sz="4" w:space="0" w:color="4E8542"/>
            </w:tcBorders>
            <w:shd w:val="clear" w:color="auto" w:fill="D0E4CA"/>
          </w:tcPr>
          <w:p>
            <w:pPr>
              <w:pStyle w:val="TableParagraph"/>
              <w:ind w:left="106" w:right="93"/>
              <w:rPr>
                <w:sz w:val="22"/>
              </w:rPr>
            </w:pPr>
            <w:r>
              <w:rPr>
                <w:sz w:val="22"/>
              </w:rPr>
              <w:t>This is a component of the CARE assessment process. This is also documented as part of the preliminary/negotiated care plan.</w:t>
            </w:r>
          </w:p>
          <w:p>
            <w:pPr>
              <w:pStyle w:val="TableParagraph"/>
              <w:spacing w:before="11"/>
              <w:rPr>
                <w:b/>
                <w:sz w:val="21"/>
              </w:rPr>
            </w:pPr>
          </w:p>
          <w:p>
            <w:pPr>
              <w:pStyle w:val="TableParagraph"/>
              <w:spacing w:line="270" w:lineRule="atLeast"/>
              <w:ind w:left="106" w:right="249"/>
              <w:rPr>
                <w:sz w:val="22"/>
              </w:rPr>
            </w:pPr>
            <w:r>
              <w:rPr>
                <w:sz w:val="22"/>
              </w:rPr>
              <w:t>As part of the certification and RCS complaint investigation process described in the overview, RCS Contracted</w:t>
            </w:r>
          </w:p>
        </w:tc>
        <w:tc>
          <w:tcPr>
            <w:tcW w:w="2314" w:type="dxa"/>
            <w:tcBorders>
              <w:bottom w:val="thinThickMediumGap" w:sz="4" w:space="0" w:color="4E8542"/>
            </w:tcBorders>
            <w:shd w:val="clear" w:color="auto" w:fill="D0E4CA"/>
          </w:tcPr>
          <w:p>
            <w:pPr>
              <w:pStyle w:val="TableParagraph"/>
              <w:ind w:left="105" w:right="99"/>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spacing w:after="0"/>
        <w:rPr>
          <w:sz w:val="22"/>
        </w:rPr>
        <w:sectPr>
          <w:footerReference w:type="default" r:id="rId121"/>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131"/>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01"/>
        <w:gridCol w:w="2698"/>
        <w:gridCol w:w="1407"/>
        <w:gridCol w:w="3123"/>
        <w:gridCol w:w="2314"/>
      </w:tblGrid>
      <w:tr>
        <w:trPr>
          <w:trHeight w:val="4832" w:hRule="atLeast"/>
        </w:trPr>
        <w:tc>
          <w:tcPr>
            <w:tcW w:w="3401" w:type="dxa"/>
            <w:shd w:val="clear" w:color="auto" w:fill="D0E4CA"/>
          </w:tcPr>
          <w:p>
            <w:pPr>
              <w:pStyle w:val="TableParagraph"/>
              <w:rPr>
                <w:rFonts w:ascii="Times New Roman"/>
                <w:sz w:val="22"/>
              </w:rPr>
            </w:pPr>
          </w:p>
        </w:tc>
        <w:tc>
          <w:tcPr>
            <w:tcW w:w="2698" w:type="dxa"/>
            <w:shd w:val="clear" w:color="auto" w:fill="D0E4CA"/>
          </w:tcPr>
          <w:p>
            <w:pPr>
              <w:pStyle w:val="TableParagraph"/>
              <w:ind w:left="107" w:right="399"/>
              <w:rPr>
                <w:sz w:val="22"/>
              </w:rPr>
            </w:pPr>
            <w:hyperlink r:id="rId25">
              <w:r>
                <w:rPr>
                  <w:color w:val="6B9F24"/>
                  <w:sz w:val="22"/>
                  <w:u w:val="single" w:color="6B9F24"/>
                </w:rPr>
                <w:t>388-101D-0125</w:t>
              </w:r>
              <w:r>
                <w:rPr>
                  <w:color w:val="6B9F24"/>
                  <w:sz w:val="22"/>
                </w:rPr>
                <w:t> </w:t>
              </w:r>
            </w:hyperlink>
            <w:r>
              <w:rPr>
                <w:sz w:val="22"/>
              </w:rPr>
              <w:t>through</w:t>
            </w:r>
            <w:hyperlink r:id="rId29">
              <w:r>
                <w:rPr>
                  <w:color w:val="6B9F24"/>
                  <w:sz w:val="22"/>
                  <w:u w:val="single" w:color="6B9F24"/>
                </w:rPr>
                <w:t> WAC 388-101D-0145</w:t>
              </w:r>
            </w:hyperlink>
          </w:p>
        </w:tc>
        <w:tc>
          <w:tcPr>
            <w:tcW w:w="1407" w:type="dxa"/>
            <w:shd w:val="clear" w:color="auto" w:fill="D0E4CA"/>
          </w:tcPr>
          <w:p>
            <w:pPr>
              <w:pStyle w:val="TableParagraph"/>
              <w:rPr>
                <w:rFonts w:ascii="Times New Roman"/>
                <w:sz w:val="22"/>
              </w:rPr>
            </w:pPr>
          </w:p>
        </w:tc>
        <w:tc>
          <w:tcPr>
            <w:tcW w:w="3123" w:type="dxa"/>
            <w:shd w:val="clear" w:color="auto" w:fill="D0E4CA"/>
          </w:tcPr>
          <w:p>
            <w:pPr>
              <w:pStyle w:val="TableParagraph"/>
              <w:ind w:left="106" w:right="403"/>
              <w:rPr>
                <w:sz w:val="22"/>
              </w:rPr>
            </w:pPr>
            <w:r>
              <w:rPr>
                <w:sz w:val="22"/>
              </w:rPr>
              <w:t>Evaluators and RCS Investigators conduct client observations, client and collateral interviews, service provider and staff interviews and client record reviews to ensure service providers’ compliance.</w:t>
            </w:r>
          </w:p>
          <w:p>
            <w:pPr>
              <w:pStyle w:val="TableParagraph"/>
              <w:spacing w:before="10"/>
              <w:rPr>
                <w:b/>
                <w:sz w:val="21"/>
              </w:rPr>
            </w:pPr>
          </w:p>
          <w:p>
            <w:pPr>
              <w:pStyle w:val="TableParagraph"/>
              <w:spacing w:before="1"/>
              <w:ind w:left="106" w:right="161"/>
              <w:rPr>
                <w:sz w:val="22"/>
              </w:rPr>
            </w:pPr>
            <w:r>
              <w:rPr>
                <w:sz w:val="22"/>
              </w:rPr>
              <w:t>The DDA Residential Quality Assurance Unit is monitoring to </w:t>
            </w:r>
            <w:hyperlink r:id="rId28">
              <w:r>
                <w:rPr>
                  <w:color w:val="6B9F24"/>
                  <w:sz w:val="22"/>
                  <w:u w:val="single" w:color="6B9F24"/>
                </w:rPr>
                <w:t>WAC 388-101D-0140.</w:t>
              </w:r>
            </w:hyperlink>
          </w:p>
          <w:p>
            <w:pPr>
              <w:pStyle w:val="TableParagraph"/>
              <w:rPr>
                <w:b/>
                <w:sz w:val="22"/>
              </w:rPr>
            </w:pPr>
          </w:p>
          <w:p>
            <w:pPr>
              <w:pStyle w:val="TableParagraph"/>
              <w:spacing w:before="1"/>
              <w:ind w:left="106" w:right="263"/>
              <w:rPr>
                <w:sz w:val="22"/>
              </w:rPr>
            </w:pPr>
            <w:r>
              <w:rPr>
                <w:sz w:val="22"/>
              </w:rPr>
              <w:t>On-site inspections ensure homes meet all licensing and certification requirements in WAC and RCW, including WAC</w:t>
            </w:r>
          </w:p>
          <w:p>
            <w:pPr>
              <w:pStyle w:val="TableParagraph"/>
              <w:spacing w:line="248" w:lineRule="exact"/>
              <w:ind w:left="106"/>
              <w:rPr>
                <w:sz w:val="22"/>
              </w:rPr>
            </w:pPr>
            <w:r>
              <w:rPr>
                <w:sz w:val="22"/>
              </w:rPr>
              <w:t>388-823-1095.</w:t>
            </w:r>
          </w:p>
        </w:tc>
        <w:tc>
          <w:tcPr>
            <w:tcW w:w="2314" w:type="dxa"/>
            <w:shd w:val="clear" w:color="auto" w:fill="D0E4CA"/>
          </w:tcPr>
          <w:p>
            <w:pPr>
              <w:pStyle w:val="TableParagraph"/>
              <w:rPr>
                <w:rFonts w:ascii="Times New Roman"/>
                <w:sz w:val="22"/>
              </w:rPr>
            </w:pPr>
          </w:p>
        </w:tc>
      </w:tr>
      <w:tr>
        <w:trPr>
          <w:trHeight w:val="4300" w:hRule="atLeast"/>
        </w:trPr>
        <w:tc>
          <w:tcPr>
            <w:tcW w:w="3401" w:type="dxa"/>
          </w:tcPr>
          <w:p>
            <w:pPr>
              <w:pStyle w:val="TableParagraph"/>
              <w:spacing w:before="1"/>
              <w:ind w:left="107" w:right="738"/>
              <w:rPr>
                <w:b/>
                <w:sz w:val="22"/>
              </w:rPr>
            </w:pPr>
            <w:r>
              <w:rPr>
                <w:b/>
                <w:sz w:val="22"/>
              </w:rPr>
              <w:t>Individuals have a choice of roommates in the setting.</w:t>
            </w:r>
          </w:p>
        </w:tc>
        <w:tc>
          <w:tcPr>
            <w:tcW w:w="2698" w:type="dxa"/>
          </w:tcPr>
          <w:p>
            <w:pPr>
              <w:pStyle w:val="TableParagraph"/>
              <w:spacing w:before="1"/>
              <w:ind w:left="107"/>
              <w:rPr>
                <w:sz w:val="22"/>
              </w:rPr>
            </w:pPr>
            <w:hyperlink r:id="rId23">
              <w:r>
                <w:rPr>
                  <w:color w:val="6B9F24"/>
                  <w:sz w:val="22"/>
                  <w:u w:val="single" w:color="6B9F24"/>
                </w:rPr>
                <w:t>WAC 388-823-1095</w:t>
              </w:r>
              <w:r>
                <w:rPr>
                  <w:color w:val="6B9F24"/>
                  <w:sz w:val="22"/>
                </w:rPr>
                <w:t> </w:t>
              </w:r>
            </w:hyperlink>
            <w:r>
              <w:rPr>
                <w:sz w:val="22"/>
              </w:rPr>
              <w:t>my</w:t>
            </w:r>
          </w:p>
          <w:p>
            <w:pPr>
              <w:pStyle w:val="TableParagraph"/>
              <w:ind w:left="107" w:right="415"/>
              <w:rPr>
                <w:sz w:val="22"/>
              </w:rPr>
            </w:pPr>
            <w:r>
              <w:rPr>
                <w:sz w:val="22"/>
              </w:rPr>
              <w:t>rights as a DDA client Protection of rights is enforced through </w:t>
            </w:r>
            <w:hyperlink r:id="rId25">
              <w:r>
                <w:rPr>
                  <w:color w:val="6B9F24"/>
                  <w:sz w:val="22"/>
                  <w:u w:val="single" w:color="6B9F24"/>
                </w:rPr>
                <w:t>WAC</w:t>
              </w:r>
            </w:hyperlink>
            <w:r>
              <w:rPr>
                <w:color w:val="6B9F24"/>
                <w:sz w:val="22"/>
              </w:rPr>
              <w:t> </w:t>
            </w:r>
            <w:hyperlink r:id="rId25">
              <w:r>
                <w:rPr>
                  <w:color w:val="6B9F24"/>
                  <w:sz w:val="22"/>
                  <w:u w:val="single" w:color="6B9F24"/>
                </w:rPr>
                <w:t>388-101D-0125</w:t>
              </w:r>
              <w:r>
                <w:rPr>
                  <w:color w:val="6B9F24"/>
                  <w:sz w:val="22"/>
                </w:rPr>
                <w:t> </w:t>
              </w:r>
            </w:hyperlink>
            <w:r>
              <w:rPr>
                <w:sz w:val="22"/>
              </w:rPr>
              <w:t>through </w:t>
            </w:r>
            <w:hyperlink r:id="rId29">
              <w:r>
                <w:rPr>
                  <w:color w:val="6B9F24"/>
                  <w:sz w:val="22"/>
                  <w:u w:val="single" w:color="6B9F24"/>
                </w:rPr>
                <w:t>WAC 388-101D-0145</w:t>
              </w:r>
              <w:r>
                <w:rPr>
                  <w:sz w:val="22"/>
                </w:rPr>
                <w:t>.</w:t>
              </w:r>
            </w:hyperlink>
          </w:p>
          <w:p>
            <w:pPr>
              <w:pStyle w:val="TableParagraph"/>
              <w:spacing w:line="267" w:lineRule="exact"/>
              <w:ind w:left="107"/>
              <w:rPr>
                <w:sz w:val="22"/>
              </w:rPr>
            </w:pPr>
            <w:hyperlink r:id="rId28">
              <w:r>
                <w:rPr>
                  <w:color w:val="6B9F24"/>
                  <w:sz w:val="22"/>
                  <w:u w:val="single" w:color="6B9F24"/>
                </w:rPr>
                <w:t>WAC 388-101D-0140</w:t>
              </w:r>
            </w:hyperlink>
          </w:p>
          <w:p>
            <w:pPr>
              <w:pStyle w:val="TableParagraph"/>
              <w:spacing w:before="1"/>
              <w:ind w:left="107" w:right="133"/>
              <w:rPr>
                <w:sz w:val="22"/>
              </w:rPr>
            </w:pPr>
            <w:r>
              <w:rPr>
                <w:sz w:val="22"/>
              </w:rPr>
              <w:t>requires that the service provider must adhere to individual goals identified in the participant’s person- centered service plan.</w:t>
            </w:r>
          </w:p>
          <w:p>
            <w:pPr>
              <w:pStyle w:val="TableParagraph"/>
              <w:ind w:left="107" w:right="186"/>
              <w:rPr>
                <w:sz w:val="22"/>
              </w:rPr>
            </w:pPr>
            <w:r>
              <w:rPr>
                <w:sz w:val="22"/>
              </w:rPr>
              <w:t>Residential Guidelines and CCRSS provider contracts inform and guide the</w:t>
            </w:r>
          </w:p>
        </w:tc>
        <w:tc>
          <w:tcPr>
            <w:tcW w:w="1407" w:type="dxa"/>
          </w:tcPr>
          <w:p>
            <w:pPr>
              <w:pStyle w:val="TableParagraph"/>
              <w:spacing w:before="1"/>
              <w:ind w:left="106" w:right="340"/>
              <w:rPr>
                <w:sz w:val="22"/>
              </w:rPr>
            </w:pPr>
            <w:r>
              <w:rPr>
                <w:sz w:val="22"/>
              </w:rPr>
              <w:t>Partially Compliant</w:t>
            </w:r>
          </w:p>
        </w:tc>
        <w:tc>
          <w:tcPr>
            <w:tcW w:w="3123" w:type="dxa"/>
          </w:tcPr>
          <w:p>
            <w:pPr>
              <w:pStyle w:val="TableParagraph"/>
              <w:spacing w:before="1"/>
              <w:ind w:left="106" w:right="249"/>
              <w:rPr>
                <w:sz w:val="22"/>
              </w:rPr>
            </w:pPr>
            <w:r>
              <w:rPr>
                <w:sz w:val="22"/>
              </w:rPr>
              <w:t>As part of the certification and RCS complaint investigation process described in the overview, RCS Contracted Evaluators and RCS Investigators conduct client observations, client and collateral interviews, service provider and staff interviews and client record reviews to ensure service providers’ compliance.</w:t>
            </w:r>
          </w:p>
          <w:p>
            <w:pPr>
              <w:pStyle w:val="TableParagraph"/>
              <w:ind w:left="106" w:right="161"/>
              <w:rPr>
                <w:sz w:val="22"/>
              </w:rPr>
            </w:pPr>
            <w:r>
              <w:rPr>
                <w:sz w:val="22"/>
              </w:rPr>
              <w:t>The DDA Residential Quality Assurance Unit is monitoring to </w:t>
            </w:r>
            <w:hyperlink r:id="rId28">
              <w:r>
                <w:rPr>
                  <w:color w:val="6B9F24"/>
                  <w:sz w:val="22"/>
                  <w:u w:val="single" w:color="6B9F24"/>
                </w:rPr>
                <w:t>WAC 388-101D-0140.</w:t>
              </w:r>
            </w:hyperlink>
          </w:p>
        </w:tc>
        <w:tc>
          <w:tcPr>
            <w:tcW w:w="2314" w:type="dxa"/>
          </w:tcPr>
          <w:p>
            <w:pPr>
              <w:pStyle w:val="TableParagraph"/>
              <w:spacing w:before="1"/>
              <w:ind w:left="105" w:right="99"/>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p>
        </w:tc>
      </w:tr>
    </w:tbl>
    <w:p>
      <w:pPr>
        <w:pStyle w:val="BodyText"/>
        <w:spacing w:before="8"/>
        <w:rPr>
          <w:b/>
          <w:sz w:val="2"/>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01"/>
        <w:gridCol w:w="2698"/>
        <w:gridCol w:w="1407"/>
        <w:gridCol w:w="3123"/>
        <w:gridCol w:w="2314"/>
      </w:tblGrid>
      <w:tr>
        <w:trPr>
          <w:trHeight w:val="1343" w:hRule="atLeast"/>
        </w:trPr>
        <w:tc>
          <w:tcPr>
            <w:tcW w:w="3401" w:type="dxa"/>
          </w:tcPr>
          <w:p>
            <w:pPr>
              <w:pStyle w:val="TableParagraph"/>
              <w:rPr>
                <w:rFonts w:ascii="Times New Roman"/>
                <w:sz w:val="22"/>
              </w:rPr>
            </w:pPr>
          </w:p>
        </w:tc>
        <w:tc>
          <w:tcPr>
            <w:tcW w:w="2698" w:type="dxa"/>
          </w:tcPr>
          <w:p>
            <w:pPr>
              <w:pStyle w:val="TableParagraph"/>
              <w:ind w:left="107" w:right="173"/>
              <w:rPr>
                <w:sz w:val="22"/>
              </w:rPr>
            </w:pPr>
            <w:r>
              <w:rPr>
                <w:sz w:val="22"/>
              </w:rPr>
              <w:t>provision of group training home services.</w:t>
            </w:r>
          </w:p>
        </w:tc>
        <w:tc>
          <w:tcPr>
            <w:tcW w:w="1407" w:type="dxa"/>
          </w:tcPr>
          <w:p>
            <w:pPr>
              <w:pStyle w:val="TableParagraph"/>
              <w:rPr>
                <w:rFonts w:ascii="Times New Roman"/>
                <w:sz w:val="22"/>
              </w:rPr>
            </w:pPr>
          </w:p>
        </w:tc>
        <w:tc>
          <w:tcPr>
            <w:tcW w:w="3123" w:type="dxa"/>
          </w:tcPr>
          <w:p>
            <w:pPr>
              <w:pStyle w:val="TableParagraph"/>
              <w:ind w:left="106" w:right="263"/>
              <w:rPr>
                <w:sz w:val="22"/>
              </w:rPr>
            </w:pPr>
            <w:r>
              <w:rPr>
                <w:sz w:val="22"/>
              </w:rPr>
              <w:t>On-site inspections ensure homes meet all licensing and certification requirements in WAC and RCW, including WAC</w:t>
            </w:r>
          </w:p>
          <w:p>
            <w:pPr>
              <w:pStyle w:val="TableParagraph"/>
              <w:spacing w:line="249" w:lineRule="exact"/>
              <w:ind w:left="106"/>
              <w:rPr>
                <w:sz w:val="22"/>
              </w:rPr>
            </w:pPr>
            <w:r>
              <w:rPr>
                <w:sz w:val="22"/>
              </w:rPr>
              <w:t>388-823-1095.</w:t>
            </w:r>
          </w:p>
        </w:tc>
        <w:tc>
          <w:tcPr>
            <w:tcW w:w="2314" w:type="dxa"/>
          </w:tcPr>
          <w:p>
            <w:pPr>
              <w:pStyle w:val="TableParagraph"/>
              <w:rPr>
                <w:rFonts w:ascii="Times New Roman"/>
                <w:sz w:val="22"/>
              </w:rPr>
            </w:pPr>
          </w:p>
        </w:tc>
      </w:tr>
      <w:tr>
        <w:trPr>
          <w:trHeight w:val="3376" w:hRule="atLeast"/>
        </w:trPr>
        <w:tc>
          <w:tcPr>
            <w:tcW w:w="3401" w:type="dxa"/>
            <w:tcBorders>
              <w:bottom w:val="nil"/>
            </w:tcBorders>
            <w:shd w:val="clear" w:color="auto" w:fill="D0E4CA"/>
          </w:tcPr>
          <w:p>
            <w:pPr>
              <w:pStyle w:val="TableParagraph"/>
              <w:ind w:left="107" w:right="274"/>
              <w:rPr>
                <w:b/>
                <w:sz w:val="22"/>
              </w:rPr>
            </w:pPr>
            <w:r>
              <w:rPr>
                <w:b/>
                <w:sz w:val="22"/>
              </w:rPr>
              <w:t>Privacy: Individuals have the freedom to furnish and decorate their sleeping or living units.</w:t>
            </w:r>
          </w:p>
        </w:tc>
        <w:tc>
          <w:tcPr>
            <w:tcW w:w="2698" w:type="dxa"/>
            <w:tcBorders>
              <w:bottom w:val="nil"/>
            </w:tcBorders>
            <w:shd w:val="clear" w:color="auto" w:fill="D0E4CA"/>
          </w:tcPr>
          <w:p>
            <w:pPr>
              <w:pStyle w:val="TableParagraph"/>
              <w:spacing w:line="267" w:lineRule="exact"/>
              <w:ind w:left="107"/>
              <w:rPr>
                <w:sz w:val="22"/>
              </w:rPr>
            </w:pPr>
            <w:hyperlink r:id="rId56">
              <w:r>
                <w:rPr>
                  <w:color w:val="6B9F24"/>
                  <w:sz w:val="22"/>
                  <w:u w:val="single" w:color="6B9F24"/>
                </w:rPr>
                <w:t>RCW 70.129.100</w:t>
              </w:r>
            </w:hyperlink>
            <w:r>
              <w:rPr>
                <w:sz w:val="22"/>
              </w:rPr>
              <w:t>--(1) The</w:t>
            </w:r>
          </w:p>
          <w:p>
            <w:pPr>
              <w:pStyle w:val="TableParagraph"/>
              <w:ind w:left="107" w:right="115"/>
              <w:rPr>
                <w:sz w:val="22"/>
              </w:rPr>
            </w:pPr>
            <w:r>
              <w:rPr>
                <w:sz w:val="22"/>
              </w:rPr>
              <w:t>resident has the right to retain and use personal possessions, including some furnishings, and appropriate clothing, as space permits, unless to do so would infringe upon the rights or health and safety of other residents.</w:t>
            </w:r>
          </w:p>
        </w:tc>
        <w:tc>
          <w:tcPr>
            <w:tcW w:w="1407" w:type="dxa"/>
            <w:tcBorders>
              <w:bottom w:val="nil"/>
            </w:tcBorders>
            <w:shd w:val="clear" w:color="auto" w:fill="D0E4CA"/>
          </w:tcPr>
          <w:p>
            <w:pPr>
              <w:pStyle w:val="TableParagraph"/>
              <w:ind w:left="106" w:right="340"/>
              <w:rPr>
                <w:sz w:val="22"/>
              </w:rPr>
            </w:pPr>
            <w:r>
              <w:rPr>
                <w:sz w:val="22"/>
              </w:rPr>
              <w:t>Partially Compliant</w:t>
            </w:r>
          </w:p>
        </w:tc>
        <w:tc>
          <w:tcPr>
            <w:tcW w:w="3123" w:type="dxa"/>
            <w:tcBorders>
              <w:bottom w:val="nil"/>
            </w:tcBorders>
            <w:shd w:val="clear" w:color="auto" w:fill="D0E4CA"/>
          </w:tcPr>
          <w:p>
            <w:pPr>
              <w:pStyle w:val="TableParagraph"/>
              <w:ind w:left="106" w:right="249"/>
              <w:rPr>
                <w:sz w:val="22"/>
              </w:rPr>
            </w:pPr>
            <w:r>
              <w:rPr>
                <w:sz w:val="22"/>
              </w:rPr>
              <w:t>As part of the certification and RCS complaint investigation process described in the overview, RCS Contracted Evaluators and RCS Investigators conduct client observations, client and collateral interviews, service provider and staff interviews and client record reviews to ensure service providers’ compliance.</w:t>
            </w:r>
          </w:p>
        </w:tc>
        <w:tc>
          <w:tcPr>
            <w:tcW w:w="2314" w:type="dxa"/>
            <w:tcBorders>
              <w:bottom w:val="nil"/>
            </w:tcBorders>
            <w:shd w:val="clear" w:color="auto" w:fill="D0E4CA"/>
          </w:tcPr>
          <w:p>
            <w:pPr>
              <w:pStyle w:val="TableParagraph"/>
              <w:ind w:left="105" w:right="99"/>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p>
        </w:tc>
      </w:tr>
      <w:tr>
        <w:trPr>
          <w:trHeight w:val="1456" w:hRule="atLeast"/>
        </w:trPr>
        <w:tc>
          <w:tcPr>
            <w:tcW w:w="3401" w:type="dxa"/>
            <w:tcBorders>
              <w:top w:val="nil"/>
            </w:tcBorders>
            <w:shd w:val="clear" w:color="auto" w:fill="D0E4CA"/>
          </w:tcPr>
          <w:p>
            <w:pPr>
              <w:pStyle w:val="TableParagraph"/>
              <w:rPr>
                <w:rFonts w:ascii="Times New Roman"/>
                <w:sz w:val="22"/>
              </w:rPr>
            </w:pPr>
          </w:p>
        </w:tc>
        <w:tc>
          <w:tcPr>
            <w:tcW w:w="2698" w:type="dxa"/>
            <w:tcBorders>
              <w:top w:val="nil"/>
            </w:tcBorders>
            <w:shd w:val="clear" w:color="auto" w:fill="D0E4CA"/>
          </w:tcPr>
          <w:p>
            <w:pPr>
              <w:pStyle w:val="TableParagraph"/>
              <w:rPr>
                <w:rFonts w:ascii="Times New Roman"/>
                <w:sz w:val="22"/>
              </w:rPr>
            </w:pPr>
          </w:p>
        </w:tc>
        <w:tc>
          <w:tcPr>
            <w:tcW w:w="1407" w:type="dxa"/>
            <w:tcBorders>
              <w:top w:val="nil"/>
            </w:tcBorders>
            <w:shd w:val="clear" w:color="auto" w:fill="D0E4CA"/>
          </w:tcPr>
          <w:p>
            <w:pPr>
              <w:pStyle w:val="TableParagraph"/>
              <w:rPr>
                <w:rFonts w:ascii="Times New Roman"/>
                <w:sz w:val="22"/>
              </w:rPr>
            </w:pPr>
          </w:p>
        </w:tc>
        <w:tc>
          <w:tcPr>
            <w:tcW w:w="3123" w:type="dxa"/>
            <w:tcBorders>
              <w:top w:val="nil"/>
            </w:tcBorders>
            <w:shd w:val="clear" w:color="auto" w:fill="D0E4CA"/>
          </w:tcPr>
          <w:p>
            <w:pPr>
              <w:pStyle w:val="TableParagraph"/>
              <w:spacing w:before="114"/>
              <w:ind w:left="106" w:right="263"/>
              <w:rPr>
                <w:sz w:val="22"/>
              </w:rPr>
            </w:pPr>
            <w:r>
              <w:rPr>
                <w:sz w:val="22"/>
              </w:rPr>
              <w:t>On-site inspections ensure homes meet all licensing and certification requirements in WAC and RCW, including WAC</w:t>
            </w:r>
          </w:p>
          <w:p>
            <w:pPr>
              <w:pStyle w:val="TableParagraph"/>
              <w:spacing w:line="248" w:lineRule="exact"/>
              <w:ind w:left="106"/>
              <w:rPr>
                <w:sz w:val="22"/>
              </w:rPr>
            </w:pPr>
            <w:r>
              <w:rPr>
                <w:sz w:val="22"/>
              </w:rPr>
              <w:t>388-823-1095.</w:t>
            </w:r>
          </w:p>
        </w:tc>
        <w:tc>
          <w:tcPr>
            <w:tcW w:w="2314" w:type="dxa"/>
            <w:tcBorders>
              <w:top w:val="nil"/>
            </w:tcBorders>
            <w:shd w:val="clear" w:color="auto" w:fill="D0E4CA"/>
          </w:tcPr>
          <w:p>
            <w:pPr>
              <w:pStyle w:val="TableParagraph"/>
              <w:rPr>
                <w:rFonts w:ascii="Times New Roman"/>
                <w:sz w:val="22"/>
              </w:rPr>
            </w:pPr>
          </w:p>
        </w:tc>
      </w:tr>
      <w:tr>
        <w:trPr>
          <w:trHeight w:val="2687" w:hRule="atLeast"/>
        </w:trPr>
        <w:tc>
          <w:tcPr>
            <w:tcW w:w="3401" w:type="dxa"/>
          </w:tcPr>
          <w:p>
            <w:pPr>
              <w:pStyle w:val="TableParagraph"/>
              <w:spacing w:before="1"/>
              <w:ind w:left="107" w:right="152"/>
              <w:rPr>
                <w:b/>
                <w:sz w:val="22"/>
              </w:rPr>
            </w:pPr>
            <w:r>
              <w:rPr>
                <w:b/>
                <w:sz w:val="22"/>
              </w:rPr>
              <w:t>Individuals have the freedom and support to control their own schedules and activities, and have access to food at any time.</w:t>
            </w:r>
          </w:p>
        </w:tc>
        <w:tc>
          <w:tcPr>
            <w:tcW w:w="2698" w:type="dxa"/>
          </w:tcPr>
          <w:p>
            <w:pPr>
              <w:pStyle w:val="TableParagraph"/>
              <w:spacing w:line="267" w:lineRule="exact" w:before="1"/>
              <w:ind w:left="107"/>
              <w:rPr>
                <w:sz w:val="22"/>
              </w:rPr>
            </w:pPr>
            <w:hyperlink r:id="rId37">
              <w:r>
                <w:rPr>
                  <w:color w:val="6B9F24"/>
                  <w:sz w:val="22"/>
                  <w:u w:val="single" w:color="6B9F24"/>
                </w:rPr>
                <w:t>RCW 70.129.140</w:t>
              </w:r>
            </w:hyperlink>
          </w:p>
          <w:p>
            <w:pPr>
              <w:pStyle w:val="TableParagraph"/>
              <w:numPr>
                <w:ilvl w:val="0"/>
                <w:numId w:val="24"/>
              </w:numPr>
              <w:tabs>
                <w:tab w:pos="403" w:val="left" w:leader="none"/>
              </w:tabs>
              <w:spacing w:line="240" w:lineRule="auto" w:before="0" w:after="0"/>
              <w:ind w:left="107" w:right="234" w:firstLine="0"/>
              <w:jc w:val="left"/>
              <w:rPr>
                <w:sz w:val="22"/>
              </w:rPr>
            </w:pPr>
            <w:r>
              <w:rPr>
                <w:sz w:val="22"/>
              </w:rPr>
              <w:t>Within reasonable facility rules designed to protect the rights and quality of life of residents, the resident has the right to:</w:t>
            </w:r>
          </w:p>
          <w:p>
            <w:pPr>
              <w:pStyle w:val="TableParagraph"/>
              <w:numPr>
                <w:ilvl w:val="1"/>
                <w:numId w:val="24"/>
              </w:numPr>
              <w:tabs>
                <w:tab w:pos="648" w:val="left" w:leader="none"/>
              </w:tabs>
              <w:spacing w:line="270" w:lineRule="atLeast" w:before="0" w:after="0"/>
              <w:ind w:left="107" w:right="190" w:firstLine="249"/>
              <w:jc w:val="left"/>
              <w:rPr>
                <w:sz w:val="22"/>
              </w:rPr>
            </w:pPr>
            <w:r>
              <w:rPr>
                <w:sz w:val="22"/>
              </w:rPr>
              <w:t>Choose activities, schedules, and health care consistent with his or</w:t>
            </w:r>
            <w:r>
              <w:rPr>
                <w:spacing w:val="-5"/>
                <w:sz w:val="22"/>
              </w:rPr>
              <w:t> </w:t>
            </w:r>
            <w:r>
              <w:rPr>
                <w:sz w:val="22"/>
              </w:rPr>
              <w:t>her</w:t>
            </w:r>
          </w:p>
        </w:tc>
        <w:tc>
          <w:tcPr>
            <w:tcW w:w="1407" w:type="dxa"/>
          </w:tcPr>
          <w:p>
            <w:pPr>
              <w:pStyle w:val="TableParagraph"/>
              <w:spacing w:line="237" w:lineRule="auto" w:before="3"/>
              <w:ind w:left="106" w:right="340"/>
              <w:rPr>
                <w:sz w:val="22"/>
              </w:rPr>
            </w:pPr>
            <w:r>
              <w:rPr>
                <w:sz w:val="22"/>
              </w:rPr>
              <w:t>Partially Compliant</w:t>
            </w:r>
          </w:p>
        </w:tc>
        <w:tc>
          <w:tcPr>
            <w:tcW w:w="3123" w:type="dxa"/>
          </w:tcPr>
          <w:p>
            <w:pPr>
              <w:pStyle w:val="TableParagraph"/>
              <w:spacing w:before="1"/>
              <w:ind w:left="106" w:right="249"/>
              <w:rPr>
                <w:sz w:val="22"/>
              </w:rPr>
            </w:pPr>
            <w:r>
              <w:rPr>
                <w:sz w:val="22"/>
              </w:rPr>
              <w:t>As part of the certification and RCS complaint investigation process described in the overview, RCS Contracted Evaluators and RCS Investigators conduct client observations, client and collateral interviews, service provider and staff interviews</w:t>
            </w:r>
          </w:p>
          <w:p>
            <w:pPr>
              <w:pStyle w:val="TableParagraph"/>
              <w:spacing w:line="249" w:lineRule="exact"/>
              <w:ind w:left="106"/>
              <w:rPr>
                <w:sz w:val="22"/>
              </w:rPr>
            </w:pPr>
            <w:r>
              <w:rPr>
                <w:sz w:val="22"/>
              </w:rPr>
              <w:t>and client record reviews to</w:t>
            </w:r>
          </w:p>
        </w:tc>
        <w:tc>
          <w:tcPr>
            <w:tcW w:w="2314" w:type="dxa"/>
          </w:tcPr>
          <w:p>
            <w:pPr>
              <w:pStyle w:val="TableParagraph"/>
              <w:spacing w:before="1"/>
              <w:ind w:left="105" w:right="99"/>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p>
        </w:tc>
      </w:tr>
    </w:tbl>
    <w:p>
      <w:pPr>
        <w:pStyle w:val="BodyText"/>
        <w:spacing w:before="12"/>
        <w:rPr>
          <w:b/>
          <w:sz w:val="19"/>
        </w:rPr>
      </w:pPr>
      <w:r>
        <w:rPr/>
        <w:pict>
          <v:shape style="position:absolute;margin-left:70.559998pt;margin-top:14.3995pt;width:650.9pt;height:.1pt;mso-position-horizontal-relative:page;mso-position-vertical-relative:paragraph;z-index:-251510784;mso-wrap-distance-left:0;mso-wrap-distance-right:0" coordorigin="1411,288" coordsize="13018,0" path="m1411,288l14429,288e" filled="false" stroked="true" strokeweight=".481pt" strokecolor="#d9d9d9">
            <v:path arrowok="t"/>
            <v:stroke dashstyle="solid"/>
            <w10:wrap type="topAndBottom"/>
          </v:shape>
        </w:pict>
      </w:r>
    </w:p>
    <w:p>
      <w:pPr>
        <w:spacing w:after="0"/>
        <w:rPr>
          <w:sz w:val="1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01"/>
        <w:gridCol w:w="2698"/>
        <w:gridCol w:w="1407"/>
        <w:gridCol w:w="3123"/>
        <w:gridCol w:w="2314"/>
      </w:tblGrid>
      <w:tr>
        <w:trPr>
          <w:trHeight w:val="2828" w:hRule="atLeast"/>
        </w:trPr>
        <w:tc>
          <w:tcPr>
            <w:tcW w:w="3401" w:type="dxa"/>
            <w:vMerge w:val="restart"/>
          </w:tcPr>
          <w:p>
            <w:pPr>
              <w:pStyle w:val="TableParagraph"/>
              <w:rPr>
                <w:rFonts w:ascii="Times New Roman"/>
                <w:sz w:val="22"/>
              </w:rPr>
            </w:pPr>
          </w:p>
        </w:tc>
        <w:tc>
          <w:tcPr>
            <w:tcW w:w="2698" w:type="dxa"/>
            <w:tcBorders>
              <w:bottom w:val="nil"/>
            </w:tcBorders>
          </w:tcPr>
          <w:p>
            <w:pPr>
              <w:pStyle w:val="TableParagraph"/>
              <w:ind w:left="107" w:right="104"/>
              <w:rPr>
                <w:sz w:val="22"/>
              </w:rPr>
            </w:pPr>
            <w:r>
              <w:rPr>
                <w:sz w:val="22"/>
              </w:rPr>
              <w:t>interests, assessments, and plans of care;</w:t>
            </w:r>
          </w:p>
          <w:p>
            <w:pPr>
              <w:pStyle w:val="TableParagraph"/>
              <w:numPr>
                <w:ilvl w:val="0"/>
                <w:numId w:val="25"/>
              </w:numPr>
              <w:tabs>
                <w:tab w:pos="657" w:val="left" w:leader="none"/>
              </w:tabs>
              <w:spacing w:line="240" w:lineRule="auto" w:before="0" w:after="0"/>
              <w:ind w:left="107" w:right="117" w:firstLine="249"/>
              <w:jc w:val="left"/>
              <w:rPr>
                <w:sz w:val="22"/>
              </w:rPr>
            </w:pPr>
            <w:r>
              <w:rPr>
                <w:sz w:val="22"/>
              </w:rPr>
              <w:t>Interact with members of the community both inside and outside the</w:t>
            </w:r>
            <w:r>
              <w:rPr>
                <w:spacing w:val="-2"/>
                <w:sz w:val="22"/>
              </w:rPr>
              <w:t> </w:t>
            </w:r>
            <w:r>
              <w:rPr>
                <w:sz w:val="22"/>
              </w:rPr>
              <w:t>facility;</w:t>
            </w:r>
          </w:p>
          <w:p>
            <w:pPr>
              <w:pStyle w:val="TableParagraph"/>
              <w:numPr>
                <w:ilvl w:val="0"/>
                <w:numId w:val="25"/>
              </w:numPr>
              <w:tabs>
                <w:tab w:pos="633" w:val="left" w:leader="none"/>
              </w:tabs>
              <w:spacing w:line="240" w:lineRule="auto" w:before="0" w:after="0"/>
              <w:ind w:left="107" w:right="224" w:firstLine="249"/>
              <w:jc w:val="left"/>
              <w:rPr>
                <w:sz w:val="22"/>
              </w:rPr>
            </w:pPr>
            <w:r>
              <w:rPr>
                <w:sz w:val="22"/>
              </w:rPr>
              <w:t>Make choices about aspects of his or her life in the facility that are significant to the</w:t>
            </w:r>
            <w:r>
              <w:rPr>
                <w:spacing w:val="-7"/>
                <w:sz w:val="22"/>
              </w:rPr>
              <w:t> </w:t>
            </w:r>
            <w:r>
              <w:rPr>
                <w:sz w:val="22"/>
              </w:rPr>
              <w:t>resident.</w:t>
            </w:r>
          </w:p>
        </w:tc>
        <w:tc>
          <w:tcPr>
            <w:tcW w:w="1407" w:type="dxa"/>
            <w:vMerge w:val="restart"/>
          </w:tcPr>
          <w:p>
            <w:pPr>
              <w:pStyle w:val="TableParagraph"/>
              <w:rPr>
                <w:rFonts w:ascii="Times New Roman"/>
                <w:sz w:val="22"/>
              </w:rPr>
            </w:pPr>
          </w:p>
        </w:tc>
        <w:tc>
          <w:tcPr>
            <w:tcW w:w="3123" w:type="dxa"/>
            <w:tcBorders>
              <w:bottom w:val="nil"/>
            </w:tcBorders>
          </w:tcPr>
          <w:p>
            <w:pPr>
              <w:pStyle w:val="TableParagraph"/>
              <w:ind w:left="106" w:right="739"/>
              <w:rPr>
                <w:sz w:val="22"/>
              </w:rPr>
            </w:pPr>
            <w:r>
              <w:rPr>
                <w:sz w:val="22"/>
              </w:rPr>
              <w:t>ensure service providers’ compliance.</w:t>
            </w:r>
          </w:p>
          <w:p>
            <w:pPr>
              <w:pStyle w:val="TableParagraph"/>
              <w:spacing w:before="11"/>
              <w:rPr>
                <w:b/>
                <w:sz w:val="21"/>
              </w:rPr>
            </w:pPr>
          </w:p>
          <w:p>
            <w:pPr>
              <w:pStyle w:val="TableParagraph"/>
              <w:ind w:left="106" w:right="280"/>
              <w:rPr>
                <w:sz w:val="22"/>
              </w:rPr>
            </w:pPr>
            <w:r>
              <w:rPr>
                <w:sz w:val="22"/>
              </w:rPr>
              <w:t>On-site inspections ensure homes meet all licensing and certification requirements in WAC and RCW, including WAC 388-823-1095.</w:t>
            </w:r>
          </w:p>
        </w:tc>
        <w:tc>
          <w:tcPr>
            <w:tcW w:w="2314" w:type="dxa"/>
            <w:vMerge w:val="restart"/>
          </w:tcPr>
          <w:p>
            <w:pPr>
              <w:pStyle w:val="TableParagraph"/>
              <w:rPr>
                <w:rFonts w:ascii="Times New Roman"/>
                <w:sz w:val="22"/>
              </w:rPr>
            </w:pPr>
          </w:p>
        </w:tc>
      </w:tr>
      <w:tr>
        <w:trPr>
          <w:trHeight w:val="4403" w:hRule="atLeast"/>
        </w:trPr>
        <w:tc>
          <w:tcPr>
            <w:tcW w:w="3401" w:type="dxa"/>
            <w:vMerge/>
            <w:tcBorders>
              <w:top w:val="nil"/>
            </w:tcBorders>
          </w:tcPr>
          <w:p>
            <w:pPr>
              <w:rPr>
                <w:sz w:val="2"/>
                <w:szCs w:val="2"/>
              </w:rPr>
            </w:pPr>
          </w:p>
        </w:tc>
        <w:tc>
          <w:tcPr>
            <w:tcW w:w="2698" w:type="dxa"/>
            <w:tcBorders>
              <w:top w:val="nil"/>
            </w:tcBorders>
          </w:tcPr>
          <w:p>
            <w:pPr>
              <w:pStyle w:val="TableParagraph"/>
              <w:spacing w:before="105"/>
              <w:ind w:left="107"/>
              <w:rPr>
                <w:sz w:val="22"/>
              </w:rPr>
            </w:pPr>
            <w:hyperlink r:id="rId23">
              <w:r>
                <w:rPr>
                  <w:color w:val="6B9F24"/>
                  <w:sz w:val="22"/>
                  <w:u w:val="single" w:color="6B9F24"/>
                </w:rPr>
                <w:t>WAC 388-823-1095</w:t>
              </w:r>
              <w:r>
                <w:rPr>
                  <w:color w:val="6B9F24"/>
                  <w:sz w:val="22"/>
                </w:rPr>
                <w:t> </w:t>
              </w:r>
            </w:hyperlink>
            <w:r>
              <w:rPr>
                <w:sz w:val="22"/>
              </w:rPr>
              <w:t>my</w:t>
            </w:r>
          </w:p>
          <w:p>
            <w:pPr>
              <w:pStyle w:val="TableParagraph"/>
              <w:ind w:left="107" w:right="415"/>
              <w:rPr>
                <w:sz w:val="22"/>
              </w:rPr>
            </w:pPr>
            <w:r>
              <w:rPr>
                <w:sz w:val="22"/>
              </w:rPr>
              <w:t>rights as a DDA client Protection of rights is enforced through </w:t>
            </w:r>
            <w:hyperlink r:id="rId25">
              <w:r>
                <w:rPr>
                  <w:color w:val="6B9F24"/>
                  <w:sz w:val="22"/>
                  <w:u w:val="single" w:color="6B9F24"/>
                </w:rPr>
                <w:t>WAC</w:t>
              </w:r>
            </w:hyperlink>
            <w:r>
              <w:rPr>
                <w:color w:val="6B9F24"/>
                <w:sz w:val="22"/>
              </w:rPr>
              <w:t> </w:t>
            </w:r>
            <w:hyperlink r:id="rId25">
              <w:r>
                <w:rPr>
                  <w:color w:val="6B9F24"/>
                  <w:sz w:val="22"/>
                  <w:u w:val="single" w:color="6B9F24"/>
                </w:rPr>
                <w:t>388-101D-0125</w:t>
              </w:r>
              <w:r>
                <w:rPr>
                  <w:color w:val="6B9F24"/>
                  <w:sz w:val="22"/>
                </w:rPr>
                <w:t> </w:t>
              </w:r>
            </w:hyperlink>
            <w:r>
              <w:rPr>
                <w:sz w:val="22"/>
              </w:rPr>
              <w:t>through </w:t>
            </w:r>
            <w:hyperlink r:id="rId29">
              <w:r>
                <w:rPr>
                  <w:color w:val="6B9F24"/>
                  <w:sz w:val="22"/>
                  <w:u w:val="single" w:color="6B9F24"/>
                </w:rPr>
                <w:t>WAC 388-101D-0145</w:t>
              </w:r>
              <w:r>
                <w:rPr>
                  <w:sz w:val="22"/>
                </w:rPr>
                <w:t>.</w:t>
              </w:r>
            </w:hyperlink>
          </w:p>
          <w:p>
            <w:pPr>
              <w:pStyle w:val="TableParagraph"/>
              <w:spacing w:line="267" w:lineRule="exact"/>
              <w:ind w:left="107"/>
              <w:rPr>
                <w:sz w:val="22"/>
              </w:rPr>
            </w:pPr>
            <w:hyperlink r:id="rId28">
              <w:r>
                <w:rPr>
                  <w:color w:val="6B9F24"/>
                  <w:sz w:val="22"/>
                  <w:u w:val="single" w:color="6B9F24"/>
                </w:rPr>
                <w:t>WAC 388-101D-0140</w:t>
              </w:r>
            </w:hyperlink>
          </w:p>
          <w:p>
            <w:pPr>
              <w:pStyle w:val="TableParagraph"/>
              <w:ind w:left="107" w:right="133"/>
              <w:rPr>
                <w:sz w:val="22"/>
              </w:rPr>
            </w:pPr>
            <w:r>
              <w:rPr>
                <w:sz w:val="22"/>
              </w:rPr>
              <w:t>requires that the service provider must adhere to individual goals identified in the participant’s person- centered service plan.</w:t>
            </w:r>
          </w:p>
          <w:p>
            <w:pPr>
              <w:pStyle w:val="TableParagraph"/>
              <w:spacing w:before="1"/>
              <w:ind w:left="107" w:right="186"/>
              <w:rPr>
                <w:sz w:val="22"/>
              </w:rPr>
            </w:pPr>
            <w:r>
              <w:rPr>
                <w:sz w:val="22"/>
              </w:rPr>
              <w:t>Residential Guidelines and CCRSS provider contracts inform and guide the</w:t>
            </w:r>
          </w:p>
          <w:p>
            <w:pPr>
              <w:pStyle w:val="TableParagraph"/>
              <w:spacing w:line="249" w:lineRule="exact" w:before="1"/>
              <w:ind w:left="107"/>
              <w:rPr>
                <w:sz w:val="22"/>
              </w:rPr>
            </w:pPr>
            <w:r>
              <w:rPr>
                <w:sz w:val="22"/>
              </w:rPr>
              <w:t>provision of CCRSS services.</w:t>
            </w:r>
          </w:p>
        </w:tc>
        <w:tc>
          <w:tcPr>
            <w:tcW w:w="1407" w:type="dxa"/>
            <w:vMerge/>
            <w:tcBorders>
              <w:top w:val="nil"/>
            </w:tcBorders>
          </w:tcPr>
          <w:p>
            <w:pPr>
              <w:rPr>
                <w:sz w:val="2"/>
                <w:szCs w:val="2"/>
              </w:rPr>
            </w:pPr>
          </w:p>
        </w:tc>
        <w:tc>
          <w:tcPr>
            <w:tcW w:w="3123" w:type="dxa"/>
            <w:tcBorders>
              <w:top w:val="nil"/>
            </w:tcBorders>
          </w:tcPr>
          <w:p>
            <w:pPr>
              <w:pStyle w:val="TableParagraph"/>
              <w:rPr>
                <w:rFonts w:ascii="Times New Roman"/>
                <w:sz w:val="22"/>
              </w:rPr>
            </w:pPr>
          </w:p>
        </w:tc>
        <w:tc>
          <w:tcPr>
            <w:tcW w:w="2314" w:type="dxa"/>
            <w:vMerge/>
            <w:tcBorders>
              <w:top w:val="nil"/>
            </w:tcBorders>
          </w:tcPr>
          <w:p>
            <w:pPr>
              <w:rPr>
                <w:sz w:val="2"/>
                <w:szCs w:val="2"/>
              </w:rPr>
            </w:pPr>
          </w:p>
        </w:tc>
      </w:tr>
      <w:tr>
        <w:trPr>
          <w:trHeight w:val="1880" w:hRule="atLeast"/>
        </w:trPr>
        <w:tc>
          <w:tcPr>
            <w:tcW w:w="3401" w:type="dxa"/>
            <w:shd w:val="clear" w:color="auto" w:fill="D0E4CA"/>
          </w:tcPr>
          <w:p>
            <w:pPr>
              <w:pStyle w:val="TableParagraph"/>
              <w:ind w:left="107" w:right="393"/>
              <w:rPr>
                <w:b/>
                <w:sz w:val="22"/>
              </w:rPr>
            </w:pPr>
            <w:r>
              <w:rPr>
                <w:b/>
                <w:sz w:val="22"/>
              </w:rPr>
              <w:t>Individuals are able to have visitors of their choosing at any time.</w:t>
            </w:r>
          </w:p>
        </w:tc>
        <w:tc>
          <w:tcPr>
            <w:tcW w:w="2698" w:type="dxa"/>
            <w:shd w:val="clear" w:color="auto" w:fill="D0E4CA"/>
          </w:tcPr>
          <w:p>
            <w:pPr>
              <w:pStyle w:val="TableParagraph"/>
              <w:spacing w:line="267" w:lineRule="exact"/>
              <w:ind w:left="107"/>
              <w:rPr>
                <w:sz w:val="22"/>
              </w:rPr>
            </w:pPr>
            <w:hyperlink r:id="rId59">
              <w:r>
                <w:rPr>
                  <w:color w:val="6B9F24"/>
                  <w:sz w:val="22"/>
                  <w:u w:val="single" w:color="6B9F24"/>
                </w:rPr>
                <w:t>RCW 70.129.090</w:t>
              </w:r>
              <w:r>
                <w:rPr>
                  <w:color w:val="6B9F24"/>
                  <w:sz w:val="22"/>
                </w:rPr>
                <w:t> </w:t>
              </w:r>
            </w:hyperlink>
            <w:r>
              <w:rPr>
                <w:sz w:val="22"/>
              </w:rPr>
              <w:t>(1) The</w:t>
            </w:r>
          </w:p>
          <w:p>
            <w:pPr>
              <w:pStyle w:val="TableParagraph"/>
              <w:ind w:left="107" w:right="83"/>
              <w:rPr>
                <w:sz w:val="22"/>
              </w:rPr>
            </w:pPr>
            <w:r>
              <w:rPr>
                <w:sz w:val="22"/>
              </w:rPr>
              <w:t>resident has the right and the facility must not interfere with access to any resident by the following:</w:t>
            </w:r>
          </w:p>
          <w:p>
            <w:pPr>
              <w:pStyle w:val="TableParagraph"/>
              <w:spacing w:line="267" w:lineRule="exact"/>
              <w:ind w:left="107"/>
              <w:rPr>
                <w:sz w:val="22"/>
              </w:rPr>
            </w:pPr>
            <w:r>
              <w:rPr>
                <w:sz w:val="22"/>
              </w:rPr>
              <w:t>(f) Subject to reasonable</w:t>
            </w:r>
          </w:p>
          <w:p>
            <w:pPr>
              <w:pStyle w:val="TableParagraph"/>
              <w:spacing w:line="251" w:lineRule="exact"/>
              <w:ind w:left="107"/>
              <w:rPr>
                <w:sz w:val="22"/>
              </w:rPr>
            </w:pPr>
            <w:r>
              <w:rPr>
                <w:sz w:val="22"/>
              </w:rPr>
              <w:t>restrictions to protect the</w:t>
            </w:r>
          </w:p>
        </w:tc>
        <w:tc>
          <w:tcPr>
            <w:tcW w:w="1407" w:type="dxa"/>
            <w:shd w:val="clear" w:color="auto" w:fill="D0E4CA"/>
          </w:tcPr>
          <w:p>
            <w:pPr>
              <w:pStyle w:val="TableParagraph"/>
              <w:ind w:left="106" w:right="340"/>
              <w:rPr>
                <w:sz w:val="22"/>
              </w:rPr>
            </w:pPr>
            <w:r>
              <w:rPr>
                <w:sz w:val="22"/>
              </w:rPr>
              <w:t>Partially Compliant</w:t>
            </w:r>
          </w:p>
        </w:tc>
        <w:tc>
          <w:tcPr>
            <w:tcW w:w="3123" w:type="dxa"/>
            <w:shd w:val="clear" w:color="auto" w:fill="D0E4CA"/>
          </w:tcPr>
          <w:p>
            <w:pPr>
              <w:pStyle w:val="TableParagraph"/>
              <w:ind w:left="106" w:right="249"/>
              <w:rPr>
                <w:sz w:val="22"/>
              </w:rPr>
            </w:pPr>
            <w:r>
              <w:rPr>
                <w:sz w:val="22"/>
              </w:rPr>
              <w:t>As part of the certification and RCS complaint investigation process described in the overview, RCS Contracted Evaluators and RCS Investigators conduct client</w:t>
            </w:r>
          </w:p>
          <w:p>
            <w:pPr>
              <w:pStyle w:val="TableParagraph"/>
              <w:spacing w:line="251" w:lineRule="exact"/>
              <w:ind w:left="106"/>
              <w:rPr>
                <w:sz w:val="22"/>
              </w:rPr>
            </w:pPr>
            <w:r>
              <w:rPr>
                <w:sz w:val="22"/>
              </w:rPr>
              <w:t>observations, client and</w:t>
            </w:r>
          </w:p>
        </w:tc>
        <w:tc>
          <w:tcPr>
            <w:tcW w:w="2314" w:type="dxa"/>
            <w:shd w:val="clear" w:color="auto" w:fill="D0E4CA"/>
          </w:tcPr>
          <w:p>
            <w:pPr>
              <w:pStyle w:val="TableParagraph"/>
              <w:ind w:left="105" w:right="105"/>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w:t>
            </w:r>
            <w:r>
              <w:rPr>
                <w:spacing w:val="-1"/>
                <w:sz w:val="22"/>
              </w:rPr>
              <w:t> </w:t>
            </w:r>
            <w:r>
              <w:rPr>
                <w:sz w:val="22"/>
              </w:rPr>
              <w:t>requiring</w:t>
            </w:r>
          </w:p>
          <w:p>
            <w:pPr>
              <w:pStyle w:val="TableParagraph"/>
              <w:spacing w:line="251" w:lineRule="exact"/>
              <w:ind w:left="105"/>
              <w:rPr>
                <w:sz w:val="22"/>
              </w:rPr>
            </w:pPr>
            <w:r>
              <w:rPr>
                <w:sz w:val="22"/>
              </w:rPr>
              <w:t>adherence to the WAC.</w:t>
            </w:r>
          </w:p>
        </w:tc>
      </w:tr>
    </w:tbl>
    <w:p>
      <w:pPr>
        <w:pStyle w:val="BodyText"/>
        <w:spacing w:before="8"/>
        <w:rPr>
          <w:b/>
          <w:sz w:val="2"/>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01"/>
        <w:gridCol w:w="2698"/>
        <w:gridCol w:w="1407"/>
        <w:gridCol w:w="3123"/>
        <w:gridCol w:w="2314"/>
      </w:tblGrid>
      <w:tr>
        <w:trPr>
          <w:trHeight w:val="6714" w:hRule="atLeast"/>
        </w:trPr>
        <w:tc>
          <w:tcPr>
            <w:tcW w:w="3401" w:type="dxa"/>
            <w:shd w:val="clear" w:color="auto" w:fill="D0E4CA"/>
          </w:tcPr>
          <w:p>
            <w:pPr>
              <w:pStyle w:val="TableParagraph"/>
              <w:rPr>
                <w:rFonts w:ascii="Times New Roman"/>
                <w:sz w:val="22"/>
              </w:rPr>
            </w:pPr>
          </w:p>
        </w:tc>
        <w:tc>
          <w:tcPr>
            <w:tcW w:w="2698" w:type="dxa"/>
            <w:shd w:val="clear" w:color="auto" w:fill="D0E4CA"/>
          </w:tcPr>
          <w:p>
            <w:pPr>
              <w:pStyle w:val="TableParagraph"/>
              <w:ind w:left="107" w:right="210"/>
              <w:rPr>
                <w:sz w:val="22"/>
              </w:rPr>
            </w:pPr>
            <w:r>
              <w:rPr>
                <w:sz w:val="22"/>
              </w:rPr>
              <w:t>rights of others and to the resident's right to deny or withdraw consent at any time, immediate family or other relatives of the resident and others who are visiting with the consent of the resident.</w:t>
            </w:r>
          </w:p>
          <w:p>
            <w:pPr>
              <w:pStyle w:val="TableParagraph"/>
              <w:spacing w:before="10"/>
              <w:rPr>
                <w:b/>
                <w:sz w:val="21"/>
              </w:rPr>
            </w:pPr>
          </w:p>
          <w:p>
            <w:pPr>
              <w:pStyle w:val="TableParagraph"/>
              <w:spacing w:before="1"/>
              <w:ind w:left="107"/>
              <w:rPr>
                <w:sz w:val="22"/>
              </w:rPr>
            </w:pPr>
            <w:hyperlink r:id="rId23">
              <w:r>
                <w:rPr>
                  <w:color w:val="6B9F24"/>
                  <w:sz w:val="22"/>
                  <w:u w:val="single" w:color="6B9F24"/>
                </w:rPr>
                <w:t>WAC 388-823-1095</w:t>
              </w:r>
              <w:r>
                <w:rPr>
                  <w:color w:val="6B9F24"/>
                  <w:sz w:val="22"/>
                </w:rPr>
                <w:t> </w:t>
              </w:r>
            </w:hyperlink>
            <w:r>
              <w:rPr>
                <w:sz w:val="22"/>
              </w:rPr>
              <w:t>my</w:t>
            </w:r>
          </w:p>
          <w:p>
            <w:pPr>
              <w:pStyle w:val="TableParagraph"/>
              <w:ind w:left="107" w:right="415"/>
              <w:rPr>
                <w:sz w:val="22"/>
              </w:rPr>
            </w:pPr>
            <w:r>
              <w:rPr>
                <w:sz w:val="22"/>
              </w:rPr>
              <w:t>rights as a DDA client Protection of rights is enforced through </w:t>
            </w:r>
            <w:hyperlink r:id="rId25">
              <w:r>
                <w:rPr>
                  <w:color w:val="6B9F24"/>
                  <w:sz w:val="22"/>
                  <w:u w:val="single" w:color="6B9F24"/>
                </w:rPr>
                <w:t>WAC</w:t>
              </w:r>
            </w:hyperlink>
            <w:r>
              <w:rPr>
                <w:color w:val="6B9F24"/>
                <w:sz w:val="22"/>
              </w:rPr>
              <w:t> </w:t>
            </w:r>
            <w:hyperlink r:id="rId25">
              <w:r>
                <w:rPr>
                  <w:color w:val="6B9F24"/>
                  <w:sz w:val="22"/>
                  <w:u w:val="single" w:color="6B9F24"/>
                </w:rPr>
                <w:t>388-101D-0125</w:t>
              </w:r>
              <w:r>
                <w:rPr>
                  <w:color w:val="6B9F24"/>
                  <w:sz w:val="22"/>
                </w:rPr>
                <w:t> </w:t>
              </w:r>
            </w:hyperlink>
            <w:r>
              <w:rPr>
                <w:sz w:val="22"/>
              </w:rPr>
              <w:t>through </w:t>
            </w:r>
            <w:hyperlink r:id="rId29">
              <w:r>
                <w:rPr>
                  <w:color w:val="6B9F24"/>
                  <w:sz w:val="22"/>
                  <w:u w:val="single" w:color="6B9F24"/>
                </w:rPr>
                <w:t>WAC 388-101D-0145</w:t>
              </w:r>
              <w:r>
                <w:rPr>
                  <w:sz w:val="22"/>
                </w:rPr>
                <w:t>.</w:t>
              </w:r>
            </w:hyperlink>
          </w:p>
          <w:p>
            <w:pPr>
              <w:pStyle w:val="TableParagraph"/>
              <w:spacing w:before="1"/>
              <w:ind w:left="107"/>
              <w:rPr>
                <w:sz w:val="22"/>
              </w:rPr>
            </w:pPr>
            <w:hyperlink r:id="rId28">
              <w:r>
                <w:rPr>
                  <w:color w:val="6B9F24"/>
                  <w:sz w:val="22"/>
                  <w:u w:val="single" w:color="6B9F24"/>
                </w:rPr>
                <w:t>WAC 388-101D-0140</w:t>
              </w:r>
            </w:hyperlink>
          </w:p>
          <w:p>
            <w:pPr>
              <w:pStyle w:val="TableParagraph"/>
              <w:ind w:left="107" w:right="133"/>
              <w:rPr>
                <w:sz w:val="22"/>
              </w:rPr>
            </w:pPr>
            <w:r>
              <w:rPr>
                <w:sz w:val="22"/>
              </w:rPr>
              <w:t>requires that the service provider must adhere to individual goals identified in the participant’s person- centered service plan.</w:t>
            </w:r>
          </w:p>
          <w:p>
            <w:pPr>
              <w:pStyle w:val="TableParagraph"/>
              <w:ind w:left="107" w:right="186"/>
              <w:rPr>
                <w:sz w:val="22"/>
              </w:rPr>
            </w:pPr>
            <w:r>
              <w:rPr>
                <w:sz w:val="22"/>
              </w:rPr>
              <w:t>Residential Guidelines and CCRSS provider contracts inform and guide the</w:t>
            </w:r>
          </w:p>
          <w:p>
            <w:pPr>
              <w:pStyle w:val="TableParagraph"/>
              <w:spacing w:line="249" w:lineRule="exact"/>
              <w:ind w:left="107"/>
              <w:rPr>
                <w:sz w:val="22"/>
              </w:rPr>
            </w:pPr>
            <w:r>
              <w:rPr>
                <w:sz w:val="22"/>
              </w:rPr>
              <w:t>provision of CCRSS services.</w:t>
            </w:r>
          </w:p>
        </w:tc>
        <w:tc>
          <w:tcPr>
            <w:tcW w:w="1407" w:type="dxa"/>
            <w:shd w:val="clear" w:color="auto" w:fill="D0E4CA"/>
          </w:tcPr>
          <w:p>
            <w:pPr>
              <w:pStyle w:val="TableParagraph"/>
              <w:rPr>
                <w:rFonts w:ascii="Times New Roman"/>
                <w:sz w:val="22"/>
              </w:rPr>
            </w:pPr>
          </w:p>
        </w:tc>
        <w:tc>
          <w:tcPr>
            <w:tcW w:w="3123" w:type="dxa"/>
            <w:shd w:val="clear" w:color="auto" w:fill="D0E4CA"/>
          </w:tcPr>
          <w:p>
            <w:pPr>
              <w:pStyle w:val="TableParagraph"/>
              <w:ind w:left="106" w:right="403"/>
              <w:rPr>
                <w:sz w:val="22"/>
              </w:rPr>
            </w:pPr>
            <w:r>
              <w:rPr>
                <w:sz w:val="22"/>
              </w:rPr>
              <w:t>collateral interviews, service provider and staff interviews and client record reviews to ensure service providers’ compliance.</w:t>
            </w:r>
          </w:p>
          <w:p>
            <w:pPr>
              <w:pStyle w:val="TableParagraph"/>
              <w:rPr>
                <w:b/>
                <w:sz w:val="22"/>
              </w:rPr>
            </w:pPr>
          </w:p>
          <w:p>
            <w:pPr>
              <w:pStyle w:val="TableParagraph"/>
              <w:ind w:left="106" w:right="280"/>
              <w:rPr>
                <w:sz w:val="22"/>
              </w:rPr>
            </w:pPr>
            <w:r>
              <w:rPr>
                <w:sz w:val="22"/>
              </w:rPr>
              <w:t>On-site inspections ensure homes meet all licensing and certification requirements in WAC and RCW, including WAC 388-823-1095.</w:t>
            </w:r>
          </w:p>
        </w:tc>
        <w:tc>
          <w:tcPr>
            <w:tcW w:w="2314" w:type="dxa"/>
            <w:shd w:val="clear" w:color="auto" w:fill="D0E4CA"/>
          </w:tcPr>
          <w:p>
            <w:pPr>
              <w:pStyle w:val="TableParagraph"/>
              <w:spacing w:line="267" w:lineRule="exact"/>
              <w:ind w:left="105"/>
              <w:rPr>
                <w:sz w:val="22"/>
              </w:rPr>
            </w:pPr>
            <w:r>
              <w:rPr>
                <w:sz w:val="22"/>
              </w:rPr>
              <w:t>See </w:t>
            </w:r>
            <w:r>
              <w:rPr>
                <w:color w:val="6B9F24"/>
                <w:sz w:val="22"/>
                <w:u w:val="single" w:color="6B9F24"/>
              </w:rPr>
              <w:t>Appendix C.</w:t>
            </w:r>
          </w:p>
        </w:tc>
      </w:tr>
      <w:tr>
        <w:trPr>
          <w:trHeight w:val="2418" w:hRule="atLeast"/>
        </w:trPr>
        <w:tc>
          <w:tcPr>
            <w:tcW w:w="3401" w:type="dxa"/>
          </w:tcPr>
          <w:p>
            <w:pPr>
              <w:pStyle w:val="TableParagraph"/>
              <w:ind w:left="107" w:right="137"/>
              <w:rPr>
                <w:b/>
                <w:sz w:val="22"/>
              </w:rPr>
            </w:pPr>
            <w:r>
              <w:rPr>
                <w:b/>
                <w:sz w:val="22"/>
              </w:rPr>
              <w:t>The setting is physically accessible to the individual.</w:t>
            </w:r>
          </w:p>
        </w:tc>
        <w:tc>
          <w:tcPr>
            <w:tcW w:w="2698" w:type="dxa"/>
          </w:tcPr>
          <w:p>
            <w:pPr>
              <w:pStyle w:val="TableParagraph"/>
              <w:ind w:left="107" w:right="415"/>
              <w:rPr>
                <w:sz w:val="22"/>
              </w:rPr>
            </w:pPr>
            <w:r>
              <w:rPr>
                <w:sz w:val="22"/>
              </w:rPr>
              <w:t>Protection of rights is enforced through </w:t>
            </w:r>
            <w:hyperlink r:id="rId25">
              <w:r>
                <w:rPr>
                  <w:color w:val="6B9F24"/>
                  <w:sz w:val="22"/>
                  <w:u w:val="single" w:color="6B9F24"/>
                </w:rPr>
                <w:t>WAC</w:t>
              </w:r>
            </w:hyperlink>
            <w:r>
              <w:rPr>
                <w:color w:val="6B9F24"/>
                <w:sz w:val="22"/>
              </w:rPr>
              <w:t> </w:t>
            </w:r>
            <w:hyperlink r:id="rId25">
              <w:r>
                <w:rPr>
                  <w:color w:val="6B9F24"/>
                  <w:sz w:val="22"/>
                  <w:u w:val="single" w:color="6B9F24"/>
                </w:rPr>
                <w:t>388-101D-0125</w:t>
              </w:r>
              <w:r>
                <w:rPr>
                  <w:color w:val="6B9F24"/>
                  <w:sz w:val="22"/>
                </w:rPr>
                <w:t> </w:t>
              </w:r>
            </w:hyperlink>
            <w:r>
              <w:rPr>
                <w:sz w:val="22"/>
              </w:rPr>
              <w:t>through </w:t>
            </w:r>
            <w:hyperlink r:id="rId29">
              <w:r>
                <w:rPr>
                  <w:color w:val="6B9F24"/>
                  <w:sz w:val="22"/>
                  <w:u w:val="single" w:color="6B9F24"/>
                </w:rPr>
                <w:t>WAC 388-101D-0145</w:t>
              </w:r>
              <w:r>
                <w:rPr>
                  <w:sz w:val="22"/>
                </w:rPr>
                <w:t>.</w:t>
              </w:r>
            </w:hyperlink>
          </w:p>
          <w:p>
            <w:pPr>
              <w:pStyle w:val="TableParagraph"/>
              <w:spacing w:before="1"/>
              <w:rPr>
                <w:b/>
                <w:sz w:val="28"/>
              </w:rPr>
            </w:pPr>
          </w:p>
          <w:p>
            <w:pPr>
              <w:pStyle w:val="TableParagraph"/>
              <w:ind w:left="107" w:right="251"/>
              <w:rPr>
                <w:sz w:val="22"/>
              </w:rPr>
            </w:pPr>
            <w:r>
              <w:rPr>
                <w:sz w:val="22"/>
              </w:rPr>
              <w:t>As part of the person centered service planning process, participants are</w:t>
            </w:r>
          </w:p>
        </w:tc>
        <w:tc>
          <w:tcPr>
            <w:tcW w:w="1407" w:type="dxa"/>
          </w:tcPr>
          <w:p>
            <w:pPr>
              <w:pStyle w:val="TableParagraph"/>
              <w:ind w:left="106" w:right="340"/>
              <w:rPr>
                <w:sz w:val="22"/>
              </w:rPr>
            </w:pPr>
            <w:r>
              <w:rPr>
                <w:sz w:val="22"/>
              </w:rPr>
              <w:t>Partially Compliant</w:t>
            </w:r>
          </w:p>
        </w:tc>
        <w:tc>
          <w:tcPr>
            <w:tcW w:w="3123" w:type="dxa"/>
          </w:tcPr>
          <w:p>
            <w:pPr>
              <w:pStyle w:val="TableParagraph"/>
              <w:ind w:left="106" w:right="262"/>
              <w:rPr>
                <w:sz w:val="22"/>
              </w:rPr>
            </w:pPr>
            <w:r>
              <w:rPr>
                <w:sz w:val="22"/>
              </w:rPr>
              <w:t>As part of the certification</w:t>
            </w:r>
            <w:r>
              <w:rPr>
                <w:spacing w:val="-13"/>
                <w:sz w:val="22"/>
              </w:rPr>
              <w:t> </w:t>
            </w:r>
            <w:r>
              <w:rPr>
                <w:sz w:val="22"/>
              </w:rPr>
              <w:t>and RCS complaint investigation process described in the overview, RCS Contracted Evaluators and RCS Investigators conduct client observations, client and collateral interviews,</w:t>
            </w:r>
            <w:r>
              <w:rPr>
                <w:spacing w:val="-6"/>
                <w:sz w:val="22"/>
              </w:rPr>
              <w:t> </w:t>
            </w:r>
            <w:r>
              <w:rPr>
                <w:sz w:val="22"/>
              </w:rPr>
              <w:t>service</w:t>
            </w:r>
          </w:p>
          <w:p>
            <w:pPr>
              <w:pStyle w:val="TableParagraph"/>
              <w:spacing w:line="251" w:lineRule="exact"/>
              <w:ind w:left="106"/>
              <w:rPr>
                <w:sz w:val="22"/>
              </w:rPr>
            </w:pPr>
            <w:r>
              <w:rPr>
                <w:sz w:val="22"/>
              </w:rPr>
              <w:t>provider and staff</w:t>
            </w:r>
            <w:r>
              <w:rPr>
                <w:spacing w:val="-11"/>
                <w:sz w:val="22"/>
              </w:rPr>
              <w:t> </w:t>
            </w:r>
            <w:r>
              <w:rPr>
                <w:sz w:val="22"/>
              </w:rPr>
              <w:t>interviews</w:t>
            </w:r>
          </w:p>
        </w:tc>
        <w:tc>
          <w:tcPr>
            <w:tcW w:w="2314" w:type="dxa"/>
          </w:tcPr>
          <w:p>
            <w:pPr>
              <w:pStyle w:val="TableParagraph"/>
              <w:ind w:left="105" w:right="99"/>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p>
        </w:tc>
      </w:tr>
    </w:tbl>
    <w:p>
      <w:pPr>
        <w:pStyle w:val="BodyText"/>
        <w:spacing w:before="8"/>
        <w:rPr>
          <w:b/>
          <w:sz w:val="2"/>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01"/>
        <w:gridCol w:w="2698"/>
        <w:gridCol w:w="1407"/>
        <w:gridCol w:w="3123"/>
        <w:gridCol w:w="2314"/>
      </w:tblGrid>
      <w:tr>
        <w:trPr>
          <w:trHeight w:val="4984" w:hRule="atLeast"/>
        </w:trPr>
        <w:tc>
          <w:tcPr>
            <w:tcW w:w="3401" w:type="dxa"/>
          </w:tcPr>
          <w:p>
            <w:pPr>
              <w:pStyle w:val="TableParagraph"/>
              <w:rPr>
                <w:rFonts w:ascii="Times New Roman"/>
                <w:sz w:val="22"/>
              </w:rPr>
            </w:pPr>
          </w:p>
        </w:tc>
        <w:tc>
          <w:tcPr>
            <w:tcW w:w="2698" w:type="dxa"/>
          </w:tcPr>
          <w:p>
            <w:pPr>
              <w:pStyle w:val="TableParagraph"/>
              <w:ind w:left="107" w:right="117"/>
              <w:rPr>
                <w:sz w:val="22"/>
              </w:rPr>
            </w:pPr>
            <w:r>
              <w:rPr>
                <w:sz w:val="22"/>
              </w:rPr>
              <w:t>provided with options that meet their physical accessibility requirements. If a participant’s needs change regarding accessibility, the case manager works with the resident and facility to accommodate the resident’s needs. As a part of the inspection process, licensors also look at residents and their assessments to make sure the setting, including physical plant requirements, is meeting their needs.</w:t>
            </w:r>
          </w:p>
        </w:tc>
        <w:tc>
          <w:tcPr>
            <w:tcW w:w="1407" w:type="dxa"/>
          </w:tcPr>
          <w:p>
            <w:pPr>
              <w:pStyle w:val="TableParagraph"/>
              <w:rPr>
                <w:rFonts w:ascii="Times New Roman"/>
                <w:sz w:val="22"/>
              </w:rPr>
            </w:pPr>
          </w:p>
        </w:tc>
        <w:tc>
          <w:tcPr>
            <w:tcW w:w="3123" w:type="dxa"/>
          </w:tcPr>
          <w:p>
            <w:pPr>
              <w:pStyle w:val="TableParagraph"/>
              <w:ind w:left="106" w:right="482"/>
              <w:rPr>
                <w:sz w:val="22"/>
              </w:rPr>
            </w:pPr>
            <w:r>
              <w:rPr>
                <w:sz w:val="22"/>
              </w:rPr>
              <w:t>and client record reviews to ensure service providers’ compliance.</w:t>
            </w:r>
          </w:p>
          <w:p>
            <w:pPr>
              <w:pStyle w:val="TableParagraph"/>
              <w:rPr>
                <w:b/>
                <w:sz w:val="28"/>
              </w:rPr>
            </w:pPr>
          </w:p>
          <w:p>
            <w:pPr>
              <w:pStyle w:val="TableParagraph"/>
              <w:spacing w:before="1"/>
              <w:ind w:left="106" w:right="280"/>
              <w:rPr>
                <w:sz w:val="22"/>
              </w:rPr>
            </w:pPr>
            <w:r>
              <w:rPr>
                <w:sz w:val="22"/>
              </w:rPr>
              <w:t>On-site inspections ensure homes meet all licensing and certification requirements in WAC and RCW, including WAC 388-823-1095.</w:t>
            </w:r>
          </w:p>
        </w:tc>
        <w:tc>
          <w:tcPr>
            <w:tcW w:w="2314" w:type="dxa"/>
          </w:tcPr>
          <w:p>
            <w:pPr>
              <w:pStyle w:val="TableParagraph"/>
              <w:rPr>
                <w:rFonts w:ascii="Times New Roman"/>
                <w:sz w:val="22"/>
              </w:rPr>
            </w:pPr>
          </w:p>
        </w:tc>
      </w:tr>
      <w:tr>
        <w:trPr>
          <w:trHeight w:val="3222" w:hRule="atLeast"/>
        </w:trPr>
        <w:tc>
          <w:tcPr>
            <w:tcW w:w="3401" w:type="dxa"/>
            <w:shd w:val="clear" w:color="auto" w:fill="D0E4CA"/>
          </w:tcPr>
          <w:p>
            <w:pPr>
              <w:pStyle w:val="TableParagraph"/>
              <w:ind w:left="107" w:right="98"/>
              <w:rPr>
                <w:b/>
                <w:sz w:val="22"/>
              </w:rPr>
            </w:pPr>
            <w:r>
              <w:rPr>
                <w:b/>
                <w:sz w:val="22"/>
              </w:rPr>
              <w:t>The setting that is located in a building that is also a publicly or privately operated facility that provides inpatient institutional treatment, or in a building on the grounds of, or immediately adjacent to, a public institution, or any other setting that has the effect of isolating individuals receiving Medicaid HCBS from the broader community of individuals</w:t>
            </w:r>
          </w:p>
          <w:p>
            <w:pPr>
              <w:pStyle w:val="TableParagraph"/>
              <w:spacing w:line="249" w:lineRule="exact"/>
              <w:ind w:left="107"/>
              <w:rPr>
                <w:b/>
                <w:sz w:val="22"/>
              </w:rPr>
            </w:pPr>
            <w:r>
              <w:rPr>
                <w:b/>
                <w:sz w:val="22"/>
              </w:rPr>
              <w:t>not receiving HCBS.</w:t>
            </w:r>
          </w:p>
        </w:tc>
        <w:tc>
          <w:tcPr>
            <w:tcW w:w="2698" w:type="dxa"/>
            <w:shd w:val="clear" w:color="auto" w:fill="D0E4CA"/>
          </w:tcPr>
          <w:p>
            <w:pPr>
              <w:pStyle w:val="TableParagraph"/>
              <w:ind w:left="107" w:right="322"/>
              <w:rPr>
                <w:sz w:val="22"/>
              </w:rPr>
            </w:pPr>
            <w:r>
              <w:rPr>
                <w:sz w:val="22"/>
              </w:rPr>
              <w:t>No group training homes are attached to institutions.</w:t>
            </w:r>
          </w:p>
        </w:tc>
        <w:tc>
          <w:tcPr>
            <w:tcW w:w="1407" w:type="dxa"/>
            <w:shd w:val="clear" w:color="auto" w:fill="D0E4CA"/>
          </w:tcPr>
          <w:p>
            <w:pPr>
              <w:pStyle w:val="TableParagraph"/>
              <w:ind w:left="106" w:right="340"/>
              <w:rPr>
                <w:sz w:val="22"/>
              </w:rPr>
            </w:pPr>
            <w:r>
              <w:rPr>
                <w:sz w:val="22"/>
              </w:rPr>
              <w:t>Fully Compliant</w:t>
            </w:r>
          </w:p>
        </w:tc>
        <w:tc>
          <w:tcPr>
            <w:tcW w:w="3123" w:type="dxa"/>
            <w:shd w:val="clear" w:color="auto" w:fill="D0E4CA"/>
          </w:tcPr>
          <w:p>
            <w:pPr>
              <w:pStyle w:val="TableParagraph"/>
              <w:spacing w:line="267" w:lineRule="exact"/>
              <w:ind w:left="106"/>
              <w:rPr>
                <w:sz w:val="22"/>
              </w:rPr>
            </w:pPr>
            <w:r>
              <w:rPr>
                <w:sz w:val="22"/>
              </w:rPr>
              <w:t>Not applicable</w:t>
            </w:r>
          </w:p>
        </w:tc>
        <w:tc>
          <w:tcPr>
            <w:tcW w:w="2314" w:type="dxa"/>
            <w:shd w:val="clear" w:color="auto" w:fill="D0E4CA"/>
          </w:tcPr>
          <w:p>
            <w:pPr>
              <w:pStyle w:val="TableParagraph"/>
              <w:rPr>
                <w:rFonts w:ascii="Times New Roman"/>
                <w:sz w:val="22"/>
              </w:rPr>
            </w:pPr>
          </w:p>
        </w:tc>
      </w:tr>
      <w:tr>
        <w:trPr>
          <w:trHeight w:val="805" w:hRule="atLeast"/>
        </w:trPr>
        <w:tc>
          <w:tcPr>
            <w:tcW w:w="3401" w:type="dxa"/>
          </w:tcPr>
          <w:p>
            <w:pPr>
              <w:pStyle w:val="TableParagraph"/>
              <w:ind w:left="107" w:right="183"/>
              <w:rPr>
                <w:b/>
                <w:sz w:val="22"/>
              </w:rPr>
            </w:pPr>
            <w:r>
              <w:rPr>
                <w:b/>
                <w:sz w:val="22"/>
              </w:rPr>
              <w:t>The unit or room is a specific physical place that can be</w:t>
            </w:r>
            <w:r>
              <w:rPr>
                <w:b/>
                <w:spacing w:val="-11"/>
                <w:sz w:val="22"/>
              </w:rPr>
              <w:t> </w:t>
            </w:r>
            <w:r>
              <w:rPr>
                <w:b/>
                <w:sz w:val="22"/>
              </w:rPr>
              <w:t>owned,</w:t>
            </w:r>
          </w:p>
          <w:p>
            <w:pPr>
              <w:pStyle w:val="TableParagraph"/>
              <w:spacing w:line="249" w:lineRule="exact"/>
              <w:ind w:left="107"/>
              <w:rPr>
                <w:b/>
                <w:sz w:val="22"/>
              </w:rPr>
            </w:pPr>
            <w:r>
              <w:rPr>
                <w:b/>
                <w:sz w:val="22"/>
              </w:rPr>
              <w:t>rented or occupied under</w:t>
            </w:r>
            <w:r>
              <w:rPr>
                <w:b/>
                <w:spacing w:val="-14"/>
                <w:sz w:val="22"/>
              </w:rPr>
              <w:t> </w:t>
            </w:r>
            <w:r>
              <w:rPr>
                <w:b/>
                <w:sz w:val="22"/>
              </w:rPr>
              <w:t>another</w:t>
            </w:r>
          </w:p>
        </w:tc>
        <w:tc>
          <w:tcPr>
            <w:tcW w:w="2698" w:type="dxa"/>
          </w:tcPr>
          <w:p>
            <w:pPr>
              <w:pStyle w:val="TableParagraph"/>
              <w:ind w:left="107" w:right="338"/>
              <w:rPr>
                <w:sz w:val="22"/>
              </w:rPr>
            </w:pPr>
            <w:hyperlink r:id="rId66">
              <w:r>
                <w:rPr>
                  <w:color w:val="6B9F24"/>
                  <w:sz w:val="22"/>
                  <w:u w:val="single" w:color="6B9F24"/>
                </w:rPr>
                <w:t>Title 59 RCW</w:t>
              </w:r>
              <w:r>
                <w:rPr>
                  <w:color w:val="6B9F24"/>
                  <w:sz w:val="22"/>
                </w:rPr>
                <w:t> </w:t>
              </w:r>
            </w:hyperlink>
            <w:r>
              <w:rPr>
                <w:sz w:val="22"/>
              </w:rPr>
              <w:t>provides protections, including an</w:t>
            </w:r>
          </w:p>
          <w:p>
            <w:pPr>
              <w:pStyle w:val="TableParagraph"/>
              <w:spacing w:line="249" w:lineRule="exact"/>
              <w:ind w:left="107"/>
              <w:rPr>
                <w:sz w:val="22"/>
              </w:rPr>
            </w:pPr>
            <w:r>
              <w:rPr>
                <w:sz w:val="22"/>
              </w:rPr>
              <w:t>unlawful entry and</w:t>
            </w:r>
          </w:p>
        </w:tc>
        <w:tc>
          <w:tcPr>
            <w:tcW w:w="1407" w:type="dxa"/>
          </w:tcPr>
          <w:p>
            <w:pPr>
              <w:pStyle w:val="TableParagraph"/>
              <w:ind w:left="106" w:right="340"/>
              <w:rPr>
                <w:sz w:val="22"/>
              </w:rPr>
            </w:pPr>
            <w:r>
              <w:rPr>
                <w:sz w:val="22"/>
              </w:rPr>
              <w:t>Partially Compliant</w:t>
            </w:r>
          </w:p>
        </w:tc>
        <w:tc>
          <w:tcPr>
            <w:tcW w:w="3123" w:type="dxa"/>
          </w:tcPr>
          <w:p>
            <w:pPr>
              <w:pStyle w:val="TableParagraph"/>
              <w:ind w:left="106" w:right="249"/>
              <w:rPr>
                <w:sz w:val="22"/>
              </w:rPr>
            </w:pPr>
            <w:r>
              <w:rPr>
                <w:sz w:val="22"/>
              </w:rPr>
              <w:t>As part of the certification and RCS complaint investigation</w:t>
            </w:r>
          </w:p>
          <w:p>
            <w:pPr>
              <w:pStyle w:val="TableParagraph"/>
              <w:spacing w:line="249" w:lineRule="exact"/>
              <w:ind w:left="106"/>
              <w:rPr>
                <w:sz w:val="22"/>
              </w:rPr>
            </w:pPr>
            <w:r>
              <w:rPr>
                <w:sz w:val="22"/>
              </w:rPr>
              <w:t>process described in the</w:t>
            </w:r>
          </w:p>
        </w:tc>
        <w:tc>
          <w:tcPr>
            <w:tcW w:w="2314" w:type="dxa"/>
          </w:tcPr>
          <w:p>
            <w:pPr>
              <w:pStyle w:val="TableParagraph"/>
              <w:ind w:left="105" w:right="91"/>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w:t>
            </w:r>
            <w:r>
              <w:rPr>
                <w:spacing w:val="-4"/>
                <w:sz w:val="22"/>
              </w:rPr>
              <w:t> </w:t>
            </w:r>
            <w:r>
              <w:rPr>
                <w:sz w:val="22"/>
              </w:rPr>
              <w:t>all</w:t>
            </w:r>
          </w:p>
          <w:p>
            <w:pPr>
              <w:pStyle w:val="TableParagraph"/>
              <w:spacing w:line="249" w:lineRule="exact"/>
              <w:ind w:left="105"/>
              <w:rPr>
                <w:sz w:val="22"/>
              </w:rPr>
            </w:pPr>
            <w:r>
              <w:rPr>
                <w:sz w:val="22"/>
              </w:rPr>
              <w:t>rights listed in</w:t>
            </w:r>
            <w:r>
              <w:rPr>
                <w:spacing w:val="-8"/>
                <w:sz w:val="22"/>
              </w:rPr>
              <w:t> </w:t>
            </w:r>
            <w:r>
              <w:rPr>
                <w:sz w:val="22"/>
              </w:rPr>
              <w:t>the</w:t>
            </w:r>
          </w:p>
        </w:tc>
      </w:tr>
    </w:tbl>
    <w:p>
      <w:pPr>
        <w:pStyle w:val="BodyText"/>
        <w:spacing w:before="9"/>
        <w:rPr>
          <w:b/>
          <w:sz w:val="7"/>
        </w:rPr>
      </w:pPr>
      <w:r>
        <w:rPr/>
        <w:pict>
          <v:shape style="position:absolute;margin-left:70.559998pt;margin-top:6.9595pt;width:650.9pt;height:.1pt;mso-position-horizontal-relative:page;mso-position-vertical-relative:paragraph;z-index:-251507712;mso-wrap-distance-left:0;mso-wrap-distance-right:0" coordorigin="1411,139" coordsize="13018,0" path="m1411,139l14429,139e" filled="false" stroked="true" strokeweight=".481pt" strokecolor="#d9d9d9">
            <v:path arrowok="t"/>
            <v:stroke dashstyle="solid"/>
            <w10:wrap type="topAndBottom"/>
          </v:shape>
        </w:pict>
      </w:r>
    </w:p>
    <w:p>
      <w:pPr>
        <w:spacing w:after="0"/>
        <w:rPr>
          <w:sz w:val="7"/>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01"/>
        <w:gridCol w:w="2698"/>
        <w:gridCol w:w="1407"/>
        <w:gridCol w:w="3123"/>
        <w:gridCol w:w="2314"/>
      </w:tblGrid>
      <w:tr>
        <w:trPr>
          <w:trHeight w:val="5101" w:hRule="atLeast"/>
        </w:trPr>
        <w:tc>
          <w:tcPr>
            <w:tcW w:w="3401" w:type="dxa"/>
          </w:tcPr>
          <w:p>
            <w:pPr>
              <w:pStyle w:val="TableParagraph"/>
              <w:ind w:left="107" w:right="206"/>
              <w:rPr>
                <w:b/>
                <w:sz w:val="22"/>
              </w:rPr>
            </w:pPr>
            <w:r>
              <w:rPr>
                <w:b/>
                <w:sz w:val="22"/>
              </w:rPr>
              <w:t>legally enforceable agreement by the individual receiving services, and the individual has, at a minimum, the same responsibilities and protections from eviction that tenants have under the landlord tenant law of the State, county, city or other designated entity.</w:t>
            </w:r>
          </w:p>
        </w:tc>
        <w:tc>
          <w:tcPr>
            <w:tcW w:w="2698" w:type="dxa"/>
          </w:tcPr>
          <w:p>
            <w:pPr>
              <w:pStyle w:val="TableParagraph"/>
              <w:ind w:left="107" w:right="152"/>
              <w:rPr>
                <w:i/>
                <w:sz w:val="22"/>
              </w:rPr>
            </w:pPr>
            <w:r>
              <w:rPr>
                <w:sz w:val="22"/>
              </w:rPr>
              <w:t>detainer action as outlined in </w:t>
            </w:r>
            <w:hyperlink r:id="rId122">
              <w:r>
                <w:rPr>
                  <w:color w:val="6B9F24"/>
                  <w:sz w:val="22"/>
                  <w:u w:val="single" w:color="6B9F24"/>
                </w:rPr>
                <w:t>Chapter 59.12 RCW</w:t>
              </w:r>
              <w:r>
                <w:rPr>
                  <w:sz w:val="22"/>
                </w:rPr>
                <w:t>,</w:t>
              </w:r>
            </w:hyperlink>
            <w:r>
              <w:rPr>
                <w:sz w:val="22"/>
              </w:rPr>
              <w:t> including a process for contesting the eviction. </w:t>
            </w:r>
            <w:r>
              <w:rPr>
                <w:i/>
                <w:sz w:val="22"/>
              </w:rPr>
              <w:t>(Updated 1/15/16) </w:t>
            </w:r>
            <w:r>
              <w:rPr>
                <w:sz w:val="22"/>
              </w:rPr>
              <w:t>Contracts were changed effective July 1, 2015 to reflect this requirement </w:t>
            </w:r>
            <w:r>
              <w:rPr>
                <w:i/>
                <w:sz w:val="22"/>
              </w:rPr>
              <w:t>(Updated 1/15/16).</w:t>
            </w:r>
          </w:p>
        </w:tc>
        <w:tc>
          <w:tcPr>
            <w:tcW w:w="1407" w:type="dxa"/>
          </w:tcPr>
          <w:p>
            <w:pPr>
              <w:pStyle w:val="TableParagraph"/>
              <w:rPr>
                <w:rFonts w:ascii="Times New Roman"/>
                <w:sz w:val="22"/>
              </w:rPr>
            </w:pPr>
          </w:p>
        </w:tc>
        <w:tc>
          <w:tcPr>
            <w:tcW w:w="3123" w:type="dxa"/>
          </w:tcPr>
          <w:p>
            <w:pPr>
              <w:pStyle w:val="TableParagraph"/>
              <w:ind w:left="106" w:right="403"/>
              <w:rPr>
                <w:sz w:val="22"/>
              </w:rPr>
            </w:pPr>
            <w:r>
              <w:rPr>
                <w:sz w:val="22"/>
              </w:rPr>
              <w:t>overview, RCS Contracted Evaluators and RCS Investigators conduct client observations, client and collateral interviews, service provider and staff interviews and client record reviews to ensure service providers’ compliance.</w:t>
            </w:r>
          </w:p>
          <w:p>
            <w:pPr>
              <w:pStyle w:val="TableParagraph"/>
              <w:spacing w:before="11"/>
              <w:rPr>
                <w:b/>
                <w:sz w:val="21"/>
              </w:rPr>
            </w:pPr>
          </w:p>
          <w:p>
            <w:pPr>
              <w:pStyle w:val="TableParagraph"/>
              <w:ind w:left="106" w:right="161"/>
              <w:rPr>
                <w:sz w:val="22"/>
              </w:rPr>
            </w:pPr>
            <w:r>
              <w:rPr>
                <w:sz w:val="22"/>
              </w:rPr>
              <w:t>The DDA Residential Quality Assurance Unit is monitoring to </w:t>
            </w:r>
            <w:hyperlink r:id="rId28">
              <w:r>
                <w:rPr>
                  <w:color w:val="6B9F24"/>
                  <w:sz w:val="22"/>
                  <w:u w:val="single" w:color="6B9F24"/>
                </w:rPr>
                <w:t>WAC 388-101D-0140.</w:t>
              </w:r>
            </w:hyperlink>
          </w:p>
          <w:p>
            <w:pPr>
              <w:pStyle w:val="TableParagraph"/>
              <w:spacing w:before="1"/>
              <w:rPr>
                <w:b/>
                <w:sz w:val="22"/>
              </w:rPr>
            </w:pPr>
          </w:p>
          <w:p>
            <w:pPr>
              <w:pStyle w:val="TableParagraph"/>
              <w:ind w:left="106" w:right="263"/>
              <w:rPr>
                <w:sz w:val="22"/>
              </w:rPr>
            </w:pPr>
            <w:r>
              <w:rPr>
                <w:sz w:val="22"/>
              </w:rPr>
              <w:t>On-site inspections ensure homes meet all licensing and certification requirements in WAC and RCW, including WAC</w:t>
            </w:r>
          </w:p>
          <w:p>
            <w:pPr>
              <w:pStyle w:val="TableParagraph"/>
              <w:spacing w:line="248" w:lineRule="exact"/>
              <w:ind w:left="106"/>
              <w:rPr>
                <w:sz w:val="22"/>
              </w:rPr>
            </w:pPr>
            <w:r>
              <w:rPr>
                <w:sz w:val="22"/>
              </w:rPr>
              <w:t>388-823-1095.</w:t>
            </w:r>
          </w:p>
        </w:tc>
        <w:tc>
          <w:tcPr>
            <w:tcW w:w="2314" w:type="dxa"/>
          </w:tcPr>
          <w:p>
            <w:pPr>
              <w:pStyle w:val="TableParagraph"/>
              <w:ind w:left="105" w:right="85"/>
              <w:rPr>
                <w:sz w:val="22"/>
              </w:rPr>
            </w:pPr>
            <w:r>
              <w:rPr>
                <w:sz w:val="22"/>
              </w:rPr>
              <w:t>HCBS rules and adding language to the contracts requiring adherence to the WAC. See </w:t>
            </w:r>
            <w:r>
              <w:rPr>
                <w:color w:val="6B9F24"/>
                <w:sz w:val="22"/>
                <w:u w:val="single" w:color="6B9F24"/>
              </w:rPr>
              <w:t>Appendix C.</w:t>
            </w:r>
          </w:p>
        </w:tc>
      </w:tr>
      <w:tr>
        <w:trPr>
          <w:trHeight w:val="3493" w:hRule="atLeast"/>
        </w:trPr>
        <w:tc>
          <w:tcPr>
            <w:tcW w:w="3401" w:type="dxa"/>
            <w:shd w:val="clear" w:color="auto" w:fill="D0E4CA"/>
          </w:tcPr>
          <w:p>
            <w:pPr>
              <w:pStyle w:val="TableParagraph"/>
              <w:spacing w:before="5"/>
              <w:rPr>
                <w:b/>
                <w:sz w:val="16"/>
              </w:rPr>
            </w:pPr>
          </w:p>
          <w:p>
            <w:pPr>
              <w:pStyle w:val="TableParagraph"/>
              <w:ind w:left="107" w:right="283"/>
              <w:rPr>
                <w:i/>
                <w:sz w:val="22"/>
              </w:rPr>
            </w:pPr>
            <w:r>
              <w:rPr>
                <w:sz w:val="22"/>
              </w:rPr>
              <w:t>Privacy: Units have lockable entrance doors, with appropriate staff having keys to doors. </w:t>
            </w:r>
            <w:r>
              <w:rPr>
                <w:i/>
                <w:sz w:val="22"/>
              </w:rPr>
              <w:t>(Updated 1/15/16)</w:t>
            </w:r>
          </w:p>
        </w:tc>
        <w:tc>
          <w:tcPr>
            <w:tcW w:w="2698" w:type="dxa"/>
            <w:shd w:val="clear" w:color="auto" w:fill="D0E4CA"/>
          </w:tcPr>
          <w:p>
            <w:pPr>
              <w:pStyle w:val="TableParagraph"/>
              <w:rPr>
                <w:b/>
                <w:sz w:val="22"/>
              </w:rPr>
            </w:pPr>
          </w:p>
          <w:p>
            <w:pPr>
              <w:pStyle w:val="TableParagraph"/>
              <w:spacing w:before="11"/>
              <w:rPr>
                <w:b/>
                <w:sz w:val="21"/>
              </w:rPr>
            </w:pPr>
          </w:p>
          <w:p>
            <w:pPr>
              <w:pStyle w:val="TableParagraph"/>
              <w:ind w:left="107" w:right="398"/>
              <w:jc w:val="both"/>
              <w:rPr>
                <w:i/>
                <w:sz w:val="22"/>
              </w:rPr>
            </w:pPr>
            <w:r>
              <w:rPr>
                <w:sz w:val="22"/>
              </w:rPr>
              <w:t>Contracts were changed effective July 1, 2015 to reflect this requirement </w:t>
            </w:r>
            <w:r>
              <w:rPr>
                <w:i/>
                <w:sz w:val="22"/>
              </w:rPr>
              <w:t>(Updated 1/15/16).</w:t>
            </w:r>
          </w:p>
        </w:tc>
        <w:tc>
          <w:tcPr>
            <w:tcW w:w="1407" w:type="dxa"/>
            <w:shd w:val="clear" w:color="auto" w:fill="D0E4CA"/>
          </w:tcPr>
          <w:p>
            <w:pPr>
              <w:pStyle w:val="TableParagraph"/>
              <w:spacing w:before="1"/>
              <w:ind w:left="106" w:right="340"/>
              <w:rPr>
                <w:sz w:val="22"/>
              </w:rPr>
            </w:pPr>
            <w:r>
              <w:rPr>
                <w:sz w:val="22"/>
              </w:rPr>
              <w:t>Partially Compliant</w:t>
            </w:r>
          </w:p>
        </w:tc>
        <w:tc>
          <w:tcPr>
            <w:tcW w:w="3123" w:type="dxa"/>
            <w:shd w:val="clear" w:color="auto" w:fill="D0E4CA"/>
          </w:tcPr>
          <w:p>
            <w:pPr>
              <w:pStyle w:val="TableParagraph"/>
              <w:spacing w:before="1"/>
              <w:ind w:left="106" w:right="249"/>
              <w:rPr>
                <w:sz w:val="22"/>
              </w:rPr>
            </w:pPr>
            <w:r>
              <w:rPr>
                <w:sz w:val="22"/>
              </w:rPr>
              <w:t>As part of the certification and RCS complaint investigation process described in the overview, RCS Contracted Evaluators and RCS Investigators conduct client observations, client and collateral interviews, service provider and staff interviews and client record reviews to ensure service providers’ compliance.</w:t>
            </w:r>
          </w:p>
        </w:tc>
        <w:tc>
          <w:tcPr>
            <w:tcW w:w="2314" w:type="dxa"/>
            <w:shd w:val="clear" w:color="auto" w:fill="D0E4CA"/>
          </w:tcPr>
          <w:p>
            <w:pPr>
              <w:pStyle w:val="TableParagraph"/>
              <w:spacing w:before="1"/>
              <w:ind w:left="105" w:right="99"/>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p>
        </w:tc>
      </w:tr>
    </w:tbl>
    <w:p>
      <w:pPr>
        <w:pStyle w:val="BodyText"/>
        <w:rPr>
          <w:b/>
          <w:sz w:val="20"/>
        </w:rPr>
      </w:pPr>
    </w:p>
    <w:p>
      <w:pPr>
        <w:pStyle w:val="BodyText"/>
        <w:spacing w:before="7"/>
        <w:rPr>
          <w:b/>
          <w:sz w:val="23"/>
        </w:rPr>
      </w:pPr>
      <w:r>
        <w:rPr/>
        <w:pict>
          <v:shape style="position:absolute;margin-left:70.559998pt;margin-top:16.592468pt;width:650.9pt;height:.1pt;mso-position-horizontal-relative:page;mso-position-vertical-relative:paragraph;z-index:-251506688;mso-wrap-distance-left:0;mso-wrap-distance-right:0" coordorigin="1411,332" coordsize="13018,0" path="m1411,332l14429,332e" filled="false" stroked="true" strokeweight=".481pt" strokecolor="#d9d9d9">
            <v:path arrowok="t"/>
            <v:stroke dashstyle="solid"/>
            <w10:wrap type="topAndBottom"/>
          </v:shape>
        </w:pict>
      </w:r>
    </w:p>
    <w:p>
      <w:pPr>
        <w:spacing w:after="0"/>
        <w:rPr>
          <w:sz w:val="23"/>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01"/>
        <w:gridCol w:w="2698"/>
        <w:gridCol w:w="1407"/>
        <w:gridCol w:w="3123"/>
        <w:gridCol w:w="2314"/>
      </w:tblGrid>
      <w:tr>
        <w:trPr>
          <w:trHeight w:val="2418" w:hRule="atLeast"/>
        </w:trPr>
        <w:tc>
          <w:tcPr>
            <w:tcW w:w="3401" w:type="dxa"/>
            <w:shd w:val="clear" w:color="auto" w:fill="D0E4CA"/>
          </w:tcPr>
          <w:p>
            <w:pPr>
              <w:pStyle w:val="TableParagraph"/>
              <w:rPr>
                <w:rFonts w:ascii="Times New Roman"/>
                <w:sz w:val="22"/>
              </w:rPr>
            </w:pPr>
          </w:p>
        </w:tc>
        <w:tc>
          <w:tcPr>
            <w:tcW w:w="2698" w:type="dxa"/>
            <w:shd w:val="clear" w:color="auto" w:fill="D0E4CA"/>
          </w:tcPr>
          <w:p>
            <w:pPr>
              <w:pStyle w:val="TableParagraph"/>
              <w:rPr>
                <w:rFonts w:ascii="Times New Roman"/>
                <w:sz w:val="22"/>
              </w:rPr>
            </w:pPr>
          </w:p>
        </w:tc>
        <w:tc>
          <w:tcPr>
            <w:tcW w:w="1407" w:type="dxa"/>
            <w:shd w:val="clear" w:color="auto" w:fill="D0E4CA"/>
          </w:tcPr>
          <w:p>
            <w:pPr>
              <w:pStyle w:val="TableParagraph"/>
              <w:rPr>
                <w:rFonts w:ascii="Times New Roman"/>
                <w:sz w:val="22"/>
              </w:rPr>
            </w:pPr>
          </w:p>
        </w:tc>
        <w:tc>
          <w:tcPr>
            <w:tcW w:w="3123" w:type="dxa"/>
            <w:shd w:val="clear" w:color="auto" w:fill="D0E4CA"/>
          </w:tcPr>
          <w:p>
            <w:pPr>
              <w:pStyle w:val="TableParagraph"/>
              <w:ind w:left="106" w:right="161"/>
              <w:rPr>
                <w:sz w:val="22"/>
              </w:rPr>
            </w:pPr>
            <w:r>
              <w:rPr>
                <w:sz w:val="22"/>
              </w:rPr>
              <w:t>The DDA Residential Quality Assurance Unit is monitoring to </w:t>
            </w:r>
            <w:hyperlink r:id="rId28">
              <w:r>
                <w:rPr>
                  <w:color w:val="6B9F24"/>
                  <w:sz w:val="22"/>
                  <w:u w:val="single" w:color="6B9F24"/>
                </w:rPr>
                <w:t>WAC 388-101D-0140.</w:t>
              </w:r>
            </w:hyperlink>
          </w:p>
          <w:p>
            <w:pPr>
              <w:pStyle w:val="TableParagraph"/>
              <w:spacing w:before="12"/>
              <w:rPr>
                <w:b/>
                <w:sz w:val="21"/>
              </w:rPr>
            </w:pPr>
          </w:p>
          <w:p>
            <w:pPr>
              <w:pStyle w:val="TableParagraph"/>
              <w:ind w:left="106" w:right="263"/>
              <w:rPr>
                <w:sz w:val="22"/>
              </w:rPr>
            </w:pPr>
            <w:r>
              <w:rPr>
                <w:sz w:val="22"/>
              </w:rPr>
              <w:t>On-site inspections ensure homes meet all licensing and certification requirements in WAC and RCW, including WAC</w:t>
            </w:r>
          </w:p>
          <w:p>
            <w:pPr>
              <w:pStyle w:val="TableParagraph"/>
              <w:spacing w:line="250" w:lineRule="exact"/>
              <w:ind w:left="106"/>
              <w:rPr>
                <w:sz w:val="22"/>
              </w:rPr>
            </w:pPr>
            <w:r>
              <w:rPr>
                <w:sz w:val="22"/>
              </w:rPr>
              <w:t>388-823-1095.</w:t>
            </w:r>
          </w:p>
        </w:tc>
        <w:tc>
          <w:tcPr>
            <w:tcW w:w="2314" w:type="dxa"/>
            <w:shd w:val="clear" w:color="auto" w:fill="D0E4CA"/>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1"/>
        </w:rPr>
      </w:pPr>
      <w:r>
        <w:rPr/>
        <w:pict>
          <v:shape style="position:absolute;margin-left:70.559998pt;margin-top:9.049656pt;width:650.9pt;height:.1pt;mso-position-horizontal-relative:page;mso-position-vertical-relative:paragraph;z-index:-251505664;mso-wrap-distance-left:0;mso-wrap-distance-right:0" coordorigin="1411,181" coordsize="13018,0" path="m1411,181l14429,181e" filled="false" stroked="true" strokeweight=".481pt" strokecolor="#d9d9d9">
            <v:path arrowok="t"/>
            <v:stroke dashstyle="solid"/>
            <w10:wrap type="topAndBottom"/>
          </v:shape>
        </w:pict>
      </w:r>
    </w:p>
    <w:p>
      <w:pPr>
        <w:spacing w:after="0"/>
        <w:rPr>
          <w:sz w:val="11"/>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17" w:right="2957" w:firstLine="0"/>
        <w:jc w:val="center"/>
        <w:rPr>
          <w:b/>
          <w:sz w:val="28"/>
        </w:rPr>
      </w:pPr>
      <w:bookmarkStart w:name="DDA Companion Homes" w:id="81"/>
      <w:bookmarkEnd w:id="81"/>
      <w:r>
        <w:rPr/>
      </w:r>
      <w:bookmarkStart w:name="_bookmark37" w:id="82"/>
      <w:bookmarkEnd w:id="82"/>
      <w:r>
        <w:rPr/>
      </w:r>
      <w:r>
        <w:rPr>
          <w:b/>
          <w:sz w:val="28"/>
        </w:rPr>
        <w:t>DDA Companion Homes</w:t>
      </w:r>
    </w:p>
    <w:p>
      <w:pPr>
        <w:pStyle w:val="BodyText"/>
        <w:spacing w:before="10"/>
        <w:rPr>
          <w:b/>
          <w:sz w:val="26"/>
        </w:rPr>
      </w:pPr>
    </w:p>
    <w:p>
      <w:pPr>
        <w:pStyle w:val="BodyText"/>
        <w:ind w:left="1059" w:right="1307"/>
      </w:pPr>
      <w:r>
        <w:rPr/>
        <w:t>Setting Description: A companion home is a DDA residential service offered in the provider’s home to no more than one client. Clients receive twenty-four hour instruction and support services which are provided by an independent contractor.</w:t>
      </w:r>
    </w:p>
    <w:p>
      <w:pPr>
        <w:pStyle w:val="BodyText"/>
      </w:pPr>
    </w:p>
    <w:p>
      <w:pPr>
        <w:pStyle w:val="BodyText"/>
        <w:spacing w:before="161"/>
        <w:ind w:left="1059"/>
      </w:pPr>
      <w:r>
        <w:rPr/>
        <w:t>Number of Individuals served in Companion Homes: 68</w:t>
      </w:r>
    </w:p>
    <w:p>
      <w:pPr>
        <w:spacing w:before="162" w:after="43"/>
        <w:ind w:left="2915" w:right="2957" w:firstLine="0"/>
        <w:jc w:val="center"/>
        <w:rPr>
          <w:b/>
          <w:sz w:val="24"/>
        </w:rPr>
      </w:pPr>
      <w:r>
        <w:rPr>
          <w:b/>
          <w:sz w:val="24"/>
        </w:rPr>
        <w:t>Characteristics/Requirements Met</w:t>
      </w: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78"/>
        <w:gridCol w:w="2760"/>
        <w:gridCol w:w="1411"/>
        <w:gridCol w:w="2765"/>
        <w:gridCol w:w="2527"/>
      </w:tblGrid>
      <w:tr>
        <w:trPr>
          <w:trHeight w:val="584" w:hRule="atLeast"/>
        </w:trPr>
        <w:tc>
          <w:tcPr>
            <w:tcW w:w="3478" w:type="dxa"/>
            <w:tcBorders>
              <w:bottom w:val="single" w:sz="18" w:space="0" w:color="4E8542"/>
            </w:tcBorders>
          </w:tcPr>
          <w:p>
            <w:pPr>
              <w:pStyle w:val="TableParagraph"/>
              <w:spacing w:line="292" w:lineRule="exact"/>
              <w:ind w:left="254"/>
              <w:rPr>
                <w:b/>
                <w:sz w:val="24"/>
              </w:rPr>
            </w:pPr>
            <w:r>
              <w:rPr>
                <w:b/>
                <w:sz w:val="24"/>
              </w:rPr>
              <w:t>Characteristics/Requirements</w:t>
            </w:r>
          </w:p>
        </w:tc>
        <w:tc>
          <w:tcPr>
            <w:tcW w:w="2760" w:type="dxa"/>
            <w:tcBorders>
              <w:bottom w:val="single" w:sz="18" w:space="0" w:color="4E8542"/>
            </w:tcBorders>
          </w:tcPr>
          <w:p>
            <w:pPr>
              <w:pStyle w:val="TableParagraph"/>
              <w:spacing w:line="292" w:lineRule="exact"/>
              <w:ind w:left="481"/>
              <w:rPr>
                <w:b/>
                <w:sz w:val="24"/>
              </w:rPr>
            </w:pPr>
            <w:r>
              <w:rPr>
                <w:b/>
                <w:sz w:val="24"/>
              </w:rPr>
              <w:t>Companion Home</w:t>
            </w:r>
          </w:p>
          <w:p>
            <w:pPr>
              <w:pStyle w:val="TableParagraph"/>
              <w:spacing w:line="272" w:lineRule="exact"/>
              <w:ind w:left="563"/>
              <w:rPr>
                <w:b/>
                <w:sz w:val="24"/>
              </w:rPr>
            </w:pPr>
            <w:r>
              <w:rPr>
                <w:b/>
                <w:sz w:val="24"/>
              </w:rPr>
              <w:t>State Evaluation</w:t>
            </w:r>
          </w:p>
        </w:tc>
        <w:tc>
          <w:tcPr>
            <w:tcW w:w="1411" w:type="dxa"/>
            <w:tcBorders>
              <w:bottom w:val="single" w:sz="18" w:space="0" w:color="4E8542"/>
            </w:tcBorders>
          </w:tcPr>
          <w:p>
            <w:pPr>
              <w:pStyle w:val="TableParagraph"/>
              <w:spacing w:line="292" w:lineRule="exact"/>
              <w:ind w:left="100" w:right="84"/>
              <w:jc w:val="center"/>
              <w:rPr>
                <w:b/>
                <w:sz w:val="24"/>
              </w:rPr>
            </w:pPr>
            <w:r>
              <w:rPr>
                <w:b/>
                <w:sz w:val="24"/>
              </w:rPr>
              <w:t>Compliance</w:t>
            </w:r>
          </w:p>
          <w:p>
            <w:pPr>
              <w:pStyle w:val="TableParagraph"/>
              <w:spacing w:line="272" w:lineRule="exact"/>
              <w:ind w:left="96" w:right="84"/>
              <w:jc w:val="center"/>
              <w:rPr>
                <w:b/>
                <w:sz w:val="24"/>
              </w:rPr>
            </w:pPr>
            <w:r>
              <w:rPr>
                <w:b/>
                <w:sz w:val="24"/>
              </w:rPr>
              <w:t>Level</w:t>
            </w:r>
          </w:p>
        </w:tc>
        <w:tc>
          <w:tcPr>
            <w:tcW w:w="2765" w:type="dxa"/>
            <w:tcBorders>
              <w:bottom w:val="single" w:sz="18" w:space="0" w:color="4E8542"/>
            </w:tcBorders>
          </w:tcPr>
          <w:p>
            <w:pPr>
              <w:pStyle w:val="TableParagraph"/>
              <w:spacing w:line="292" w:lineRule="exact"/>
              <w:ind w:left="496"/>
              <w:rPr>
                <w:b/>
                <w:sz w:val="24"/>
              </w:rPr>
            </w:pPr>
            <w:r>
              <w:rPr>
                <w:b/>
                <w:sz w:val="24"/>
              </w:rPr>
              <w:t>Oversight Process</w:t>
            </w:r>
          </w:p>
        </w:tc>
        <w:tc>
          <w:tcPr>
            <w:tcW w:w="2527" w:type="dxa"/>
            <w:tcBorders>
              <w:bottom w:val="single" w:sz="18" w:space="0" w:color="4E8542"/>
            </w:tcBorders>
          </w:tcPr>
          <w:p>
            <w:pPr>
              <w:pStyle w:val="TableParagraph"/>
              <w:spacing w:line="292" w:lineRule="exact"/>
              <w:ind w:left="623"/>
              <w:rPr>
                <w:b/>
                <w:sz w:val="24"/>
              </w:rPr>
            </w:pPr>
            <w:r>
              <w:rPr>
                <w:b/>
                <w:sz w:val="24"/>
              </w:rPr>
              <w:t>Remediation</w:t>
            </w:r>
          </w:p>
        </w:tc>
      </w:tr>
      <w:tr>
        <w:trPr>
          <w:trHeight w:val="5909" w:hRule="atLeast"/>
        </w:trPr>
        <w:tc>
          <w:tcPr>
            <w:tcW w:w="3478" w:type="dxa"/>
            <w:tcBorders>
              <w:top w:val="single" w:sz="18" w:space="0" w:color="4E8542"/>
            </w:tcBorders>
            <w:shd w:val="clear" w:color="auto" w:fill="D0E4CA"/>
          </w:tcPr>
          <w:p>
            <w:pPr>
              <w:pStyle w:val="TableParagraph"/>
              <w:spacing w:before="1"/>
              <w:ind w:left="107" w:right="100"/>
              <w:rPr>
                <w:b/>
                <w:sz w:val="22"/>
              </w:rPr>
            </w:pPr>
            <w:r>
              <w:rPr>
                <w:b/>
                <w:sz w:val="22"/>
              </w:rPr>
              <w:t>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 degree of access as individuals not receiving Medicaid HCBS.</w:t>
            </w:r>
          </w:p>
        </w:tc>
        <w:tc>
          <w:tcPr>
            <w:tcW w:w="2760" w:type="dxa"/>
            <w:tcBorders>
              <w:top w:val="single" w:sz="18" w:space="0" w:color="4E8542"/>
            </w:tcBorders>
            <w:shd w:val="clear" w:color="auto" w:fill="D0E4CA"/>
          </w:tcPr>
          <w:p>
            <w:pPr>
              <w:pStyle w:val="TableParagraph"/>
              <w:spacing w:before="1"/>
              <w:ind w:left="107"/>
              <w:rPr>
                <w:sz w:val="22"/>
              </w:rPr>
            </w:pPr>
            <w:hyperlink r:id="rId123">
              <w:r>
                <w:rPr>
                  <w:color w:val="6B9F24"/>
                  <w:sz w:val="22"/>
                  <w:u w:val="single" w:color="6B9F24"/>
                </w:rPr>
                <w:t>WAC 388-829C-020</w:t>
              </w:r>
            </w:hyperlink>
            <w:r>
              <w:rPr>
                <w:sz w:val="22"/>
              </w:rPr>
              <w:t>: A</w:t>
            </w:r>
          </w:p>
          <w:p>
            <w:pPr>
              <w:pStyle w:val="TableParagraph"/>
              <w:ind w:left="107" w:right="193"/>
              <w:rPr>
                <w:sz w:val="22"/>
              </w:rPr>
            </w:pPr>
            <w:r>
              <w:rPr>
                <w:sz w:val="22"/>
              </w:rPr>
              <w:t>companion home is a DDA residential service offered in the provider’s home to no more than one client. Companion home residential services provide twenty-four hour instruction and support services. Companion home residential services are based on the client’s ISP. </w:t>
            </w:r>
            <w:hyperlink r:id="rId124">
              <w:r>
                <w:rPr>
                  <w:color w:val="6B9F24"/>
                  <w:sz w:val="22"/>
                  <w:u w:val="single" w:color="6B9F24"/>
                </w:rPr>
                <w:t>WAC 388-829C-090</w:t>
              </w:r>
            </w:hyperlink>
            <w:r>
              <w:rPr>
                <w:color w:val="6B9F24"/>
                <w:sz w:val="22"/>
              </w:rPr>
              <w:t> </w:t>
            </w:r>
            <w:r>
              <w:rPr>
                <w:sz w:val="22"/>
              </w:rPr>
              <w:t>The</w:t>
            </w:r>
          </w:p>
          <w:p>
            <w:pPr>
              <w:pStyle w:val="TableParagraph"/>
              <w:ind w:left="107" w:right="127"/>
              <w:rPr>
                <w:sz w:val="22"/>
              </w:rPr>
            </w:pPr>
            <w:r>
              <w:rPr>
                <w:sz w:val="22"/>
              </w:rPr>
              <w:t>companion home provider must focus on the following values when implementing the ISP: health and safety; personal power and choice; competence and self- reliance; positive recognition by self and</w:t>
            </w:r>
          </w:p>
          <w:p>
            <w:pPr>
              <w:pStyle w:val="TableParagraph"/>
              <w:spacing w:line="249" w:lineRule="exact"/>
              <w:ind w:left="107"/>
              <w:rPr>
                <w:sz w:val="22"/>
              </w:rPr>
            </w:pPr>
            <w:r>
              <w:rPr>
                <w:sz w:val="22"/>
              </w:rPr>
              <w:t>others; positive</w:t>
            </w:r>
          </w:p>
        </w:tc>
        <w:tc>
          <w:tcPr>
            <w:tcW w:w="1411" w:type="dxa"/>
            <w:tcBorders>
              <w:top w:val="single" w:sz="18" w:space="0" w:color="4E8542"/>
            </w:tcBorders>
            <w:shd w:val="clear" w:color="auto" w:fill="D0E4CA"/>
          </w:tcPr>
          <w:p>
            <w:pPr>
              <w:pStyle w:val="TableParagraph"/>
              <w:spacing w:before="1"/>
              <w:ind w:left="107" w:right="343"/>
              <w:rPr>
                <w:sz w:val="22"/>
              </w:rPr>
            </w:pPr>
            <w:r>
              <w:rPr>
                <w:sz w:val="22"/>
              </w:rPr>
              <w:t>Fully Compliant</w:t>
            </w:r>
          </w:p>
        </w:tc>
        <w:tc>
          <w:tcPr>
            <w:tcW w:w="2765" w:type="dxa"/>
            <w:tcBorders>
              <w:top w:val="single" w:sz="18" w:space="0" w:color="4E8542"/>
            </w:tcBorders>
            <w:shd w:val="clear" w:color="auto" w:fill="D0E4CA"/>
          </w:tcPr>
          <w:p>
            <w:pPr>
              <w:pStyle w:val="TableParagraph"/>
              <w:spacing w:before="1"/>
              <w:ind w:left="107" w:right="219"/>
              <w:rPr>
                <w:sz w:val="22"/>
              </w:rPr>
            </w:pPr>
            <w:r>
              <w:rPr>
                <w:sz w:val="22"/>
              </w:rPr>
              <w:t>Annual evaluation process conducted by DDA- contracted evaluators who review and evaluate compliance with WAC and companion home contract using a companion home evaluation tool.</w:t>
            </w:r>
          </w:p>
          <w:p>
            <w:pPr>
              <w:pStyle w:val="TableParagraph"/>
              <w:spacing w:before="11"/>
              <w:rPr>
                <w:b/>
                <w:sz w:val="21"/>
              </w:rPr>
            </w:pPr>
          </w:p>
          <w:p>
            <w:pPr>
              <w:pStyle w:val="TableParagraph"/>
              <w:spacing w:before="1"/>
              <w:ind w:left="107" w:right="260"/>
              <w:rPr>
                <w:sz w:val="22"/>
              </w:rPr>
            </w:pPr>
            <w:r>
              <w:rPr>
                <w:sz w:val="22"/>
              </w:rPr>
              <w:t>On-site inspections ensure homes meet all licensing and certification requirements in WAC and RCW, including WAC 388- 823-1095.</w:t>
            </w:r>
          </w:p>
        </w:tc>
        <w:tc>
          <w:tcPr>
            <w:tcW w:w="2527" w:type="dxa"/>
            <w:tcBorders>
              <w:top w:val="single" w:sz="18" w:space="0" w:color="4E8542"/>
            </w:tcBorders>
            <w:shd w:val="clear" w:color="auto" w:fill="D0E4CA"/>
          </w:tcPr>
          <w:p>
            <w:pPr>
              <w:pStyle w:val="TableParagraph"/>
              <w:spacing w:before="1"/>
              <w:ind w:left="107" w:right="18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spacing w:before="7"/>
        <w:rPr>
          <w:b/>
          <w:sz w:val="16"/>
        </w:rPr>
      </w:pPr>
      <w:r>
        <w:rPr/>
        <w:pict>
          <v:shape style="position:absolute;margin-left:70.559998pt;margin-top:12.3595pt;width:650.9pt;height:.1pt;mso-position-horizontal-relative:page;mso-position-vertical-relative:paragraph;z-index:-251504640;mso-wrap-distance-left:0;mso-wrap-distance-right:0" coordorigin="1411,247" coordsize="13018,0" path="m1411,247l14429,247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78"/>
        <w:gridCol w:w="2760"/>
        <w:gridCol w:w="1411"/>
        <w:gridCol w:w="2765"/>
        <w:gridCol w:w="2527"/>
      </w:tblGrid>
      <w:tr>
        <w:trPr>
          <w:trHeight w:val="584" w:hRule="atLeast"/>
        </w:trPr>
        <w:tc>
          <w:tcPr>
            <w:tcW w:w="3478" w:type="dxa"/>
            <w:tcBorders>
              <w:bottom w:val="single" w:sz="18" w:space="0" w:color="4E8542"/>
            </w:tcBorders>
          </w:tcPr>
          <w:p>
            <w:pPr>
              <w:pStyle w:val="TableParagraph"/>
              <w:spacing w:line="292" w:lineRule="exact"/>
              <w:ind w:left="254"/>
              <w:rPr>
                <w:b/>
                <w:sz w:val="24"/>
              </w:rPr>
            </w:pPr>
            <w:r>
              <w:rPr>
                <w:b/>
                <w:sz w:val="24"/>
              </w:rPr>
              <w:t>Characteristics/Requirements</w:t>
            </w:r>
          </w:p>
        </w:tc>
        <w:tc>
          <w:tcPr>
            <w:tcW w:w="2760" w:type="dxa"/>
            <w:tcBorders>
              <w:bottom w:val="single" w:sz="18" w:space="0" w:color="4E8542"/>
            </w:tcBorders>
          </w:tcPr>
          <w:p>
            <w:pPr>
              <w:pStyle w:val="TableParagraph"/>
              <w:spacing w:line="292" w:lineRule="exact"/>
              <w:ind w:left="481"/>
              <w:rPr>
                <w:b/>
                <w:sz w:val="24"/>
              </w:rPr>
            </w:pPr>
            <w:r>
              <w:rPr>
                <w:b/>
                <w:sz w:val="24"/>
              </w:rPr>
              <w:t>Companion Home</w:t>
            </w:r>
          </w:p>
          <w:p>
            <w:pPr>
              <w:pStyle w:val="TableParagraph"/>
              <w:spacing w:line="272" w:lineRule="exact"/>
              <w:ind w:left="563"/>
              <w:rPr>
                <w:b/>
                <w:sz w:val="24"/>
              </w:rPr>
            </w:pPr>
            <w:r>
              <w:rPr>
                <w:b/>
                <w:sz w:val="24"/>
              </w:rPr>
              <w:t>State Evaluation</w:t>
            </w:r>
          </w:p>
        </w:tc>
        <w:tc>
          <w:tcPr>
            <w:tcW w:w="1411" w:type="dxa"/>
            <w:tcBorders>
              <w:bottom w:val="single" w:sz="18" w:space="0" w:color="4E8542"/>
            </w:tcBorders>
          </w:tcPr>
          <w:p>
            <w:pPr>
              <w:pStyle w:val="TableParagraph"/>
              <w:spacing w:line="292" w:lineRule="exact"/>
              <w:ind w:left="100" w:right="84"/>
              <w:jc w:val="center"/>
              <w:rPr>
                <w:b/>
                <w:sz w:val="24"/>
              </w:rPr>
            </w:pPr>
            <w:r>
              <w:rPr>
                <w:b/>
                <w:sz w:val="24"/>
              </w:rPr>
              <w:t>Compliance</w:t>
            </w:r>
          </w:p>
          <w:p>
            <w:pPr>
              <w:pStyle w:val="TableParagraph"/>
              <w:spacing w:line="272" w:lineRule="exact"/>
              <w:ind w:left="96" w:right="84"/>
              <w:jc w:val="center"/>
              <w:rPr>
                <w:b/>
                <w:sz w:val="24"/>
              </w:rPr>
            </w:pPr>
            <w:r>
              <w:rPr>
                <w:b/>
                <w:sz w:val="24"/>
              </w:rPr>
              <w:t>Level</w:t>
            </w:r>
          </w:p>
        </w:tc>
        <w:tc>
          <w:tcPr>
            <w:tcW w:w="2765" w:type="dxa"/>
            <w:tcBorders>
              <w:bottom w:val="single" w:sz="18" w:space="0" w:color="4E8542"/>
            </w:tcBorders>
          </w:tcPr>
          <w:p>
            <w:pPr>
              <w:pStyle w:val="TableParagraph"/>
              <w:spacing w:line="292" w:lineRule="exact"/>
              <w:ind w:left="496"/>
              <w:rPr>
                <w:b/>
                <w:sz w:val="24"/>
              </w:rPr>
            </w:pPr>
            <w:r>
              <w:rPr>
                <w:b/>
                <w:sz w:val="24"/>
              </w:rPr>
              <w:t>Oversight Process</w:t>
            </w:r>
          </w:p>
        </w:tc>
        <w:tc>
          <w:tcPr>
            <w:tcW w:w="2527" w:type="dxa"/>
            <w:tcBorders>
              <w:bottom w:val="single" w:sz="18" w:space="0" w:color="4E8542"/>
            </w:tcBorders>
          </w:tcPr>
          <w:p>
            <w:pPr>
              <w:pStyle w:val="TableParagraph"/>
              <w:spacing w:line="292" w:lineRule="exact"/>
              <w:ind w:left="623"/>
              <w:rPr>
                <w:b/>
                <w:sz w:val="24"/>
              </w:rPr>
            </w:pPr>
            <w:r>
              <w:rPr>
                <w:b/>
                <w:sz w:val="24"/>
              </w:rPr>
              <w:t>Remediation</w:t>
            </w:r>
          </w:p>
        </w:tc>
      </w:tr>
      <w:tr>
        <w:trPr>
          <w:trHeight w:val="3200" w:hRule="atLeast"/>
        </w:trPr>
        <w:tc>
          <w:tcPr>
            <w:tcW w:w="3478" w:type="dxa"/>
            <w:tcBorders>
              <w:top w:val="single" w:sz="18" w:space="0" w:color="4E8542"/>
            </w:tcBorders>
            <w:shd w:val="clear" w:color="auto" w:fill="D0E4CA"/>
          </w:tcPr>
          <w:p>
            <w:pPr>
              <w:pStyle w:val="TableParagraph"/>
              <w:rPr>
                <w:rFonts w:ascii="Times New Roman"/>
                <w:sz w:val="22"/>
              </w:rPr>
            </w:pPr>
          </w:p>
        </w:tc>
        <w:tc>
          <w:tcPr>
            <w:tcW w:w="2760" w:type="dxa"/>
            <w:tcBorders>
              <w:top w:val="single" w:sz="18" w:space="0" w:color="4E8542"/>
            </w:tcBorders>
            <w:shd w:val="clear" w:color="auto" w:fill="D0E4CA"/>
          </w:tcPr>
          <w:p>
            <w:pPr>
              <w:pStyle w:val="TableParagraph"/>
              <w:spacing w:line="245" w:lineRule="exact"/>
              <w:ind w:left="107"/>
              <w:rPr>
                <w:sz w:val="22"/>
              </w:rPr>
            </w:pPr>
            <w:r>
              <w:rPr>
                <w:sz w:val="22"/>
              </w:rPr>
              <w:t>relationships; and</w:t>
            </w:r>
          </w:p>
          <w:p>
            <w:pPr>
              <w:pStyle w:val="TableParagraph"/>
              <w:ind w:left="107" w:right="292"/>
              <w:rPr>
                <w:sz w:val="22"/>
              </w:rPr>
            </w:pPr>
            <w:r>
              <w:rPr>
                <w:sz w:val="22"/>
              </w:rPr>
              <w:t>integration in the physical and social life of the community.</w:t>
            </w:r>
          </w:p>
          <w:p>
            <w:pPr>
              <w:pStyle w:val="TableParagraph"/>
              <w:spacing w:before="9"/>
              <w:rPr>
                <w:b/>
                <w:sz w:val="21"/>
              </w:rPr>
            </w:pPr>
          </w:p>
          <w:p>
            <w:pPr>
              <w:pStyle w:val="TableParagraph"/>
              <w:spacing w:line="270" w:lineRule="atLeast"/>
              <w:ind w:left="107" w:right="119"/>
              <w:rPr>
                <w:sz w:val="22"/>
              </w:rPr>
            </w:pPr>
            <w:r>
              <w:rPr>
                <w:sz w:val="22"/>
              </w:rPr>
              <w:t>The State has completed a review of state statutes and regulations regarding companion homes and determined that those laws are in alignment with the HCBS setting requirements.</w:t>
            </w:r>
          </w:p>
        </w:tc>
        <w:tc>
          <w:tcPr>
            <w:tcW w:w="1411" w:type="dxa"/>
            <w:tcBorders>
              <w:top w:val="single" w:sz="18" w:space="0" w:color="4E8542"/>
            </w:tcBorders>
            <w:shd w:val="clear" w:color="auto" w:fill="D0E4CA"/>
          </w:tcPr>
          <w:p>
            <w:pPr>
              <w:pStyle w:val="TableParagraph"/>
              <w:rPr>
                <w:rFonts w:ascii="Times New Roman"/>
                <w:sz w:val="22"/>
              </w:rPr>
            </w:pPr>
          </w:p>
        </w:tc>
        <w:tc>
          <w:tcPr>
            <w:tcW w:w="2765" w:type="dxa"/>
            <w:tcBorders>
              <w:top w:val="single" w:sz="18" w:space="0" w:color="4E8542"/>
            </w:tcBorders>
            <w:shd w:val="clear" w:color="auto" w:fill="D0E4CA"/>
          </w:tcPr>
          <w:p>
            <w:pPr>
              <w:pStyle w:val="TableParagraph"/>
              <w:rPr>
                <w:rFonts w:ascii="Times New Roman"/>
                <w:sz w:val="22"/>
              </w:rPr>
            </w:pPr>
          </w:p>
        </w:tc>
        <w:tc>
          <w:tcPr>
            <w:tcW w:w="2527" w:type="dxa"/>
            <w:tcBorders>
              <w:top w:val="single" w:sz="18" w:space="0" w:color="4E8542"/>
            </w:tcBorders>
            <w:shd w:val="clear" w:color="auto" w:fill="D0E4CA"/>
          </w:tcPr>
          <w:p>
            <w:pPr>
              <w:pStyle w:val="TableParagraph"/>
              <w:rPr>
                <w:rFonts w:ascii="Times New Roman"/>
                <w:sz w:val="22"/>
              </w:rPr>
            </w:pPr>
          </w:p>
        </w:tc>
      </w:tr>
      <w:tr>
        <w:trPr>
          <w:trHeight w:val="4020" w:hRule="atLeast"/>
        </w:trPr>
        <w:tc>
          <w:tcPr>
            <w:tcW w:w="3478" w:type="dxa"/>
          </w:tcPr>
          <w:p>
            <w:pPr>
              <w:pStyle w:val="TableParagraph"/>
              <w:ind w:left="107" w:right="101"/>
              <w:rPr>
                <w:b/>
                <w:sz w:val="22"/>
              </w:rPr>
            </w:pPr>
            <w:r>
              <w:rPr>
                <w:b/>
                <w:sz w:val="22"/>
              </w:rPr>
              <w:t>The setting is selected by the Individual from among setting options including non-disability specific settings and an option for a private unit in a residential setting. The setting options are identified and documented in the person- centered service plan and are based on the individual’s needs, preferences, and, for residential settings, the resources available for room and</w:t>
            </w:r>
            <w:r>
              <w:rPr>
                <w:b/>
                <w:spacing w:val="-2"/>
                <w:sz w:val="22"/>
              </w:rPr>
              <w:t> </w:t>
            </w:r>
            <w:r>
              <w:rPr>
                <w:b/>
                <w:sz w:val="22"/>
              </w:rPr>
              <w:t>board.</w:t>
            </w:r>
          </w:p>
        </w:tc>
        <w:tc>
          <w:tcPr>
            <w:tcW w:w="2760" w:type="dxa"/>
          </w:tcPr>
          <w:p>
            <w:pPr>
              <w:pStyle w:val="TableParagraph"/>
              <w:spacing w:line="261" w:lineRule="exact"/>
              <w:ind w:left="107"/>
              <w:rPr>
                <w:sz w:val="22"/>
              </w:rPr>
            </w:pPr>
            <w:hyperlink r:id="rId23">
              <w:r>
                <w:rPr>
                  <w:color w:val="6B9F24"/>
                  <w:sz w:val="22"/>
                  <w:u w:val="single" w:color="6B9F24"/>
                </w:rPr>
                <w:t>WAC 388-823-1095</w:t>
              </w:r>
              <w:r>
                <w:rPr>
                  <w:color w:val="6B9F24"/>
                  <w:sz w:val="22"/>
                </w:rPr>
                <w:t> </w:t>
              </w:r>
            </w:hyperlink>
            <w:r>
              <w:rPr>
                <w:sz w:val="22"/>
              </w:rPr>
              <w:t>My</w:t>
            </w:r>
          </w:p>
          <w:p>
            <w:pPr>
              <w:pStyle w:val="TableParagraph"/>
              <w:ind w:left="107"/>
              <w:rPr>
                <w:sz w:val="22"/>
              </w:rPr>
            </w:pPr>
            <w:r>
              <w:rPr>
                <w:sz w:val="22"/>
              </w:rPr>
              <w:t>rights as a DDA client.</w:t>
            </w:r>
          </w:p>
          <w:p>
            <w:pPr>
              <w:pStyle w:val="TableParagraph"/>
              <w:rPr>
                <w:b/>
                <w:sz w:val="22"/>
              </w:rPr>
            </w:pPr>
          </w:p>
          <w:p>
            <w:pPr>
              <w:pStyle w:val="TableParagraph"/>
              <w:ind w:left="107" w:right="105"/>
              <w:rPr>
                <w:sz w:val="22"/>
              </w:rPr>
            </w:pPr>
            <w:r>
              <w:rPr>
                <w:sz w:val="22"/>
              </w:rPr>
              <w:t>During the assessment process, it is the case manager’s responsibility to inform individuals of their options regarding settings and providers. Participants report via the Assessment Meeting Wrap–up and the Assessment Meeting Survey that they are informed of their options</w:t>
            </w:r>
            <w:r>
              <w:rPr>
                <w:spacing w:val="-2"/>
                <w:sz w:val="22"/>
              </w:rPr>
              <w:t> </w:t>
            </w:r>
            <w:r>
              <w:rPr>
                <w:sz w:val="22"/>
              </w:rPr>
              <w:t>regarding</w:t>
            </w:r>
          </w:p>
          <w:p>
            <w:pPr>
              <w:pStyle w:val="TableParagraph"/>
              <w:spacing w:line="247" w:lineRule="exact"/>
              <w:ind w:left="107"/>
              <w:rPr>
                <w:sz w:val="22"/>
              </w:rPr>
            </w:pPr>
            <w:r>
              <w:rPr>
                <w:sz w:val="22"/>
              </w:rPr>
              <w:t>services and</w:t>
            </w:r>
            <w:r>
              <w:rPr>
                <w:spacing w:val="-8"/>
                <w:sz w:val="22"/>
              </w:rPr>
              <w:t> </w:t>
            </w:r>
            <w:r>
              <w:rPr>
                <w:sz w:val="22"/>
              </w:rPr>
              <w:t>providers.</w:t>
            </w:r>
          </w:p>
        </w:tc>
        <w:tc>
          <w:tcPr>
            <w:tcW w:w="1411" w:type="dxa"/>
          </w:tcPr>
          <w:p>
            <w:pPr>
              <w:pStyle w:val="TableParagraph"/>
              <w:ind w:left="107" w:right="343"/>
              <w:rPr>
                <w:sz w:val="22"/>
              </w:rPr>
            </w:pPr>
            <w:r>
              <w:rPr>
                <w:sz w:val="22"/>
              </w:rPr>
              <w:t>Partially Compliant</w:t>
            </w:r>
          </w:p>
        </w:tc>
        <w:tc>
          <w:tcPr>
            <w:tcW w:w="2765" w:type="dxa"/>
          </w:tcPr>
          <w:p>
            <w:pPr>
              <w:pStyle w:val="TableParagraph"/>
              <w:ind w:left="107" w:right="219"/>
              <w:rPr>
                <w:sz w:val="22"/>
              </w:rPr>
            </w:pPr>
            <w:r>
              <w:rPr>
                <w:sz w:val="22"/>
              </w:rPr>
              <w:t>Annual evaluation process conducted by DDA - contracted evaluators who review and evaluate compliance with WAC and companion home contract using a companion home evaluation tool.</w:t>
            </w:r>
          </w:p>
          <w:p>
            <w:pPr>
              <w:pStyle w:val="TableParagraph"/>
              <w:spacing w:before="4"/>
              <w:rPr>
                <w:b/>
                <w:sz w:val="21"/>
              </w:rPr>
            </w:pPr>
          </w:p>
          <w:p>
            <w:pPr>
              <w:pStyle w:val="TableParagraph"/>
              <w:spacing w:before="1"/>
              <w:ind w:left="107" w:right="245"/>
              <w:rPr>
                <w:sz w:val="22"/>
              </w:rPr>
            </w:pPr>
            <w:r>
              <w:rPr>
                <w:sz w:val="22"/>
              </w:rPr>
              <w:t>On-site inspections ensure homes meet all licensing and certification requirements in WAC and RCW, including WAC 388-</w:t>
            </w:r>
          </w:p>
          <w:p>
            <w:pPr>
              <w:pStyle w:val="TableParagraph"/>
              <w:spacing w:line="248" w:lineRule="exact"/>
              <w:ind w:left="107"/>
              <w:rPr>
                <w:sz w:val="22"/>
              </w:rPr>
            </w:pPr>
            <w:r>
              <w:rPr>
                <w:sz w:val="22"/>
              </w:rPr>
              <w:t>823-1095.</w:t>
            </w:r>
          </w:p>
        </w:tc>
        <w:tc>
          <w:tcPr>
            <w:tcW w:w="2527" w:type="dxa"/>
          </w:tcPr>
          <w:p>
            <w:pPr>
              <w:pStyle w:val="TableParagraph"/>
              <w:ind w:left="107" w:right="18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p>
        </w:tc>
      </w:tr>
      <w:tr>
        <w:trPr>
          <w:trHeight w:val="1076" w:hRule="atLeast"/>
        </w:trPr>
        <w:tc>
          <w:tcPr>
            <w:tcW w:w="3478" w:type="dxa"/>
            <w:shd w:val="clear" w:color="auto" w:fill="D0E4CA"/>
          </w:tcPr>
          <w:p>
            <w:pPr>
              <w:pStyle w:val="TableParagraph"/>
              <w:spacing w:before="1"/>
              <w:ind w:left="107" w:right="283"/>
              <w:rPr>
                <w:b/>
                <w:sz w:val="22"/>
              </w:rPr>
            </w:pPr>
            <w:r>
              <w:rPr>
                <w:b/>
                <w:sz w:val="22"/>
              </w:rPr>
              <w:t>An individual’s essential personal rights of privacy, dignity and respect, and freedom from</w:t>
            </w:r>
          </w:p>
        </w:tc>
        <w:tc>
          <w:tcPr>
            <w:tcW w:w="2760" w:type="dxa"/>
            <w:shd w:val="clear" w:color="auto" w:fill="D0E4CA"/>
          </w:tcPr>
          <w:p>
            <w:pPr>
              <w:pStyle w:val="TableParagraph"/>
              <w:spacing w:before="1"/>
              <w:ind w:left="107"/>
              <w:rPr>
                <w:sz w:val="22"/>
              </w:rPr>
            </w:pPr>
            <w:hyperlink r:id="rId124">
              <w:r>
                <w:rPr>
                  <w:color w:val="6B9F24"/>
                  <w:sz w:val="22"/>
                  <w:u w:val="single" w:color="6B9F24"/>
                </w:rPr>
                <w:t>WAC 388-829C-090</w:t>
              </w:r>
            </w:hyperlink>
          </w:p>
          <w:p>
            <w:pPr>
              <w:pStyle w:val="TableParagraph"/>
              <w:spacing w:line="237" w:lineRule="auto" w:before="2"/>
              <w:ind w:left="107" w:right="194"/>
              <w:rPr>
                <w:sz w:val="22"/>
              </w:rPr>
            </w:pPr>
            <w:r>
              <w:rPr>
                <w:sz w:val="22"/>
              </w:rPr>
              <w:t>The companion home provider must focus on the</w:t>
            </w:r>
          </w:p>
          <w:p>
            <w:pPr>
              <w:pStyle w:val="TableParagraph"/>
              <w:spacing w:line="251" w:lineRule="exact" w:before="2"/>
              <w:ind w:left="107"/>
              <w:rPr>
                <w:sz w:val="22"/>
              </w:rPr>
            </w:pPr>
            <w:r>
              <w:rPr>
                <w:sz w:val="22"/>
              </w:rPr>
              <w:t>following values when</w:t>
            </w:r>
          </w:p>
        </w:tc>
        <w:tc>
          <w:tcPr>
            <w:tcW w:w="1411" w:type="dxa"/>
            <w:shd w:val="clear" w:color="auto" w:fill="D0E4CA"/>
          </w:tcPr>
          <w:p>
            <w:pPr>
              <w:pStyle w:val="TableParagraph"/>
              <w:spacing w:before="1"/>
              <w:ind w:left="107" w:right="343"/>
              <w:rPr>
                <w:sz w:val="22"/>
              </w:rPr>
            </w:pPr>
            <w:r>
              <w:rPr>
                <w:sz w:val="22"/>
              </w:rPr>
              <w:t>Fully Compliant</w:t>
            </w:r>
          </w:p>
        </w:tc>
        <w:tc>
          <w:tcPr>
            <w:tcW w:w="2765" w:type="dxa"/>
            <w:shd w:val="clear" w:color="auto" w:fill="D0E4CA"/>
          </w:tcPr>
          <w:p>
            <w:pPr>
              <w:pStyle w:val="TableParagraph"/>
              <w:spacing w:before="1"/>
              <w:ind w:left="107" w:right="219"/>
              <w:rPr>
                <w:sz w:val="22"/>
              </w:rPr>
            </w:pPr>
            <w:r>
              <w:rPr>
                <w:sz w:val="22"/>
              </w:rPr>
              <w:t>Annual evaluation process conducted by DDA - contracted evaluators who</w:t>
            </w:r>
          </w:p>
          <w:p>
            <w:pPr>
              <w:pStyle w:val="TableParagraph"/>
              <w:spacing w:line="250" w:lineRule="exact"/>
              <w:ind w:left="107"/>
              <w:rPr>
                <w:sz w:val="22"/>
              </w:rPr>
            </w:pPr>
            <w:r>
              <w:rPr>
                <w:sz w:val="22"/>
              </w:rPr>
              <w:t>review and evaluate</w:t>
            </w:r>
          </w:p>
        </w:tc>
        <w:tc>
          <w:tcPr>
            <w:tcW w:w="2527" w:type="dxa"/>
            <w:shd w:val="clear" w:color="auto" w:fill="D0E4CA"/>
          </w:tcPr>
          <w:p>
            <w:pPr>
              <w:pStyle w:val="TableParagraph"/>
              <w:spacing w:before="1"/>
              <w:ind w:left="107" w:right="18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w:t>
            </w:r>
          </w:p>
          <w:p>
            <w:pPr>
              <w:pStyle w:val="TableParagraph"/>
              <w:spacing w:line="250" w:lineRule="exact"/>
              <w:ind w:left="107"/>
              <w:rPr>
                <w:sz w:val="22"/>
              </w:rPr>
            </w:pPr>
            <w:r>
              <w:rPr>
                <w:sz w:val="22"/>
              </w:rPr>
              <w:t>See </w:t>
            </w:r>
            <w:r>
              <w:rPr>
                <w:color w:val="6B9F24"/>
                <w:sz w:val="22"/>
                <w:u w:val="single" w:color="6B9F24"/>
              </w:rPr>
              <w:t>Appendix C</w:t>
            </w:r>
            <w:r>
              <w:rPr>
                <w:sz w:val="22"/>
              </w:rPr>
              <w:t>.</w:t>
            </w:r>
          </w:p>
        </w:tc>
      </w:tr>
    </w:tbl>
    <w:p>
      <w:pPr>
        <w:pStyle w:val="BodyText"/>
        <w:spacing w:before="3"/>
        <w:rPr>
          <w:b/>
          <w:sz w:val="14"/>
        </w:rPr>
      </w:pPr>
      <w:r>
        <w:rPr/>
        <w:pict>
          <v:shape style="position:absolute;margin-left:70.559998pt;margin-top:10.9195pt;width:650.9pt;height:.1pt;mso-position-horizontal-relative:page;mso-position-vertical-relative:paragraph;z-index:-251503616;mso-wrap-distance-left:0;mso-wrap-distance-right:0" coordorigin="1411,218" coordsize="13018,0" path="m1411,218l14429,218e" filled="false" stroked="true" strokeweight=".481pt" strokecolor="#d9d9d9">
            <v:path arrowok="t"/>
            <v:stroke dashstyle="solid"/>
            <w10:wrap type="topAndBottom"/>
          </v:shape>
        </w:pict>
      </w:r>
    </w:p>
    <w:p>
      <w:pPr>
        <w:spacing w:after="0"/>
        <w:rPr>
          <w:sz w:val="14"/>
        </w:rPr>
        <w:sectPr>
          <w:footerReference w:type="default" r:id="rId125"/>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78"/>
        <w:gridCol w:w="2760"/>
        <w:gridCol w:w="1411"/>
        <w:gridCol w:w="2765"/>
        <w:gridCol w:w="2527"/>
      </w:tblGrid>
      <w:tr>
        <w:trPr>
          <w:trHeight w:val="584" w:hRule="atLeast"/>
        </w:trPr>
        <w:tc>
          <w:tcPr>
            <w:tcW w:w="3478" w:type="dxa"/>
            <w:tcBorders>
              <w:bottom w:val="single" w:sz="18" w:space="0" w:color="4E8542"/>
            </w:tcBorders>
          </w:tcPr>
          <w:p>
            <w:pPr>
              <w:pStyle w:val="TableParagraph"/>
              <w:spacing w:line="292" w:lineRule="exact"/>
              <w:ind w:left="254"/>
              <w:rPr>
                <w:b/>
                <w:sz w:val="24"/>
              </w:rPr>
            </w:pPr>
            <w:r>
              <w:rPr>
                <w:b/>
                <w:sz w:val="24"/>
              </w:rPr>
              <w:t>Characteristics/Requirements</w:t>
            </w:r>
          </w:p>
        </w:tc>
        <w:tc>
          <w:tcPr>
            <w:tcW w:w="2760" w:type="dxa"/>
            <w:tcBorders>
              <w:bottom w:val="single" w:sz="18" w:space="0" w:color="4E8542"/>
            </w:tcBorders>
          </w:tcPr>
          <w:p>
            <w:pPr>
              <w:pStyle w:val="TableParagraph"/>
              <w:spacing w:line="292" w:lineRule="exact"/>
              <w:ind w:left="481"/>
              <w:rPr>
                <w:b/>
                <w:sz w:val="24"/>
              </w:rPr>
            </w:pPr>
            <w:r>
              <w:rPr>
                <w:b/>
                <w:sz w:val="24"/>
              </w:rPr>
              <w:t>Companion Home</w:t>
            </w:r>
          </w:p>
          <w:p>
            <w:pPr>
              <w:pStyle w:val="TableParagraph"/>
              <w:spacing w:line="272" w:lineRule="exact"/>
              <w:ind w:left="563"/>
              <w:rPr>
                <w:b/>
                <w:sz w:val="24"/>
              </w:rPr>
            </w:pPr>
            <w:r>
              <w:rPr>
                <w:b/>
                <w:sz w:val="24"/>
              </w:rPr>
              <w:t>State Evaluation</w:t>
            </w:r>
          </w:p>
        </w:tc>
        <w:tc>
          <w:tcPr>
            <w:tcW w:w="1411" w:type="dxa"/>
            <w:tcBorders>
              <w:bottom w:val="single" w:sz="18" w:space="0" w:color="4E8542"/>
            </w:tcBorders>
          </w:tcPr>
          <w:p>
            <w:pPr>
              <w:pStyle w:val="TableParagraph"/>
              <w:spacing w:line="292" w:lineRule="exact"/>
              <w:ind w:left="100" w:right="84"/>
              <w:jc w:val="center"/>
              <w:rPr>
                <w:b/>
                <w:sz w:val="24"/>
              </w:rPr>
            </w:pPr>
            <w:r>
              <w:rPr>
                <w:b/>
                <w:sz w:val="24"/>
              </w:rPr>
              <w:t>Compliance</w:t>
            </w:r>
          </w:p>
          <w:p>
            <w:pPr>
              <w:pStyle w:val="TableParagraph"/>
              <w:spacing w:line="272" w:lineRule="exact"/>
              <w:ind w:left="96" w:right="84"/>
              <w:jc w:val="center"/>
              <w:rPr>
                <w:b/>
                <w:sz w:val="24"/>
              </w:rPr>
            </w:pPr>
            <w:r>
              <w:rPr>
                <w:b/>
                <w:sz w:val="24"/>
              </w:rPr>
              <w:t>Level</w:t>
            </w:r>
          </w:p>
        </w:tc>
        <w:tc>
          <w:tcPr>
            <w:tcW w:w="2765" w:type="dxa"/>
            <w:tcBorders>
              <w:bottom w:val="single" w:sz="18" w:space="0" w:color="4E8542"/>
            </w:tcBorders>
          </w:tcPr>
          <w:p>
            <w:pPr>
              <w:pStyle w:val="TableParagraph"/>
              <w:spacing w:line="292" w:lineRule="exact"/>
              <w:ind w:left="496"/>
              <w:rPr>
                <w:b/>
                <w:sz w:val="24"/>
              </w:rPr>
            </w:pPr>
            <w:r>
              <w:rPr>
                <w:b/>
                <w:sz w:val="24"/>
              </w:rPr>
              <w:t>Oversight Process</w:t>
            </w:r>
          </w:p>
        </w:tc>
        <w:tc>
          <w:tcPr>
            <w:tcW w:w="2527" w:type="dxa"/>
            <w:tcBorders>
              <w:bottom w:val="single" w:sz="18" w:space="0" w:color="4E8542"/>
            </w:tcBorders>
          </w:tcPr>
          <w:p>
            <w:pPr>
              <w:pStyle w:val="TableParagraph"/>
              <w:spacing w:line="292" w:lineRule="exact"/>
              <w:ind w:left="623"/>
              <w:rPr>
                <w:b/>
                <w:sz w:val="24"/>
              </w:rPr>
            </w:pPr>
            <w:r>
              <w:rPr>
                <w:b/>
                <w:sz w:val="24"/>
              </w:rPr>
              <w:t>Remediation</w:t>
            </w:r>
          </w:p>
        </w:tc>
      </w:tr>
      <w:tr>
        <w:trPr>
          <w:trHeight w:val="8302" w:hRule="atLeast"/>
        </w:trPr>
        <w:tc>
          <w:tcPr>
            <w:tcW w:w="3478" w:type="dxa"/>
            <w:tcBorders>
              <w:top w:val="single" w:sz="18" w:space="0" w:color="4E8542"/>
            </w:tcBorders>
            <w:shd w:val="clear" w:color="auto" w:fill="D0E4CA"/>
          </w:tcPr>
          <w:p>
            <w:pPr>
              <w:pStyle w:val="TableParagraph"/>
              <w:spacing w:line="245" w:lineRule="exact"/>
              <w:ind w:left="107"/>
              <w:rPr>
                <w:b/>
                <w:sz w:val="22"/>
              </w:rPr>
            </w:pPr>
            <w:r>
              <w:rPr>
                <w:b/>
                <w:sz w:val="22"/>
              </w:rPr>
              <w:t>coercion and restraint are</w:t>
            </w:r>
          </w:p>
          <w:p>
            <w:pPr>
              <w:pStyle w:val="TableParagraph"/>
              <w:ind w:left="107"/>
              <w:rPr>
                <w:b/>
                <w:sz w:val="22"/>
              </w:rPr>
            </w:pPr>
            <w:r>
              <w:rPr>
                <w:b/>
                <w:sz w:val="22"/>
              </w:rPr>
              <w:t>protected.</w:t>
            </w:r>
          </w:p>
        </w:tc>
        <w:tc>
          <w:tcPr>
            <w:tcW w:w="2760" w:type="dxa"/>
            <w:tcBorders>
              <w:top w:val="single" w:sz="18" w:space="0" w:color="4E8542"/>
            </w:tcBorders>
            <w:shd w:val="clear" w:color="auto" w:fill="D0E4CA"/>
          </w:tcPr>
          <w:p>
            <w:pPr>
              <w:pStyle w:val="TableParagraph"/>
              <w:spacing w:line="245" w:lineRule="exact"/>
              <w:ind w:left="107"/>
              <w:rPr>
                <w:sz w:val="22"/>
              </w:rPr>
            </w:pPr>
            <w:r>
              <w:rPr>
                <w:sz w:val="22"/>
              </w:rPr>
              <w:t>implementing the ISP:</w:t>
            </w:r>
          </w:p>
          <w:p>
            <w:pPr>
              <w:pStyle w:val="TableParagraph"/>
              <w:ind w:left="107" w:right="181"/>
              <w:rPr>
                <w:sz w:val="22"/>
              </w:rPr>
            </w:pPr>
            <w:r>
              <w:rPr>
                <w:sz w:val="22"/>
              </w:rPr>
              <w:t>health and safety; personal power and choice; competence and self- reliance; positive recognition by self and others; positive relationships; and integration in the physical and social life of the community.</w:t>
            </w:r>
          </w:p>
          <w:p>
            <w:pPr>
              <w:pStyle w:val="TableParagraph"/>
              <w:spacing w:before="10"/>
              <w:rPr>
                <w:b/>
                <w:sz w:val="21"/>
              </w:rPr>
            </w:pPr>
          </w:p>
          <w:p>
            <w:pPr>
              <w:pStyle w:val="TableParagraph"/>
              <w:ind w:left="107"/>
              <w:rPr>
                <w:sz w:val="22"/>
              </w:rPr>
            </w:pPr>
            <w:hyperlink r:id="rId127">
              <w:r>
                <w:rPr>
                  <w:color w:val="6B9F24"/>
                  <w:sz w:val="22"/>
                  <w:u w:val="single" w:color="6B9F24"/>
                </w:rPr>
                <w:t>WAC 388-829C-100</w:t>
              </w:r>
              <w:r>
                <w:rPr>
                  <w:color w:val="6B9F24"/>
                  <w:spacing w:val="-9"/>
                  <w:sz w:val="22"/>
                </w:rPr>
                <w:t> </w:t>
              </w:r>
            </w:hyperlink>
            <w:r>
              <w:rPr>
                <w:sz w:val="22"/>
              </w:rPr>
              <w:t>Clients</w:t>
            </w:r>
          </w:p>
          <w:p>
            <w:pPr>
              <w:pStyle w:val="TableParagraph"/>
              <w:ind w:left="107" w:right="117"/>
              <w:rPr>
                <w:sz w:val="22"/>
              </w:rPr>
            </w:pPr>
            <w:r>
              <w:rPr>
                <w:sz w:val="22"/>
              </w:rPr>
              <w:t>of DDA have: the same legal rights and responsibilities guaranteed to all other individuals by the United States Constitution and federal and state law; the right to be free from discrimination because of race. color, national origin, gender, age, religion, creed, marital status, disabled or veteran status, use of a trained service animal or the presence of any physical, mental or sensory handicap; the right to treatment and</w:t>
            </w:r>
            <w:r>
              <w:rPr>
                <w:spacing w:val="-6"/>
                <w:sz w:val="22"/>
              </w:rPr>
              <w:t> </w:t>
            </w:r>
            <w:r>
              <w:rPr>
                <w:sz w:val="22"/>
              </w:rPr>
              <w:t>habilitation</w:t>
            </w:r>
          </w:p>
          <w:p>
            <w:pPr>
              <w:pStyle w:val="TableParagraph"/>
              <w:spacing w:line="249" w:lineRule="exact" w:before="2"/>
              <w:ind w:left="107"/>
              <w:rPr>
                <w:sz w:val="22"/>
              </w:rPr>
            </w:pPr>
            <w:r>
              <w:rPr>
                <w:sz w:val="22"/>
              </w:rPr>
              <w:t>services to foster</w:t>
            </w:r>
          </w:p>
        </w:tc>
        <w:tc>
          <w:tcPr>
            <w:tcW w:w="1411" w:type="dxa"/>
            <w:tcBorders>
              <w:top w:val="single" w:sz="18" w:space="0" w:color="4E8542"/>
            </w:tcBorders>
            <w:shd w:val="clear" w:color="auto" w:fill="D0E4CA"/>
          </w:tcPr>
          <w:p>
            <w:pPr>
              <w:pStyle w:val="TableParagraph"/>
              <w:rPr>
                <w:rFonts w:ascii="Times New Roman"/>
                <w:sz w:val="22"/>
              </w:rPr>
            </w:pPr>
          </w:p>
        </w:tc>
        <w:tc>
          <w:tcPr>
            <w:tcW w:w="2765" w:type="dxa"/>
            <w:tcBorders>
              <w:top w:val="single" w:sz="18" w:space="0" w:color="4E8542"/>
            </w:tcBorders>
            <w:shd w:val="clear" w:color="auto" w:fill="D0E4CA"/>
          </w:tcPr>
          <w:p>
            <w:pPr>
              <w:pStyle w:val="TableParagraph"/>
              <w:spacing w:line="245" w:lineRule="exact"/>
              <w:ind w:left="107"/>
              <w:rPr>
                <w:sz w:val="22"/>
              </w:rPr>
            </w:pPr>
            <w:r>
              <w:rPr>
                <w:sz w:val="22"/>
              </w:rPr>
              <w:t>compliance with WAC and</w:t>
            </w:r>
          </w:p>
          <w:p>
            <w:pPr>
              <w:pStyle w:val="TableParagraph"/>
              <w:ind w:left="107" w:right="251"/>
              <w:rPr>
                <w:sz w:val="22"/>
              </w:rPr>
            </w:pPr>
            <w:r>
              <w:rPr>
                <w:sz w:val="22"/>
              </w:rPr>
              <w:t>companion home contract using a companion home evaluation tool.</w:t>
            </w:r>
          </w:p>
          <w:p>
            <w:pPr>
              <w:pStyle w:val="TableParagraph"/>
              <w:spacing w:before="11"/>
              <w:rPr>
                <w:b/>
                <w:sz w:val="21"/>
              </w:rPr>
            </w:pPr>
          </w:p>
          <w:p>
            <w:pPr>
              <w:pStyle w:val="TableParagraph"/>
              <w:ind w:left="107" w:right="260"/>
              <w:rPr>
                <w:sz w:val="22"/>
              </w:rPr>
            </w:pPr>
            <w:r>
              <w:rPr>
                <w:sz w:val="22"/>
              </w:rPr>
              <w:t>On-site inspections ensure homes meet all licensing and certification requirements in WAC and RCW, including WAC 388- 823-1095.</w:t>
            </w:r>
          </w:p>
        </w:tc>
        <w:tc>
          <w:tcPr>
            <w:tcW w:w="2527" w:type="dxa"/>
            <w:tcBorders>
              <w:top w:val="single" w:sz="18" w:space="0" w:color="4E8542"/>
            </w:tcBorders>
            <w:shd w:val="clear" w:color="auto" w:fill="D0E4CA"/>
          </w:tcPr>
          <w:p>
            <w:pPr>
              <w:pStyle w:val="TableParagraph"/>
              <w:rPr>
                <w:rFonts w:ascii="Times New Roman"/>
                <w:sz w:val="22"/>
              </w:rPr>
            </w:pPr>
          </w:p>
        </w:tc>
      </w:tr>
    </w:tbl>
    <w:p>
      <w:pPr>
        <w:pStyle w:val="BodyText"/>
        <w:spacing w:before="7"/>
        <w:rPr>
          <w:b/>
          <w:sz w:val="17"/>
        </w:rPr>
      </w:pPr>
      <w:r>
        <w:rPr/>
        <w:pict>
          <v:shape style="position:absolute;margin-left:70.559998pt;margin-top:12.9595pt;width:650.9pt;height:.1pt;mso-position-horizontal-relative:page;mso-position-vertical-relative:paragraph;z-index:-251502592;mso-wrap-distance-left:0;mso-wrap-distance-right:0" coordorigin="1411,259" coordsize="13018,0" path="m1411,259l14429,259e" filled="false" stroked="true" strokeweight=".481pt" strokecolor="#d9d9d9">
            <v:path arrowok="t"/>
            <v:stroke dashstyle="solid"/>
            <w10:wrap type="topAndBottom"/>
          </v:shape>
        </w:pict>
      </w:r>
    </w:p>
    <w:p>
      <w:pPr>
        <w:spacing w:after="0"/>
        <w:rPr>
          <w:sz w:val="17"/>
        </w:rPr>
        <w:sectPr>
          <w:footerReference w:type="default" r:id="rId126"/>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141"/>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78"/>
        <w:gridCol w:w="2760"/>
        <w:gridCol w:w="1411"/>
        <w:gridCol w:w="2765"/>
        <w:gridCol w:w="2527"/>
      </w:tblGrid>
      <w:tr>
        <w:trPr>
          <w:trHeight w:val="584" w:hRule="atLeast"/>
        </w:trPr>
        <w:tc>
          <w:tcPr>
            <w:tcW w:w="3478" w:type="dxa"/>
            <w:tcBorders>
              <w:bottom w:val="single" w:sz="18" w:space="0" w:color="4E8542"/>
            </w:tcBorders>
          </w:tcPr>
          <w:p>
            <w:pPr>
              <w:pStyle w:val="TableParagraph"/>
              <w:spacing w:line="292" w:lineRule="exact"/>
              <w:ind w:left="254"/>
              <w:rPr>
                <w:b/>
                <w:sz w:val="24"/>
              </w:rPr>
            </w:pPr>
            <w:r>
              <w:rPr>
                <w:b/>
                <w:sz w:val="24"/>
              </w:rPr>
              <w:t>Characteristics/Requirements</w:t>
            </w:r>
          </w:p>
        </w:tc>
        <w:tc>
          <w:tcPr>
            <w:tcW w:w="2760" w:type="dxa"/>
            <w:tcBorders>
              <w:bottom w:val="single" w:sz="18" w:space="0" w:color="4E8542"/>
            </w:tcBorders>
          </w:tcPr>
          <w:p>
            <w:pPr>
              <w:pStyle w:val="TableParagraph"/>
              <w:spacing w:line="292" w:lineRule="exact"/>
              <w:ind w:left="481"/>
              <w:rPr>
                <w:b/>
                <w:sz w:val="24"/>
              </w:rPr>
            </w:pPr>
            <w:r>
              <w:rPr>
                <w:b/>
                <w:sz w:val="24"/>
              </w:rPr>
              <w:t>Companion Home</w:t>
            </w:r>
          </w:p>
          <w:p>
            <w:pPr>
              <w:pStyle w:val="TableParagraph"/>
              <w:spacing w:line="272" w:lineRule="exact"/>
              <w:ind w:left="563"/>
              <w:rPr>
                <w:b/>
                <w:sz w:val="24"/>
              </w:rPr>
            </w:pPr>
            <w:r>
              <w:rPr>
                <w:b/>
                <w:sz w:val="24"/>
              </w:rPr>
              <w:t>State Evaluation</w:t>
            </w:r>
          </w:p>
        </w:tc>
        <w:tc>
          <w:tcPr>
            <w:tcW w:w="1411" w:type="dxa"/>
            <w:tcBorders>
              <w:bottom w:val="single" w:sz="18" w:space="0" w:color="4E8542"/>
            </w:tcBorders>
          </w:tcPr>
          <w:p>
            <w:pPr>
              <w:pStyle w:val="TableParagraph"/>
              <w:spacing w:line="292" w:lineRule="exact"/>
              <w:ind w:left="100" w:right="84"/>
              <w:jc w:val="center"/>
              <w:rPr>
                <w:b/>
                <w:sz w:val="24"/>
              </w:rPr>
            </w:pPr>
            <w:r>
              <w:rPr>
                <w:b/>
                <w:sz w:val="24"/>
              </w:rPr>
              <w:t>Compliance</w:t>
            </w:r>
          </w:p>
          <w:p>
            <w:pPr>
              <w:pStyle w:val="TableParagraph"/>
              <w:spacing w:line="272" w:lineRule="exact"/>
              <w:ind w:left="96" w:right="84"/>
              <w:jc w:val="center"/>
              <w:rPr>
                <w:b/>
                <w:sz w:val="24"/>
              </w:rPr>
            </w:pPr>
            <w:r>
              <w:rPr>
                <w:b/>
                <w:sz w:val="24"/>
              </w:rPr>
              <w:t>Level</w:t>
            </w:r>
          </w:p>
        </w:tc>
        <w:tc>
          <w:tcPr>
            <w:tcW w:w="2765" w:type="dxa"/>
            <w:tcBorders>
              <w:bottom w:val="single" w:sz="18" w:space="0" w:color="4E8542"/>
            </w:tcBorders>
          </w:tcPr>
          <w:p>
            <w:pPr>
              <w:pStyle w:val="TableParagraph"/>
              <w:spacing w:line="292" w:lineRule="exact"/>
              <w:ind w:left="496"/>
              <w:rPr>
                <w:b/>
                <w:sz w:val="24"/>
              </w:rPr>
            </w:pPr>
            <w:r>
              <w:rPr>
                <w:b/>
                <w:sz w:val="24"/>
              </w:rPr>
              <w:t>Oversight Process</w:t>
            </w:r>
          </w:p>
        </w:tc>
        <w:tc>
          <w:tcPr>
            <w:tcW w:w="2527" w:type="dxa"/>
            <w:tcBorders>
              <w:bottom w:val="single" w:sz="18" w:space="0" w:color="4E8542"/>
            </w:tcBorders>
          </w:tcPr>
          <w:p>
            <w:pPr>
              <w:pStyle w:val="TableParagraph"/>
              <w:spacing w:line="292" w:lineRule="exact"/>
              <w:ind w:left="623"/>
              <w:rPr>
                <w:b/>
                <w:sz w:val="24"/>
              </w:rPr>
            </w:pPr>
            <w:r>
              <w:rPr>
                <w:b/>
                <w:sz w:val="24"/>
              </w:rPr>
              <w:t>Remediation</w:t>
            </w:r>
          </w:p>
        </w:tc>
      </w:tr>
      <w:tr>
        <w:trPr>
          <w:trHeight w:val="8302" w:hRule="atLeast"/>
        </w:trPr>
        <w:tc>
          <w:tcPr>
            <w:tcW w:w="3478" w:type="dxa"/>
            <w:tcBorders>
              <w:top w:val="single" w:sz="18" w:space="0" w:color="4E8542"/>
            </w:tcBorders>
            <w:shd w:val="clear" w:color="auto" w:fill="D0E4CA"/>
          </w:tcPr>
          <w:p>
            <w:pPr>
              <w:pStyle w:val="TableParagraph"/>
              <w:rPr>
                <w:rFonts w:ascii="Times New Roman"/>
                <w:sz w:val="22"/>
              </w:rPr>
            </w:pPr>
          </w:p>
        </w:tc>
        <w:tc>
          <w:tcPr>
            <w:tcW w:w="2760" w:type="dxa"/>
            <w:tcBorders>
              <w:top w:val="single" w:sz="18" w:space="0" w:color="4E8542"/>
            </w:tcBorders>
            <w:shd w:val="clear" w:color="auto" w:fill="D0E4CA"/>
          </w:tcPr>
          <w:p>
            <w:pPr>
              <w:pStyle w:val="TableParagraph"/>
              <w:spacing w:line="245" w:lineRule="exact"/>
              <w:ind w:left="107"/>
              <w:rPr>
                <w:sz w:val="22"/>
              </w:rPr>
            </w:pPr>
            <w:r>
              <w:rPr>
                <w:sz w:val="22"/>
              </w:rPr>
              <w:t>developmental potential</w:t>
            </w:r>
          </w:p>
          <w:p>
            <w:pPr>
              <w:pStyle w:val="TableParagraph"/>
              <w:ind w:left="107" w:right="132"/>
              <w:rPr>
                <w:sz w:val="22"/>
              </w:rPr>
            </w:pPr>
            <w:r>
              <w:rPr>
                <w:sz w:val="22"/>
              </w:rPr>
              <w:t>and protect personal liberty in the least restrictive environment; the right to dignity, privacy, and humane care; the right to participate in an appropriate program of publicly supported education; the right to prompt medical care and treatment; the right to social interaction and recreational opportunities; the right to work and be paid for the work one does; the right to be free from harm, including unnecessary physical restraint, isolation, excessive medication, abuse, neglect, or financial exploitation; the right to be free from hazardous or experimental procedures; the right to freedom of expression and to make decisions about one’s life; the right to complain, disagree with, and appeal</w:t>
            </w:r>
          </w:p>
          <w:p>
            <w:pPr>
              <w:pStyle w:val="TableParagraph"/>
              <w:spacing w:line="249" w:lineRule="exact"/>
              <w:ind w:left="107"/>
              <w:rPr>
                <w:sz w:val="22"/>
              </w:rPr>
            </w:pPr>
            <w:r>
              <w:rPr>
                <w:sz w:val="22"/>
              </w:rPr>
              <w:t>decisions made by the</w:t>
            </w:r>
          </w:p>
        </w:tc>
        <w:tc>
          <w:tcPr>
            <w:tcW w:w="1411" w:type="dxa"/>
            <w:tcBorders>
              <w:top w:val="single" w:sz="18" w:space="0" w:color="4E8542"/>
            </w:tcBorders>
            <w:shd w:val="clear" w:color="auto" w:fill="D0E4CA"/>
          </w:tcPr>
          <w:p>
            <w:pPr>
              <w:pStyle w:val="TableParagraph"/>
              <w:rPr>
                <w:rFonts w:ascii="Times New Roman"/>
                <w:sz w:val="22"/>
              </w:rPr>
            </w:pPr>
          </w:p>
        </w:tc>
        <w:tc>
          <w:tcPr>
            <w:tcW w:w="2765" w:type="dxa"/>
            <w:tcBorders>
              <w:top w:val="single" w:sz="18" w:space="0" w:color="4E8542"/>
            </w:tcBorders>
            <w:shd w:val="clear" w:color="auto" w:fill="D0E4CA"/>
          </w:tcPr>
          <w:p>
            <w:pPr>
              <w:pStyle w:val="TableParagraph"/>
              <w:rPr>
                <w:rFonts w:ascii="Times New Roman"/>
                <w:sz w:val="22"/>
              </w:rPr>
            </w:pPr>
          </w:p>
        </w:tc>
        <w:tc>
          <w:tcPr>
            <w:tcW w:w="2527" w:type="dxa"/>
            <w:tcBorders>
              <w:top w:val="single" w:sz="18" w:space="0" w:color="4E8542"/>
            </w:tcBorders>
            <w:shd w:val="clear" w:color="auto" w:fill="D0E4CA"/>
          </w:tcPr>
          <w:p>
            <w:pPr>
              <w:pStyle w:val="TableParagraph"/>
              <w:rPr>
                <w:rFonts w:ascii="Times New Roman"/>
                <w:sz w:val="22"/>
              </w:rPr>
            </w:pPr>
          </w:p>
        </w:tc>
      </w:tr>
    </w:tbl>
    <w:p>
      <w:pPr>
        <w:pStyle w:val="BodyText"/>
        <w:spacing w:before="7"/>
        <w:rPr>
          <w:b/>
          <w:sz w:val="17"/>
        </w:rPr>
      </w:pPr>
      <w:r>
        <w:rPr/>
        <w:pict>
          <v:shape style="position:absolute;margin-left:70.559998pt;margin-top:12.9595pt;width:650.9pt;height:.1pt;mso-position-horizontal-relative:page;mso-position-vertical-relative:paragraph;z-index:-251501568;mso-wrap-distance-left:0;mso-wrap-distance-right:0" coordorigin="1411,259" coordsize="13018,0" path="m1411,259l14429,259e" filled="false" stroked="true" strokeweight=".481pt" strokecolor="#d9d9d9">
            <v:path arrowok="t"/>
            <v:stroke dashstyle="solid"/>
            <w10:wrap type="topAndBottom"/>
          </v:shape>
        </w:pict>
      </w:r>
    </w:p>
    <w:p>
      <w:pPr>
        <w:spacing w:after="0"/>
        <w:rPr>
          <w:sz w:val="17"/>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78"/>
        <w:gridCol w:w="2760"/>
        <w:gridCol w:w="1411"/>
        <w:gridCol w:w="2765"/>
        <w:gridCol w:w="2527"/>
      </w:tblGrid>
      <w:tr>
        <w:trPr>
          <w:trHeight w:val="584" w:hRule="atLeast"/>
        </w:trPr>
        <w:tc>
          <w:tcPr>
            <w:tcW w:w="3478" w:type="dxa"/>
            <w:tcBorders>
              <w:bottom w:val="single" w:sz="18" w:space="0" w:color="4E8542"/>
            </w:tcBorders>
          </w:tcPr>
          <w:p>
            <w:pPr>
              <w:pStyle w:val="TableParagraph"/>
              <w:spacing w:line="292" w:lineRule="exact"/>
              <w:ind w:left="254"/>
              <w:rPr>
                <w:b/>
                <w:sz w:val="24"/>
              </w:rPr>
            </w:pPr>
            <w:r>
              <w:rPr>
                <w:b/>
                <w:sz w:val="24"/>
              </w:rPr>
              <w:t>Characteristics/Requirements</w:t>
            </w:r>
          </w:p>
        </w:tc>
        <w:tc>
          <w:tcPr>
            <w:tcW w:w="2760" w:type="dxa"/>
            <w:tcBorders>
              <w:bottom w:val="single" w:sz="18" w:space="0" w:color="4E8542"/>
            </w:tcBorders>
          </w:tcPr>
          <w:p>
            <w:pPr>
              <w:pStyle w:val="TableParagraph"/>
              <w:spacing w:line="292" w:lineRule="exact"/>
              <w:ind w:left="481"/>
              <w:rPr>
                <w:b/>
                <w:sz w:val="24"/>
              </w:rPr>
            </w:pPr>
            <w:r>
              <w:rPr>
                <w:b/>
                <w:sz w:val="24"/>
              </w:rPr>
              <w:t>Companion Home</w:t>
            </w:r>
          </w:p>
          <w:p>
            <w:pPr>
              <w:pStyle w:val="TableParagraph"/>
              <w:spacing w:line="272" w:lineRule="exact"/>
              <w:ind w:left="563"/>
              <w:rPr>
                <w:b/>
                <w:sz w:val="24"/>
              </w:rPr>
            </w:pPr>
            <w:r>
              <w:rPr>
                <w:b/>
                <w:sz w:val="24"/>
              </w:rPr>
              <w:t>State Evaluation</w:t>
            </w:r>
          </w:p>
        </w:tc>
        <w:tc>
          <w:tcPr>
            <w:tcW w:w="1411" w:type="dxa"/>
            <w:tcBorders>
              <w:bottom w:val="single" w:sz="18" w:space="0" w:color="4E8542"/>
            </w:tcBorders>
          </w:tcPr>
          <w:p>
            <w:pPr>
              <w:pStyle w:val="TableParagraph"/>
              <w:spacing w:line="292" w:lineRule="exact"/>
              <w:ind w:left="100" w:right="84"/>
              <w:jc w:val="center"/>
              <w:rPr>
                <w:b/>
                <w:sz w:val="24"/>
              </w:rPr>
            </w:pPr>
            <w:r>
              <w:rPr>
                <w:b/>
                <w:sz w:val="24"/>
              </w:rPr>
              <w:t>Compliance</w:t>
            </w:r>
          </w:p>
          <w:p>
            <w:pPr>
              <w:pStyle w:val="TableParagraph"/>
              <w:spacing w:line="272" w:lineRule="exact"/>
              <w:ind w:left="96" w:right="84"/>
              <w:jc w:val="center"/>
              <w:rPr>
                <w:b/>
                <w:sz w:val="24"/>
              </w:rPr>
            </w:pPr>
            <w:r>
              <w:rPr>
                <w:b/>
                <w:sz w:val="24"/>
              </w:rPr>
              <w:t>Level</w:t>
            </w:r>
          </w:p>
        </w:tc>
        <w:tc>
          <w:tcPr>
            <w:tcW w:w="2765" w:type="dxa"/>
            <w:tcBorders>
              <w:bottom w:val="single" w:sz="18" w:space="0" w:color="4E8542"/>
            </w:tcBorders>
          </w:tcPr>
          <w:p>
            <w:pPr>
              <w:pStyle w:val="TableParagraph"/>
              <w:spacing w:line="292" w:lineRule="exact"/>
              <w:ind w:left="496"/>
              <w:rPr>
                <w:b/>
                <w:sz w:val="24"/>
              </w:rPr>
            </w:pPr>
            <w:r>
              <w:rPr>
                <w:b/>
                <w:sz w:val="24"/>
              </w:rPr>
              <w:t>Oversight Process</w:t>
            </w:r>
          </w:p>
        </w:tc>
        <w:tc>
          <w:tcPr>
            <w:tcW w:w="2527" w:type="dxa"/>
            <w:tcBorders>
              <w:bottom w:val="single" w:sz="18" w:space="0" w:color="4E8542"/>
            </w:tcBorders>
          </w:tcPr>
          <w:p>
            <w:pPr>
              <w:pStyle w:val="TableParagraph"/>
              <w:spacing w:line="292" w:lineRule="exact"/>
              <w:ind w:left="623"/>
              <w:rPr>
                <w:b/>
                <w:sz w:val="24"/>
              </w:rPr>
            </w:pPr>
            <w:r>
              <w:rPr>
                <w:b/>
                <w:sz w:val="24"/>
              </w:rPr>
              <w:t>Remediation</w:t>
            </w:r>
          </w:p>
        </w:tc>
      </w:tr>
      <w:tr>
        <w:trPr>
          <w:trHeight w:val="1049" w:hRule="atLeast"/>
        </w:trPr>
        <w:tc>
          <w:tcPr>
            <w:tcW w:w="3478" w:type="dxa"/>
            <w:tcBorders>
              <w:top w:val="single" w:sz="18" w:space="0" w:color="4E8542"/>
            </w:tcBorders>
            <w:shd w:val="clear" w:color="auto" w:fill="D0E4CA"/>
          </w:tcPr>
          <w:p>
            <w:pPr>
              <w:pStyle w:val="TableParagraph"/>
              <w:rPr>
                <w:rFonts w:ascii="Times New Roman"/>
                <w:sz w:val="22"/>
              </w:rPr>
            </w:pPr>
          </w:p>
        </w:tc>
        <w:tc>
          <w:tcPr>
            <w:tcW w:w="2760" w:type="dxa"/>
            <w:tcBorders>
              <w:top w:val="single" w:sz="18" w:space="0" w:color="4E8542"/>
            </w:tcBorders>
            <w:shd w:val="clear" w:color="auto" w:fill="D0E4CA"/>
          </w:tcPr>
          <w:p>
            <w:pPr>
              <w:pStyle w:val="TableParagraph"/>
              <w:spacing w:line="245" w:lineRule="exact"/>
              <w:ind w:left="107"/>
              <w:rPr>
                <w:sz w:val="22"/>
              </w:rPr>
            </w:pPr>
            <w:r>
              <w:rPr>
                <w:sz w:val="22"/>
              </w:rPr>
              <w:t>provider or DDA; and</w:t>
            </w:r>
            <w:r>
              <w:rPr>
                <w:spacing w:val="-6"/>
                <w:sz w:val="22"/>
              </w:rPr>
              <w:t> </w:t>
            </w:r>
            <w:r>
              <w:rPr>
                <w:sz w:val="22"/>
              </w:rPr>
              <w:t>the</w:t>
            </w:r>
          </w:p>
          <w:p>
            <w:pPr>
              <w:pStyle w:val="TableParagraph"/>
              <w:spacing w:line="237" w:lineRule="auto" w:before="2"/>
              <w:ind w:left="107" w:right="341"/>
              <w:rPr>
                <w:sz w:val="22"/>
              </w:rPr>
            </w:pPr>
            <w:r>
              <w:rPr>
                <w:sz w:val="22"/>
              </w:rPr>
              <w:t>right to be informed of these rights in a</w:t>
            </w:r>
            <w:r>
              <w:rPr>
                <w:spacing w:val="-8"/>
                <w:sz w:val="22"/>
              </w:rPr>
              <w:t> </w:t>
            </w:r>
            <w:r>
              <w:rPr>
                <w:sz w:val="22"/>
              </w:rPr>
              <w:t>language</w:t>
            </w:r>
          </w:p>
          <w:p>
            <w:pPr>
              <w:pStyle w:val="TableParagraph"/>
              <w:spacing w:line="249" w:lineRule="exact" w:before="1"/>
              <w:ind w:left="107"/>
              <w:rPr>
                <w:sz w:val="22"/>
              </w:rPr>
            </w:pPr>
            <w:r>
              <w:rPr>
                <w:sz w:val="22"/>
              </w:rPr>
              <w:t>that he or she understands.</w:t>
            </w:r>
          </w:p>
        </w:tc>
        <w:tc>
          <w:tcPr>
            <w:tcW w:w="1411" w:type="dxa"/>
            <w:tcBorders>
              <w:top w:val="single" w:sz="18" w:space="0" w:color="4E8542"/>
            </w:tcBorders>
            <w:shd w:val="clear" w:color="auto" w:fill="D0E4CA"/>
          </w:tcPr>
          <w:p>
            <w:pPr>
              <w:pStyle w:val="TableParagraph"/>
              <w:rPr>
                <w:rFonts w:ascii="Times New Roman"/>
                <w:sz w:val="22"/>
              </w:rPr>
            </w:pPr>
          </w:p>
        </w:tc>
        <w:tc>
          <w:tcPr>
            <w:tcW w:w="2765" w:type="dxa"/>
            <w:tcBorders>
              <w:top w:val="single" w:sz="18" w:space="0" w:color="4E8542"/>
            </w:tcBorders>
            <w:shd w:val="clear" w:color="auto" w:fill="D0E4CA"/>
          </w:tcPr>
          <w:p>
            <w:pPr>
              <w:pStyle w:val="TableParagraph"/>
              <w:rPr>
                <w:rFonts w:ascii="Times New Roman"/>
                <w:sz w:val="22"/>
              </w:rPr>
            </w:pPr>
          </w:p>
        </w:tc>
        <w:tc>
          <w:tcPr>
            <w:tcW w:w="2527" w:type="dxa"/>
            <w:tcBorders>
              <w:top w:val="single" w:sz="18" w:space="0" w:color="4E8542"/>
            </w:tcBorders>
            <w:shd w:val="clear" w:color="auto" w:fill="D0E4CA"/>
          </w:tcPr>
          <w:p>
            <w:pPr>
              <w:pStyle w:val="TableParagraph"/>
              <w:rPr>
                <w:rFonts w:ascii="Times New Roman"/>
                <w:sz w:val="22"/>
              </w:rPr>
            </w:pPr>
          </w:p>
        </w:tc>
      </w:tr>
      <w:tr>
        <w:trPr>
          <w:trHeight w:val="2303" w:hRule="atLeast"/>
        </w:trPr>
        <w:tc>
          <w:tcPr>
            <w:tcW w:w="3478" w:type="dxa"/>
            <w:tcBorders>
              <w:bottom w:val="nil"/>
            </w:tcBorders>
          </w:tcPr>
          <w:p>
            <w:pPr>
              <w:pStyle w:val="TableParagraph"/>
              <w:spacing w:before="1"/>
              <w:ind w:left="107" w:right="300"/>
              <w:rPr>
                <w:b/>
                <w:sz w:val="22"/>
              </w:rPr>
            </w:pPr>
            <w:r>
              <w:rPr>
                <w:b/>
                <w:sz w:val="22"/>
              </w:rPr>
              <w:t>Individual initiative, autonomy, and independence in making life choices, including but not limited to, daily activities, physical environment, and with whom to interact are optimized and not regimented.</w:t>
            </w:r>
          </w:p>
        </w:tc>
        <w:tc>
          <w:tcPr>
            <w:tcW w:w="2760" w:type="dxa"/>
            <w:tcBorders>
              <w:bottom w:val="nil"/>
            </w:tcBorders>
          </w:tcPr>
          <w:p>
            <w:pPr>
              <w:pStyle w:val="TableParagraph"/>
              <w:spacing w:before="1"/>
              <w:ind w:left="107"/>
              <w:rPr>
                <w:sz w:val="22"/>
              </w:rPr>
            </w:pPr>
            <w:hyperlink r:id="rId124">
              <w:r>
                <w:rPr>
                  <w:color w:val="6B9F24"/>
                  <w:sz w:val="22"/>
                  <w:u w:val="single" w:color="6B9F24"/>
                </w:rPr>
                <w:t>WAC 388-829C-090</w:t>
              </w:r>
              <w:r>
                <w:rPr>
                  <w:color w:val="6B9F24"/>
                  <w:sz w:val="22"/>
                </w:rPr>
                <w:t> </w:t>
              </w:r>
            </w:hyperlink>
            <w:r>
              <w:rPr>
                <w:sz w:val="22"/>
              </w:rPr>
              <w:t>and 100</w:t>
            </w:r>
          </w:p>
        </w:tc>
        <w:tc>
          <w:tcPr>
            <w:tcW w:w="1411" w:type="dxa"/>
            <w:tcBorders>
              <w:bottom w:val="nil"/>
            </w:tcBorders>
          </w:tcPr>
          <w:p>
            <w:pPr>
              <w:pStyle w:val="TableParagraph"/>
              <w:spacing w:before="1"/>
              <w:ind w:left="107" w:right="343"/>
              <w:rPr>
                <w:sz w:val="22"/>
              </w:rPr>
            </w:pPr>
            <w:r>
              <w:rPr>
                <w:sz w:val="22"/>
              </w:rPr>
              <w:t>Fully Compliant</w:t>
            </w:r>
          </w:p>
        </w:tc>
        <w:tc>
          <w:tcPr>
            <w:tcW w:w="2765" w:type="dxa"/>
            <w:tcBorders>
              <w:bottom w:val="nil"/>
            </w:tcBorders>
          </w:tcPr>
          <w:p>
            <w:pPr>
              <w:pStyle w:val="TableParagraph"/>
              <w:spacing w:before="1"/>
              <w:ind w:left="107" w:right="219"/>
              <w:rPr>
                <w:sz w:val="22"/>
              </w:rPr>
            </w:pPr>
            <w:r>
              <w:rPr>
                <w:sz w:val="22"/>
              </w:rPr>
              <w:t>Annual evaluation process conducted by DDA- contracted evaluators who review and evaluate compliance with WAC and companion home contract using a companion home evaluation tool.</w:t>
            </w:r>
          </w:p>
        </w:tc>
        <w:tc>
          <w:tcPr>
            <w:tcW w:w="2527" w:type="dxa"/>
            <w:tcBorders>
              <w:bottom w:val="nil"/>
            </w:tcBorders>
          </w:tcPr>
          <w:p>
            <w:pPr>
              <w:pStyle w:val="TableParagraph"/>
              <w:spacing w:before="1"/>
              <w:ind w:left="107" w:right="18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1725" w:hRule="atLeast"/>
        </w:trPr>
        <w:tc>
          <w:tcPr>
            <w:tcW w:w="3478" w:type="dxa"/>
            <w:tcBorders>
              <w:top w:val="nil"/>
            </w:tcBorders>
          </w:tcPr>
          <w:p>
            <w:pPr>
              <w:pStyle w:val="TableParagraph"/>
              <w:rPr>
                <w:rFonts w:ascii="Times New Roman"/>
                <w:sz w:val="22"/>
              </w:rPr>
            </w:pPr>
          </w:p>
        </w:tc>
        <w:tc>
          <w:tcPr>
            <w:tcW w:w="2760" w:type="dxa"/>
            <w:tcBorders>
              <w:top w:val="nil"/>
            </w:tcBorders>
          </w:tcPr>
          <w:p>
            <w:pPr>
              <w:pStyle w:val="TableParagraph"/>
              <w:rPr>
                <w:rFonts w:ascii="Times New Roman"/>
                <w:sz w:val="22"/>
              </w:rPr>
            </w:pPr>
          </w:p>
        </w:tc>
        <w:tc>
          <w:tcPr>
            <w:tcW w:w="1411" w:type="dxa"/>
            <w:tcBorders>
              <w:top w:val="nil"/>
            </w:tcBorders>
          </w:tcPr>
          <w:p>
            <w:pPr>
              <w:pStyle w:val="TableParagraph"/>
              <w:rPr>
                <w:rFonts w:ascii="Times New Roman"/>
                <w:sz w:val="22"/>
              </w:rPr>
            </w:pPr>
          </w:p>
        </w:tc>
        <w:tc>
          <w:tcPr>
            <w:tcW w:w="2765" w:type="dxa"/>
            <w:tcBorders>
              <w:top w:val="nil"/>
            </w:tcBorders>
          </w:tcPr>
          <w:p>
            <w:pPr>
              <w:pStyle w:val="TableParagraph"/>
              <w:spacing w:before="114"/>
              <w:ind w:left="107" w:right="245"/>
              <w:rPr>
                <w:sz w:val="22"/>
              </w:rPr>
            </w:pPr>
            <w:r>
              <w:rPr>
                <w:sz w:val="22"/>
              </w:rPr>
              <w:t>On-site inspections ensure homes meet all licensing and certification requirements in WAC and RCW, including WAC 388-</w:t>
            </w:r>
          </w:p>
          <w:p>
            <w:pPr>
              <w:pStyle w:val="TableParagraph"/>
              <w:spacing w:line="248" w:lineRule="exact"/>
              <w:ind w:left="107"/>
              <w:rPr>
                <w:sz w:val="22"/>
              </w:rPr>
            </w:pPr>
            <w:r>
              <w:rPr>
                <w:sz w:val="22"/>
              </w:rPr>
              <w:t>823-1095.</w:t>
            </w:r>
          </w:p>
        </w:tc>
        <w:tc>
          <w:tcPr>
            <w:tcW w:w="2527" w:type="dxa"/>
            <w:tcBorders>
              <w:top w:val="nil"/>
            </w:tcBorders>
          </w:tcPr>
          <w:p>
            <w:pPr>
              <w:pStyle w:val="TableParagraph"/>
              <w:rPr>
                <w:rFonts w:ascii="Times New Roman"/>
                <w:sz w:val="22"/>
              </w:rPr>
            </w:pPr>
          </w:p>
        </w:tc>
      </w:tr>
      <w:tr>
        <w:trPr>
          <w:trHeight w:val="287" w:hRule="atLeast"/>
        </w:trPr>
        <w:tc>
          <w:tcPr>
            <w:tcW w:w="3478" w:type="dxa"/>
            <w:tcBorders>
              <w:bottom w:val="nil"/>
            </w:tcBorders>
            <w:shd w:val="clear" w:color="auto" w:fill="D0E4CA"/>
          </w:tcPr>
          <w:p>
            <w:pPr>
              <w:pStyle w:val="TableParagraph"/>
              <w:spacing w:line="267" w:lineRule="exact"/>
              <w:ind w:left="107"/>
              <w:rPr>
                <w:b/>
                <w:sz w:val="22"/>
              </w:rPr>
            </w:pPr>
            <w:r>
              <w:rPr>
                <w:b/>
                <w:sz w:val="22"/>
              </w:rPr>
              <w:t>Individual choice regarding services</w:t>
            </w:r>
          </w:p>
        </w:tc>
        <w:tc>
          <w:tcPr>
            <w:tcW w:w="2760" w:type="dxa"/>
            <w:tcBorders>
              <w:bottom w:val="nil"/>
            </w:tcBorders>
            <w:shd w:val="clear" w:color="auto" w:fill="D0E4CA"/>
          </w:tcPr>
          <w:p>
            <w:pPr>
              <w:pStyle w:val="TableParagraph"/>
              <w:spacing w:line="267" w:lineRule="exact"/>
              <w:ind w:left="107"/>
              <w:rPr>
                <w:sz w:val="22"/>
              </w:rPr>
            </w:pPr>
            <w:hyperlink r:id="rId127">
              <w:r>
                <w:rPr>
                  <w:color w:val="6B9F24"/>
                  <w:sz w:val="22"/>
                  <w:u w:val="single" w:color="6B9F24"/>
                </w:rPr>
                <w:t>WAC 388-829C-100</w:t>
              </w:r>
            </w:hyperlink>
          </w:p>
        </w:tc>
        <w:tc>
          <w:tcPr>
            <w:tcW w:w="1411" w:type="dxa"/>
            <w:tcBorders>
              <w:bottom w:val="nil"/>
            </w:tcBorders>
            <w:shd w:val="clear" w:color="auto" w:fill="D0E4CA"/>
          </w:tcPr>
          <w:p>
            <w:pPr>
              <w:pStyle w:val="TableParagraph"/>
              <w:spacing w:line="267" w:lineRule="exact"/>
              <w:ind w:left="107"/>
              <w:rPr>
                <w:sz w:val="22"/>
              </w:rPr>
            </w:pPr>
            <w:r>
              <w:rPr>
                <w:sz w:val="22"/>
              </w:rPr>
              <w:t>Fully</w:t>
            </w:r>
          </w:p>
        </w:tc>
        <w:tc>
          <w:tcPr>
            <w:tcW w:w="2765" w:type="dxa"/>
            <w:tcBorders>
              <w:bottom w:val="nil"/>
            </w:tcBorders>
            <w:shd w:val="clear" w:color="auto" w:fill="D0E4CA"/>
          </w:tcPr>
          <w:p>
            <w:pPr>
              <w:pStyle w:val="TableParagraph"/>
              <w:spacing w:line="267" w:lineRule="exact"/>
              <w:ind w:left="107"/>
              <w:rPr>
                <w:sz w:val="22"/>
              </w:rPr>
            </w:pPr>
            <w:r>
              <w:rPr>
                <w:sz w:val="22"/>
              </w:rPr>
              <w:t>Annual evaluation process</w:t>
            </w:r>
          </w:p>
        </w:tc>
        <w:tc>
          <w:tcPr>
            <w:tcW w:w="2527" w:type="dxa"/>
            <w:tcBorders>
              <w:bottom w:val="nil"/>
            </w:tcBorders>
            <w:shd w:val="clear" w:color="auto" w:fill="D0E4CA"/>
          </w:tcPr>
          <w:p>
            <w:pPr>
              <w:pStyle w:val="TableParagraph"/>
              <w:spacing w:line="267" w:lineRule="exact"/>
              <w:ind w:left="107"/>
              <w:rPr>
                <w:sz w:val="22"/>
              </w:rPr>
            </w:pPr>
            <w:r>
              <w:rPr>
                <w:sz w:val="22"/>
              </w:rPr>
              <w:t>Revising </w:t>
            </w:r>
            <w:hyperlink r:id="rId23">
              <w:r>
                <w:rPr>
                  <w:color w:val="6B9F24"/>
                  <w:sz w:val="22"/>
                  <w:u w:val="single" w:color="6B9F24"/>
                </w:rPr>
                <w:t>WAC 388-823-</w:t>
              </w:r>
            </w:hyperlink>
          </w:p>
        </w:tc>
      </w:tr>
      <w:tr>
        <w:trPr>
          <w:trHeight w:val="268" w:hRule="atLeast"/>
        </w:trPr>
        <w:tc>
          <w:tcPr>
            <w:tcW w:w="3478" w:type="dxa"/>
            <w:tcBorders>
              <w:top w:val="nil"/>
              <w:bottom w:val="nil"/>
            </w:tcBorders>
            <w:shd w:val="clear" w:color="auto" w:fill="D0E4CA"/>
          </w:tcPr>
          <w:p>
            <w:pPr>
              <w:pStyle w:val="TableParagraph"/>
              <w:spacing w:line="249" w:lineRule="exact"/>
              <w:ind w:left="107"/>
              <w:rPr>
                <w:b/>
                <w:sz w:val="22"/>
              </w:rPr>
            </w:pPr>
            <w:r>
              <w:rPr>
                <w:b/>
                <w:sz w:val="22"/>
              </w:rPr>
              <w:t>and supports, and who provides</w:t>
            </w:r>
          </w:p>
        </w:tc>
        <w:tc>
          <w:tcPr>
            <w:tcW w:w="2760" w:type="dxa"/>
            <w:tcBorders>
              <w:top w:val="nil"/>
              <w:bottom w:val="nil"/>
            </w:tcBorders>
            <w:shd w:val="clear" w:color="auto" w:fill="D0E4CA"/>
          </w:tcPr>
          <w:p>
            <w:pPr>
              <w:pStyle w:val="TableParagraph"/>
              <w:rPr>
                <w:rFonts w:ascii="Times New Roman"/>
                <w:sz w:val="18"/>
              </w:rPr>
            </w:pPr>
          </w:p>
        </w:tc>
        <w:tc>
          <w:tcPr>
            <w:tcW w:w="1411" w:type="dxa"/>
            <w:tcBorders>
              <w:top w:val="nil"/>
              <w:bottom w:val="nil"/>
            </w:tcBorders>
            <w:shd w:val="clear" w:color="auto" w:fill="D0E4CA"/>
          </w:tcPr>
          <w:p>
            <w:pPr>
              <w:pStyle w:val="TableParagraph"/>
              <w:spacing w:line="249" w:lineRule="exact"/>
              <w:ind w:left="107"/>
              <w:rPr>
                <w:sz w:val="22"/>
              </w:rPr>
            </w:pPr>
            <w:r>
              <w:rPr>
                <w:sz w:val="22"/>
              </w:rPr>
              <w:t>Compliant</w:t>
            </w:r>
          </w:p>
        </w:tc>
        <w:tc>
          <w:tcPr>
            <w:tcW w:w="2765" w:type="dxa"/>
            <w:tcBorders>
              <w:top w:val="nil"/>
              <w:bottom w:val="nil"/>
            </w:tcBorders>
            <w:shd w:val="clear" w:color="auto" w:fill="D0E4CA"/>
          </w:tcPr>
          <w:p>
            <w:pPr>
              <w:pStyle w:val="TableParagraph"/>
              <w:spacing w:line="249" w:lineRule="exact"/>
              <w:ind w:left="107"/>
              <w:rPr>
                <w:sz w:val="22"/>
              </w:rPr>
            </w:pPr>
            <w:r>
              <w:rPr>
                <w:sz w:val="22"/>
              </w:rPr>
              <w:t>conducted by DDA-</w:t>
            </w:r>
          </w:p>
        </w:tc>
        <w:tc>
          <w:tcPr>
            <w:tcW w:w="2527" w:type="dxa"/>
            <w:tcBorders>
              <w:top w:val="nil"/>
              <w:bottom w:val="nil"/>
            </w:tcBorders>
            <w:shd w:val="clear" w:color="auto" w:fill="D0E4CA"/>
          </w:tcPr>
          <w:p>
            <w:pPr>
              <w:pStyle w:val="TableParagraph"/>
              <w:spacing w:line="249" w:lineRule="exact"/>
              <w:ind w:left="107"/>
              <w:rPr>
                <w:sz w:val="22"/>
              </w:rPr>
            </w:pPr>
            <w:hyperlink r:id="rId23">
              <w:r>
                <w:rPr>
                  <w:color w:val="6B9F24"/>
                  <w:sz w:val="22"/>
                  <w:u w:val="single" w:color="6B9F24"/>
                </w:rPr>
                <w:t>1095</w:t>
              </w:r>
              <w:r>
                <w:rPr>
                  <w:color w:val="6B9F24"/>
                  <w:sz w:val="22"/>
                </w:rPr>
                <w:t> </w:t>
              </w:r>
            </w:hyperlink>
            <w:r>
              <w:rPr>
                <w:sz w:val="22"/>
              </w:rPr>
              <w:t>to include all rights</w:t>
            </w:r>
          </w:p>
        </w:tc>
      </w:tr>
      <w:tr>
        <w:trPr>
          <w:trHeight w:val="268" w:hRule="atLeast"/>
        </w:trPr>
        <w:tc>
          <w:tcPr>
            <w:tcW w:w="3478" w:type="dxa"/>
            <w:tcBorders>
              <w:top w:val="nil"/>
              <w:bottom w:val="nil"/>
            </w:tcBorders>
            <w:shd w:val="clear" w:color="auto" w:fill="D0E4CA"/>
          </w:tcPr>
          <w:p>
            <w:pPr>
              <w:pStyle w:val="TableParagraph"/>
              <w:spacing w:line="249" w:lineRule="exact"/>
              <w:ind w:left="107"/>
              <w:rPr>
                <w:b/>
                <w:sz w:val="22"/>
              </w:rPr>
            </w:pPr>
            <w:r>
              <w:rPr>
                <w:b/>
                <w:sz w:val="22"/>
              </w:rPr>
              <w:t>them, is facilitated.</w:t>
            </w:r>
          </w:p>
        </w:tc>
        <w:tc>
          <w:tcPr>
            <w:tcW w:w="2760" w:type="dxa"/>
            <w:tcBorders>
              <w:top w:val="nil"/>
              <w:bottom w:val="nil"/>
            </w:tcBorders>
            <w:shd w:val="clear" w:color="auto" w:fill="D0E4CA"/>
          </w:tcPr>
          <w:p>
            <w:pPr>
              <w:pStyle w:val="TableParagraph"/>
              <w:rPr>
                <w:rFonts w:ascii="Times New Roman"/>
                <w:sz w:val="18"/>
              </w:rPr>
            </w:pPr>
          </w:p>
        </w:tc>
        <w:tc>
          <w:tcPr>
            <w:tcW w:w="1411" w:type="dxa"/>
            <w:tcBorders>
              <w:top w:val="nil"/>
              <w:bottom w:val="nil"/>
            </w:tcBorders>
            <w:shd w:val="clear" w:color="auto" w:fill="D0E4CA"/>
          </w:tcPr>
          <w:p>
            <w:pPr>
              <w:pStyle w:val="TableParagraph"/>
              <w:rPr>
                <w:rFonts w:ascii="Times New Roman"/>
                <w:sz w:val="18"/>
              </w:rPr>
            </w:pPr>
          </w:p>
        </w:tc>
        <w:tc>
          <w:tcPr>
            <w:tcW w:w="2765" w:type="dxa"/>
            <w:tcBorders>
              <w:top w:val="nil"/>
              <w:bottom w:val="nil"/>
            </w:tcBorders>
            <w:shd w:val="clear" w:color="auto" w:fill="D0E4CA"/>
          </w:tcPr>
          <w:p>
            <w:pPr>
              <w:pStyle w:val="TableParagraph"/>
              <w:spacing w:line="249" w:lineRule="exact"/>
              <w:ind w:left="107"/>
              <w:rPr>
                <w:sz w:val="22"/>
              </w:rPr>
            </w:pPr>
            <w:r>
              <w:rPr>
                <w:sz w:val="22"/>
              </w:rPr>
              <w:t>contracted evaluators who</w:t>
            </w:r>
          </w:p>
        </w:tc>
        <w:tc>
          <w:tcPr>
            <w:tcW w:w="2527" w:type="dxa"/>
            <w:tcBorders>
              <w:top w:val="nil"/>
              <w:bottom w:val="nil"/>
            </w:tcBorders>
            <w:shd w:val="clear" w:color="auto" w:fill="D0E4CA"/>
          </w:tcPr>
          <w:p>
            <w:pPr>
              <w:pStyle w:val="TableParagraph"/>
              <w:spacing w:line="249" w:lineRule="exact"/>
              <w:ind w:left="107"/>
              <w:rPr>
                <w:sz w:val="22"/>
              </w:rPr>
            </w:pPr>
            <w:r>
              <w:rPr>
                <w:sz w:val="22"/>
              </w:rPr>
              <w:t>listed in the HCBS rules</w:t>
            </w:r>
          </w:p>
        </w:tc>
      </w:tr>
      <w:tr>
        <w:trPr>
          <w:trHeight w:val="268" w:hRule="atLeast"/>
        </w:trPr>
        <w:tc>
          <w:tcPr>
            <w:tcW w:w="3478" w:type="dxa"/>
            <w:tcBorders>
              <w:top w:val="nil"/>
              <w:bottom w:val="nil"/>
            </w:tcBorders>
            <w:shd w:val="clear" w:color="auto" w:fill="D0E4CA"/>
          </w:tcPr>
          <w:p>
            <w:pPr>
              <w:pStyle w:val="TableParagraph"/>
              <w:rPr>
                <w:rFonts w:ascii="Times New Roman"/>
                <w:sz w:val="18"/>
              </w:rPr>
            </w:pPr>
          </w:p>
        </w:tc>
        <w:tc>
          <w:tcPr>
            <w:tcW w:w="2760" w:type="dxa"/>
            <w:tcBorders>
              <w:top w:val="nil"/>
              <w:bottom w:val="nil"/>
            </w:tcBorders>
            <w:shd w:val="clear" w:color="auto" w:fill="D0E4CA"/>
          </w:tcPr>
          <w:p>
            <w:pPr>
              <w:pStyle w:val="TableParagraph"/>
              <w:rPr>
                <w:rFonts w:ascii="Times New Roman"/>
                <w:sz w:val="18"/>
              </w:rPr>
            </w:pPr>
          </w:p>
        </w:tc>
        <w:tc>
          <w:tcPr>
            <w:tcW w:w="1411" w:type="dxa"/>
            <w:tcBorders>
              <w:top w:val="nil"/>
              <w:bottom w:val="nil"/>
            </w:tcBorders>
            <w:shd w:val="clear" w:color="auto" w:fill="D0E4CA"/>
          </w:tcPr>
          <w:p>
            <w:pPr>
              <w:pStyle w:val="TableParagraph"/>
              <w:rPr>
                <w:rFonts w:ascii="Times New Roman"/>
                <w:sz w:val="18"/>
              </w:rPr>
            </w:pPr>
          </w:p>
        </w:tc>
        <w:tc>
          <w:tcPr>
            <w:tcW w:w="2765" w:type="dxa"/>
            <w:tcBorders>
              <w:top w:val="nil"/>
              <w:bottom w:val="nil"/>
            </w:tcBorders>
            <w:shd w:val="clear" w:color="auto" w:fill="D0E4CA"/>
          </w:tcPr>
          <w:p>
            <w:pPr>
              <w:pStyle w:val="TableParagraph"/>
              <w:spacing w:line="249" w:lineRule="exact"/>
              <w:ind w:left="107"/>
              <w:rPr>
                <w:sz w:val="22"/>
              </w:rPr>
            </w:pPr>
            <w:r>
              <w:rPr>
                <w:sz w:val="22"/>
              </w:rPr>
              <w:t>review and evaluate</w:t>
            </w:r>
          </w:p>
        </w:tc>
        <w:tc>
          <w:tcPr>
            <w:tcW w:w="2527" w:type="dxa"/>
            <w:tcBorders>
              <w:top w:val="nil"/>
              <w:bottom w:val="nil"/>
            </w:tcBorders>
            <w:shd w:val="clear" w:color="auto" w:fill="D0E4CA"/>
          </w:tcPr>
          <w:p>
            <w:pPr>
              <w:pStyle w:val="TableParagraph"/>
              <w:spacing w:line="249" w:lineRule="exact"/>
              <w:ind w:left="107"/>
              <w:rPr>
                <w:sz w:val="22"/>
              </w:rPr>
            </w:pPr>
            <w:r>
              <w:rPr>
                <w:sz w:val="22"/>
              </w:rPr>
              <w:t>and adding language to</w:t>
            </w:r>
          </w:p>
        </w:tc>
      </w:tr>
      <w:tr>
        <w:trPr>
          <w:trHeight w:val="268" w:hRule="atLeast"/>
        </w:trPr>
        <w:tc>
          <w:tcPr>
            <w:tcW w:w="3478" w:type="dxa"/>
            <w:tcBorders>
              <w:top w:val="nil"/>
              <w:bottom w:val="nil"/>
            </w:tcBorders>
            <w:shd w:val="clear" w:color="auto" w:fill="D0E4CA"/>
          </w:tcPr>
          <w:p>
            <w:pPr>
              <w:pStyle w:val="TableParagraph"/>
              <w:rPr>
                <w:rFonts w:ascii="Times New Roman"/>
                <w:sz w:val="18"/>
              </w:rPr>
            </w:pPr>
          </w:p>
        </w:tc>
        <w:tc>
          <w:tcPr>
            <w:tcW w:w="2760" w:type="dxa"/>
            <w:tcBorders>
              <w:top w:val="nil"/>
              <w:bottom w:val="nil"/>
            </w:tcBorders>
            <w:shd w:val="clear" w:color="auto" w:fill="D0E4CA"/>
          </w:tcPr>
          <w:p>
            <w:pPr>
              <w:pStyle w:val="TableParagraph"/>
              <w:rPr>
                <w:rFonts w:ascii="Times New Roman"/>
                <w:sz w:val="18"/>
              </w:rPr>
            </w:pPr>
          </w:p>
        </w:tc>
        <w:tc>
          <w:tcPr>
            <w:tcW w:w="1411" w:type="dxa"/>
            <w:tcBorders>
              <w:top w:val="nil"/>
              <w:bottom w:val="nil"/>
            </w:tcBorders>
            <w:shd w:val="clear" w:color="auto" w:fill="D0E4CA"/>
          </w:tcPr>
          <w:p>
            <w:pPr>
              <w:pStyle w:val="TableParagraph"/>
              <w:rPr>
                <w:rFonts w:ascii="Times New Roman"/>
                <w:sz w:val="18"/>
              </w:rPr>
            </w:pPr>
          </w:p>
        </w:tc>
        <w:tc>
          <w:tcPr>
            <w:tcW w:w="2765" w:type="dxa"/>
            <w:tcBorders>
              <w:top w:val="nil"/>
              <w:bottom w:val="nil"/>
            </w:tcBorders>
            <w:shd w:val="clear" w:color="auto" w:fill="D0E4CA"/>
          </w:tcPr>
          <w:p>
            <w:pPr>
              <w:pStyle w:val="TableParagraph"/>
              <w:spacing w:line="249" w:lineRule="exact"/>
              <w:ind w:left="107"/>
              <w:rPr>
                <w:sz w:val="22"/>
              </w:rPr>
            </w:pPr>
            <w:r>
              <w:rPr>
                <w:sz w:val="22"/>
              </w:rPr>
              <w:t>compliance with WAC and</w:t>
            </w:r>
          </w:p>
        </w:tc>
        <w:tc>
          <w:tcPr>
            <w:tcW w:w="2527" w:type="dxa"/>
            <w:tcBorders>
              <w:top w:val="nil"/>
              <w:bottom w:val="nil"/>
            </w:tcBorders>
            <w:shd w:val="clear" w:color="auto" w:fill="D0E4CA"/>
          </w:tcPr>
          <w:p>
            <w:pPr>
              <w:pStyle w:val="TableParagraph"/>
              <w:spacing w:line="249" w:lineRule="exact"/>
              <w:ind w:left="107"/>
              <w:rPr>
                <w:sz w:val="22"/>
              </w:rPr>
            </w:pPr>
            <w:r>
              <w:rPr>
                <w:sz w:val="22"/>
              </w:rPr>
              <w:t>the contracts requiring</w:t>
            </w:r>
          </w:p>
        </w:tc>
      </w:tr>
      <w:tr>
        <w:trPr>
          <w:trHeight w:val="268" w:hRule="atLeast"/>
        </w:trPr>
        <w:tc>
          <w:tcPr>
            <w:tcW w:w="3478" w:type="dxa"/>
            <w:tcBorders>
              <w:top w:val="nil"/>
              <w:bottom w:val="nil"/>
            </w:tcBorders>
            <w:shd w:val="clear" w:color="auto" w:fill="D0E4CA"/>
          </w:tcPr>
          <w:p>
            <w:pPr>
              <w:pStyle w:val="TableParagraph"/>
              <w:rPr>
                <w:rFonts w:ascii="Times New Roman"/>
                <w:sz w:val="18"/>
              </w:rPr>
            </w:pPr>
          </w:p>
        </w:tc>
        <w:tc>
          <w:tcPr>
            <w:tcW w:w="2760" w:type="dxa"/>
            <w:tcBorders>
              <w:top w:val="nil"/>
              <w:bottom w:val="nil"/>
            </w:tcBorders>
            <w:shd w:val="clear" w:color="auto" w:fill="D0E4CA"/>
          </w:tcPr>
          <w:p>
            <w:pPr>
              <w:pStyle w:val="TableParagraph"/>
              <w:rPr>
                <w:rFonts w:ascii="Times New Roman"/>
                <w:sz w:val="18"/>
              </w:rPr>
            </w:pPr>
          </w:p>
        </w:tc>
        <w:tc>
          <w:tcPr>
            <w:tcW w:w="1411" w:type="dxa"/>
            <w:tcBorders>
              <w:top w:val="nil"/>
              <w:bottom w:val="nil"/>
            </w:tcBorders>
            <w:shd w:val="clear" w:color="auto" w:fill="D0E4CA"/>
          </w:tcPr>
          <w:p>
            <w:pPr>
              <w:pStyle w:val="TableParagraph"/>
              <w:rPr>
                <w:rFonts w:ascii="Times New Roman"/>
                <w:sz w:val="18"/>
              </w:rPr>
            </w:pPr>
          </w:p>
        </w:tc>
        <w:tc>
          <w:tcPr>
            <w:tcW w:w="2765" w:type="dxa"/>
            <w:tcBorders>
              <w:top w:val="nil"/>
              <w:bottom w:val="nil"/>
            </w:tcBorders>
            <w:shd w:val="clear" w:color="auto" w:fill="D0E4CA"/>
          </w:tcPr>
          <w:p>
            <w:pPr>
              <w:pStyle w:val="TableParagraph"/>
              <w:spacing w:line="249" w:lineRule="exact"/>
              <w:ind w:left="107"/>
              <w:rPr>
                <w:sz w:val="22"/>
              </w:rPr>
            </w:pPr>
            <w:r>
              <w:rPr>
                <w:sz w:val="22"/>
              </w:rPr>
              <w:t>companion home contract</w:t>
            </w:r>
          </w:p>
        </w:tc>
        <w:tc>
          <w:tcPr>
            <w:tcW w:w="2527" w:type="dxa"/>
            <w:tcBorders>
              <w:top w:val="nil"/>
              <w:bottom w:val="nil"/>
            </w:tcBorders>
            <w:shd w:val="clear" w:color="auto" w:fill="D0E4CA"/>
          </w:tcPr>
          <w:p>
            <w:pPr>
              <w:pStyle w:val="TableParagraph"/>
              <w:spacing w:line="249" w:lineRule="exact"/>
              <w:ind w:left="107"/>
              <w:rPr>
                <w:sz w:val="22"/>
              </w:rPr>
            </w:pPr>
            <w:r>
              <w:rPr>
                <w:sz w:val="22"/>
              </w:rPr>
              <w:t>adherence to the WAC.</w:t>
            </w:r>
          </w:p>
        </w:tc>
      </w:tr>
      <w:tr>
        <w:trPr>
          <w:trHeight w:val="268" w:hRule="atLeast"/>
        </w:trPr>
        <w:tc>
          <w:tcPr>
            <w:tcW w:w="3478" w:type="dxa"/>
            <w:tcBorders>
              <w:top w:val="nil"/>
              <w:bottom w:val="nil"/>
            </w:tcBorders>
            <w:shd w:val="clear" w:color="auto" w:fill="D0E4CA"/>
          </w:tcPr>
          <w:p>
            <w:pPr>
              <w:pStyle w:val="TableParagraph"/>
              <w:rPr>
                <w:rFonts w:ascii="Times New Roman"/>
                <w:sz w:val="18"/>
              </w:rPr>
            </w:pPr>
          </w:p>
        </w:tc>
        <w:tc>
          <w:tcPr>
            <w:tcW w:w="2760" w:type="dxa"/>
            <w:tcBorders>
              <w:top w:val="nil"/>
              <w:bottom w:val="nil"/>
            </w:tcBorders>
            <w:shd w:val="clear" w:color="auto" w:fill="D0E4CA"/>
          </w:tcPr>
          <w:p>
            <w:pPr>
              <w:pStyle w:val="TableParagraph"/>
              <w:rPr>
                <w:rFonts w:ascii="Times New Roman"/>
                <w:sz w:val="18"/>
              </w:rPr>
            </w:pPr>
          </w:p>
        </w:tc>
        <w:tc>
          <w:tcPr>
            <w:tcW w:w="1411" w:type="dxa"/>
            <w:tcBorders>
              <w:top w:val="nil"/>
              <w:bottom w:val="nil"/>
            </w:tcBorders>
            <w:shd w:val="clear" w:color="auto" w:fill="D0E4CA"/>
          </w:tcPr>
          <w:p>
            <w:pPr>
              <w:pStyle w:val="TableParagraph"/>
              <w:rPr>
                <w:rFonts w:ascii="Times New Roman"/>
                <w:sz w:val="18"/>
              </w:rPr>
            </w:pPr>
          </w:p>
        </w:tc>
        <w:tc>
          <w:tcPr>
            <w:tcW w:w="2765" w:type="dxa"/>
            <w:tcBorders>
              <w:top w:val="nil"/>
              <w:bottom w:val="nil"/>
            </w:tcBorders>
            <w:shd w:val="clear" w:color="auto" w:fill="D0E4CA"/>
          </w:tcPr>
          <w:p>
            <w:pPr>
              <w:pStyle w:val="TableParagraph"/>
              <w:spacing w:line="249" w:lineRule="exact"/>
              <w:ind w:left="107"/>
              <w:rPr>
                <w:sz w:val="22"/>
              </w:rPr>
            </w:pPr>
            <w:r>
              <w:rPr>
                <w:sz w:val="22"/>
              </w:rPr>
              <w:t>using a companion home</w:t>
            </w:r>
          </w:p>
        </w:tc>
        <w:tc>
          <w:tcPr>
            <w:tcW w:w="2527" w:type="dxa"/>
            <w:tcBorders>
              <w:top w:val="nil"/>
              <w:bottom w:val="nil"/>
            </w:tcBorders>
            <w:shd w:val="clear" w:color="auto" w:fill="D0E4CA"/>
          </w:tcPr>
          <w:p>
            <w:pPr>
              <w:pStyle w:val="TableParagraph"/>
              <w:spacing w:line="249" w:lineRule="exact"/>
              <w:ind w:left="107"/>
              <w:rPr>
                <w:sz w:val="22"/>
              </w:rPr>
            </w:pPr>
            <w:r>
              <w:rPr>
                <w:sz w:val="22"/>
              </w:rPr>
              <w:t>See </w:t>
            </w:r>
            <w:r>
              <w:rPr>
                <w:color w:val="6B9F24"/>
                <w:sz w:val="22"/>
                <w:u w:val="single" w:color="6B9F24"/>
              </w:rPr>
              <w:t>Appendix C</w:t>
            </w:r>
            <w:r>
              <w:rPr>
                <w:sz w:val="22"/>
              </w:rPr>
              <w:t>.</w:t>
            </w:r>
          </w:p>
        </w:tc>
      </w:tr>
      <w:tr>
        <w:trPr>
          <w:trHeight w:val="268" w:hRule="atLeast"/>
        </w:trPr>
        <w:tc>
          <w:tcPr>
            <w:tcW w:w="3478" w:type="dxa"/>
            <w:tcBorders>
              <w:top w:val="nil"/>
              <w:bottom w:val="nil"/>
            </w:tcBorders>
            <w:shd w:val="clear" w:color="auto" w:fill="D0E4CA"/>
          </w:tcPr>
          <w:p>
            <w:pPr>
              <w:pStyle w:val="TableParagraph"/>
              <w:rPr>
                <w:rFonts w:ascii="Times New Roman"/>
                <w:sz w:val="18"/>
              </w:rPr>
            </w:pPr>
          </w:p>
        </w:tc>
        <w:tc>
          <w:tcPr>
            <w:tcW w:w="2760" w:type="dxa"/>
            <w:tcBorders>
              <w:top w:val="nil"/>
              <w:bottom w:val="nil"/>
            </w:tcBorders>
            <w:shd w:val="clear" w:color="auto" w:fill="D0E4CA"/>
          </w:tcPr>
          <w:p>
            <w:pPr>
              <w:pStyle w:val="TableParagraph"/>
              <w:rPr>
                <w:rFonts w:ascii="Times New Roman"/>
                <w:sz w:val="18"/>
              </w:rPr>
            </w:pPr>
          </w:p>
        </w:tc>
        <w:tc>
          <w:tcPr>
            <w:tcW w:w="1411" w:type="dxa"/>
            <w:tcBorders>
              <w:top w:val="nil"/>
              <w:bottom w:val="nil"/>
            </w:tcBorders>
            <w:shd w:val="clear" w:color="auto" w:fill="D0E4CA"/>
          </w:tcPr>
          <w:p>
            <w:pPr>
              <w:pStyle w:val="TableParagraph"/>
              <w:rPr>
                <w:rFonts w:ascii="Times New Roman"/>
                <w:sz w:val="18"/>
              </w:rPr>
            </w:pPr>
          </w:p>
        </w:tc>
        <w:tc>
          <w:tcPr>
            <w:tcW w:w="2765" w:type="dxa"/>
            <w:tcBorders>
              <w:top w:val="nil"/>
              <w:bottom w:val="nil"/>
            </w:tcBorders>
            <w:shd w:val="clear" w:color="auto" w:fill="D0E4CA"/>
          </w:tcPr>
          <w:p>
            <w:pPr>
              <w:pStyle w:val="TableParagraph"/>
              <w:spacing w:line="249" w:lineRule="exact"/>
              <w:ind w:left="107"/>
              <w:rPr>
                <w:sz w:val="22"/>
              </w:rPr>
            </w:pPr>
            <w:r>
              <w:rPr>
                <w:sz w:val="22"/>
              </w:rPr>
              <w:t>evaluation tool.</w:t>
            </w:r>
          </w:p>
        </w:tc>
        <w:tc>
          <w:tcPr>
            <w:tcW w:w="2527" w:type="dxa"/>
            <w:tcBorders>
              <w:top w:val="nil"/>
              <w:bottom w:val="nil"/>
            </w:tcBorders>
            <w:shd w:val="clear" w:color="auto" w:fill="D0E4CA"/>
          </w:tcPr>
          <w:p>
            <w:pPr>
              <w:pStyle w:val="TableParagraph"/>
              <w:rPr>
                <w:rFonts w:ascii="Times New Roman"/>
                <w:sz w:val="18"/>
              </w:rPr>
            </w:pPr>
          </w:p>
        </w:tc>
      </w:tr>
      <w:tr>
        <w:trPr>
          <w:trHeight w:val="268" w:hRule="atLeast"/>
        </w:trPr>
        <w:tc>
          <w:tcPr>
            <w:tcW w:w="3478" w:type="dxa"/>
            <w:tcBorders>
              <w:top w:val="nil"/>
              <w:bottom w:val="nil"/>
            </w:tcBorders>
            <w:shd w:val="clear" w:color="auto" w:fill="D0E4CA"/>
          </w:tcPr>
          <w:p>
            <w:pPr>
              <w:pStyle w:val="TableParagraph"/>
              <w:rPr>
                <w:rFonts w:ascii="Times New Roman"/>
                <w:sz w:val="18"/>
              </w:rPr>
            </w:pPr>
          </w:p>
        </w:tc>
        <w:tc>
          <w:tcPr>
            <w:tcW w:w="2760" w:type="dxa"/>
            <w:tcBorders>
              <w:top w:val="nil"/>
              <w:bottom w:val="nil"/>
            </w:tcBorders>
            <w:shd w:val="clear" w:color="auto" w:fill="D0E4CA"/>
          </w:tcPr>
          <w:p>
            <w:pPr>
              <w:pStyle w:val="TableParagraph"/>
              <w:rPr>
                <w:rFonts w:ascii="Times New Roman"/>
                <w:sz w:val="18"/>
              </w:rPr>
            </w:pPr>
          </w:p>
        </w:tc>
        <w:tc>
          <w:tcPr>
            <w:tcW w:w="1411" w:type="dxa"/>
            <w:tcBorders>
              <w:top w:val="nil"/>
              <w:bottom w:val="nil"/>
            </w:tcBorders>
            <w:shd w:val="clear" w:color="auto" w:fill="D0E4CA"/>
          </w:tcPr>
          <w:p>
            <w:pPr>
              <w:pStyle w:val="TableParagraph"/>
              <w:rPr>
                <w:rFonts w:ascii="Times New Roman"/>
                <w:sz w:val="18"/>
              </w:rPr>
            </w:pPr>
          </w:p>
        </w:tc>
        <w:tc>
          <w:tcPr>
            <w:tcW w:w="2765" w:type="dxa"/>
            <w:tcBorders>
              <w:top w:val="nil"/>
              <w:bottom w:val="nil"/>
            </w:tcBorders>
            <w:shd w:val="clear" w:color="auto" w:fill="D0E4CA"/>
          </w:tcPr>
          <w:p>
            <w:pPr>
              <w:pStyle w:val="TableParagraph"/>
              <w:spacing w:line="249" w:lineRule="exact"/>
              <w:ind w:left="107"/>
              <w:rPr>
                <w:sz w:val="22"/>
              </w:rPr>
            </w:pPr>
            <w:r>
              <w:rPr>
                <w:sz w:val="22"/>
              </w:rPr>
              <w:t>On-site inspections ensure</w:t>
            </w:r>
          </w:p>
        </w:tc>
        <w:tc>
          <w:tcPr>
            <w:tcW w:w="2527" w:type="dxa"/>
            <w:tcBorders>
              <w:top w:val="nil"/>
              <w:bottom w:val="nil"/>
            </w:tcBorders>
            <w:shd w:val="clear" w:color="auto" w:fill="D0E4CA"/>
          </w:tcPr>
          <w:p>
            <w:pPr>
              <w:pStyle w:val="TableParagraph"/>
              <w:rPr>
                <w:rFonts w:ascii="Times New Roman"/>
                <w:sz w:val="18"/>
              </w:rPr>
            </w:pPr>
          </w:p>
        </w:tc>
      </w:tr>
      <w:tr>
        <w:trPr>
          <w:trHeight w:val="267" w:hRule="atLeast"/>
        </w:trPr>
        <w:tc>
          <w:tcPr>
            <w:tcW w:w="3478" w:type="dxa"/>
            <w:tcBorders>
              <w:top w:val="nil"/>
              <w:bottom w:val="nil"/>
            </w:tcBorders>
            <w:shd w:val="clear" w:color="auto" w:fill="D0E4CA"/>
          </w:tcPr>
          <w:p>
            <w:pPr>
              <w:pStyle w:val="TableParagraph"/>
              <w:rPr>
                <w:rFonts w:ascii="Times New Roman"/>
                <w:sz w:val="18"/>
              </w:rPr>
            </w:pPr>
          </w:p>
        </w:tc>
        <w:tc>
          <w:tcPr>
            <w:tcW w:w="2760" w:type="dxa"/>
            <w:tcBorders>
              <w:top w:val="nil"/>
              <w:bottom w:val="nil"/>
            </w:tcBorders>
            <w:shd w:val="clear" w:color="auto" w:fill="D0E4CA"/>
          </w:tcPr>
          <w:p>
            <w:pPr>
              <w:pStyle w:val="TableParagraph"/>
              <w:rPr>
                <w:rFonts w:ascii="Times New Roman"/>
                <w:sz w:val="18"/>
              </w:rPr>
            </w:pPr>
          </w:p>
        </w:tc>
        <w:tc>
          <w:tcPr>
            <w:tcW w:w="1411" w:type="dxa"/>
            <w:tcBorders>
              <w:top w:val="nil"/>
              <w:bottom w:val="nil"/>
            </w:tcBorders>
            <w:shd w:val="clear" w:color="auto" w:fill="D0E4CA"/>
          </w:tcPr>
          <w:p>
            <w:pPr>
              <w:pStyle w:val="TableParagraph"/>
              <w:rPr>
                <w:rFonts w:ascii="Times New Roman"/>
                <w:sz w:val="18"/>
              </w:rPr>
            </w:pPr>
          </w:p>
        </w:tc>
        <w:tc>
          <w:tcPr>
            <w:tcW w:w="2765" w:type="dxa"/>
            <w:tcBorders>
              <w:top w:val="nil"/>
              <w:bottom w:val="nil"/>
            </w:tcBorders>
            <w:shd w:val="clear" w:color="auto" w:fill="D0E4CA"/>
          </w:tcPr>
          <w:p>
            <w:pPr>
              <w:pStyle w:val="TableParagraph"/>
              <w:spacing w:line="248" w:lineRule="exact"/>
              <w:ind w:left="107"/>
              <w:rPr>
                <w:sz w:val="22"/>
              </w:rPr>
            </w:pPr>
            <w:r>
              <w:rPr>
                <w:sz w:val="22"/>
              </w:rPr>
              <w:t>homes meet all licensing</w:t>
            </w:r>
          </w:p>
        </w:tc>
        <w:tc>
          <w:tcPr>
            <w:tcW w:w="2527" w:type="dxa"/>
            <w:tcBorders>
              <w:top w:val="nil"/>
              <w:bottom w:val="nil"/>
            </w:tcBorders>
            <w:shd w:val="clear" w:color="auto" w:fill="D0E4CA"/>
          </w:tcPr>
          <w:p>
            <w:pPr>
              <w:pStyle w:val="TableParagraph"/>
              <w:rPr>
                <w:rFonts w:ascii="Times New Roman"/>
                <w:sz w:val="18"/>
              </w:rPr>
            </w:pPr>
          </w:p>
        </w:tc>
      </w:tr>
      <w:tr>
        <w:trPr>
          <w:trHeight w:val="267" w:hRule="atLeast"/>
        </w:trPr>
        <w:tc>
          <w:tcPr>
            <w:tcW w:w="3478" w:type="dxa"/>
            <w:tcBorders>
              <w:top w:val="nil"/>
              <w:bottom w:val="nil"/>
            </w:tcBorders>
            <w:shd w:val="clear" w:color="auto" w:fill="D0E4CA"/>
          </w:tcPr>
          <w:p>
            <w:pPr>
              <w:pStyle w:val="TableParagraph"/>
              <w:rPr>
                <w:rFonts w:ascii="Times New Roman"/>
                <w:sz w:val="18"/>
              </w:rPr>
            </w:pPr>
          </w:p>
        </w:tc>
        <w:tc>
          <w:tcPr>
            <w:tcW w:w="2760" w:type="dxa"/>
            <w:tcBorders>
              <w:top w:val="nil"/>
              <w:bottom w:val="nil"/>
            </w:tcBorders>
            <w:shd w:val="clear" w:color="auto" w:fill="D0E4CA"/>
          </w:tcPr>
          <w:p>
            <w:pPr>
              <w:pStyle w:val="TableParagraph"/>
              <w:rPr>
                <w:rFonts w:ascii="Times New Roman"/>
                <w:sz w:val="18"/>
              </w:rPr>
            </w:pPr>
          </w:p>
        </w:tc>
        <w:tc>
          <w:tcPr>
            <w:tcW w:w="1411" w:type="dxa"/>
            <w:tcBorders>
              <w:top w:val="nil"/>
              <w:bottom w:val="nil"/>
            </w:tcBorders>
            <w:shd w:val="clear" w:color="auto" w:fill="D0E4CA"/>
          </w:tcPr>
          <w:p>
            <w:pPr>
              <w:pStyle w:val="TableParagraph"/>
              <w:rPr>
                <w:rFonts w:ascii="Times New Roman"/>
                <w:sz w:val="18"/>
              </w:rPr>
            </w:pPr>
          </w:p>
        </w:tc>
        <w:tc>
          <w:tcPr>
            <w:tcW w:w="2765" w:type="dxa"/>
            <w:tcBorders>
              <w:top w:val="nil"/>
              <w:bottom w:val="nil"/>
            </w:tcBorders>
            <w:shd w:val="clear" w:color="auto" w:fill="D0E4CA"/>
          </w:tcPr>
          <w:p>
            <w:pPr>
              <w:pStyle w:val="TableParagraph"/>
              <w:spacing w:line="247" w:lineRule="exact"/>
              <w:ind w:left="107"/>
              <w:rPr>
                <w:sz w:val="22"/>
              </w:rPr>
            </w:pPr>
            <w:r>
              <w:rPr>
                <w:sz w:val="22"/>
              </w:rPr>
              <w:t>and certification</w:t>
            </w:r>
          </w:p>
        </w:tc>
        <w:tc>
          <w:tcPr>
            <w:tcW w:w="2527" w:type="dxa"/>
            <w:tcBorders>
              <w:top w:val="nil"/>
              <w:bottom w:val="nil"/>
            </w:tcBorders>
            <w:shd w:val="clear" w:color="auto" w:fill="D0E4CA"/>
          </w:tcPr>
          <w:p>
            <w:pPr>
              <w:pStyle w:val="TableParagraph"/>
              <w:rPr>
                <w:rFonts w:ascii="Times New Roman"/>
                <w:sz w:val="18"/>
              </w:rPr>
            </w:pPr>
          </w:p>
        </w:tc>
      </w:tr>
      <w:tr>
        <w:trPr>
          <w:trHeight w:val="251" w:hRule="atLeast"/>
        </w:trPr>
        <w:tc>
          <w:tcPr>
            <w:tcW w:w="3478" w:type="dxa"/>
            <w:tcBorders>
              <w:top w:val="nil"/>
            </w:tcBorders>
            <w:shd w:val="clear" w:color="auto" w:fill="D0E4CA"/>
          </w:tcPr>
          <w:p>
            <w:pPr>
              <w:pStyle w:val="TableParagraph"/>
              <w:rPr>
                <w:rFonts w:ascii="Times New Roman"/>
                <w:sz w:val="18"/>
              </w:rPr>
            </w:pPr>
          </w:p>
        </w:tc>
        <w:tc>
          <w:tcPr>
            <w:tcW w:w="2760" w:type="dxa"/>
            <w:tcBorders>
              <w:top w:val="nil"/>
            </w:tcBorders>
            <w:shd w:val="clear" w:color="auto" w:fill="D0E4CA"/>
          </w:tcPr>
          <w:p>
            <w:pPr>
              <w:pStyle w:val="TableParagraph"/>
              <w:rPr>
                <w:rFonts w:ascii="Times New Roman"/>
                <w:sz w:val="18"/>
              </w:rPr>
            </w:pPr>
          </w:p>
        </w:tc>
        <w:tc>
          <w:tcPr>
            <w:tcW w:w="1411" w:type="dxa"/>
            <w:tcBorders>
              <w:top w:val="nil"/>
            </w:tcBorders>
            <w:shd w:val="clear" w:color="auto" w:fill="D0E4CA"/>
          </w:tcPr>
          <w:p>
            <w:pPr>
              <w:pStyle w:val="TableParagraph"/>
              <w:rPr>
                <w:rFonts w:ascii="Times New Roman"/>
                <w:sz w:val="18"/>
              </w:rPr>
            </w:pPr>
          </w:p>
        </w:tc>
        <w:tc>
          <w:tcPr>
            <w:tcW w:w="2765" w:type="dxa"/>
            <w:tcBorders>
              <w:top w:val="nil"/>
            </w:tcBorders>
            <w:shd w:val="clear" w:color="auto" w:fill="D0E4CA"/>
          </w:tcPr>
          <w:p>
            <w:pPr>
              <w:pStyle w:val="TableParagraph"/>
              <w:spacing w:line="232" w:lineRule="exact"/>
              <w:ind w:left="107"/>
              <w:rPr>
                <w:sz w:val="22"/>
              </w:rPr>
            </w:pPr>
            <w:r>
              <w:rPr>
                <w:sz w:val="22"/>
              </w:rPr>
              <w:t>requirements in WAC and</w:t>
            </w:r>
          </w:p>
        </w:tc>
        <w:tc>
          <w:tcPr>
            <w:tcW w:w="2527" w:type="dxa"/>
            <w:tcBorders>
              <w:top w:val="nil"/>
            </w:tcBorders>
            <w:shd w:val="clear" w:color="auto" w:fill="D0E4CA"/>
          </w:tcPr>
          <w:p>
            <w:pPr>
              <w:pStyle w:val="TableParagraph"/>
              <w:rPr>
                <w:rFonts w:ascii="Times New Roman"/>
                <w:sz w:val="18"/>
              </w:rPr>
            </w:pPr>
          </w:p>
        </w:tc>
      </w:tr>
    </w:tbl>
    <w:p>
      <w:pPr>
        <w:pStyle w:val="BodyText"/>
        <w:spacing w:before="3"/>
        <w:rPr>
          <w:b/>
          <w:sz w:val="14"/>
        </w:rPr>
      </w:pPr>
      <w:r>
        <w:rPr/>
        <w:pict>
          <v:shape style="position:absolute;margin-left:70.559998pt;margin-top:10.9195pt;width:650.9pt;height:.1pt;mso-position-horizontal-relative:page;mso-position-vertical-relative:paragraph;z-index:-251500544;mso-wrap-distance-left:0;mso-wrap-distance-right:0" coordorigin="1411,218" coordsize="13018,0" path="m1411,218l14429,218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78"/>
        <w:gridCol w:w="2760"/>
        <w:gridCol w:w="1411"/>
        <w:gridCol w:w="2765"/>
        <w:gridCol w:w="2527"/>
      </w:tblGrid>
      <w:tr>
        <w:trPr>
          <w:trHeight w:val="584" w:hRule="atLeast"/>
        </w:trPr>
        <w:tc>
          <w:tcPr>
            <w:tcW w:w="3478" w:type="dxa"/>
            <w:tcBorders>
              <w:bottom w:val="single" w:sz="18" w:space="0" w:color="4E8542"/>
            </w:tcBorders>
          </w:tcPr>
          <w:p>
            <w:pPr>
              <w:pStyle w:val="TableParagraph"/>
              <w:spacing w:line="292" w:lineRule="exact"/>
              <w:ind w:left="254"/>
              <w:rPr>
                <w:b/>
                <w:sz w:val="24"/>
              </w:rPr>
            </w:pPr>
            <w:r>
              <w:rPr>
                <w:b/>
                <w:sz w:val="24"/>
              </w:rPr>
              <w:t>Characteristics/Requirements</w:t>
            </w:r>
          </w:p>
        </w:tc>
        <w:tc>
          <w:tcPr>
            <w:tcW w:w="2760" w:type="dxa"/>
            <w:tcBorders>
              <w:bottom w:val="single" w:sz="18" w:space="0" w:color="4E8542"/>
            </w:tcBorders>
          </w:tcPr>
          <w:p>
            <w:pPr>
              <w:pStyle w:val="TableParagraph"/>
              <w:spacing w:line="292" w:lineRule="exact"/>
              <w:ind w:left="481"/>
              <w:rPr>
                <w:b/>
                <w:sz w:val="24"/>
              </w:rPr>
            </w:pPr>
            <w:r>
              <w:rPr>
                <w:b/>
                <w:sz w:val="24"/>
              </w:rPr>
              <w:t>Companion Home</w:t>
            </w:r>
          </w:p>
          <w:p>
            <w:pPr>
              <w:pStyle w:val="TableParagraph"/>
              <w:spacing w:line="272" w:lineRule="exact"/>
              <w:ind w:left="563"/>
              <w:rPr>
                <w:b/>
                <w:sz w:val="24"/>
              </w:rPr>
            </w:pPr>
            <w:r>
              <w:rPr>
                <w:b/>
                <w:sz w:val="24"/>
              </w:rPr>
              <w:t>State Evaluation</w:t>
            </w:r>
          </w:p>
        </w:tc>
        <w:tc>
          <w:tcPr>
            <w:tcW w:w="1411" w:type="dxa"/>
            <w:tcBorders>
              <w:bottom w:val="single" w:sz="18" w:space="0" w:color="4E8542"/>
            </w:tcBorders>
          </w:tcPr>
          <w:p>
            <w:pPr>
              <w:pStyle w:val="TableParagraph"/>
              <w:spacing w:line="292" w:lineRule="exact"/>
              <w:ind w:left="100" w:right="84"/>
              <w:jc w:val="center"/>
              <w:rPr>
                <w:b/>
                <w:sz w:val="24"/>
              </w:rPr>
            </w:pPr>
            <w:r>
              <w:rPr>
                <w:b/>
                <w:sz w:val="24"/>
              </w:rPr>
              <w:t>Compliance</w:t>
            </w:r>
          </w:p>
          <w:p>
            <w:pPr>
              <w:pStyle w:val="TableParagraph"/>
              <w:spacing w:line="272" w:lineRule="exact"/>
              <w:ind w:left="96" w:right="84"/>
              <w:jc w:val="center"/>
              <w:rPr>
                <w:b/>
                <w:sz w:val="24"/>
              </w:rPr>
            </w:pPr>
            <w:r>
              <w:rPr>
                <w:b/>
                <w:sz w:val="24"/>
              </w:rPr>
              <w:t>Level</w:t>
            </w:r>
          </w:p>
        </w:tc>
        <w:tc>
          <w:tcPr>
            <w:tcW w:w="2765" w:type="dxa"/>
            <w:tcBorders>
              <w:bottom w:val="single" w:sz="18" w:space="0" w:color="4E8542"/>
            </w:tcBorders>
          </w:tcPr>
          <w:p>
            <w:pPr>
              <w:pStyle w:val="TableParagraph"/>
              <w:spacing w:line="292" w:lineRule="exact"/>
              <w:ind w:left="496"/>
              <w:rPr>
                <w:b/>
                <w:sz w:val="24"/>
              </w:rPr>
            </w:pPr>
            <w:r>
              <w:rPr>
                <w:b/>
                <w:sz w:val="24"/>
              </w:rPr>
              <w:t>Oversight Process</w:t>
            </w:r>
          </w:p>
        </w:tc>
        <w:tc>
          <w:tcPr>
            <w:tcW w:w="2527" w:type="dxa"/>
            <w:tcBorders>
              <w:bottom w:val="single" w:sz="18" w:space="0" w:color="4E8542"/>
            </w:tcBorders>
          </w:tcPr>
          <w:p>
            <w:pPr>
              <w:pStyle w:val="TableParagraph"/>
              <w:spacing w:line="292" w:lineRule="exact"/>
              <w:ind w:left="623"/>
              <w:rPr>
                <w:b/>
                <w:sz w:val="24"/>
              </w:rPr>
            </w:pPr>
            <w:r>
              <w:rPr>
                <w:b/>
                <w:sz w:val="24"/>
              </w:rPr>
              <w:t>Remediation</w:t>
            </w:r>
          </w:p>
        </w:tc>
      </w:tr>
      <w:tr>
        <w:trPr>
          <w:trHeight w:val="514" w:hRule="atLeast"/>
        </w:trPr>
        <w:tc>
          <w:tcPr>
            <w:tcW w:w="3478" w:type="dxa"/>
            <w:tcBorders>
              <w:top w:val="single" w:sz="18" w:space="0" w:color="4E8542"/>
            </w:tcBorders>
            <w:shd w:val="clear" w:color="auto" w:fill="D0E4CA"/>
          </w:tcPr>
          <w:p>
            <w:pPr>
              <w:pStyle w:val="TableParagraph"/>
              <w:rPr>
                <w:rFonts w:ascii="Times New Roman"/>
                <w:sz w:val="22"/>
              </w:rPr>
            </w:pPr>
          </w:p>
        </w:tc>
        <w:tc>
          <w:tcPr>
            <w:tcW w:w="2760" w:type="dxa"/>
            <w:tcBorders>
              <w:top w:val="single" w:sz="18" w:space="0" w:color="4E8542"/>
            </w:tcBorders>
            <w:shd w:val="clear" w:color="auto" w:fill="D0E4CA"/>
          </w:tcPr>
          <w:p>
            <w:pPr>
              <w:pStyle w:val="TableParagraph"/>
              <w:rPr>
                <w:rFonts w:ascii="Times New Roman"/>
                <w:sz w:val="22"/>
              </w:rPr>
            </w:pPr>
          </w:p>
        </w:tc>
        <w:tc>
          <w:tcPr>
            <w:tcW w:w="1411" w:type="dxa"/>
            <w:tcBorders>
              <w:top w:val="single" w:sz="18" w:space="0" w:color="4E8542"/>
            </w:tcBorders>
            <w:shd w:val="clear" w:color="auto" w:fill="D0E4CA"/>
          </w:tcPr>
          <w:p>
            <w:pPr>
              <w:pStyle w:val="TableParagraph"/>
              <w:rPr>
                <w:rFonts w:ascii="Times New Roman"/>
                <w:sz w:val="22"/>
              </w:rPr>
            </w:pPr>
          </w:p>
        </w:tc>
        <w:tc>
          <w:tcPr>
            <w:tcW w:w="2765" w:type="dxa"/>
            <w:tcBorders>
              <w:top w:val="single" w:sz="18" w:space="0" w:color="4E8542"/>
            </w:tcBorders>
            <w:shd w:val="clear" w:color="auto" w:fill="D0E4CA"/>
          </w:tcPr>
          <w:p>
            <w:pPr>
              <w:pStyle w:val="TableParagraph"/>
              <w:spacing w:line="245" w:lineRule="exact"/>
              <w:ind w:left="107"/>
              <w:rPr>
                <w:sz w:val="22"/>
              </w:rPr>
            </w:pPr>
            <w:r>
              <w:rPr>
                <w:sz w:val="22"/>
              </w:rPr>
              <w:t>RCW, including WAC 388-</w:t>
            </w:r>
          </w:p>
          <w:p>
            <w:pPr>
              <w:pStyle w:val="TableParagraph"/>
              <w:spacing w:line="249" w:lineRule="exact"/>
              <w:ind w:left="107"/>
              <w:rPr>
                <w:sz w:val="22"/>
              </w:rPr>
            </w:pPr>
            <w:r>
              <w:rPr>
                <w:sz w:val="22"/>
              </w:rPr>
              <w:t>823-1095.</w:t>
            </w:r>
          </w:p>
        </w:tc>
        <w:tc>
          <w:tcPr>
            <w:tcW w:w="2527" w:type="dxa"/>
            <w:tcBorders>
              <w:top w:val="single" w:sz="18" w:space="0" w:color="4E8542"/>
            </w:tcBorders>
            <w:shd w:val="clear" w:color="auto" w:fill="D0E4CA"/>
          </w:tcPr>
          <w:p>
            <w:pPr>
              <w:pStyle w:val="TableParagraph"/>
              <w:rPr>
                <w:rFonts w:ascii="Times New Roman"/>
                <w:sz w:val="22"/>
              </w:rPr>
            </w:pPr>
          </w:p>
        </w:tc>
      </w:tr>
      <w:tr>
        <w:trPr>
          <w:trHeight w:val="2301" w:hRule="atLeast"/>
        </w:trPr>
        <w:tc>
          <w:tcPr>
            <w:tcW w:w="3478" w:type="dxa"/>
            <w:tcBorders>
              <w:bottom w:val="nil"/>
            </w:tcBorders>
          </w:tcPr>
          <w:p>
            <w:pPr>
              <w:pStyle w:val="TableParagraph"/>
              <w:ind w:left="107" w:right="351"/>
              <w:rPr>
                <w:b/>
                <w:sz w:val="22"/>
              </w:rPr>
            </w:pPr>
            <w:r>
              <w:rPr>
                <w:b/>
                <w:sz w:val="22"/>
              </w:rPr>
              <w:t>Privacy: Individuals have the freedom to furnish and decorate their sleeping or living units.</w:t>
            </w:r>
          </w:p>
        </w:tc>
        <w:tc>
          <w:tcPr>
            <w:tcW w:w="2760" w:type="dxa"/>
            <w:tcBorders>
              <w:bottom w:val="nil"/>
            </w:tcBorders>
          </w:tcPr>
          <w:p>
            <w:pPr>
              <w:pStyle w:val="TableParagraph"/>
              <w:spacing w:line="267" w:lineRule="exact"/>
              <w:ind w:left="107"/>
              <w:rPr>
                <w:sz w:val="22"/>
              </w:rPr>
            </w:pPr>
            <w:hyperlink r:id="rId124">
              <w:r>
                <w:rPr>
                  <w:color w:val="6B9F24"/>
                  <w:sz w:val="22"/>
                  <w:u w:val="single" w:color="6B9F24"/>
                </w:rPr>
                <w:t>WAC 388-829C-090</w:t>
              </w:r>
            </w:hyperlink>
          </w:p>
        </w:tc>
        <w:tc>
          <w:tcPr>
            <w:tcW w:w="1411" w:type="dxa"/>
            <w:tcBorders>
              <w:bottom w:val="nil"/>
            </w:tcBorders>
          </w:tcPr>
          <w:p>
            <w:pPr>
              <w:pStyle w:val="TableParagraph"/>
              <w:ind w:left="107" w:right="343"/>
              <w:rPr>
                <w:sz w:val="22"/>
              </w:rPr>
            </w:pPr>
            <w:r>
              <w:rPr>
                <w:sz w:val="22"/>
              </w:rPr>
              <w:t>Fully Compliant</w:t>
            </w:r>
          </w:p>
        </w:tc>
        <w:tc>
          <w:tcPr>
            <w:tcW w:w="2765" w:type="dxa"/>
            <w:tcBorders>
              <w:bottom w:val="nil"/>
            </w:tcBorders>
          </w:tcPr>
          <w:p>
            <w:pPr>
              <w:pStyle w:val="TableParagraph"/>
              <w:ind w:left="107" w:right="219"/>
              <w:rPr>
                <w:sz w:val="22"/>
              </w:rPr>
            </w:pPr>
            <w:r>
              <w:rPr>
                <w:sz w:val="22"/>
              </w:rPr>
              <w:t>Annual evaluation process conducted by DDA- contracted evaluators who review and evaluate compliance with WAC and companion home contract using a companion home evaluation tool.</w:t>
            </w:r>
          </w:p>
        </w:tc>
        <w:tc>
          <w:tcPr>
            <w:tcW w:w="2527" w:type="dxa"/>
            <w:tcBorders>
              <w:bottom w:val="nil"/>
            </w:tcBorders>
          </w:tcPr>
          <w:p>
            <w:pPr>
              <w:pStyle w:val="TableParagraph"/>
              <w:ind w:left="107" w:right="18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1725" w:hRule="atLeast"/>
        </w:trPr>
        <w:tc>
          <w:tcPr>
            <w:tcW w:w="3478" w:type="dxa"/>
            <w:tcBorders>
              <w:top w:val="nil"/>
            </w:tcBorders>
          </w:tcPr>
          <w:p>
            <w:pPr>
              <w:pStyle w:val="TableParagraph"/>
              <w:rPr>
                <w:rFonts w:ascii="Times New Roman"/>
                <w:sz w:val="22"/>
              </w:rPr>
            </w:pPr>
          </w:p>
        </w:tc>
        <w:tc>
          <w:tcPr>
            <w:tcW w:w="2760" w:type="dxa"/>
            <w:tcBorders>
              <w:top w:val="nil"/>
            </w:tcBorders>
          </w:tcPr>
          <w:p>
            <w:pPr>
              <w:pStyle w:val="TableParagraph"/>
              <w:rPr>
                <w:rFonts w:ascii="Times New Roman"/>
                <w:sz w:val="22"/>
              </w:rPr>
            </w:pPr>
          </w:p>
        </w:tc>
        <w:tc>
          <w:tcPr>
            <w:tcW w:w="1411" w:type="dxa"/>
            <w:tcBorders>
              <w:top w:val="nil"/>
            </w:tcBorders>
          </w:tcPr>
          <w:p>
            <w:pPr>
              <w:pStyle w:val="TableParagraph"/>
              <w:rPr>
                <w:rFonts w:ascii="Times New Roman"/>
                <w:sz w:val="22"/>
              </w:rPr>
            </w:pPr>
          </w:p>
        </w:tc>
        <w:tc>
          <w:tcPr>
            <w:tcW w:w="2765" w:type="dxa"/>
            <w:tcBorders>
              <w:top w:val="nil"/>
            </w:tcBorders>
          </w:tcPr>
          <w:p>
            <w:pPr>
              <w:pStyle w:val="TableParagraph"/>
              <w:spacing w:before="114"/>
              <w:ind w:left="107" w:right="245"/>
              <w:rPr>
                <w:sz w:val="22"/>
              </w:rPr>
            </w:pPr>
            <w:r>
              <w:rPr>
                <w:sz w:val="22"/>
              </w:rPr>
              <w:t>On-site inspections ensure homes meet all licensing and certification requirements in WAC and RCW, including WAC 388-</w:t>
            </w:r>
          </w:p>
          <w:p>
            <w:pPr>
              <w:pStyle w:val="TableParagraph"/>
              <w:spacing w:line="248" w:lineRule="exact"/>
              <w:ind w:left="107"/>
              <w:rPr>
                <w:sz w:val="22"/>
              </w:rPr>
            </w:pPr>
            <w:r>
              <w:rPr>
                <w:sz w:val="22"/>
              </w:rPr>
              <w:t>823-1095.</w:t>
            </w:r>
          </w:p>
        </w:tc>
        <w:tc>
          <w:tcPr>
            <w:tcW w:w="2527" w:type="dxa"/>
            <w:tcBorders>
              <w:top w:val="nil"/>
            </w:tcBorders>
          </w:tcPr>
          <w:p>
            <w:pPr>
              <w:pStyle w:val="TableParagraph"/>
              <w:rPr>
                <w:rFonts w:ascii="Times New Roman"/>
                <w:sz w:val="22"/>
              </w:rPr>
            </w:pPr>
          </w:p>
        </w:tc>
      </w:tr>
      <w:tr>
        <w:trPr>
          <w:trHeight w:val="2303" w:hRule="atLeast"/>
        </w:trPr>
        <w:tc>
          <w:tcPr>
            <w:tcW w:w="3478" w:type="dxa"/>
            <w:tcBorders>
              <w:bottom w:val="nil"/>
            </w:tcBorders>
            <w:shd w:val="clear" w:color="auto" w:fill="D0E4CA"/>
          </w:tcPr>
          <w:p>
            <w:pPr>
              <w:pStyle w:val="TableParagraph"/>
              <w:spacing w:before="1"/>
              <w:ind w:left="107" w:right="229"/>
              <w:rPr>
                <w:b/>
                <w:sz w:val="22"/>
              </w:rPr>
            </w:pPr>
            <w:r>
              <w:rPr>
                <w:b/>
                <w:sz w:val="22"/>
              </w:rPr>
              <w:t>Individuals have the freedom and support to control their own schedules and activities, and have access to food at any time.</w:t>
            </w:r>
          </w:p>
        </w:tc>
        <w:tc>
          <w:tcPr>
            <w:tcW w:w="2760" w:type="dxa"/>
            <w:tcBorders>
              <w:bottom w:val="nil"/>
            </w:tcBorders>
            <w:shd w:val="clear" w:color="auto" w:fill="D0E4CA"/>
          </w:tcPr>
          <w:p>
            <w:pPr>
              <w:pStyle w:val="TableParagraph"/>
              <w:spacing w:before="1"/>
              <w:ind w:left="107"/>
              <w:rPr>
                <w:sz w:val="22"/>
              </w:rPr>
            </w:pPr>
            <w:hyperlink r:id="rId127">
              <w:r>
                <w:rPr>
                  <w:color w:val="6B9F24"/>
                  <w:sz w:val="22"/>
                  <w:u w:val="single" w:color="6B9F24"/>
                </w:rPr>
                <w:t>WAC 388-829C-100</w:t>
              </w:r>
            </w:hyperlink>
          </w:p>
        </w:tc>
        <w:tc>
          <w:tcPr>
            <w:tcW w:w="1411" w:type="dxa"/>
            <w:tcBorders>
              <w:bottom w:val="nil"/>
            </w:tcBorders>
            <w:shd w:val="clear" w:color="auto" w:fill="D0E4CA"/>
          </w:tcPr>
          <w:p>
            <w:pPr>
              <w:pStyle w:val="TableParagraph"/>
              <w:spacing w:before="1"/>
              <w:ind w:left="107" w:right="343"/>
              <w:rPr>
                <w:sz w:val="22"/>
              </w:rPr>
            </w:pPr>
            <w:r>
              <w:rPr>
                <w:sz w:val="22"/>
              </w:rPr>
              <w:t>Fully Compliant</w:t>
            </w:r>
          </w:p>
        </w:tc>
        <w:tc>
          <w:tcPr>
            <w:tcW w:w="2765" w:type="dxa"/>
            <w:tcBorders>
              <w:bottom w:val="nil"/>
            </w:tcBorders>
            <w:shd w:val="clear" w:color="auto" w:fill="D0E4CA"/>
          </w:tcPr>
          <w:p>
            <w:pPr>
              <w:pStyle w:val="TableParagraph"/>
              <w:spacing w:before="1"/>
              <w:ind w:left="107" w:right="219"/>
              <w:rPr>
                <w:sz w:val="22"/>
              </w:rPr>
            </w:pPr>
            <w:r>
              <w:rPr>
                <w:sz w:val="22"/>
              </w:rPr>
              <w:t>Annual evaluation process conducted by DDA- contracted evaluators who review and evaluate compliance with WAC and companion home contract using a companion home evaluation tool.</w:t>
            </w:r>
          </w:p>
        </w:tc>
        <w:tc>
          <w:tcPr>
            <w:tcW w:w="2527" w:type="dxa"/>
            <w:tcBorders>
              <w:bottom w:val="nil"/>
            </w:tcBorders>
            <w:shd w:val="clear" w:color="auto" w:fill="D0E4CA"/>
          </w:tcPr>
          <w:p>
            <w:pPr>
              <w:pStyle w:val="TableParagraph"/>
              <w:spacing w:before="1"/>
              <w:ind w:left="107" w:right="18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1190" w:hRule="atLeast"/>
        </w:trPr>
        <w:tc>
          <w:tcPr>
            <w:tcW w:w="3478" w:type="dxa"/>
            <w:tcBorders>
              <w:top w:val="nil"/>
            </w:tcBorders>
            <w:shd w:val="clear" w:color="auto" w:fill="D0E4CA"/>
          </w:tcPr>
          <w:p>
            <w:pPr>
              <w:pStyle w:val="TableParagraph"/>
              <w:rPr>
                <w:rFonts w:ascii="Times New Roman"/>
                <w:sz w:val="22"/>
              </w:rPr>
            </w:pPr>
          </w:p>
        </w:tc>
        <w:tc>
          <w:tcPr>
            <w:tcW w:w="2760" w:type="dxa"/>
            <w:tcBorders>
              <w:top w:val="nil"/>
            </w:tcBorders>
            <w:shd w:val="clear" w:color="auto" w:fill="D0E4CA"/>
          </w:tcPr>
          <w:p>
            <w:pPr>
              <w:pStyle w:val="TableParagraph"/>
              <w:rPr>
                <w:rFonts w:ascii="Times New Roman"/>
                <w:sz w:val="22"/>
              </w:rPr>
            </w:pPr>
          </w:p>
        </w:tc>
        <w:tc>
          <w:tcPr>
            <w:tcW w:w="1411" w:type="dxa"/>
            <w:tcBorders>
              <w:top w:val="nil"/>
            </w:tcBorders>
            <w:shd w:val="clear" w:color="auto" w:fill="D0E4CA"/>
          </w:tcPr>
          <w:p>
            <w:pPr>
              <w:pStyle w:val="TableParagraph"/>
              <w:rPr>
                <w:rFonts w:ascii="Times New Roman"/>
                <w:sz w:val="22"/>
              </w:rPr>
            </w:pPr>
          </w:p>
        </w:tc>
        <w:tc>
          <w:tcPr>
            <w:tcW w:w="2765" w:type="dxa"/>
            <w:tcBorders>
              <w:top w:val="nil"/>
            </w:tcBorders>
            <w:shd w:val="clear" w:color="auto" w:fill="D0E4CA"/>
          </w:tcPr>
          <w:p>
            <w:pPr>
              <w:pStyle w:val="TableParagraph"/>
              <w:spacing w:before="114"/>
              <w:ind w:left="107" w:right="245"/>
              <w:rPr>
                <w:sz w:val="22"/>
              </w:rPr>
            </w:pPr>
            <w:r>
              <w:rPr>
                <w:sz w:val="22"/>
              </w:rPr>
              <w:t>On-site inspections ensure homes meet all licensing and certification</w:t>
            </w:r>
          </w:p>
          <w:p>
            <w:pPr>
              <w:pStyle w:val="TableParagraph"/>
              <w:spacing w:line="250" w:lineRule="exact"/>
              <w:ind w:left="107"/>
              <w:rPr>
                <w:sz w:val="22"/>
              </w:rPr>
            </w:pPr>
            <w:r>
              <w:rPr>
                <w:sz w:val="22"/>
              </w:rPr>
              <w:t>requirements in WAC and</w:t>
            </w:r>
          </w:p>
        </w:tc>
        <w:tc>
          <w:tcPr>
            <w:tcW w:w="2527" w:type="dxa"/>
            <w:tcBorders>
              <w:top w:val="nil"/>
            </w:tcBorders>
            <w:shd w:val="clear" w:color="auto" w:fill="D0E4CA"/>
          </w:tcPr>
          <w:p>
            <w:pPr>
              <w:pStyle w:val="TableParagraph"/>
              <w:rPr>
                <w:rFonts w:ascii="Times New Roman"/>
                <w:sz w:val="22"/>
              </w:rPr>
            </w:pPr>
          </w:p>
        </w:tc>
      </w:tr>
    </w:tbl>
    <w:p>
      <w:pPr>
        <w:pStyle w:val="BodyText"/>
        <w:rPr>
          <w:b/>
          <w:sz w:val="20"/>
        </w:rPr>
      </w:pPr>
    </w:p>
    <w:p>
      <w:pPr>
        <w:pStyle w:val="BodyText"/>
        <w:spacing w:before="3"/>
        <w:rPr>
          <w:b/>
          <w:sz w:val="16"/>
        </w:rPr>
      </w:pPr>
      <w:r>
        <w:rPr/>
        <w:pict>
          <v:shape style="position:absolute;margin-left:70.559998pt;margin-top:12.152469pt;width:650.9pt;height:.1pt;mso-position-horizontal-relative:page;mso-position-vertical-relative:paragraph;z-index:-251499520;mso-wrap-distance-left:0;mso-wrap-distance-right:0" coordorigin="1411,243" coordsize="13018,0" path="m1411,243l14429,243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78"/>
        <w:gridCol w:w="2760"/>
        <w:gridCol w:w="1411"/>
        <w:gridCol w:w="2765"/>
        <w:gridCol w:w="2527"/>
      </w:tblGrid>
      <w:tr>
        <w:trPr>
          <w:trHeight w:val="584" w:hRule="atLeast"/>
        </w:trPr>
        <w:tc>
          <w:tcPr>
            <w:tcW w:w="3478" w:type="dxa"/>
            <w:tcBorders>
              <w:bottom w:val="single" w:sz="18" w:space="0" w:color="4E8542"/>
            </w:tcBorders>
          </w:tcPr>
          <w:p>
            <w:pPr>
              <w:pStyle w:val="TableParagraph"/>
              <w:spacing w:line="292" w:lineRule="exact"/>
              <w:ind w:left="254"/>
              <w:rPr>
                <w:b/>
                <w:sz w:val="24"/>
              </w:rPr>
            </w:pPr>
            <w:r>
              <w:rPr>
                <w:b/>
                <w:sz w:val="24"/>
              </w:rPr>
              <w:t>Characteristics/Requirements</w:t>
            </w:r>
          </w:p>
        </w:tc>
        <w:tc>
          <w:tcPr>
            <w:tcW w:w="2760" w:type="dxa"/>
            <w:tcBorders>
              <w:bottom w:val="single" w:sz="18" w:space="0" w:color="4E8542"/>
            </w:tcBorders>
          </w:tcPr>
          <w:p>
            <w:pPr>
              <w:pStyle w:val="TableParagraph"/>
              <w:spacing w:line="292" w:lineRule="exact"/>
              <w:ind w:left="481"/>
              <w:rPr>
                <w:b/>
                <w:sz w:val="24"/>
              </w:rPr>
            </w:pPr>
            <w:r>
              <w:rPr>
                <w:b/>
                <w:sz w:val="24"/>
              </w:rPr>
              <w:t>Companion Home</w:t>
            </w:r>
          </w:p>
          <w:p>
            <w:pPr>
              <w:pStyle w:val="TableParagraph"/>
              <w:spacing w:line="272" w:lineRule="exact"/>
              <w:ind w:left="563"/>
              <w:rPr>
                <w:b/>
                <w:sz w:val="24"/>
              </w:rPr>
            </w:pPr>
            <w:r>
              <w:rPr>
                <w:b/>
                <w:sz w:val="24"/>
              </w:rPr>
              <w:t>State Evaluation</w:t>
            </w:r>
          </w:p>
        </w:tc>
        <w:tc>
          <w:tcPr>
            <w:tcW w:w="1411" w:type="dxa"/>
            <w:tcBorders>
              <w:bottom w:val="single" w:sz="18" w:space="0" w:color="4E8542"/>
            </w:tcBorders>
          </w:tcPr>
          <w:p>
            <w:pPr>
              <w:pStyle w:val="TableParagraph"/>
              <w:spacing w:line="292" w:lineRule="exact"/>
              <w:ind w:left="100" w:right="84"/>
              <w:jc w:val="center"/>
              <w:rPr>
                <w:b/>
                <w:sz w:val="24"/>
              </w:rPr>
            </w:pPr>
            <w:r>
              <w:rPr>
                <w:b/>
                <w:sz w:val="24"/>
              </w:rPr>
              <w:t>Compliance</w:t>
            </w:r>
          </w:p>
          <w:p>
            <w:pPr>
              <w:pStyle w:val="TableParagraph"/>
              <w:spacing w:line="272" w:lineRule="exact"/>
              <w:ind w:left="96" w:right="84"/>
              <w:jc w:val="center"/>
              <w:rPr>
                <w:b/>
                <w:sz w:val="24"/>
              </w:rPr>
            </w:pPr>
            <w:r>
              <w:rPr>
                <w:b/>
                <w:sz w:val="24"/>
              </w:rPr>
              <w:t>Level</w:t>
            </w:r>
          </w:p>
        </w:tc>
        <w:tc>
          <w:tcPr>
            <w:tcW w:w="2765" w:type="dxa"/>
            <w:tcBorders>
              <w:bottom w:val="single" w:sz="18" w:space="0" w:color="4E8542"/>
            </w:tcBorders>
          </w:tcPr>
          <w:p>
            <w:pPr>
              <w:pStyle w:val="TableParagraph"/>
              <w:spacing w:line="292" w:lineRule="exact"/>
              <w:ind w:left="496"/>
              <w:rPr>
                <w:b/>
                <w:sz w:val="24"/>
              </w:rPr>
            </w:pPr>
            <w:r>
              <w:rPr>
                <w:b/>
                <w:sz w:val="24"/>
              </w:rPr>
              <w:t>Oversight Process</w:t>
            </w:r>
          </w:p>
        </w:tc>
        <w:tc>
          <w:tcPr>
            <w:tcW w:w="2527" w:type="dxa"/>
            <w:tcBorders>
              <w:bottom w:val="single" w:sz="18" w:space="0" w:color="4E8542"/>
            </w:tcBorders>
          </w:tcPr>
          <w:p>
            <w:pPr>
              <w:pStyle w:val="TableParagraph"/>
              <w:spacing w:line="292" w:lineRule="exact"/>
              <w:ind w:left="623"/>
              <w:rPr>
                <w:b/>
                <w:sz w:val="24"/>
              </w:rPr>
            </w:pPr>
            <w:r>
              <w:rPr>
                <w:b/>
                <w:sz w:val="24"/>
              </w:rPr>
              <w:t>Remediation</w:t>
            </w:r>
          </w:p>
        </w:tc>
      </w:tr>
      <w:tr>
        <w:trPr>
          <w:trHeight w:val="514" w:hRule="atLeast"/>
        </w:trPr>
        <w:tc>
          <w:tcPr>
            <w:tcW w:w="3478" w:type="dxa"/>
            <w:tcBorders>
              <w:top w:val="single" w:sz="18" w:space="0" w:color="4E8542"/>
            </w:tcBorders>
            <w:shd w:val="clear" w:color="auto" w:fill="D0E4CA"/>
          </w:tcPr>
          <w:p>
            <w:pPr>
              <w:pStyle w:val="TableParagraph"/>
              <w:rPr>
                <w:rFonts w:ascii="Times New Roman"/>
                <w:sz w:val="22"/>
              </w:rPr>
            </w:pPr>
          </w:p>
        </w:tc>
        <w:tc>
          <w:tcPr>
            <w:tcW w:w="2760" w:type="dxa"/>
            <w:tcBorders>
              <w:top w:val="single" w:sz="18" w:space="0" w:color="4E8542"/>
            </w:tcBorders>
            <w:shd w:val="clear" w:color="auto" w:fill="D0E4CA"/>
          </w:tcPr>
          <w:p>
            <w:pPr>
              <w:pStyle w:val="TableParagraph"/>
              <w:rPr>
                <w:rFonts w:ascii="Times New Roman"/>
                <w:sz w:val="22"/>
              </w:rPr>
            </w:pPr>
          </w:p>
        </w:tc>
        <w:tc>
          <w:tcPr>
            <w:tcW w:w="1411" w:type="dxa"/>
            <w:tcBorders>
              <w:top w:val="single" w:sz="18" w:space="0" w:color="4E8542"/>
            </w:tcBorders>
            <w:shd w:val="clear" w:color="auto" w:fill="D0E4CA"/>
          </w:tcPr>
          <w:p>
            <w:pPr>
              <w:pStyle w:val="TableParagraph"/>
              <w:rPr>
                <w:rFonts w:ascii="Times New Roman"/>
                <w:sz w:val="22"/>
              </w:rPr>
            </w:pPr>
          </w:p>
        </w:tc>
        <w:tc>
          <w:tcPr>
            <w:tcW w:w="2765" w:type="dxa"/>
            <w:tcBorders>
              <w:top w:val="single" w:sz="18" w:space="0" w:color="4E8542"/>
            </w:tcBorders>
            <w:shd w:val="clear" w:color="auto" w:fill="D0E4CA"/>
          </w:tcPr>
          <w:p>
            <w:pPr>
              <w:pStyle w:val="TableParagraph"/>
              <w:spacing w:line="245" w:lineRule="exact"/>
              <w:ind w:left="107"/>
              <w:rPr>
                <w:sz w:val="22"/>
              </w:rPr>
            </w:pPr>
            <w:r>
              <w:rPr>
                <w:sz w:val="22"/>
              </w:rPr>
              <w:t>RCW, including WAC 388-</w:t>
            </w:r>
          </w:p>
          <w:p>
            <w:pPr>
              <w:pStyle w:val="TableParagraph"/>
              <w:spacing w:line="249" w:lineRule="exact"/>
              <w:ind w:left="107"/>
              <w:rPr>
                <w:sz w:val="22"/>
              </w:rPr>
            </w:pPr>
            <w:r>
              <w:rPr>
                <w:sz w:val="22"/>
              </w:rPr>
              <w:t>823-1095.</w:t>
            </w:r>
          </w:p>
        </w:tc>
        <w:tc>
          <w:tcPr>
            <w:tcW w:w="2527" w:type="dxa"/>
            <w:tcBorders>
              <w:top w:val="single" w:sz="18" w:space="0" w:color="4E8542"/>
            </w:tcBorders>
            <w:shd w:val="clear" w:color="auto" w:fill="D0E4CA"/>
          </w:tcPr>
          <w:p>
            <w:pPr>
              <w:pStyle w:val="TableParagraph"/>
              <w:rPr>
                <w:rFonts w:ascii="Times New Roman"/>
                <w:sz w:val="22"/>
              </w:rPr>
            </w:pPr>
          </w:p>
        </w:tc>
      </w:tr>
      <w:tr>
        <w:trPr>
          <w:trHeight w:val="4026" w:hRule="atLeast"/>
        </w:trPr>
        <w:tc>
          <w:tcPr>
            <w:tcW w:w="3478" w:type="dxa"/>
          </w:tcPr>
          <w:p>
            <w:pPr>
              <w:pStyle w:val="TableParagraph"/>
              <w:ind w:left="107" w:right="103"/>
              <w:rPr>
                <w:b/>
                <w:sz w:val="22"/>
              </w:rPr>
            </w:pPr>
            <w:r>
              <w:rPr>
                <w:b/>
                <w:sz w:val="22"/>
              </w:rPr>
              <w:t>Individuals are able to have visitors of their choosing at any time.</w:t>
            </w:r>
          </w:p>
        </w:tc>
        <w:tc>
          <w:tcPr>
            <w:tcW w:w="2760" w:type="dxa"/>
          </w:tcPr>
          <w:p>
            <w:pPr>
              <w:pStyle w:val="TableParagraph"/>
              <w:spacing w:line="267" w:lineRule="exact"/>
              <w:ind w:left="107"/>
              <w:rPr>
                <w:sz w:val="22"/>
              </w:rPr>
            </w:pPr>
            <w:hyperlink r:id="rId124">
              <w:r>
                <w:rPr>
                  <w:color w:val="6B9F24"/>
                  <w:sz w:val="22"/>
                  <w:u w:val="single" w:color="6B9F24"/>
                </w:rPr>
                <w:t>WAC 388-829C-090</w:t>
              </w:r>
              <w:r>
                <w:rPr>
                  <w:sz w:val="22"/>
                </w:rPr>
                <w:t>, </w:t>
              </w:r>
            </w:hyperlink>
            <w:hyperlink r:id="rId127">
              <w:r>
                <w:rPr>
                  <w:color w:val="6B9F24"/>
                  <w:sz w:val="22"/>
                  <w:u w:val="single" w:color="6B9F24"/>
                </w:rPr>
                <w:t>100</w:t>
              </w:r>
            </w:hyperlink>
          </w:p>
        </w:tc>
        <w:tc>
          <w:tcPr>
            <w:tcW w:w="1411" w:type="dxa"/>
          </w:tcPr>
          <w:p>
            <w:pPr>
              <w:pStyle w:val="TableParagraph"/>
              <w:ind w:left="107" w:right="343"/>
              <w:rPr>
                <w:sz w:val="22"/>
              </w:rPr>
            </w:pPr>
            <w:r>
              <w:rPr>
                <w:sz w:val="22"/>
              </w:rPr>
              <w:t>Fully Compliant</w:t>
            </w:r>
          </w:p>
        </w:tc>
        <w:tc>
          <w:tcPr>
            <w:tcW w:w="2765" w:type="dxa"/>
          </w:tcPr>
          <w:p>
            <w:pPr>
              <w:pStyle w:val="TableParagraph"/>
              <w:ind w:left="107" w:right="219"/>
              <w:rPr>
                <w:sz w:val="22"/>
              </w:rPr>
            </w:pPr>
            <w:r>
              <w:rPr>
                <w:sz w:val="22"/>
              </w:rPr>
              <w:t>Annual evaluation process conducted by DDA- contracted evaluators who review and evaluate compliance with WAC and companion home contract using a companion home evaluation tool.</w:t>
            </w:r>
          </w:p>
          <w:p>
            <w:pPr>
              <w:pStyle w:val="TableParagraph"/>
              <w:spacing w:before="10"/>
              <w:rPr>
                <w:b/>
                <w:sz w:val="21"/>
              </w:rPr>
            </w:pPr>
          </w:p>
          <w:p>
            <w:pPr>
              <w:pStyle w:val="TableParagraph"/>
              <w:spacing w:before="1"/>
              <w:ind w:left="107" w:right="245"/>
              <w:rPr>
                <w:sz w:val="22"/>
              </w:rPr>
            </w:pPr>
            <w:r>
              <w:rPr>
                <w:sz w:val="22"/>
              </w:rPr>
              <w:t>On-site inspections ensure homes meet all licensing and certification requirements in WAC and RCW, including WAC 388-</w:t>
            </w:r>
          </w:p>
          <w:p>
            <w:pPr>
              <w:pStyle w:val="TableParagraph"/>
              <w:spacing w:line="248" w:lineRule="exact"/>
              <w:ind w:left="107"/>
              <w:rPr>
                <w:sz w:val="22"/>
              </w:rPr>
            </w:pPr>
            <w:r>
              <w:rPr>
                <w:sz w:val="22"/>
              </w:rPr>
              <w:t>823-1095.</w:t>
            </w:r>
          </w:p>
        </w:tc>
        <w:tc>
          <w:tcPr>
            <w:tcW w:w="2527" w:type="dxa"/>
          </w:tcPr>
          <w:p>
            <w:pPr>
              <w:pStyle w:val="TableParagraph"/>
              <w:ind w:left="107" w:right="18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3762" w:hRule="atLeast"/>
        </w:trPr>
        <w:tc>
          <w:tcPr>
            <w:tcW w:w="3478" w:type="dxa"/>
            <w:shd w:val="clear" w:color="auto" w:fill="D0E4CA"/>
          </w:tcPr>
          <w:p>
            <w:pPr>
              <w:pStyle w:val="TableParagraph"/>
              <w:spacing w:before="1"/>
              <w:ind w:left="107" w:right="214"/>
              <w:rPr>
                <w:b/>
                <w:sz w:val="22"/>
              </w:rPr>
            </w:pPr>
            <w:r>
              <w:rPr>
                <w:b/>
                <w:sz w:val="22"/>
              </w:rPr>
              <w:t>The setting is physically accessible to the individual.</w:t>
            </w:r>
          </w:p>
        </w:tc>
        <w:tc>
          <w:tcPr>
            <w:tcW w:w="2760" w:type="dxa"/>
            <w:shd w:val="clear" w:color="auto" w:fill="D0E4CA"/>
          </w:tcPr>
          <w:p>
            <w:pPr>
              <w:pStyle w:val="TableParagraph"/>
              <w:spacing w:before="1"/>
              <w:ind w:left="107"/>
              <w:rPr>
                <w:sz w:val="22"/>
              </w:rPr>
            </w:pPr>
            <w:hyperlink r:id="rId128">
              <w:r>
                <w:rPr>
                  <w:color w:val="6B9F24"/>
                  <w:sz w:val="22"/>
                  <w:u w:val="single" w:color="6B9F24"/>
                </w:rPr>
                <w:t>WAC 388-829C-320</w:t>
              </w:r>
            </w:hyperlink>
          </w:p>
          <w:p>
            <w:pPr>
              <w:pStyle w:val="TableParagraph"/>
              <w:ind w:left="107" w:right="127"/>
              <w:rPr>
                <w:sz w:val="22"/>
              </w:rPr>
            </w:pPr>
            <w:r>
              <w:rPr>
                <w:sz w:val="22"/>
              </w:rPr>
              <w:t>Companion home providers must ensure that the following physical and safety requirements are met for the client: a safe and healthy environment; a separate bedroom; accessible telephone equipment with local 911 access; a list of emergency contact numbers accessible to the client; an evacuation</w:t>
            </w:r>
          </w:p>
          <w:p>
            <w:pPr>
              <w:pStyle w:val="TableParagraph"/>
              <w:spacing w:line="250" w:lineRule="exact"/>
              <w:ind w:left="107"/>
              <w:rPr>
                <w:sz w:val="22"/>
              </w:rPr>
            </w:pPr>
            <w:r>
              <w:rPr>
                <w:sz w:val="22"/>
              </w:rPr>
              <w:t>plan developed, posted, and</w:t>
            </w:r>
          </w:p>
        </w:tc>
        <w:tc>
          <w:tcPr>
            <w:tcW w:w="1411" w:type="dxa"/>
            <w:shd w:val="clear" w:color="auto" w:fill="D0E4CA"/>
          </w:tcPr>
          <w:p>
            <w:pPr>
              <w:pStyle w:val="TableParagraph"/>
              <w:spacing w:before="1"/>
              <w:ind w:left="107" w:right="343"/>
              <w:rPr>
                <w:sz w:val="22"/>
              </w:rPr>
            </w:pPr>
            <w:r>
              <w:rPr>
                <w:sz w:val="22"/>
              </w:rPr>
              <w:t>Fully Compliant</w:t>
            </w:r>
          </w:p>
        </w:tc>
        <w:tc>
          <w:tcPr>
            <w:tcW w:w="2765" w:type="dxa"/>
            <w:shd w:val="clear" w:color="auto" w:fill="D0E4CA"/>
          </w:tcPr>
          <w:p>
            <w:pPr>
              <w:pStyle w:val="TableParagraph"/>
              <w:spacing w:before="1"/>
              <w:ind w:left="107" w:right="219"/>
              <w:rPr>
                <w:sz w:val="22"/>
              </w:rPr>
            </w:pPr>
            <w:r>
              <w:rPr>
                <w:sz w:val="22"/>
              </w:rPr>
              <w:t>Annual evaluation process conducted by DDA- contracted evaluators who review and evaluate compliance with WAC and companion home contract using a companion home evaluation tool.</w:t>
            </w:r>
          </w:p>
          <w:p>
            <w:pPr>
              <w:pStyle w:val="TableParagraph"/>
              <w:rPr>
                <w:b/>
                <w:sz w:val="22"/>
              </w:rPr>
            </w:pPr>
          </w:p>
          <w:p>
            <w:pPr>
              <w:pStyle w:val="TableParagraph"/>
              <w:ind w:left="107" w:right="245"/>
              <w:rPr>
                <w:sz w:val="22"/>
              </w:rPr>
            </w:pPr>
            <w:r>
              <w:rPr>
                <w:sz w:val="22"/>
              </w:rPr>
              <w:t>On-site inspections ensure homes meet all licensing and certification requirements in WAC and</w:t>
            </w:r>
          </w:p>
        </w:tc>
        <w:tc>
          <w:tcPr>
            <w:tcW w:w="2527" w:type="dxa"/>
            <w:shd w:val="clear" w:color="auto" w:fill="D0E4CA"/>
          </w:tcPr>
          <w:p>
            <w:pPr>
              <w:pStyle w:val="TableParagraph"/>
              <w:spacing w:before="1"/>
              <w:ind w:left="107" w:right="18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spacing w:before="3"/>
        <w:rPr>
          <w:b/>
          <w:sz w:val="14"/>
        </w:rPr>
      </w:pPr>
      <w:r>
        <w:rPr/>
        <w:pict>
          <v:shape style="position:absolute;margin-left:70.559998pt;margin-top:10.9195pt;width:650.9pt;height:.1pt;mso-position-horizontal-relative:page;mso-position-vertical-relative:paragraph;z-index:-251498496;mso-wrap-distance-left:0;mso-wrap-distance-right:0" coordorigin="1411,218" coordsize="13018,0" path="m1411,218l14429,218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78"/>
        <w:gridCol w:w="2760"/>
        <w:gridCol w:w="1411"/>
        <w:gridCol w:w="2765"/>
        <w:gridCol w:w="2527"/>
      </w:tblGrid>
      <w:tr>
        <w:trPr>
          <w:trHeight w:val="584" w:hRule="atLeast"/>
        </w:trPr>
        <w:tc>
          <w:tcPr>
            <w:tcW w:w="3478" w:type="dxa"/>
            <w:tcBorders>
              <w:bottom w:val="single" w:sz="18" w:space="0" w:color="4E8542"/>
            </w:tcBorders>
          </w:tcPr>
          <w:p>
            <w:pPr>
              <w:pStyle w:val="TableParagraph"/>
              <w:spacing w:line="292" w:lineRule="exact"/>
              <w:ind w:left="254"/>
              <w:rPr>
                <w:b/>
                <w:sz w:val="24"/>
              </w:rPr>
            </w:pPr>
            <w:r>
              <w:rPr>
                <w:b/>
                <w:sz w:val="24"/>
              </w:rPr>
              <w:t>Characteristics/Requirements</w:t>
            </w:r>
          </w:p>
        </w:tc>
        <w:tc>
          <w:tcPr>
            <w:tcW w:w="2760" w:type="dxa"/>
            <w:tcBorders>
              <w:bottom w:val="single" w:sz="18" w:space="0" w:color="4E8542"/>
            </w:tcBorders>
          </w:tcPr>
          <w:p>
            <w:pPr>
              <w:pStyle w:val="TableParagraph"/>
              <w:spacing w:line="292" w:lineRule="exact"/>
              <w:ind w:left="481"/>
              <w:rPr>
                <w:b/>
                <w:sz w:val="24"/>
              </w:rPr>
            </w:pPr>
            <w:r>
              <w:rPr>
                <w:b/>
                <w:sz w:val="24"/>
              </w:rPr>
              <w:t>Companion Home</w:t>
            </w:r>
          </w:p>
          <w:p>
            <w:pPr>
              <w:pStyle w:val="TableParagraph"/>
              <w:spacing w:line="272" w:lineRule="exact"/>
              <w:ind w:left="563"/>
              <w:rPr>
                <w:b/>
                <w:sz w:val="24"/>
              </w:rPr>
            </w:pPr>
            <w:r>
              <w:rPr>
                <w:b/>
                <w:sz w:val="24"/>
              </w:rPr>
              <w:t>State Evaluation</w:t>
            </w:r>
          </w:p>
        </w:tc>
        <w:tc>
          <w:tcPr>
            <w:tcW w:w="1411" w:type="dxa"/>
            <w:tcBorders>
              <w:bottom w:val="single" w:sz="18" w:space="0" w:color="4E8542"/>
            </w:tcBorders>
          </w:tcPr>
          <w:p>
            <w:pPr>
              <w:pStyle w:val="TableParagraph"/>
              <w:spacing w:line="292" w:lineRule="exact"/>
              <w:ind w:left="100" w:right="84"/>
              <w:jc w:val="center"/>
              <w:rPr>
                <w:b/>
                <w:sz w:val="24"/>
              </w:rPr>
            </w:pPr>
            <w:r>
              <w:rPr>
                <w:b/>
                <w:sz w:val="24"/>
              </w:rPr>
              <w:t>Compliance</w:t>
            </w:r>
          </w:p>
          <w:p>
            <w:pPr>
              <w:pStyle w:val="TableParagraph"/>
              <w:spacing w:line="272" w:lineRule="exact"/>
              <w:ind w:left="96" w:right="84"/>
              <w:jc w:val="center"/>
              <w:rPr>
                <w:b/>
                <w:sz w:val="24"/>
              </w:rPr>
            </w:pPr>
            <w:r>
              <w:rPr>
                <w:b/>
                <w:sz w:val="24"/>
              </w:rPr>
              <w:t>Level</w:t>
            </w:r>
          </w:p>
        </w:tc>
        <w:tc>
          <w:tcPr>
            <w:tcW w:w="2765" w:type="dxa"/>
            <w:tcBorders>
              <w:bottom w:val="single" w:sz="18" w:space="0" w:color="4E8542"/>
            </w:tcBorders>
          </w:tcPr>
          <w:p>
            <w:pPr>
              <w:pStyle w:val="TableParagraph"/>
              <w:spacing w:line="292" w:lineRule="exact"/>
              <w:ind w:left="496"/>
              <w:rPr>
                <w:b/>
                <w:sz w:val="24"/>
              </w:rPr>
            </w:pPr>
            <w:r>
              <w:rPr>
                <w:b/>
                <w:sz w:val="24"/>
              </w:rPr>
              <w:t>Oversight Process</w:t>
            </w:r>
          </w:p>
        </w:tc>
        <w:tc>
          <w:tcPr>
            <w:tcW w:w="2527" w:type="dxa"/>
            <w:tcBorders>
              <w:bottom w:val="single" w:sz="18" w:space="0" w:color="4E8542"/>
            </w:tcBorders>
          </w:tcPr>
          <w:p>
            <w:pPr>
              <w:pStyle w:val="TableParagraph"/>
              <w:spacing w:line="292" w:lineRule="exact"/>
              <w:ind w:left="623"/>
              <w:rPr>
                <w:b/>
                <w:sz w:val="24"/>
              </w:rPr>
            </w:pPr>
            <w:r>
              <w:rPr>
                <w:b/>
                <w:sz w:val="24"/>
              </w:rPr>
              <w:t>Remediation</w:t>
            </w:r>
          </w:p>
        </w:tc>
      </w:tr>
      <w:tr>
        <w:trPr>
          <w:trHeight w:val="5617" w:hRule="atLeast"/>
        </w:trPr>
        <w:tc>
          <w:tcPr>
            <w:tcW w:w="3478" w:type="dxa"/>
            <w:tcBorders>
              <w:top w:val="single" w:sz="18" w:space="0" w:color="4E8542"/>
            </w:tcBorders>
            <w:shd w:val="clear" w:color="auto" w:fill="D0E4CA"/>
          </w:tcPr>
          <w:p>
            <w:pPr>
              <w:pStyle w:val="TableParagraph"/>
              <w:rPr>
                <w:rFonts w:ascii="Times New Roman"/>
                <w:sz w:val="22"/>
              </w:rPr>
            </w:pPr>
          </w:p>
        </w:tc>
        <w:tc>
          <w:tcPr>
            <w:tcW w:w="2760" w:type="dxa"/>
            <w:tcBorders>
              <w:top w:val="single" w:sz="18" w:space="0" w:color="4E8542"/>
            </w:tcBorders>
            <w:shd w:val="clear" w:color="auto" w:fill="D0E4CA"/>
          </w:tcPr>
          <w:p>
            <w:pPr>
              <w:pStyle w:val="TableParagraph"/>
              <w:spacing w:line="245" w:lineRule="exact"/>
              <w:ind w:left="107"/>
              <w:rPr>
                <w:sz w:val="22"/>
              </w:rPr>
            </w:pPr>
            <w:r>
              <w:rPr>
                <w:sz w:val="22"/>
              </w:rPr>
              <w:t>practiced monthly with the</w:t>
            </w:r>
          </w:p>
          <w:p>
            <w:pPr>
              <w:pStyle w:val="TableParagraph"/>
              <w:ind w:left="107" w:right="103"/>
              <w:rPr>
                <w:sz w:val="22"/>
              </w:rPr>
            </w:pPr>
            <w:r>
              <w:rPr>
                <w:sz w:val="22"/>
              </w:rPr>
              <w:t>client; an entrance and/or exit that does not rely solely upon windows, ladders, folding stairs, or trap doors; a safe storage area for flammable and combustible materials; unblocked exits; working smoke detectors which are located close to the client’s room and meet the specific needs of the client; a flashlight or other non- electrical light source in working condition; fire extinguisher meeting the fire department standards; and basic first aid supplies. The companion home must be accessible to meet the</w:t>
            </w:r>
          </w:p>
          <w:p>
            <w:pPr>
              <w:pStyle w:val="TableParagraph"/>
              <w:spacing w:line="249" w:lineRule="exact"/>
              <w:ind w:left="107"/>
              <w:rPr>
                <w:sz w:val="22"/>
              </w:rPr>
            </w:pPr>
            <w:r>
              <w:rPr>
                <w:sz w:val="22"/>
              </w:rPr>
              <w:t>client’s needs.</w:t>
            </w:r>
          </w:p>
        </w:tc>
        <w:tc>
          <w:tcPr>
            <w:tcW w:w="1411" w:type="dxa"/>
            <w:tcBorders>
              <w:top w:val="single" w:sz="18" w:space="0" w:color="4E8542"/>
            </w:tcBorders>
            <w:shd w:val="clear" w:color="auto" w:fill="D0E4CA"/>
          </w:tcPr>
          <w:p>
            <w:pPr>
              <w:pStyle w:val="TableParagraph"/>
              <w:rPr>
                <w:rFonts w:ascii="Times New Roman"/>
                <w:sz w:val="22"/>
              </w:rPr>
            </w:pPr>
          </w:p>
        </w:tc>
        <w:tc>
          <w:tcPr>
            <w:tcW w:w="2765" w:type="dxa"/>
            <w:tcBorders>
              <w:top w:val="single" w:sz="18" w:space="0" w:color="4E8542"/>
            </w:tcBorders>
            <w:shd w:val="clear" w:color="auto" w:fill="D0E4CA"/>
          </w:tcPr>
          <w:p>
            <w:pPr>
              <w:pStyle w:val="TableParagraph"/>
              <w:spacing w:line="245" w:lineRule="exact"/>
              <w:ind w:left="107"/>
              <w:rPr>
                <w:sz w:val="22"/>
              </w:rPr>
            </w:pPr>
            <w:r>
              <w:rPr>
                <w:sz w:val="22"/>
              </w:rPr>
              <w:t>RCW, including WAC 388-</w:t>
            </w:r>
          </w:p>
          <w:p>
            <w:pPr>
              <w:pStyle w:val="TableParagraph"/>
              <w:ind w:left="107"/>
              <w:rPr>
                <w:sz w:val="22"/>
              </w:rPr>
            </w:pPr>
            <w:r>
              <w:rPr>
                <w:sz w:val="22"/>
              </w:rPr>
              <w:t>823-1095.</w:t>
            </w:r>
          </w:p>
        </w:tc>
        <w:tc>
          <w:tcPr>
            <w:tcW w:w="2527" w:type="dxa"/>
            <w:tcBorders>
              <w:top w:val="single" w:sz="18" w:space="0" w:color="4E8542"/>
            </w:tcBorders>
            <w:shd w:val="clear" w:color="auto" w:fill="D0E4CA"/>
          </w:tcPr>
          <w:p>
            <w:pPr>
              <w:pStyle w:val="TableParagraph"/>
              <w:rPr>
                <w:rFonts w:ascii="Times New Roman"/>
                <w:sz w:val="22"/>
              </w:rPr>
            </w:pPr>
          </w:p>
        </w:tc>
      </w:tr>
      <w:tr>
        <w:trPr>
          <w:trHeight w:val="2761" w:hRule="atLeast"/>
        </w:trPr>
        <w:tc>
          <w:tcPr>
            <w:tcW w:w="3478" w:type="dxa"/>
          </w:tcPr>
          <w:p>
            <w:pPr>
              <w:pStyle w:val="TableParagraph"/>
              <w:ind w:left="107" w:right="70"/>
              <w:rPr>
                <w:b/>
                <w:sz w:val="22"/>
              </w:rPr>
            </w:pPr>
            <w:r>
              <w:rPr>
                <w:b/>
                <w:sz w:val="22"/>
              </w:rPr>
              <w:t>The unit or room is a specific physical place that can be owned, rented or occupied under another legally enforceable agreement by the individual receiving services, and the individual has, at a minimum, the same responsibilities and protections from eviction that tenants have under the landlord</w:t>
            </w:r>
          </w:p>
        </w:tc>
        <w:tc>
          <w:tcPr>
            <w:tcW w:w="2760" w:type="dxa"/>
          </w:tcPr>
          <w:p>
            <w:pPr>
              <w:pStyle w:val="TableParagraph"/>
              <w:spacing w:line="267" w:lineRule="exact"/>
              <w:ind w:left="107"/>
              <w:rPr>
                <w:sz w:val="22"/>
              </w:rPr>
            </w:pPr>
            <w:hyperlink r:id="rId123">
              <w:r>
                <w:rPr>
                  <w:color w:val="6B9F24"/>
                  <w:sz w:val="22"/>
                  <w:u w:val="single" w:color="6B9F24"/>
                </w:rPr>
                <w:t>WAC 388-829C-020</w:t>
              </w:r>
            </w:hyperlink>
          </w:p>
          <w:p>
            <w:pPr>
              <w:pStyle w:val="TableParagraph"/>
              <w:ind w:left="107" w:right="690"/>
              <w:rPr>
                <w:sz w:val="22"/>
              </w:rPr>
            </w:pPr>
            <w:r>
              <w:rPr>
                <w:sz w:val="22"/>
              </w:rPr>
              <w:t>describes companion homes requirements.</w:t>
            </w:r>
          </w:p>
          <w:p>
            <w:pPr>
              <w:pStyle w:val="TableParagraph"/>
              <w:spacing w:before="2"/>
              <w:rPr>
                <w:b/>
                <w:sz w:val="28"/>
              </w:rPr>
            </w:pPr>
          </w:p>
          <w:p>
            <w:pPr>
              <w:pStyle w:val="TableParagraph"/>
              <w:ind w:left="107" w:right="226"/>
              <w:rPr>
                <w:sz w:val="22"/>
              </w:rPr>
            </w:pPr>
            <w:r>
              <w:rPr>
                <w:sz w:val="22"/>
              </w:rPr>
              <w:t>As part of the person centered service planning process, participants are provided with options that meet their physical</w:t>
            </w:r>
          </w:p>
          <w:p>
            <w:pPr>
              <w:pStyle w:val="TableParagraph"/>
              <w:spacing w:line="250" w:lineRule="exact"/>
              <w:ind w:left="107"/>
              <w:rPr>
                <w:sz w:val="22"/>
              </w:rPr>
            </w:pPr>
            <w:r>
              <w:rPr>
                <w:sz w:val="22"/>
              </w:rPr>
              <w:t>accessibility requirements.</w:t>
            </w:r>
          </w:p>
        </w:tc>
        <w:tc>
          <w:tcPr>
            <w:tcW w:w="1411" w:type="dxa"/>
          </w:tcPr>
          <w:p>
            <w:pPr>
              <w:pStyle w:val="TableParagraph"/>
              <w:ind w:left="107" w:right="343"/>
              <w:rPr>
                <w:sz w:val="22"/>
              </w:rPr>
            </w:pPr>
            <w:r>
              <w:rPr>
                <w:sz w:val="22"/>
              </w:rPr>
              <w:t>Fully Compliant</w:t>
            </w:r>
          </w:p>
        </w:tc>
        <w:tc>
          <w:tcPr>
            <w:tcW w:w="2765" w:type="dxa"/>
          </w:tcPr>
          <w:p>
            <w:pPr>
              <w:pStyle w:val="TableParagraph"/>
              <w:ind w:left="107" w:right="219"/>
              <w:rPr>
                <w:sz w:val="22"/>
              </w:rPr>
            </w:pPr>
            <w:r>
              <w:rPr>
                <w:sz w:val="22"/>
              </w:rPr>
              <w:t>Annual evaluation process conducted by DDA- contracted evaluators who review and evaluate compliance with WAC and companion home contract using a companion home evaluation tool.</w:t>
            </w:r>
          </w:p>
        </w:tc>
        <w:tc>
          <w:tcPr>
            <w:tcW w:w="2527" w:type="dxa"/>
          </w:tcPr>
          <w:p>
            <w:pPr>
              <w:pStyle w:val="TableParagraph"/>
              <w:ind w:left="107" w:right="18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spacing w:before="9"/>
        <w:rPr>
          <w:b/>
          <w:sz w:val="9"/>
        </w:rPr>
      </w:pPr>
      <w:r>
        <w:rPr/>
        <w:pict>
          <v:shape style="position:absolute;margin-left:70.559998pt;margin-top:8.1595pt;width:650.9pt;height:.1pt;mso-position-horizontal-relative:page;mso-position-vertical-relative:paragraph;z-index:-251497472;mso-wrap-distance-left:0;mso-wrap-distance-right:0" coordorigin="1411,163" coordsize="13018,0" path="m1411,163l14429,163e" filled="false" stroked="true" strokeweight=".481pt" strokecolor="#d9d9d9">
            <v:path arrowok="t"/>
            <v:stroke dashstyle="solid"/>
            <w10:wrap type="topAndBottom"/>
          </v:shape>
        </w:pict>
      </w:r>
    </w:p>
    <w:p>
      <w:pPr>
        <w:spacing w:after="0"/>
        <w:rPr>
          <w:sz w:val="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78"/>
        <w:gridCol w:w="2760"/>
        <w:gridCol w:w="1411"/>
        <w:gridCol w:w="2765"/>
        <w:gridCol w:w="2527"/>
      </w:tblGrid>
      <w:tr>
        <w:trPr>
          <w:trHeight w:val="584" w:hRule="atLeast"/>
        </w:trPr>
        <w:tc>
          <w:tcPr>
            <w:tcW w:w="3478" w:type="dxa"/>
            <w:tcBorders>
              <w:bottom w:val="single" w:sz="18" w:space="0" w:color="4E8542"/>
            </w:tcBorders>
          </w:tcPr>
          <w:p>
            <w:pPr>
              <w:pStyle w:val="TableParagraph"/>
              <w:spacing w:line="292" w:lineRule="exact"/>
              <w:ind w:left="254"/>
              <w:rPr>
                <w:b/>
                <w:sz w:val="24"/>
              </w:rPr>
            </w:pPr>
            <w:r>
              <w:rPr>
                <w:b/>
                <w:sz w:val="24"/>
              </w:rPr>
              <w:t>Characteristics/Requirements</w:t>
            </w:r>
          </w:p>
        </w:tc>
        <w:tc>
          <w:tcPr>
            <w:tcW w:w="2760" w:type="dxa"/>
            <w:tcBorders>
              <w:bottom w:val="single" w:sz="18" w:space="0" w:color="4E8542"/>
            </w:tcBorders>
          </w:tcPr>
          <w:p>
            <w:pPr>
              <w:pStyle w:val="TableParagraph"/>
              <w:spacing w:line="292" w:lineRule="exact"/>
              <w:ind w:left="481"/>
              <w:rPr>
                <w:b/>
                <w:sz w:val="24"/>
              </w:rPr>
            </w:pPr>
            <w:r>
              <w:rPr>
                <w:b/>
                <w:sz w:val="24"/>
              </w:rPr>
              <w:t>Companion Home</w:t>
            </w:r>
          </w:p>
          <w:p>
            <w:pPr>
              <w:pStyle w:val="TableParagraph"/>
              <w:spacing w:line="272" w:lineRule="exact"/>
              <w:ind w:left="563"/>
              <w:rPr>
                <w:b/>
                <w:sz w:val="24"/>
              </w:rPr>
            </w:pPr>
            <w:r>
              <w:rPr>
                <w:b/>
                <w:sz w:val="24"/>
              </w:rPr>
              <w:t>State Evaluation</w:t>
            </w:r>
          </w:p>
        </w:tc>
        <w:tc>
          <w:tcPr>
            <w:tcW w:w="1411" w:type="dxa"/>
            <w:tcBorders>
              <w:bottom w:val="single" w:sz="18" w:space="0" w:color="4E8542"/>
            </w:tcBorders>
          </w:tcPr>
          <w:p>
            <w:pPr>
              <w:pStyle w:val="TableParagraph"/>
              <w:spacing w:line="292" w:lineRule="exact"/>
              <w:ind w:left="100" w:right="84"/>
              <w:jc w:val="center"/>
              <w:rPr>
                <w:b/>
                <w:sz w:val="24"/>
              </w:rPr>
            </w:pPr>
            <w:r>
              <w:rPr>
                <w:b/>
                <w:sz w:val="24"/>
              </w:rPr>
              <w:t>Compliance</w:t>
            </w:r>
          </w:p>
          <w:p>
            <w:pPr>
              <w:pStyle w:val="TableParagraph"/>
              <w:spacing w:line="272" w:lineRule="exact"/>
              <w:ind w:left="96" w:right="84"/>
              <w:jc w:val="center"/>
              <w:rPr>
                <w:b/>
                <w:sz w:val="24"/>
              </w:rPr>
            </w:pPr>
            <w:r>
              <w:rPr>
                <w:b/>
                <w:sz w:val="24"/>
              </w:rPr>
              <w:t>Level</w:t>
            </w:r>
          </w:p>
        </w:tc>
        <w:tc>
          <w:tcPr>
            <w:tcW w:w="2765" w:type="dxa"/>
            <w:tcBorders>
              <w:bottom w:val="single" w:sz="18" w:space="0" w:color="4E8542"/>
            </w:tcBorders>
          </w:tcPr>
          <w:p>
            <w:pPr>
              <w:pStyle w:val="TableParagraph"/>
              <w:spacing w:line="292" w:lineRule="exact"/>
              <w:ind w:left="496"/>
              <w:rPr>
                <w:b/>
                <w:sz w:val="24"/>
              </w:rPr>
            </w:pPr>
            <w:r>
              <w:rPr>
                <w:b/>
                <w:sz w:val="24"/>
              </w:rPr>
              <w:t>Oversight Process</w:t>
            </w:r>
          </w:p>
        </w:tc>
        <w:tc>
          <w:tcPr>
            <w:tcW w:w="2527" w:type="dxa"/>
            <w:tcBorders>
              <w:bottom w:val="single" w:sz="18" w:space="0" w:color="4E8542"/>
            </w:tcBorders>
          </w:tcPr>
          <w:p>
            <w:pPr>
              <w:pStyle w:val="TableParagraph"/>
              <w:spacing w:line="292" w:lineRule="exact"/>
              <w:ind w:left="623"/>
              <w:rPr>
                <w:b/>
                <w:sz w:val="24"/>
              </w:rPr>
            </w:pPr>
            <w:r>
              <w:rPr>
                <w:b/>
                <w:sz w:val="24"/>
              </w:rPr>
              <w:t>Remediation</w:t>
            </w:r>
          </w:p>
        </w:tc>
      </w:tr>
      <w:tr>
        <w:trPr>
          <w:trHeight w:val="255" w:hRule="atLeast"/>
        </w:trPr>
        <w:tc>
          <w:tcPr>
            <w:tcW w:w="3478" w:type="dxa"/>
            <w:tcBorders>
              <w:top w:val="single" w:sz="18" w:space="0" w:color="4E8542"/>
              <w:bottom w:val="nil"/>
            </w:tcBorders>
          </w:tcPr>
          <w:p>
            <w:pPr>
              <w:pStyle w:val="TableParagraph"/>
              <w:spacing w:line="236" w:lineRule="exact"/>
              <w:ind w:left="107"/>
              <w:rPr>
                <w:b/>
                <w:sz w:val="22"/>
              </w:rPr>
            </w:pPr>
            <w:r>
              <w:rPr>
                <w:b/>
                <w:sz w:val="22"/>
              </w:rPr>
              <w:t>tenant law of the State, county,</w:t>
            </w:r>
          </w:p>
        </w:tc>
        <w:tc>
          <w:tcPr>
            <w:tcW w:w="2760" w:type="dxa"/>
            <w:tcBorders>
              <w:top w:val="single" w:sz="18" w:space="0" w:color="4E8542"/>
              <w:bottom w:val="nil"/>
            </w:tcBorders>
          </w:tcPr>
          <w:p>
            <w:pPr>
              <w:pStyle w:val="TableParagraph"/>
              <w:spacing w:line="236" w:lineRule="exact"/>
              <w:ind w:left="107"/>
              <w:rPr>
                <w:sz w:val="22"/>
              </w:rPr>
            </w:pPr>
            <w:r>
              <w:rPr>
                <w:sz w:val="22"/>
              </w:rPr>
              <w:t>If a participant’s needs</w:t>
            </w:r>
          </w:p>
        </w:tc>
        <w:tc>
          <w:tcPr>
            <w:tcW w:w="1411" w:type="dxa"/>
            <w:vMerge w:val="restart"/>
            <w:tcBorders>
              <w:top w:val="single" w:sz="18" w:space="0" w:color="4E8542"/>
            </w:tcBorders>
          </w:tcPr>
          <w:p>
            <w:pPr>
              <w:pStyle w:val="TableParagraph"/>
              <w:rPr>
                <w:rFonts w:ascii="Times New Roman"/>
                <w:sz w:val="22"/>
              </w:rPr>
            </w:pPr>
          </w:p>
        </w:tc>
        <w:tc>
          <w:tcPr>
            <w:tcW w:w="2765" w:type="dxa"/>
            <w:tcBorders>
              <w:top w:val="single" w:sz="18" w:space="0" w:color="4E8542"/>
              <w:bottom w:val="nil"/>
            </w:tcBorders>
          </w:tcPr>
          <w:p>
            <w:pPr>
              <w:pStyle w:val="TableParagraph"/>
              <w:spacing w:line="236" w:lineRule="exact"/>
              <w:ind w:left="107"/>
              <w:rPr>
                <w:sz w:val="22"/>
              </w:rPr>
            </w:pPr>
            <w:r>
              <w:rPr>
                <w:sz w:val="22"/>
              </w:rPr>
              <w:t>On-site inspections ensure</w:t>
            </w:r>
          </w:p>
        </w:tc>
        <w:tc>
          <w:tcPr>
            <w:tcW w:w="2527" w:type="dxa"/>
            <w:vMerge w:val="restart"/>
            <w:tcBorders>
              <w:top w:val="single" w:sz="18" w:space="0" w:color="4E8542"/>
            </w:tcBorders>
          </w:tcPr>
          <w:p>
            <w:pPr>
              <w:pStyle w:val="TableParagraph"/>
              <w:rPr>
                <w:rFonts w:ascii="Times New Roman"/>
                <w:sz w:val="22"/>
              </w:rPr>
            </w:pPr>
          </w:p>
        </w:tc>
      </w:tr>
      <w:tr>
        <w:trPr>
          <w:trHeight w:val="247" w:hRule="atLeast"/>
        </w:trPr>
        <w:tc>
          <w:tcPr>
            <w:tcW w:w="3478" w:type="dxa"/>
            <w:tcBorders>
              <w:top w:val="nil"/>
              <w:bottom w:val="nil"/>
            </w:tcBorders>
          </w:tcPr>
          <w:p>
            <w:pPr>
              <w:pStyle w:val="TableParagraph"/>
              <w:spacing w:line="228" w:lineRule="exact"/>
              <w:ind w:left="107"/>
              <w:rPr>
                <w:b/>
                <w:sz w:val="22"/>
              </w:rPr>
            </w:pPr>
            <w:r>
              <w:rPr>
                <w:b/>
                <w:sz w:val="22"/>
              </w:rPr>
              <w:t>city or other designated entity.</w:t>
            </w:r>
          </w:p>
        </w:tc>
        <w:tc>
          <w:tcPr>
            <w:tcW w:w="2760" w:type="dxa"/>
            <w:tcBorders>
              <w:top w:val="nil"/>
              <w:bottom w:val="nil"/>
            </w:tcBorders>
          </w:tcPr>
          <w:p>
            <w:pPr>
              <w:pStyle w:val="TableParagraph"/>
              <w:spacing w:line="228" w:lineRule="exact"/>
              <w:ind w:left="107"/>
              <w:rPr>
                <w:sz w:val="22"/>
              </w:rPr>
            </w:pPr>
            <w:r>
              <w:rPr>
                <w:sz w:val="22"/>
              </w:rPr>
              <w:t>change regarding</w:t>
            </w:r>
          </w:p>
        </w:tc>
        <w:tc>
          <w:tcPr>
            <w:tcW w:w="1411" w:type="dxa"/>
            <w:vMerge/>
            <w:tcBorders>
              <w:top w:val="nil"/>
            </w:tcBorders>
          </w:tcPr>
          <w:p>
            <w:pPr>
              <w:rPr>
                <w:sz w:val="2"/>
                <w:szCs w:val="2"/>
              </w:rPr>
            </w:pPr>
          </w:p>
        </w:tc>
        <w:tc>
          <w:tcPr>
            <w:tcW w:w="2765" w:type="dxa"/>
            <w:tcBorders>
              <w:top w:val="nil"/>
              <w:bottom w:val="nil"/>
            </w:tcBorders>
          </w:tcPr>
          <w:p>
            <w:pPr>
              <w:pStyle w:val="TableParagraph"/>
              <w:spacing w:line="228" w:lineRule="exact"/>
              <w:ind w:left="107"/>
              <w:rPr>
                <w:sz w:val="22"/>
              </w:rPr>
            </w:pPr>
            <w:r>
              <w:rPr>
                <w:sz w:val="22"/>
              </w:rPr>
              <w:t>homes meet all licensing</w:t>
            </w:r>
          </w:p>
        </w:tc>
        <w:tc>
          <w:tcPr>
            <w:tcW w:w="2527" w:type="dxa"/>
            <w:vMerge/>
            <w:tcBorders>
              <w:top w:val="nil"/>
            </w:tcBorders>
          </w:tcPr>
          <w:p>
            <w:pPr>
              <w:rPr>
                <w:sz w:val="2"/>
                <w:szCs w:val="2"/>
              </w:rPr>
            </w:pPr>
          </w:p>
        </w:tc>
      </w:tr>
      <w:tr>
        <w:trPr>
          <w:trHeight w:val="247" w:hRule="atLeast"/>
        </w:trPr>
        <w:tc>
          <w:tcPr>
            <w:tcW w:w="3478" w:type="dxa"/>
            <w:tcBorders>
              <w:top w:val="nil"/>
              <w:bottom w:val="nil"/>
            </w:tcBorders>
          </w:tcPr>
          <w:p>
            <w:pPr>
              <w:pStyle w:val="TableParagraph"/>
              <w:rPr>
                <w:rFonts w:ascii="Times New Roman"/>
                <w:sz w:val="18"/>
              </w:rPr>
            </w:pPr>
          </w:p>
        </w:tc>
        <w:tc>
          <w:tcPr>
            <w:tcW w:w="2760" w:type="dxa"/>
            <w:tcBorders>
              <w:top w:val="nil"/>
              <w:bottom w:val="nil"/>
            </w:tcBorders>
          </w:tcPr>
          <w:p>
            <w:pPr>
              <w:pStyle w:val="TableParagraph"/>
              <w:spacing w:line="228" w:lineRule="exact"/>
              <w:ind w:left="107"/>
              <w:rPr>
                <w:sz w:val="22"/>
              </w:rPr>
            </w:pPr>
            <w:r>
              <w:rPr>
                <w:sz w:val="22"/>
              </w:rPr>
              <w:t>accessibility, the case</w:t>
            </w:r>
          </w:p>
        </w:tc>
        <w:tc>
          <w:tcPr>
            <w:tcW w:w="1411" w:type="dxa"/>
            <w:vMerge/>
            <w:tcBorders>
              <w:top w:val="nil"/>
            </w:tcBorders>
          </w:tcPr>
          <w:p>
            <w:pPr>
              <w:rPr>
                <w:sz w:val="2"/>
                <w:szCs w:val="2"/>
              </w:rPr>
            </w:pPr>
          </w:p>
        </w:tc>
        <w:tc>
          <w:tcPr>
            <w:tcW w:w="2765" w:type="dxa"/>
            <w:tcBorders>
              <w:top w:val="nil"/>
              <w:bottom w:val="nil"/>
            </w:tcBorders>
          </w:tcPr>
          <w:p>
            <w:pPr>
              <w:pStyle w:val="TableParagraph"/>
              <w:spacing w:line="228" w:lineRule="exact"/>
              <w:ind w:left="107"/>
              <w:rPr>
                <w:sz w:val="22"/>
              </w:rPr>
            </w:pPr>
            <w:r>
              <w:rPr>
                <w:sz w:val="22"/>
              </w:rPr>
              <w:t>and certification</w:t>
            </w:r>
          </w:p>
        </w:tc>
        <w:tc>
          <w:tcPr>
            <w:tcW w:w="2527" w:type="dxa"/>
            <w:vMerge/>
            <w:tcBorders>
              <w:top w:val="nil"/>
            </w:tcBorders>
          </w:tcPr>
          <w:p>
            <w:pPr>
              <w:rPr>
                <w:sz w:val="2"/>
                <w:szCs w:val="2"/>
              </w:rPr>
            </w:pPr>
          </w:p>
        </w:tc>
      </w:tr>
      <w:tr>
        <w:trPr>
          <w:trHeight w:val="248" w:hRule="atLeast"/>
        </w:trPr>
        <w:tc>
          <w:tcPr>
            <w:tcW w:w="3478" w:type="dxa"/>
            <w:tcBorders>
              <w:top w:val="nil"/>
              <w:bottom w:val="nil"/>
            </w:tcBorders>
          </w:tcPr>
          <w:p>
            <w:pPr>
              <w:pStyle w:val="TableParagraph"/>
              <w:rPr>
                <w:rFonts w:ascii="Times New Roman"/>
                <w:sz w:val="18"/>
              </w:rPr>
            </w:pPr>
          </w:p>
        </w:tc>
        <w:tc>
          <w:tcPr>
            <w:tcW w:w="2760" w:type="dxa"/>
            <w:tcBorders>
              <w:top w:val="nil"/>
              <w:bottom w:val="nil"/>
            </w:tcBorders>
          </w:tcPr>
          <w:p>
            <w:pPr>
              <w:pStyle w:val="TableParagraph"/>
              <w:spacing w:line="229" w:lineRule="exact"/>
              <w:ind w:left="107"/>
              <w:rPr>
                <w:sz w:val="22"/>
              </w:rPr>
            </w:pPr>
            <w:r>
              <w:rPr>
                <w:sz w:val="22"/>
              </w:rPr>
              <w:t>manager works with the</w:t>
            </w:r>
          </w:p>
        </w:tc>
        <w:tc>
          <w:tcPr>
            <w:tcW w:w="1411" w:type="dxa"/>
            <w:vMerge/>
            <w:tcBorders>
              <w:top w:val="nil"/>
            </w:tcBorders>
          </w:tcPr>
          <w:p>
            <w:pPr>
              <w:rPr>
                <w:sz w:val="2"/>
                <w:szCs w:val="2"/>
              </w:rPr>
            </w:pPr>
          </w:p>
        </w:tc>
        <w:tc>
          <w:tcPr>
            <w:tcW w:w="2765" w:type="dxa"/>
            <w:tcBorders>
              <w:top w:val="nil"/>
              <w:bottom w:val="nil"/>
            </w:tcBorders>
          </w:tcPr>
          <w:p>
            <w:pPr>
              <w:pStyle w:val="TableParagraph"/>
              <w:spacing w:line="229" w:lineRule="exact"/>
              <w:ind w:left="107"/>
              <w:rPr>
                <w:sz w:val="22"/>
              </w:rPr>
            </w:pPr>
            <w:r>
              <w:rPr>
                <w:sz w:val="22"/>
              </w:rPr>
              <w:t>requirements in WAC and</w:t>
            </w:r>
          </w:p>
        </w:tc>
        <w:tc>
          <w:tcPr>
            <w:tcW w:w="2527" w:type="dxa"/>
            <w:vMerge/>
            <w:tcBorders>
              <w:top w:val="nil"/>
            </w:tcBorders>
          </w:tcPr>
          <w:p>
            <w:pPr>
              <w:rPr>
                <w:sz w:val="2"/>
                <w:szCs w:val="2"/>
              </w:rPr>
            </w:pPr>
          </w:p>
        </w:tc>
      </w:tr>
      <w:tr>
        <w:trPr>
          <w:trHeight w:val="248" w:hRule="atLeast"/>
        </w:trPr>
        <w:tc>
          <w:tcPr>
            <w:tcW w:w="3478" w:type="dxa"/>
            <w:tcBorders>
              <w:top w:val="nil"/>
              <w:bottom w:val="nil"/>
            </w:tcBorders>
          </w:tcPr>
          <w:p>
            <w:pPr>
              <w:pStyle w:val="TableParagraph"/>
              <w:rPr>
                <w:rFonts w:ascii="Times New Roman"/>
                <w:sz w:val="18"/>
              </w:rPr>
            </w:pPr>
          </w:p>
        </w:tc>
        <w:tc>
          <w:tcPr>
            <w:tcW w:w="2760" w:type="dxa"/>
            <w:tcBorders>
              <w:top w:val="nil"/>
              <w:bottom w:val="nil"/>
            </w:tcBorders>
          </w:tcPr>
          <w:p>
            <w:pPr>
              <w:pStyle w:val="TableParagraph"/>
              <w:spacing w:line="229" w:lineRule="exact"/>
              <w:ind w:left="107"/>
              <w:rPr>
                <w:sz w:val="22"/>
              </w:rPr>
            </w:pPr>
            <w:r>
              <w:rPr>
                <w:sz w:val="22"/>
              </w:rPr>
              <w:t>resident and facility to</w:t>
            </w:r>
          </w:p>
        </w:tc>
        <w:tc>
          <w:tcPr>
            <w:tcW w:w="1411" w:type="dxa"/>
            <w:vMerge/>
            <w:tcBorders>
              <w:top w:val="nil"/>
            </w:tcBorders>
          </w:tcPr>
          <w:p>
            <w:pPr>
              <w:rPr>
                <w:sz w:val="2"/>
                <w:szCs w:val="2"/>
              </w:rPr>
            </w:pPr>
          </w:p>
        </w:tc>
        <w:tc>
          <w:tcPr>
            <w:tcW w:w="2765" w:type="dxa"/>
            <w:tcBorders>
              <w:top w:val="nil"/>
              <w:bottom w:val="nil"/>
            </w:tcBorders>
          </w:tcPr>
          <w:p>
            <w:pPr>
              <w:pStyle w:val="TableParagraph"/>
              <w:spacing w:line="229" w:lineRule="exact"/>
              <w:ind w:left="107"/>
              <w:rPr>
                <w:sz w:val="22"/>
              </w:rPr>
            </w:pPr>
            <w:r>
              <w:rPr>
                <w:sz w:val="22"/>
              </w:rPr>
              <w:t>RCW, including WAC 388-</w:t>
            </w:r>
          </w:p>
        </w:tc>
        <w:tc>
          <w:tcPr>
            <w:tcW w:w="2527" w:type="dxa"/>
            <w:vMerge/>
            <w:tcBorders>
              <w:top w:val="nil"/>
            </w:tcBorders>
          </w:tcPr>
          <w:p>
            <w:pPr>
              <w:rPr>
                <w:sz w:val="2"/>
                <w:szCs w:val="2"/>
              </w:rPr>
            </w:pPr>
          </w:p>
        </w:tc>
      </w:tr>
      <w:tr>
        <w:trPr>
          <w:trHeight w:val="248" w:hRule="atLeast"/>
        </w:trPr>
        <w:tc>
          <w:tcPr>
            <w:tcW w:w="3478" w:type="dxa"/>
            <w:tcBorders>
              <w:top w:val="nil"/>
              <w:bottom w:val="nil"/>
            </w:tcBorders>
          </w:tcPr>
          <w:p>
            <w:pPr>
              <w:pStyle w:val="TableParagraph"/>
              <w:rPr>
                <w:rFonts w:ascii="Times New Roman"/>
                <w:sz w:val="18"/>
              </w:rPr>
            </w:pPr>
          </w:p>
        </w:tc>
        <w:tc>
          <w:tcPr>
            <w:tcW w:w="2760" w:type="dxa"/>
            <w:tcBorders>
              <w:top w:val="nil"/>
              <w:bottom w:val="nil"/>
            </w:tcBorders>
          </w:tcPr>
          <w:p>
            <w:pPr>
              <w:pStyle w:val="TableParagraph"/>
              <w:spacing w:line="229" w:lineRule="exact"/>
              <w:ind w:left="107"/>
              <w:rPr>
                <w:sz w:val="22"/>
              </w:rPr>
            </w:pPr>
            <w:r>
              <w:rPr>
                <w:sz w:val="22"/>
              </w:rPr>
              <w:t>accommodate the</w:t>
            </w:r>
          </w:p>
        </w:tc>
        <w:tc>
          <w:tcPr>
            <w:tcW w:w="1411" w:type="dxa"/>
            <w:vMerge/>
            <w:tcBorders>
              <w:top w:val="nil"/>
            </w:tcBorders>
          </w:tcPr>
          <w:p>
            <w:pPr>
              <w:rPr>
                <w:sz w:val="2"/>
                <w:szCs w:val="2"/>
              </w:rPr>
            </w:pPr>
          </w:p>
        </w:tc>
        <w:tc>
          <w:tcPr>
            <w:tcW w:w="2765" w:type="dxa"/>
            <w:tcBorders>
              <w:top w:val="nil"/>
              <w:bottom w:val="nil"/>
            </w:tcBorders>
          </w:tcPr>
          <w:p>
            <w:pPr>
              <w:pStyle w:val="TableParagraph"/>
              <w:spacing w:line="229" w:lineRule="exact"/>
              <w:ind w:left="107"/>
              <w:rPr>
                <w:sz w:val="22"/>
              </w:rPr>
            </w:pPr>
            <w:r>
              <w:rPr>
                <w:sz w:val="22"/>
              </w:rPr>
              <w:t>823-1095.</w:t>
            </w:r>
          </w:p>
        </w:tc>
        <w:tc>
          <w:tcPr>
            <w:tcW w:w="2527" w:type="dxa"/>
            <w:vMerge/>
            <w:tcBorders>
              <w:top w:val="nil"/>
            </w:tcBorders>
          </w:tcPr>
          <w:p>
            <w:pPr>
              <w:rPr>
                <w:sz w:val="2"/>
                <w:szCs w:val="2"/>
              </w:rPr>
            </w:pPr>
          </w:p>
        </w:tc>
      </w:tr>
      <w:tr>
        <w:trPr>
          <w:trHeight w:val="248" w:hRule="atLeast"/>
        </w:trPr>
        <w:tc>
          <w:tcPr>
            <w:tcW w:w="3478" w:type="dxa"/>
            <w:tcBorders>
              <w:top w:val="nil"/>
              <w:bottom w:val="nil"/>
            </w:tcBorders>
          </w:tcPr>
          <w:p>
            <w:pPr>
              <w:pStyle w:val="TableParagraph"/>
              <w:rPr>
                <w:rFonts w:ascii="Times New Roman"/>
                <w:sz w:val="18"/>
              </w:rPr>
            </w:pPr>
          </w:p>
        </w:tc>
        <w:tc>
          <w:tcPr>
            <w:tcW w:w="2760" w:type="dxa"/>
            <w:tcBorders>
              <w:top w:val="nil"/>
              <w:bottom w:val="nil"/>
            </w:tcBorders>
          </w:tcPr>
          <w:p>
            <w:pPr>
              <w:pStyle w:val="TableParagraph"/>
              <w:spacing w:line="229" w:lineRule="exact"/>
              <w:ind w:left="107"/>
              <w:rPr>
                <w:sz w:val="22"/>
              </w:rPr>
            </w:pPr>
            <w:r>
              <w:rPr>
                <w:sz w:val="22"/>
              </w:rPr>
              <w:t>resident’s needs. As a part</w:t>
            </w:r>
          </w:p>
        </w:tc>
        <w:tc>
          <w:tcPr>
            <w:tcW w:w="1411" w:type="dxa"/>
            <w:vMerge/>
            <w:tcBorders>
              <w:top w:val="nil"/>
            </w:tcBorders>
          </w:tcPr>
          <w:p>
            <w:pPr>
              <w:rPr>
                <w:sz w:val="2"/>
                <w:szCs w:val="2"/>
              </w:rPr>
            </w:pPr>
          </w:p>
        </w:tc>
        <w:tc>
          <w:tcPr>
            <w:tcW w:w="2765" w:type="dxa"/>
            <w:tcBorders>
              <w:top w:val="nil"/>
              <w:bottom w:val="nil"/>
            </w:tcBorders>
          </w:tcPr>
          <w:p>
            <w:pPr>
              <w:pStyle w:val="TableParagraph"/>
              <w:rPr>
                <w:rFonts w:ascii="Times New Roman"/>
                <w:sz w:val="18"/>
              </w:rPr>
            </w:pPr>
          </w:p>
        </w:tc>
        <w:tc>
          <w:tcPr>
            <w:tcW w:w="2527" w:type="dxa"/>
            <w:vMerge/>
            <w:tcBorders>
              <w:top w:val="nil"/>
            </w:tcBorders>
          </w:tcPr>
          <w:p>
            <w:pPr>
              <w:rPr>
                <w:sz w:val="2"/>
                <w:szCs w:val="2"/>
              </w:rPr>
            </w:pPr>
          </w:p>
        </w:tc>
      </w:tr>
      <w:tr>
        <w:trPr>
          <w:trHeight w:val="248" w:hRule="atLeast"/>
        </w:trPr>
        <w:tc>
          <w:tcPr>
            <w:tcW w:w="3478" w:type="dxa"/>
            <w:tcBorders>
              <w:top w:val="nil"/>
              <w:bottom w:val="nil"/>
            </w:tcBorders>
          </w:tcPr>
          <w:p>
            <w:pPr>
              <w:pStyle w:val="TableParagraph"/>
              <w:rPr>
                <w:rFonts w:ascii="Times New Roman"/>
                <w:sz w:val="18"/>
              </w:rPr>
            </w:pPr>
          </w:p>
        </w:tc>
        <w:tc>
          <w:tcPr>
            <w:tcW w:w="2760" w:type="dxa"/>
            <w:tcBorders>
              <w:top w:val="nil"/>
              <w:bottom w:val="nil"/>
            </w:tcBorders>
          </w:tcPr>
          <w:p>
            <w:pPr>
              <w:pStyle w:val="TableParagraph"/>
              <w:spacing w:line="229" w:lineRule="exact"/>
              <w:ind w:left="107"/>
              <w:rPr>
                <w:sz w:val="22"/>
              </w:rPr>
            </w:pPr>
            <w:r>
              <w:rPr>
                <w:sz w:val="22"/>
              </w:rPr>
              <w:t>of the inspection process,</w:t>
            </w:r>
          </w:p>
        </w:tc>
        <w:tc>
          <w:tcPr>
            <w:tcW w:w="1411" w:type="dxa"/>
            <w:vMerge/>
            <w:tcBorders>
              <w:top w:val="nil"/>
            </w:tcBorders>
          </w:tcPr>
          <w:p>
            <w:pPr>
              <w:rPr>
                <w:sz w:val="2"/>
                <w:szCs w:val="2"/>
              </w:rPr>
            </w:pPr>
          </w:p>
        </w:tc>
        <w:tc>
          <w:tcPr>
            <w:tcW w:w="2765" w:type="dxa"/>
            <w:tcBorders>
              <w:top w:val="nil"/>
              <w:bottom w:val="nil"/>
            </w:tcBorders>
          </w:tcPr>
          <w:p>
            <w:pPr>
              <w:pStyle w:val="TableParagraph"/>
              <w:rPr>
                <w:rFonts w:ascii="Times New Roman"/>
                <w:sz w:val="18"/>
              </w:rPr>
            </w:pPr>
          </w:p>
        </w:tc>
        <w:tc>
          <w:tcPr>
            <w:tcW w:w="2527" w:type="dxa"/>
            <w:vMerge/>
            <w:tcBorders>
              <w:top w:val="nil"/>
            </w:tcBorders>
          </w:tcPr>
          <w:p>
            <w:pPr>
              <w:rPr>
                <w:sz w:val="2"/>
                <w:szCs w:val="2"/>
              </w:rPr>
            </w:pPr>
          </w:p>
        </w:tc>
      </w:tr>
      <w:tr>
        <w:trPr>
          <w:trHeight w:val="248" w:hRule="atLeast"/>
        </w:trPr>
        <w:tc>
          <w:tcPr>
            <w:tcW w:w="3478" w:type="dxa"/>
            <w:tcBorders>
              <w:top w:val="nil"/>
              <w:bottom w:val="nil"/>
            </w:tcBorders>
          </w:tcPr>
          <w:p>
            <w:pPr>
              <w:pStyle w:val="TableParagraph"/>
              <w:rPr>
                <w:rFonts w:ascii="Times New Roman"/>
                <w:sz w:val="18"/>
              </w:rPr>
            </w:pPr>
          </w:p>
        </w:tc>
        <w:tc>
          <w:tcPr>
            <w:tcW w:w="2760" w:type="dxa"/>
            <w:tcBorders>
              <w:top w:val="nil"/>
              <w:bottom w:val="nil"/>
            </w:tcBorders>
          </w:tcPr>
          <w:p>
            <w:pPr>
              <w:pStyle w:val="TableParagraph"/>
              <w:spacing w:line="229" w:lineRule="exact"/>
              <w:ind w:left="107"/>
              <w:rPr>
                <w:sz w:val="22"/>
              </w:rPr>
            </w:pPr>
            <w:r>
              <w:rPr>
                <w:sz w:val="22"/>
              </w:rPr>
              <w:t>licensors also look at</w:t>
            </w:r>
          </w:p>
        </w:tc>
        <w:tc>
          <w:tcPr>
            <w:tcW w:w="1411" w:type="dxa"/>
            <w:vMerge/>
            <w:tcBorders>
              <w:top w:val="nil"/>
            </w:tcBorders>
          </w:tcPr>
          <w:p>
            <w:pPr>
              <w:rPr>
                <w:sz w:val="2"/>
                <w:szCs w:val="2"/>
              </w:rPr>
            </w:pPr>
          </w:p>
        </w:tc>
        <w:tc>
          <w:tcPr>
            <w:tcW w:w="2765" w:type="dxa"/>
            <w:tcBorders>
              <w:top w:val="nil"/>
              <w:bottom w:val="nil"/>
            </w:tcBorders>
          </w:tcPr>
          <w:p>
            <w:pPr>
              <w:pStyle w:val="TableParagraph"/>
              <w:rPr>
                <w:rFonts w:ascii="Times New Roman"/>
                <w:sz w:val="18"/>
              </w:rPr>
            </w:pPr>
          </w:p>
        </w:tc>
        <w:tc>
          <w:tcPr>
            <w:tcW w:w="2527" w:type="dxa"/>
            <w:vMerge/>
            <w:tcBorders>
              <w:top w:val="nil"/>
            </w:tcBorders>
          </w:tcPr>
          <w:p>
            <w:pPr>
              <w:rPr>
                <w:sz w:val="2"/>
                <w:szCs w:val="2"/>
              </w:rPr>
            </w:pPr>
          </w:p>
        </w:tc>
      </w:tr>
      <w:tr>
        <w:trPr>
          <w:trHeight w:val="248" w:hRule="atLeast"/>
        </w:trPr>
        <w:tc>
          <w:tcPr>
            <w:tcW w:w="3478" w:type="dxa"/>
            <w:tcBorders>
              <w:top w:val="nil"/>
              <w:bottom w:val="nil"/>
            </w:tcBorders>
          </w:tcPr>
          <w:p>
            <w:pPr>
              <w:pStyle w:val="TableParagraph"/>
              <w:rPr>
                <w:rFonts w:ascii="Times New Roman"/>
                <w:sz w:val="18"/>
              </w:rPr>
            </w:pPr>
          </w:p>
        </w:tc>
        <w:tc>
          <w:tcPr>
            <w:tcW w:w="2760" w:type="dxa"/>
            <w:tcBorders>
              <w:top w:val="nil"/>
              <w:bottom w:val="nil"/>
            </w:tcBorders>
          </w:tcPr>
          <w:p>
            <w:pPr>
              <w:pStyle w:val="TableParagraph"/>
              <w:spacing w:line="229" w:lineRule="exact"/>
              <w:ind w:left="107"/>
              <w:rPr>
                <w:sz w:val="22"/>
              </w:rPr>
            </w:pPr>
            <w:r>
              <w:rPr>
                <w:sz w:val="22"/>
              </w:rPr>
              <w:t>residents and their</w:t>
            </w:r>
          </w:p>
        </w:tc>
        <w:tc>
          <w:tcPr>
            <w:tcW w:w="1411" w:type="dxa"/>
            <w:vMerge/>
            <w:tcBorders>
              <w:top w:val="nil"/>
            </w:tcBorders>
          </w:tcPr>
          <w:p>
            <w:pPr>
              <w:rPr>
                <w:sz w:val="2"/>
                <w:szCs w:val="2"/>
              </w:rPr>
            </w:pPr>
          </w:p>
        </w:tc>
        <w:tc>
          <w:tcPr>
            <w:tcW w:w="2765" w:type="dxa"/>
            <w:tcBorders>
              <w:top w:val="nil"/>
              <w:bottom w:val="nil"/>
            </w:tcBorders>
          </w:tcPr>
          <w:p>
            <w:pPr>
              <w:pStyle w:val="TableParagraph"/>
              <w:rPr>
                <w:rFonts w:ascii="Times New Roman"/>
                <w:sz w:val="18"/>
              </w:rPr>
            </w:pPr>
          </w:p>
        </w:tc>
        <w:tc>
          <w:tcPr>
            <w:tcW w:w="2527" w:type="dxa"/>
            <w:vMerge/>
            <w:tcBorders>
              <w:top w:val="nil"/>
            </w:tcBorders>
          </w:tcPr>
          <w:p>
            <w:pPr>
              <w:rPr>
                <w:sz w:val="2"/>
                <w:szCs w:val="2"/>
              </w:rPr>
            </w:pPr>
          </w:p>
        </w:tc>
      </w:tr>
      <w:tr>
        <w:trPr>
          <w:trHeight w:val="248" w:hRule="atLeast"/>
        </w:trPr>
        <w:tc>
          <w:tcPr>
            <w:tcW w:w="3478" w:type="dxa"/>
            <w:tcBorders>
              <w:top w:val="nil"/>
              <w:bottom w:val="nil"/>
            </w:tcBorders>
          </w:tcPr>
          <w:p>
            <w:pPr>
              <w:pStyle w:val="TableParagraph"/>
              <w:rPr>
                <w:rFonts w:ascii="Times New Roman"/>
                <w:sz w:val="18"/>
              </w:rPr>
            </w:pPr>
          </w:p>
        </w:tc>
        <w:tc>
          <w:tcPr>
            <w:tcW w:w="2760" w:type="dxa"/>
            <w:tcBorders>
              <w:top w:val="nil"/>
              <w:bottom w:val="nil"/>
            </w:tcBorders>
          </w:tcPr>
          <w:p>
            <w:pPr>
              <w:pStyle w:val="TableParagraph"/>
              <w:spacing w:line="229" w:lineRule="exact"/>
              <w:ind w:left="107"/>
              <w:rPr>
                <w:sz w:val="22"/>
              </w:rPr>
            </w:pPr>
            <w:r>
              <w:rPr>
                <w:sz w:val="22"/>
              </w:rPr>
              <w:t>assessments to make sure</w:t>
            </w:r>
          </w:p>
        </w:tc>
        <w:tc>
          <w:tcPr>
            <w:tcW w:w="1411" w:type="dxa"/>
            <w:vMerge/>
            <w:tcBorders>
              <w:top w:val="nil"/>
            </w:tcBorders>
          </w:tcPr>
          <w:p>
            <w:pPr>
              <w:rPr>
                <w:sz w:val="2"/>
                <w:szCs w:val="2"/>
              </w:rPr>
            </w:pPr>
          </w:p>
        </w:tc>
        <w:tc>
          <w:tcPr>
            <w:tcW w:w="2765" w:type="dxa"/>
            <w:tcBorders>
              <w:top w:val="nil"/>
              <w:bottom w:val="nil"/>
            </w:tcBorders>
          </w:tcPr>
          <w:p>
            <w:pPr>
              <w:pStyle w:val="TableParagraph"/>
              <w:rPr>
                <w:rFonts w:ascii="Times New Roman"/>
                <w:sz w:val="18"/>
              </w:rPr>
            </w:pPr>
          </w:p>
        </w:tc>
        <w:tc>
          <w:tcPr>
            <w:tcW w:w="2527" w:type="dxa"/>
            <w:vMerge/>
            <w:tcBorders>
              <w:top w:val="nil"/>
            </w:tcBorders>
          </w:tcPr>
          <w:p>
            <w:pPr>
              <w:rPr>
                <w:sz w:val="2"/>
                <w:szCs w:val="2"/>
              </w:rPr>
            </w:pPr>
          </w:p>
        </w:tc>
      </w:tr>
      <w:tr>
        <w:trPr>
          <w:trHeight w:val="247" w:hRule="atLeast"/>
        </w:trPr>
        <w:tc>
          <w:tcPr>
            <w:tcW w:w="3478" w:type="dxa"/>
            <w:tcBorders>
              <w:top w:val="nil"/>
              <w:bottom w:val="nil"/>
            </w:tcBorders>
          </w:tcPr>
          <w:p>
            <w:pPr>
              <w:pStyle w:val="TableParagraph"/>
              <w:rPr>
                <w:rFonts w:ascii="Times New Roman"/>
                <w:sz w:val="18"/>
              </w:rPr>
            </w:pPr>
          </w:p>
        </w:tc>
        <w:tc>
          <w:tcPr>
            <w:tcW w:w="2760" w:type="dxa"/>
            <w:tcBorders>
              <w:top w:val="nil"/>
              <w:bottom w:val="nil"/>
            </w:tcBorders>
          </w:tcPr>
          <w:p>
            <w:pPr>
              <w:pStyle w:val="TableParagraph"/>
              <w:spacing w:line="228" w:lineRule="exact"/>
              <w:ind w:left="107"/>
              <w:rPr>
                <w:sz w:val="22"/>
              </w:rPr>
            </w:pPr>
            <w:r>
              <w:rPr>
                <w:sz w:val="22"/>
              </w:rPr>
              <w:t>the setting, including</w:t>
            </w:r>
          </w:p>
        </w:tc>
        <w:tc>
          <w:tcPr>
            <w:tcW w:w="1411" w:type="dxa"/>
            <w:vMerge/>
            <w:tcBorders>
              <w:top w:val="nil"/>
            </w:tcBorders>
          </w:tcPr>
          <w:p>
            <w:pPr>
              <w:rPr>
                <w:sz w:val="2"/>
                <w:szCs w:val="2"/>
              </w:rPr>
            </w:pPr>
          </w:p>
        </w:tc>
        <w:tc>
          <w:tcPr>
            <w:tcW w:w="2765" w:type="dxa"/>
            <w:tcBorders>
              <w:top w:val="nil"/>
              <w:bottom w:val="nil"/>
            </w:tcBorders>
          </w:tcPr>
          <w:p>
            <w:pPr>
              <w:pStyle w:val="TableParagraph"/>
              <w:rPr>
                <w:rFonts w:ascii="Times New Roman"/>
                <w:sz w:val="18"/>
              </w:rPr>
            </w:pPr>
          </w:p>
        </w:tc>
        <w:tc>
          <w:tcPr>
            <w:tcW w:w="2527" w:type="dxa"/>
            <w:vMerge/>
            <w:tcBorders>
              <w:top w:val="nil"/>
            </w:tcBorders>
          </w:tcPr>
          <w:p>
            <w:pPr>
              <w:rPr>
                <w:sz w:val="2"/>
                <w:szCs w:val="2"/>
              </w:rPr>
            </w:pPr>
          </w:p>
        </w:tc>
      </w:tr>
      <w:tr>
        <w:trPr>
          <w:trHeight w:val="247" w:hRule="atLeast"/>
        </w:trPr>
        <w:tc>
          <w:tcPr>
            <w:tcW w:w="3478" w:type="dxa"/>
            <w:tcBorders>
              <w:top w:val="nil"/>
              <w:bottom w:val="nil"/>
            </w:tcBorders>
          </w:tcPr>
          <w:p>
            <w:pPr>
              <w:pStyle w:val="TableParagraph"/>
              <w:rPr>
                <w:rFonts w:ascii="Times New Roman"/>
                <w:sz w:val="18"/>
              </w:rPr>
            </w:pPr>
          </w:p>
        </w:tc>
        <w:tc>
          <w:tcPr>
            <w:tcW w:w="2760" w:type="dxa"/>
            <w:tcBorders>
              <w:top w:val="nil"/>
              <w:bottom w:val="nil"/>
            </w:tcBorders>
          </w:tcPr>
          <w:p>
            <w:pPr>
              <w:pStyle w:val="TableParagraph"/>
              <w:spacing w:line="228" w:lineRule="exact"/>
              <w:ind w:left="107"/>
              <w:rPr>
                <w:sz w:val="22"/>
              </w:rPr>
            </w:pPr>
            <w:r>
              <w:rPr>
                <w:sz w:val="22"/>
              </w:rPr>
              <w:t>physical plant</w:t>
            </w:r>
          </w:p>
        </w:tc>
        <w:tc>
          <w:tcPr>
            <w:tcW w:w="1411" w:type="dxa"/>
            <w:vMerge/>
            <w:tcBorders>
              <w:top w:val="nil"/>
            </w:tcBorders>
          </w:tcPr>
          <w:p>
            <w:pPr>
              <w:rPr>
                <w:sz w:val="2"/>
                <w:szCs w:val="2"/>
              </w:rPr>
            </w:pPr>
          </w:p>
        </w:tc>
        <w:tc>
          <w:tcPr>
            <w:tcW w:w="2765" w:type="dxa"/>
            <w:tcBorders>
              <w:top w:val="nil"/>
              <w:bottom w:val="nil"/>
            </w:tcBorders>
          </w:tcPr>
          <w:p>
            <w:pPr>
              <w:pStyle w:val="TableParagraph"/>
              <w:rPr>
                <w:rFonts w:ascii="Times New Roman"/>
                <w:sz w:val="18"/>
              </w:rPr>
            </w:pPr>
          </w:p>
        </w:tc>
        <w:tc>
          <w:tcPr>
            <w:tcW w:w="2527" w:type="dxa"/>
            <w:vMerge/>
            <w:tcBorders>
              <w:top w:val="nil"/>
            </w:tcBorders>
          </w:tcPr>
          <w:p>
            <w:pPr>
              <w:rPr>
                <w:sz w:val="2"/>
                <w:szCs w:val="2"/>
              </w:rPr>
            </w:pPr>
          </w:p>
        </w:tc>
      </w:tr>
      <w:tr>
        <w:trPr>
          <w:trHeight w:val="247" w:hRule="atLeast"/>
        </w:trPr>
        <w:tc>
          <w:tcPr>
            <w:tcW w:w="3478" w:type="dxa"/>
            <w:tcBorders>
              <w:top w:val="nil"/>
              <w:bottom w:val="nil"/>
            </w:tcBorders>
          </w:tcPr>
          <w:p>
            <w:pPr>
              <w:pStyle w:val="TableParagraph"/>
              <w:rPr>
                <w:rFonts w:ascii="Times New Roman"/>
                <w:sz w:val="18"/>
              </w:rPr>
            </w:pPr>
          </w:p>
        </w:tc>
        <w:tc>
          <w:tcPr>
            <w:tcW w:w="2760" w:type="dxa"/>
            <w:tcBorders>
              <w:top w:val="nil"/>
              <w:bottom w:val="nil"/>
            </w:tcBorders>
          </w:tcPr>
          <w:p>
            <w:pPr>
              <w:pStyle w:val="TableParagraph"/>
              <w:spacing w:line="228" w:lineRule="exact"/>
              <w:ind w:left="107"/>
              <w:rPr>
                <w:sz w:val="22"/>
              </w:rPr>
            </w:pPr>
            <w:r>
              <w:rPr>
                <w:sz w:val="22"/>
              </w:rPr>
              <w:t>requirements, is meeting</w:t>
            </w:r>
          </w:p>
        </w:tc>
        <w:tc>
          <w:tcPr>
            <w:tcW w:w="1411" w:type="dxa"/>
            <w:vMerge/>
            <w:tcBorders>
              <w:top w:val="nil"/>
            </w:tcBorders>
          </w:tcPr>
          <w:p>
            <w:pPr>
              <w:rPr>
                <w:sz w:val="2"/>
                <w:szCs w:val="2"/>
              </w:rPr>
            </w:pPr>
          </w:p>
        </w:tc>
        <w:tc>
          <w:tcPr>
            <w:tcW w:w="2765" w:type="dxa"/>
            <w:tcBorders>
              <w:top w:val="nil"/>
              <w:bottom w:val="nil"/>
            </w:tcBorders>
          </w:tcPr>
          <w:p>
            <w:pPr>
              <w:pStyle w:val="TableParagraph"/>
              <w:rPr>
                <w:rFonts w:ascii="Times New Roman"/>
                <w:sz w:val="18"/>
              </w:rPr>
            </w:pPr>
          </w:p>
        </w:tc>
        <w:tc>
          <w:tcPr>
            <w:tcW w:w="2527" w:type="dxa"/>
            <w:vMerge/>
            <w:tcBorders>
              <w:top w:val="nil"/>
            </w:tcBorders>
          </w:tcPr>
          <w:p>
            <w:pPr>
              <w:rPr>
                <w:sz w:val="2"/>
                <w:szCs w:val="2"/>
              </w:rPr>
            </w:pPr>
          </w:p>
        </w:tc>
      </w:tr>
      <w:tr>
        <w:trPr>
          <w:trHeight w:val="392" w:hRule="atLeast"/>
        </w:trPr>
        <w:tc>
          <w:tcPr>
            <w:tcW w:w="3478" w:type="dxa"/>
            <w:tcBorders>
              <w:top w:val="nil"/>
            </w:tcBorders>
          </w:tcPr>
          <w:p>
            <w:pPr>
              <w:pStyle w:val="TableParagraph"/>
              <w:rPr>
                <w:rFonts w:ascii="Times New Roman"/>
                <w:sz w:val="22"/>
              </w:rPr>
            </w:pPr>
          </w:p>
        </w:tc>
        <w:tc>
          <w:tcPr>
            <w:tcW w:w="2760" w:type="dxa"/>
            <w:tcBorders>
              <w:top w:val="nil"/>
            </w:tcBorders>
          </w:tcPr>
          <w:p>
            <w:pPr>
              <w:pStyle w:val="TableParagraph"/>
              <w:spacing w:line="238" w:lineRule="exact"/>
              <w:ind w:left="107"/>
              <w:rPr>
                <w:sz w:val="22"/>
              </w:rPr>
            </w:pPr>
            <w:r>
              <w:rPr>
                <w:sz w:val="22"/>
              </w:rPr>
              <w:t>their needs.</w:t>
            </w:r>
          </w:p>
        </w:tc>
        <w:tc>
          <w:tcPr>
            <w:tcW w:w="1411" w:type="dxa"/>
            <w:vMerge/>
            <w:tcBorders>
              <w:top w:val="nil"/>
            </w:tcBorders>
          </w:tcPr>
          <w:p>
            <w:pPr>
              <w:rPr>
                <w:sz w:val="2"/>
                <w:szCs w:val="2"/>
              </w:rPr>
            </w:pPr>
          </w:p>
        </w:tc>
        <w:tc>
          <w:tcPr>
            <w:tcW w:w="2765" w:type="dxa"/>
            <w:tcBorders>
              <w:top w:val="nil"/>
            </w:tcBorders>
          </w:tcPr>
          <w:p>
            <w:pPr>
              <w:pStyle w:val="TableParagraph"/>
              <w:rPr>
                <w:rFonts w:ascii="Times New Roman"/>
                <w:sz w:val="22"/>
              </w:rPr>
            </w:pPr>
          </w:p>
        </w:tc>
        <w:tc>
          <w:tcPr>
            <w:tcW w:w="2527" w:type="dxa"/>
            <w:vMerge/>
            <w:tcBorders>
              <w:top w:val="nil"/>
            </w:tcBorders>
          </w:tcPr>
          <w:p>
            <w:pPr>
              <w:rPr>
                <w:sz w:val="2"/>
                <w:szCs w:val="2"/>
              </w:rPr>
            </w:pPr>
          </w:p>
        </w:tc>
      </w:tr>
      <w:tr>
        <w:trPr>
          <w:trHeight w:val="2301" w:hRule="atLeast"/>
        </w:trPr>
        <w:tc>
          <w:tcPr>
            <w:tcW w:w="3478" w:type="dxa"/>
            <w:tcBorders>
              <w:bottom w:val="nil"/>
            </w:tcBorders>
            <w:shd w:val="clear" w:color="auto" w:fill="D0E4CA"/>
          </w:tcPr>
          <w:p>
            <w:pPr>
              <w:pStyle w:val="TableParagraph"/>
              <w:ind w:left="107" w:right="292"/>
              <w:rPr>
                <w:b/>
                <w:sz w:val="22"/>
              </w:rPr>
            </w:pPr>
            <w:r>
              <w:rPr>
                <w:b/>
                <w:sz w:val="22"/>
              </w:rPr>
              <w:t>Privacy: Units have lockable entrance doors, with appropriate staff having keys to doors.</w:t>
            </w:r>
          </w:p>
        </w:tc>
        <w:tc>
          <w:tcPr>
            <w:tcW w:w="2760" w:type="dxa"/>
            <w:tcBorders>
              <w:bottom w:val="nil"/>
            </w:tcBorders>
            <w:shd w:val="clear" w:color="auto" w:fill="D0E4CA"/>
          </w:tcPr>
          <w:p>
            <w:pPr>
              <w:pStyle w:val="TableParagraph"/>
              <w:ind w:left="107" w:right="460"/>
              <w:jc w:val="both"/>
              <w:rPr>
                <w:i/>
                <w:sz w:val="22"/>
              </w:rPr>
            </w:pPr>
            <w:r>
              <w:rPr>
                <w:sz w:val="22"/>
              </w:rPr>
              <w:t>Contracts were changed effective July 1, 2015 to reflect this requirement </w:t>
            </w:r>
            <w:r>
              <w:rPr>
                <w:i/>
                <w:sz w:val="22"/>
              </w:rPr>
              <w:t>(Updated 1/15/16).</w:t>
            </w:r>
          </w:p>
        </w:tc>
        <w:tc>
          <w:tcPr>
            <w:tcW w:w="1411" w:type="dxa"/>
            <w:tcBorders>
              <w:bottom w:val="nil"/>
            </w:tcBorders>
            <w:shd w:val="clear" w:color="auto" w:fill="D0E4CA"/>
          </w:tcPr>
          <w:p>
            <w:pPr>
              <w:pStyle w:val="TableParagraph"/>
              <w:ind w:left="107" w:right="343"/>
              <w:rPr>
                <w:sz w:val="22"/>
              </w:rPr>
            </w:pPr>
            <w:r>
              <w:rPr>
                <w:sz w:val="22"/>
              </w:rPr>
              <w:t>Fully Compliant</w:t>
            </w:r>
          </w:p>
        </w:tc>
        <w:tc>
          <w:tcPr>
            <w:tcW w:w="2765" w:type="dxa"/>
            <w:tcBorders>
              <w:bottom w:val="nil"/>
            </w:tcBorders>
            <w:shd w:val="clear" w:color="auto" w:fill="D0E4CA"/>
          </w:tcPr>
          <w:p>
            <w:pPr>
              <w:pStyle w:val="TableParagraph"/>
              <w:ind w:left="107" w:right="219"/>
              <w:rPr>
                <w:sz w:val="22"/>
              </w:rPr>
            </w:pPr>
            <w:r>
              <w:rPr>
                <w:sz w:val="22"/>
              </w:rPr>
              <w:t>Annual evaluation process conducted by DDA- contracted evaluators who review and evaluate compliance with WAC and companion home contract using a companion home evaluation tool.</w:t>
            </w:r>
          </w:p>
        </w:tc>
        <w:tc>
          <w:tcPr>
            <w:tcW w:w="2527" w:type="dxa"/>
            <w:tcBorders>
              <w:bottom w:val="nil"/>
            </w:tcBorders>
            <w:shd w:val="clear" w:color="auto" w:fill="D0E4CA"/>
          </w:tcPr>
          <w:p>
            <w:pPr>
              <w:pStyle w:val="TableParagraph"/>
              <w:ind w:left="107" w:right="18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1727" w:hRule="atLeast"/>
        </w:trPr>
        <w:tc>
          <w:tcPr>
            <w:tcW w:w="3478" w:type="dxa"/>
            <w:tcBorders>
              <w:top w:val="nil"/>
            </w:tcBorders>
            <w:shd w:val="clear" w:color="auto" w:fill="D0E4CA"/>
          </w:tcPr>
          <w:p>
            <w:pPr>
              <w:pStyle w:val="TableParagraph"/>
              <w:rPr>
                <w:rFonts w:ascii="Times New Roman"/>
                <w:sz w:val="22"/>
              </w:rPr>
            </w:pPr>
          </w:p>
        </w:tc>
        <w:tc>
          <w:tcPr>
            <w:tcW w:w="2760" w:type="dxa"/>
            <w:tcBorders>
              <w:top w:val="nil"/>
            </w:tcBorders>
            <w:shd w:val="clear" w:color="auto" w:fill="D0E4CA"/>
          </w:tcPr>
          <w:p>
            <w:pPr>
              <w:pStyle w:val="TableParagraph"/>
              <w:rPr>
                <w:rFonts w:ascii="Times New Roman"/>
                <w:sz w:val="22"/>
              </w:rPr>
            </w:pPr>
          </w:p>
        </w:tc>
        <w:tc>
          <w:tcPr>
            <w:tcW w:w="1411" w:type="dxa"/>
            <w:tcBorders>
              <w:top w:val="nil"/>
            </w:tcBorders>
            <w:shd w:val="clear" w:color="auto" w:fill="D0E4CA"/>
          </w:tcPr>
          <w:p>
            <w:pPr>
              <w:pStyle w:val="TableParagraph"/>
              <w:rPr>
                <w:rFonts w:ascii="Times New Roman"/>
                <w:sz w:val="22"/>
              </w:rPr>
            </w:pPr>
          </w:p>
        </w:tc>
        <w:tc>
          <w:tcPr>
            <w:tcW w:w="2765" w:type="dxa"/>
            <w:tcBorders>
              <w:top w:val="nil"/>
            </w:tcBorders>
            <w:shd w:val="clear" w:color="auto" w:fill="D0E4CA"/>
          </w:tcPr>
          <w:p>
            <w:pPr>
              <w:pStyle w:val="TableParagraph"/>
              <w:spacing w:line="270" w:lineRule="atLeast" w:before="113"/>
              <w:ind w:left="107" w:right="260"/>
              <w:rPr>
                <w:sz w:val="22"/>
              </w:rPr>
            </w:pPr>
            <w:r>
              <w:rPr>
                <w:sz w:val="22"/>
              </w:rPr>
              <w:t>On-site inspections ensure homes meet all licensing and certification requirements in WAC and RCW, including WAC 388- 823-1095.</w:t>
            </w:r>
          </w:p>
        </w:tc>
        <w:tc>
          <w:tcPr>
            <w:tcW w:w="2527" w:type="dxa"/>
            <w:tcBorders>
              <w:top w:val="nil"/>
            </w:tcBorders>
            <w:shd w:val="clear" w:color="auto" w:fill="D0E4CA"/>
          </w:tcPr>
          <w:p>
            <w:pPr>
              <w:pStyle w:val="TableParagraph"/>
              <w:rPr>
                <w:rFonts w:ascii="Times New Roman"/>
                <w:sz w:val="22"/>
              </w:rPr>
            </w:pPr>
          </w:p>
        </w:tc>
      </w:tr>
    </w:tbl>
    <w:p>
      <w:pPr>
        <w:pStyle w:val="BodyText"/>
        <w:spacing w:before="8"/>
        <w:rPr>
          <w:b/>
          <w:sz w:val="25"/>
        </w:rPr>
      </w:pPr>
      <w:r>
        <w:rPr/>
        <w:pict>
          <v:shape style="position:absolute;margin-left:70.559998pt;margin-top:17.879499pt;width:650.9pt;height:.1pt;mso-position-horizontal-relative:page;mso-position-vertical-relative:paragraph;z-index:-251496448;mso-wrap-distance-left:0;mso-wrap-distance-right:0" coordorigin="1411,358" coordsize="13018,0" path="m1411,358l14429,358e" filled="false" stroked="true" strokeweight=".481pt" strokecolor="#d9d9d9">
            <v:path arrowok="t"/>
            <v:stroke dashstyle="solid"/>
            <w10:wrap type="topAndBottom"/>
          </v:shape>
        </w:pict>
      </w:r>
    </w:p>
    <w:p>
      <w:pPr>
        <w:spacing w:after="0"/>
        <w:rPr>
          <w:sz w:val="2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78"/>
        <w:gridCol w:w="2760"/>
        <w:gridCol w:w="1411"/>
        <w:gridCol w:w="2765"/>
        <w:gridCol w:w="2527"/>
      </w:tblGrid>
      <w:tr>
        <w:trPr>
          <w:trHeight w:val="584" w:hRule="atLeast"/>
        </w:trPr>
        <w:tc>
          <w:tcPr>
            <w:tcW w:w="3478" w:type="dxa"/>
            <w:tcBorders>
              <w:bottom w:val="single" w:sz="18" w:space="0" w:color="4E8542"/>
            </w:tcBorders>
          </w:tcPr>
          <w:p>
            <w:pPr>
              <w:pStyle w:val="TableParagraph"/>
              <w:spacing w:line="292" w:lineRule="exact"/>
              <w:ind w:left="254"/>
              <w:rPr>
                <w:b/>
                <w:sz w:val="24"/>
              </w:rPr>
            </w:pPr>
            <w:r>
              <w:rPr>
                <w:b/>
                <w:sz w:val="24"/>
              </w:rPr>
              <w:t>Characteristics/Requirements</w:t>
            </w:r>
          </w:p>
        </w:tc>
        <w:tc>
          <w:tcPr>
            <w:tcW w:w="2760" w:type="dxa"/>
            <w:tcBorders>
              <w:bottom w:val="single" w:sz="18" w:space="0" w:color="4E8542"/>
            </w:tcBorders>
          </w:tcPr>
          <w:p>
            <w:pPr>
              <w:pStyle w:val="TableParagraph"/>
              <w:spacing w:line="292" w:lineRule="exact"/>
              <w:ind w:left="481"/>
              <w:rPr>
                <w:b/>
                <w:sz w:val="24"/>
              </w:rPr>
            </w:pPr>
            <w:r>
              <w:rPr>
                <w:b/>
                <w:sz w:val="24"/>
              </w:rPr>
              <w:t>Companion Home</w:t>
            </w:r>
          </w:p>
          <w:p>
            <w:pPr>
              <w:pStyle w:val="TableParagraph"/>
              <w:spacing w:line="272" w:lineRule="exact"/>
              <w:ind w:left="563"/>
              <w:rPr>
                <w:b/>
                <w:sz w:val="24"/>
              </w:rPr>
            </w:pPr>
            <w:r>
              <w:rPr>
                <w:b/>
                <w:sz w:val="24"/>
              </w:rPr>
              <w:t>State Evaluation</w:t>
            </w:r>
          </w:p>
        </w:tc>
        <w:tc>
          <w:tcPr>
            <w:tcW w:w="1411" w:type="dxa"/>
            <w:tcBorders>
              <w:bottom w:val="single" w:sz="18" w:space="0" w:color="4E8542"/>
            </w:tcBorders>
          </w:tcPr>
          <w:p>
            <w:pPr>
              <w:pStyle w:val="TableParagraph"/>
              <w:spacing w:line="292" w:lineRule="exact"/>
              <w:ind w:left="100" w:right="84"/>
              <w:jc w:val="center"/>
              <w:rPr>
                <w:b/>
                <w:sz w:val="24"/>
              </w:rPr>
            </w:pPr>
            <w:r>
              <w:rPr>
                <w:b/>
                <w:sz w:val="24"/>
              </w:rPr>
              <w:t>Compliance</w:t>
            </w:r>
          </w:p>
          <w:p>
            <w:pPr>
              <w:pStyle w:val="TableParagraph"/>
              <w:spacing w:line="272" w:lineRule="exact"/>
              <w:ind w:left="96" w:right="84"/>
              <w:jc w:val="center"/>
              <w:rPr>
                <w:b/>
                <w:sz w:val="24"/>
              </w:rPr>
            </w:pPr>
            <w:r>
              <w:rPr>
                <w:b/>
                <w:sz w:val="24"/>
              </w:rPr>
              <w:t>Level</w:t>
            </w:r>
          </w:p>
        </w:tc>
        <w:tc>
          <w:tcPr>
            <w:tcW w:w="2765" w:type="dxa"/>
            <w:tcBorders>
              <w:bottom w:val="single" w:sz="18" w:space="0" w:color="4E8542"/>
            </w:tcBorders>
          </w:tcPr>
          <w:p>
            <w:pPr>
              <w:pStyle w:val="TableParagraph"/>
              <w:spacing w:line="292" w:lineRule="exact"/>
              <w:ind w:left="496"/>
              <w:rPr>
                <w:b/>
                <w:sz w:val="24"/>
              </w:rPr>
            </w:pPr>
            <w:r>
              <w:rPr>
                <w:b/>
                <w:sz w:val="24"/>
              </w:rPr>
              <w:t>Oversight Process</w:t>
            </w:r>
          </w:p>
        </w:tc>
        <w:tc>
          <w:tcPr>
            <w:tcW w:w="2527" w:type="dxa"/>
            <w:tcBorders>
              <w:bottom w:val="single" w:sz="18" w:space="0" w:color="4E8542"/>
            </w:tcBorders>
          </w:tcPr>
          <w:p>
            <w:pPr>
              <w:pStyle w:val="TableParagraph"/>
              <w:spacing w:line="292" w:lineRule="exact"/>
              <w:ind w:left="623"/>
              <w:rPr>
                <w:b/>
                <w:sz w:val="24"/>
              </w:rPr>
            </w:pPr>
            <w:r>
              <w:rPr>
                <w:b/>
                <w:sz w:val="24"/>
              </w:rPr>
              <w:t>Remediation</w:t>
            </w:r>
          </w:p>
        </w:tc>
      </w:tr>
      <w:tr>
        <w:trPr>
          <w:trHeight w:val="4004" w:hRule="atLeast"/>
        </w:trPr>
        <w:tc>
          <w:tcPr>
            <w:tcW w:w="3478" w:type="dxa"/>
            <w:tcBorders>
              <w:top w:val="single" w:sz="18" w:space="0" w:color="4E8542"/>
            </w:tcBorders>
          </w:tcPr>
          <w:p>
            <w:pPr>
              <w:pStyle w:val="TableParagraph"/>
              <w:spacing w:line="245" w:lineRule="exact"/>
              <w:ind w:left="107"/>
              <w:rPr>
                <w:b/>
                <w:sz w:val="22"/>
              </w:rPr>
            </w:pPr>
            <w:r>
              <w:rPr>
                <w:b/>
                <w:sz w:val="22"/>
              </w:rPr>
              <w:t>Privacy: Individuals have a choice</w:t>
            </w:r>
          </w:p>
          <w:p>
            <w:pPr>
              <w:pStyle w:val="TableParagraph"/>
              <w:ind w:left="107"/>
              <w:rPr>
                <w:b/>
                <w:sz w:val="22"/>
              </w:rPr>
            </w:pPr>
            <w:r>
              <w:rPr>
                <w:b/>
                <w:sz w:val="22"/>
              </w:rPr>
              <w:t>of roommates in the setting.</w:t>
            </w:r>
          </w:p>
        </w:tc>
        <w:tc>
          <w:tcPr>
            <w:tcW w:w="2760" w:type="dxa"/>
            <w:tcBorders>
              <w:top w:val="single" w:sz="18" w:space="0" w:color="4E8542"/>
            </w:tcBorders>
          </w:tcPr>
          <w:p>
            <w:pPr>
              <w:pStyle w:val="TableParagraph"/>
              <w:spacing w:line="245" w:lineRule="exact"/>
              <w:ind w:left="107"/>
              <w:rPr>
                <w:sz w:val="22"/>
              </w:rPr>
            </w:pPr>
            <w:hyperlink r:id="rId123">
              <w:r>
                <w:rPr>
                  <w:color w:val="6B9F24"/>
                  <w:sz w:val="22"/>
                  <w:u w:val="single" w:color="6B9F24"/>
                </w:rPr>
                <w:t>WAC 388-829C-020</w:t>
              </w:r>
            </w:hyperlink>
          </w:p>
          <w:p>
            <w:pPr>
              <w:pStyle w:val="TableParagraph"/>
              <w:ind w:left="107" w:right="93"/>
              <w:rPr>
                <w:sz w:val="22"/>
              </w:rPr>
            </w:pPr>
            <w:r>
              <w:rPr>
                <w:sz w:val="22"/>
              </w:rPr>
              <w:t>A companion home is a DDA residential service offered in the provider’s home to no more than one</w:t>
            </w:r>
            <w:r>
              <w:rPr>
                <w:spacing w:val="-5"/>
                <w:sz w:val="22"/>
              </w:rPr>
              <w:t> </w:t>
            </w:r>
            <w:r>
              <w:rPr>
                <w:sz w:val="22"/>
              </w:rPr>
              <w:t>client.</w:t>
            </w:r>
          </w:p>
        </w:tc>
        <w:tc>
          <w:tcPr>
            <w:tcW w:w="1411" w:type="dxa"/>
            <w:tcBorders>
              <w:top w:val="single" w:sz="18" w:space="0" w:color="4E8542"/>
            </w:tcBorders>
          </w:tcPr>
          <w:p>
            <w:pPr>
              <w:pStyle w:val="TableParagraph"/>
              <w:spacing w:line="245" w:lineRule="exact"/>
              <w:ind w:left="107"/>
              <w:rPr>
                <w:sz w:val="22"/>
              </w:rPr>
            </w:pPr>
            <w:r>
              <w:rPr>
                <w:sz w:val="22"/>
              </w:rPr>
              <w:t>Fully</w:t>
            </w:r>
          </w:p>
          <w:p>
            <w:pPr>
              <w:pStyle w:val="TableParagraph"/>
              <w:ind w:left="107"/>
              <w:rPr>
                <w:sz w:val="22"/>
              </w:rPr>
            </w:pPr>
            <w:r>
              <w:rPr>
                <w:sz w:val="22"/>
              </w:rPr>
              <w:t>Compliant</w:t>
            </w:r>
          </w:p>
        </w:tc>
        <w:tc>
          <w:tcPr>
            <w:tcW w:w="2765" w:type="dxa"/>
            <w:tcBorders>
              <w:top w:val="single" w:sz="18" w:space="0" w:color="4E8542"/>
            </w:tcBorders>
          </w:tcPr>
          <w:p>
            <w:pPr>
              <w:pStyle w:val="TableParagraph"/>
              <w:spacing w:line="245" w:lineRule="exact"/>
              <w:ind w:left="107"/>
              <w:rPr>
                <w:sz w:val="22"/>
              </w:rPr>
            </w:pPr>
            <w:r>
              <w:rPr>
                <w:sz w:val="22"/>
              </w:rPr>
              <w:t>Annual evaluation process</w:t>
            </w:r>
          </w:p>
          <w:p>
            <w:pPr>
              <w:pStyle w:val="TableParagraph"/>
              <w:ind w:left="107" w:right="219"/>
              <w:rPr>
                <w:sz w:val="22"/>
              </w:rPr>
            </w:pPr>
            <w:r>
              <w:rPr>
                <w:sz w:val="22"/>
              </w:rPr>
              <w:t>conducted by DDA- contracted evaluators who review and evaluate compliance with WAC and companion home contract using a companion home evaluation tool.</w:t>
            </w:r>
          </w:p>
          <w:p>
            <w:pPr>
              <w:pStyle w:val="TableParagraph"/>
              <w:spacing w:before="12"/>
              <w:rPr>
                <w:b/>
                <w:sz w:val="21"/>
              </w:rPr>
            </w:pPr>
          </w:p>
          <w:p>
            <w:pPr>
              <w:pStyle w:val="TableParagraph"/>
              <w:ind w:left="107" w:right="245"/>
              <w:rPr>
                <w:sz w:val="22"/>
              </w:rPr>
            </w:pPr>
            <w:r>
              <w:rPr>
                <w:sz w:val="22"/>
              </w:rPr>
              <w:t>On-site inspections ensure homes meet all licensing and certification requirements in WAC and RCW, including WAC 388-</w:t>
            </w:r>
          </w:p>
          <w:p>
            <w:pPr>
              <w:pStyle w:val="TableParagraph"/>
              <w:spacing w:line="248" w:lineRule="exact"/>
              <w:ind w:left="107"/>
              <w:rPr>
                <w:sz w:val="22"/>
              </w:rPr>
            </w:pPr>
            <w:r>
              <w:rPr>
                <w:sz w:val="22"/>
              </w:rPr>
              <w:t>823-1095.</w:t>
            </w:r>
          </w:p>
        </w:tc>
        <w:tc>
          <w:tcPr>
            <w:tcW w:w="2527" w:type="dxa"/>
            <w:tcBorders>
              <w:top w:val="single" w:sz="18" w:space="0" w:color="4E8542"/>
            </w:tcBorders>
          </w:tcPr>
          <w:p>
            <w:pPr>
              <w:pStyle w:val="TableParagraph"/>
              <w:spacing w:line="245" w:lineRule="exact"/>
              <w:ind w:left="107"/>
              <w:rPr>
                <w:sz w:val="22"/>
              </w:rPr>
            </w:pPr>
            <w:r>
              <w:rPr>
                <w:sz w:val="22"/>
              </w:rPr>
              <w:t>Revising </w:t>
            </w:r>
            <w:hyperlink r:id="rId23">
              <w:r>
                <w:rPr>
                  <w:color w:val="6B9F24"/>
                  <w:sz w:val="22"/>
                  <w:u w:val="single" w:color="6B9F24"/>
                </w:rPr>
                <w:t>WAC 388-823-</w:t>
              </w:r>
            </w:hyperlink>
          </w:p>
          <w:p>
            <w:pPr>
              <w:pStyle w:val="TableParagraph"/>
              <w:ind w:left="107" w:right="182"/>
              <w:rPr>
                <w:sz w:val="22"/>
              </w:rPr>
            </w:pP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r>
        <w:trPr>
          <w:trHeight w:val="4028" w:hRule="atLeast"/>
        </w:trPr>
        <w:tc>
          <w:tcPr>
            <w:tcW w:w="3478" w:type="dxa"/>
            <w:shd w:val="clear" w:color="auto" w:fill="D0E4CA"/>
          </w:tcPr>
          <w:p>
            <w:pPr>
              <w:pStyle w:val="TableParagraph"/>
              <w:spacing w:before="1"/>
              <w:ind w:left="107" w:right="86"/>
              <w:rPr>
                <w:b/>
                <w:sz w:val="22"/>
              </w:rPr>
            </w:pPr>
            <w:r>
              <w:rPr>
                <w:b/>
                <w:sz w:val="22"/>
              </w:rPr>
              <w:t>The unit or room is a specific physical place that can be owned, rented or occupied under another legally enforceable agreement by the individual receiving services, and the individual has, at a minimum, the same responsibilities and protections from eviction that tenants have under the landlord tenant law of the State, county, city or other designated</w:t>
            </w:r>
            <w:r>
              <w:rPr>
                <w:b/>
                <w:spacing w:val="-5"/>
                <w:sz w:val="22"/>
              </w:rPr>
              <w:t> </w:t>
            </w:r>
            <w:r>
              <w:rPr>
                <w:b/>
                <w:sz w:val="22"/>
              </w:rPr>
              <w:t>entity.</w:t>
            </w:r>
          </w:p>
        </w:tc>
        <w:tc>
          <w:tcPr>
            <w:tcW w:w="2760" w:type="dxa"/>
            <w:shd w:val="clear" w:color="auto" w:fill="D0E4CA"/>
          </w:tcPr>
          <w:p>
            <w:pPr>
              <w:pStyle w:val="TableParagraph"/>
              <w:spacing w:before="1"/>
              <w:ind w:left="107" w:right="437"/>
              <w:jc w:val="both"/>
              <w:rPr>
                <w:i/>
                <w:sz w:val="22"/>
              </w:rPr>
            </w:pPr>
            <w:r>
              <w:rPr>
                <w:sz w:val="22"/>
              </w:rPr>
              <w:t>Contracts were changed effective July 1, 2015 to reflect this requirement. (</w:t>
            </w:r>
            <w:r>
              <w:rPr>
                <w:i/>
                <w:sz w:val="22"/>
              </w:rPr>
              <w:t>Updated 1/15/16)</w:t>
            </w:r>
          </w:p>
        </w:tc>
        <w:tc>
          <w:tcPr>
            <w:tcW w:w="1411" w:type="dxa"/>
            <w:shd w:val="clear" w:color="auto" w:fill="D0E4CA"/>
          </w:tcPr>
          <w:p>
            <w:pPr>
              <w:pStyle w:val="TableParagraph"/>
              <w:spacing w:line="237" w:lineRule="auto" w:before="3"/>
              <w:ind w:left="107" w:right="343"/>
              <w:rPr>
                <w:sz w:val="22"/>
              </w:rPr>
            </w:pPr>
            <w:r>
              <w:rPr>
                <w:sz w:val="22"/>
              </w:rPr>
              <w:t>Fully Compliant</w:t>
            </w:r>
          </w:p>
        </w:tc>
        <w:tc>
          <w:tcPr>
            <w:tcW w:w="2765" w:type="dxa"/>
            <w:shd w:val="clear" w:color="auto" w:fill="D0E4CA"/>
          </w:tcPr>
          <w:p>
            <w:pPr>
              <w:pStyle w:val="TableParagraph"/>
              <w:spacing w:before="1"/>
              <w:ind w:left="107" w:right="219"/>
              <w:rPr>
                <w:sz w:val="22"/>
              </w:rPr>
            </w:pPr>
            <w:r>
              <w:rPr>
                <w:sz w:val="22"/>
              </w:rPr>
              <w:t>Annual evaluation process conducted by DDA- contracted evaluators who review and evaluate compliance with WAC and companion home contract using a companion home evaluation tool.</w:t>
            </w:r>
          </w:p>
          <w:p>
            <w:pPr>
              <w:pStyle w:val="TableParagraph"/>
              <w:rPr>
                <w:b/>
                <w:sz w:val="22"/>
              </w:rPr>
            </w:pPr>
          </w:p>
          <w:p>
            <w:pPr>
              <w:pStyle w:val="TableParagraph"/>
              <w:ind w:left="107" w:right="245"/>
              <w:rPr>
                <w:sz w:val="22"/>
              </w:rPr>
            </w:pPr>
            <w:r>
              <w:rPr>
                <w:sz w:val="22"/>
              </w:rPr>
              <w:t>On-site inspections ensure homes meet all licensing and certification requirements in WAC and RCW, including WAC 388-</w:t>
            </w:r>
          </w:p>
          <w:p>
            <w:pPr>
              <w:pStyle w:val="TableParagraph"/>
              <w:spacing w:line="248" w:lineRule="exact"/>
              <w:ind w:left="107"/>
              <w:rPr>
                <w:sz w:val="22"/>
              </w:rPr>
            </w:pPr>
            <w:r>
              <w:rPr>
                <w:sz w:val="22"/>
              </w:rPr>
              <w:t>823-1095.</w:t>
            </w:r>
          </w:p>
        </w:tc>
        <w:tc>
          <w:tcPr>
            <w:tcW w:w="2527" w:type="dxa"/>
            <w:shd w:val="clear" w:color="auto" w:fill="D0E4CA"/>
          </w:tcPr>
          <w:p>
            <w:pPr>
              <w:pStyle w:val="TableParagraph"/>
              <w:spacing w:before="1"/>
              <w:ind w:left="107" w:right="182"/>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r>
              <w:rPr>
                <w:sz w:val="22"/>
              </w:rPr>
              <w:t>.</w:t>
            </w:r>
          </w:p>
        </w:tc>
      </w:tr>
    </w:tbl>
    <w:p>
      <w:pPr>
        <w:pStyle w:val="BodyText"/>
        <w:rPr>
          <w:b/>
          <w:sz w:val="20"/>
        </w:rPr>
      </w:pPr>
    </w:p>
    <w:p>
      <w:pPr>
        <w:pStyle w:val="BodyText"/>
        <w:rPr>
          <w:b/>
          <w:sz w:val="18"/>
        </w:rPr>
      </w:pPr>
      <w:r>
        <w:rPr/>
        <w:pict>
          <v:shape style="position:absolute;margin-left:70.559998pt;margin-top:13.232469pt;width:650.9pt;height:.1pt;mso-position-horizontal-relative:page;mso-position-vertical-relative:paragraph;z-index:-251495424;mso-wrap-distance-left:0;mso-wrap-distance-right:0" coordorigin="1411,265" coordsize="13018,0" path="m1411,265l14429,265e" filled="false" stroked="true" strokeweight=".481pt" strokecolor="#d9d9d9">
            <v:path arrowok="t"/>
            <v:stroke dashstyle="solid"/>
            <w10:wrap type="topAndBottom"/>
          </v:shape>
        </w:pict>
      </w:r>
    </w:p>
    <w:p>
      <w:pPr>
        <w:spacing w:after="0"/>
        <w:rPr>
          <w:sz w:val="1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1" w:right="2957" w:firstLine="0"/>
        <w:jc w:val="center"/>
        <w:rPr>
          <w:b/>
          <w:sz w:val="28"/>
        </w:rPr>
      </w:pPr>
      <w:bookmarkStart w:name="DDA Pre-Vocational Services" w:id="83"/>
      <w:bookmarkEnd w:id="83"/>
      <w:r>
        <w:rPr/>
      </w:r>
      <w:bookmarkStart w:name="_bookmark38" w:id="84"/>
      <w:bookmarkEnd w:id="84"/>
      <w:r>
        <w:rPr/>
      </w:r>
      <w:r>
        <w:rPr>
          <w:b/>
          <w:sz w:val="28"/>
        </w:rPr>
        <w:t>DDA Pre-Vocational Services</w:t>
      </w:r>
    </w:p>
    <w:p>
      <w:pPr>
        <w:pStyle w:val="BodyText"/>
        <w:rPr>
          <w:b/>
          <w:sz w:val="28"/>
        </w:rPr>
      </w:pPr>
    </w:p>
    <w:p>
      <w:pPr>
        <w:pStyle w:val="Heading4"/>
        <w:spacing w:line="276" w:lineRule="auto" w:before="216"/>
        <w:ind w:left="1060" w:right="1135"/>
      </w:pPr>
      <w:r>
        <w:rPr/>
        <w:t>Setting Description: DDA Pre-Vocational Services are designed to prepare those interested in gainful employment in an integrated setting through training and skill development. Eight pre-vocational service providers in seven counties provide pre-vocational services as part of an individual’s pathway to integrated jobs in typical community employment. These settings are not currently integrated.</w:t>
      </w:r>
    </w:p>
    <w:p>
      <w:pPr>
        <w:pStyle w:val="BodyText"/>
        <w:spacing w:before="7"/>
        <w:rPr>
          <w:sz w:val="27"/>
        </w:rPr>
      </w:pPr>
    </w:p>
    <w:p>
      <w:pPr>
        <w:pStyle w:val="Heading4"/>
        <w:spacing w:before="1"/>
        <w:ind w:left="1060"/>
      </w:pPr>
      <w:r>
        <w:rPr/>
        <w:t>Number of Individuals Served: 348 individuals initially served, currently 148 individuals served at 9 sites</w:t>
      </w:r>
    </w:p>
    <w:p>
      <w:pPr>
        <w:spacing w:before="43" w:after="43"/>
        <w:ind w:left="2919" w:right="2957" w:firstLine="0"/>
        <w:jc w:val="center"/>
        <w:rPr>
          <w:b/>
          <w:sz w:val="24"/>
        </w:rPr>
      </w:pPr>
      <w:r>
        <w:rPr>
          <w:b/>
          <w:sz w:val="24"/>
        </w:rPr>
        <w:t>Characteristics/Requirements</w:t>
      </w: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before="1"/>
              <w:ind w:left="244"/>
              <w:rPr>
                <w:b/>
                <w:sz w:val="24"/>
              </w:rPr>
            </w:pPr>
            <w:r>
              <w:rPr>
                <w:b/>
                <w:sz w:val="24"/>
              </w:rPr>
              <w:t>Characteristics/Requirements</w:t>
            </w:r>
          </w:p>
        </w:tc>
        <w:tc>
          <w:tcPr>
            <w:tcW w:w="2825" w:type="dxa"/>
            <w:tcBorders>
              <w:bottom w:val="single" w:sz="18" w:space="0" w:color="4E8542"/>
            </w:tcBorders>
          </w:tcPr>
          <w:p>
            <w:pPr>
              <w:pStyle w:val="TableParagraph"/>
              <w:spacing w:before="1"/>
              <w:ind w:left="295" w:right="274"/>
              <w:jc w:val="center"/>
              <w:rPr>
                <w:b/>
                <w:sz w:val="24"/>
              </w:rPr>
            </w:pPr>
            <w:r>
              <w:rPr>
                <w:b/>
                <w:sz w:val="24"/>
              </w:rPr>
              <w:t>DDA Pre-Vocational Services</w:t>
            </w:r>
          </w:p>
          <w:p>
            <w:pPr>
              <w:pStyle w:val="TableParagraph"/>
              <w:spacing w:line="272"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spacing w:before="1"/>
              <w:ind w:left="445" w:right="84" w:hanging="327"/>
              <w:rPr>
                <w:b/>
                <w:sz w:val="24"/>
              </w:rPr>
            </w:pPr>
            <w:r>
              <w:rPr>
                <w:b/>
                <w:sz w:val="24"/>
              </w:rPr>
              <w:t>Compliance Level</w:t>
            </w:r>
          </w:p>
        </w:tc>
        <w:tc>
          <w:tcPr>
            <w:tcW w:w="2820" w:type="dxa"/>
            <w:tcBorders>
              <w:bottom w:val="single" w:sz="18" w:space="0" w:color="4E8542"/>
            </w:tcBorders>
          </w:tcPr>
          <w:p>
            <w:pPr>
              <w:pStyle w:val="TableParagraph"/>
              <w:spacing w:before="1"/>
              <w:ind w:left="522"/>
              <w:rPr>
                <w:b/>
                <w:sz w:val="24"/>
              </w:rPr>
            </w:pPr>
            <w:r>
              <w:rPr>
                <w:b/>
                <w:sz w:val="24"/>
              </w:rPr>
              <w:t>Oversight Process</w:t>
            </w:r>
          </w:p>
        </w:tc>
        <w:tc>
          <w:tcPr>
            <w:tcW w:w="2431" w:type="dxa"/>
            <w:tcBorders>
              <w:bottom w:val="single" w:sz="18" w:space="0" w:color="4E8542"/>
            </w:tcBorders>
          </w:tcPr>
          <w:p>
            <w:pPr>
              <w:pStyle w:val="TableParagraph"/>
              <w:spacing w:before="1"/>
              <w:ind w:left="572"/>
              <w:rPr>
                <w:b/>
                <w:sz w:val="24"/>
              </w:rPr>
            </w:pPr>
            <w:r>
              <w:rPr>
                <w:b/>
                <w:sz w:val="24"/>
              </w:rPr>
              <w:t>Remediation</w:t>
            </w:r>
          </w:p>
        </w:tc>
      </w:tr>
      <w:tr>
        <w:trPr>
          <w:trHeight w:val="4834" w:hRule="atLeast"/>
        </w:trPr>
        <w:tc>
          <w:tcPr>
            <w:tcW w:w="3456" w:type="dxa"/>
            <w:tcBorders>
              <w:top w:val="single" w:sz="18" w:space="0" w:color="4E8542"/>
            </w:tcBorders>
            <w:shd w:val="clear" w:color="auto" w:fill="D0E4CA"/>
          </w:tcPr>
          <w:p>
            <w:pPr>
              <w:pStyle w:val="TableParagraph"/>
              <w:spacing w:before="1"/>
              <w:ind w:left="107" w:right="212"/>
              <w:rPr>
                <w:b/>
                <w:sz w:val="22"/>
              </w:rPr>
            </w:pPr>
            <w:r>
              <w:rPr>
                <w:b/>
                <w:sz w:val="22"/>
              </w:rPr>
              <w:t>The setting is integrated in, and facilitates the individual’s full access to, the greater community, including opportunities to seek employment and work in competitive integrated settings, engage in community life, control personal resources, and receive services in the community, in the same manner as individuals without disabilities.</w:t>
            </w:r>
          </w:p>
        </w:tc>
        <w:tc>
          <w:tcPr>
            <w:tcW w:w="2825" w:type="dxa"/>
            <w:tcBorders>
              <w:top w:val="single" w:sz="18" w:space="0" w:color="4E8542"/>
            </w:tcBorders>
            <w:shd w:val="clear" w:color="auto" w:fill="D0E4CA"/>
          </w:tcPr>
          <w:p>
            <w:pPr>
              <w:pStyle w:val="TableParagraph"/>
              <w:spacing w:before="1"/>
              <w:ind w:left="107"/>
              <w:rPr>
                <w:sz w:val="22"/>
              </w:rPr>
            </w:pPr>
            <w:hyperlink r:id="rId86">
              <w:r>
                <w:rPr>
                  <w:color w:val="6B9F24"/>
                  <w:sz w:val="22"/>
                  <w:u w:val="single" w:color="6B9F24"/>
                </w:rPr>
                <w:t>RCW 71A.10.015</w:t>
              </w:r>
            </w:hyperlink>
          </w:p>
          <w:p>
            <w:pPr>
              <w:pStyle w:val="TableParagraph"/>
              <w:spacing w:before="10"/>
              <w:rPr>
                <w:b/>
                <w:sz w:val="21"/>
              </w:rPr>
            </w:pPr>
          </w:p>
          <w:p>
            <w:pPr>
              <w:pStyle w:val="TableParagraph"/>
              <w:ind w:left="107"/>
              <w:rPr>
                <w:sz w:val="22"/>
              </w:rPr>
            </w:pPr>
            <w:hyperlink r:id="rId129">
              <w:r>
                <w:rPr>
                  <w:color w:val="6B9F24"/>
                  <w:sz w:val="22"/>
                  <w:u w:val="single" w:color="6B9F24"/>
                </w:rPr>
                <w:t>WAC 388-845-1400</w:t>
              </w:r>
              <w:r>
                <w:rPr>
                  <w:color w:val="6B9F24"/>
                  <w:sz w:val="22"/>
                </w:rPr>
                <w:t> </w:t>
              </w:r>
            </w:hyperlink>
            <w:r>
              <w:rPr>
                <w:sz w:val="22"/>
              </w:rPr>
              <w:t>What</w:t>
            </w:r>
          </w:p>
          <w:p>
            <w:pPr>
              <w:pStyle w:val="TableParagraph"/>
              <w:ind w:left="107"/>
              <w:rPr>
                <w:sz w:val="22"/>
              </w:rPr>
            </w:pPr>
            <w:r>
              <w:rPr>
                <w:sz w:val="22"/>
              </w:rPr>
              <w:t>are pre-vocational services?</w:t>
            </w:r>
          </w:p>
          <w:p>
            <w:pPr>
              <w:pStyle w:val="TableParagraph"/>
              <w:ind w:left="107" w:right="218"/>
              <w:rPr>
                <w:sz w:val="22"/>
              </w:rPr>
            </w:pPr>
            <w:r>
              <w:rPr>
                <w:sz w:val="22"/>
              </w:rPr>
              <w:t>(1) Pre-vocational services typically occur in a specialized or segregated setting and include individualized monthly employment related activities in the community. Pre-vocational services are designed to prepare those interested in gainful employment in an integrated setting through training and skill</w:t>
            </w:r>
          </w:p>
          <w:p>
            <w:pPr>
              <w:pStyle w:val="TableParagraph"/>
              <w:spacing w:line="249" w:lineRule="exact" w:before="1"/>
              <w:ind w:left="107"/>
              <w:rPr>
                <w:sz w:val="22"/>
              </w:rPr>
            </w:pPr>
            <w:r>
              <w:rPr>
                <w:sz w:val="22"/>
              </w:rPr>
              <w:t>development. (2) Pre-</w:t>
            </w:r>
          </w:p>
        </w:tc>
        <w:tc>
          <w:tcPr>
            <w:tcW w:w="1409" w:type="dxa"/>
            <w:tcBorders>
              <w:top w:val="single" w:sz="18" w:space="0" w:color="4E8542"/>
            </w:tcBorders>
            <w:shd w:val="clear" w:color="auto" w:fill="D0E4CA"/>
          </w:tcPr>
          <w:p>
            <w:pPr>
              <w:pStyle w:val="TableParagraph"/>
              <w:spacing w:before="1"/>
              <w:ind w:left="107"/>
              <w:rPr>
                <w:sz w:val="22"/>
              </w:rPr>
            </w:pPr>
            <w:r>
              <w:rPr>
                <w:sz w:val="22"/>
              </w:rPr>
              <w:t>Conflicting</w:t>
            </w:r>
          </w:p>
        </w:tc>
        <w:tc>
          <w:tcPr>
            <w:tcW w:w="2820" w:type="dxa"/>
            <w:tcBorders>
              <w:top w:val="single" w:sz="18" w:space="0" w:color="4E8542"/>
            </w:tcBorders>
            <w:shd w:val="clear" w:color="auto" w:fill="D0E4CA"/>
          </w:tcPr>
          <w:p>
            <w:pPr>
              <w:pStyle w:val="TableParagraph"/>
              <w:spacing w:before="1"/>
              <w:ind w:left="104" w:right="87"/>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 service providers at minimum once per biennium 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w:t>
            </w:r>
          </w:p>
          <w:p>
            <w:pPr>
              <w:pStyle w:val="TableParagraph"/>
              <w:spacing w:line="248" w:lineRule="exact"/>
              <w:ind w:left="104"/>
              <w:rPr>
                <w:sz w:val="22"/>
              </w:rPr>
            </w:pPr>
            <w:r>
              <w:rPr>
                <w:sz w:val="22"/>
              </w:rPr>
              <w:t>providers submit monthly</w:t>
            </w:r>
          </w:p>
        </w:tc>
        <w:tc>
          <w:tcPr>
            <w:tcW w:w="2431" w:type="dxa"/>
            <w:tcBorders>
              <w:top w:val="single" w:sz="18" w:space="0" w:color="4E8542"/>
            </w:tcBorders>
            <w:shd w:val="clear" w:color="auto" w:fill="D0E4CA"/>
          </w:tcPr>
          <w:p>
            <w:pPr>
              <w:pStyle w:val="TableParagraph"/>
              <w:rPr>
                <w:rFonts w:ascii="Times New Roman"/>
                <w:sz w:val="22"/>
              </w:rPr>
            </w:pPr>
          </w:p>
        </w:tc>
      </w:tr>
    </w:tbl>
    <w:p>
      <w:pPr>
        <w:pStyle w:val="BodyText"/>
        <w:spacing w:before="6"/>
        <w:rPr>
          <w:b/>
          <w:sz w:val="10"/>
        </w:rPr>
      </w:pPr>
      <w:r>
        <w:rPr/>
        <w:pict>
          <v:shape style="position:absolute;margin-left:70.559998pt;margin-top:8.6395pt;width:650.9pt;height:.1pt;mso-position-horizontal-relative:page;mso-position-vertical-relative:paragraph;z-index:-251494400;mso-wrap-distance-left:0;mso-wrap-distance-right:0" coordorigin="1411,173" coordsize="13018,0" path="m1411,173l14429,173e" filled="false" stroked="true" strokeweight=".481pt" strokecolor="#d9d9d9">
            <v:path arrowok="t"/>
            <v:stroke dashstyle="solid"/>
            <w10:wrap type="topAndBottom"/>
          </v:shape>
        </w:pict>
      </w:r>
    </w:p>
    <w:p>
      <w:pPr>
        <w:spacing w:after="0"/>
        <w:rPr>
          <w:sz w:val="10"/>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5" w:right="274"/>
              <w:jc w:val="center"/>
              <w:rPr>
                <w:b/>
                <w:sz w:val="24"/>
              </w:rPr>
            </w:pPr>
            <w:r>
              <w:rPr>
                <w:b/>
                <w:sz w:val="24"/>
              </w:rPr>
              <w:t>DDA Pre-Vocational Services</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253" w:hRule="atLeast"/>
        </w:trPr>
        <w:tc>
          <w:tcPr>
            <w:tcW w:w="3456" w:type="dxa"/>
            <w:vMerge w:val="restart"/>
            <w:tcBorders>
              <w:top w:val="single" w:sz="18" w:space="0" w:color="4E8542"/>
            </w:tcBorders>
            <w:shd w:val="clear" w:color="auto" w:fill="D0E4CA"/>
          </w:tcPr>
          <w:p>
            <w:pPr>
              <w:pStyle w:val="TableParagraph"/>
              <w:rPr>
                <w:rFonts w:ascii="Times New Roman"/>
                <w:sz w:val="22"/>
              </w:rPr>
            </w:pPr>
          </w:p>
        </w:tc>
        <w:tc>
          <w:tcPr>
            <w:tcW w:w="2825" w:type="dxa"/>
            <w:tcBorders>
              <w:top w:val="single" w:sz="18" w:space="0" w:color="4E8542"/>
              <w:bottom w:val="nil"/>
            </w:tcBorders>
            <w:shd w:val="clear" w:color="auto" w:fill="D0E4CA"/>
          </w:tcPr>
          <w:p>
            <w:pPr>
              <w:pStyle w:val="TableParagraph"/>
              <w:spacing w:line="233" w:lineRule="exact"/>
              <w:ind w:left="107"/>
              <w:rPr>
                <w:sz w:val="22"/>
              </w:rPr>
            </w:pPr>
            <w:r>
              <w:rPr>
                <w:sz w:val="22"/>
              </w:rPr>
              <w:t>vocational services are</w:t>
            </w:r>
          </w:p>
        </w:tc>
        <w:tc>
          <w:tcPr>
            <w:tcW w:w="1409" w:type="dxa"/>
            <w:vMerge w:val="restart"/>
            <w:tcBorders>
              <w:top w:val="single" w:sz="18" w:space="0" w:color="4E8542"/>
            </w:tcBorders>
            <w:shd w:val="clear" w:color="auto" w:fill="D0E4CA"/>
          </w:tcPr>
          <w:p>
            <w:pPr>
              <w:pStyle w:val="TableParagraph"/>
              <w:rPr>
                <w:rFonts w:ascii="Times New Roman"/>
                <w:sz w:val="22"/>
              </w:rPr>
            </w:pPr>
          </w:p>
        </w:tc>
        <w:tc>
          <w:tcPr>
            <w:tcW w:w="2820" w:type="dxa"/>
            <w:vMerge w:val="restart"/>
            <w:tcBorders>
              <w:top w:val="single" w:sz="18" w:space="0" w:color="4E8542"/>
            </w:tcBorders>
            <w:shd w:val="clear" w:color="auto" w:fill="D0E4CA"/>
          </w:tcPr>
          <w:p>
            <w:pPr>
              <w:pStyle w:val="TableParagraph"/>
              <w:spacing w:line="243" w:lineRule="exact"/>
              <w:ind w:left="104"/>
              <w:rPr>
                <w:sz w:val="22"/>
              </w:rPr>
            </w:pPr>
            <w:r>
              <w:rPr>
                <w:sz w:val="22"/>
              </w:rPr>
              <w:t>outcome information to</w:t>
            </w:r>
          </w:p>
          <w:p>
            <w:pPr>
              <w:pStyle w:val="TableParagraph"/>
              <w:ind w:left="104" w:right="76"/>
              <w:rPr>
                <w:sz w:val="22"/>
              </w:rPr>
            </w:pPr>
            <w:r>
              <w:rPr>
                <w:sz w:val="22"/>
              </w:rPr>
              <w:t>counties and progress reports to each client’s case resource manager on a semi- annual basis.</w:t>
            </w:r>
          </w:p>
          <w:p>
            <w:pPr>
              <w:pStyle w:val="TableParagraph"/>
              <w:ind w:left="104" w:right="132"/>
              <w:rPr>
                <w:sz w:val="22"/>
              </w:rPr>
            </w:pPr>
            <w:r>
              <w:rPr>
                <w:sz w:val="22"/>
              </w:rPr>
              <w:t>Each county completes a 16- page self-assessment tool every other year which assists DDA to prioritize site visits. DDA uses the county self-assessment tool as one of several methods of identifying priorities for site visits. Other considerations include:</w:t>
            </w:r>
          </w:p>
          <w:p>
            <w:pPr>
              <w:pStyle w:val="TableParagraph"/>
              <w:numPr>
                <w:ilvl w:val="0"/>
                <w:numId w:val="26"/>
              </w:numPr>
              <w:tabs>
                <w:tab w:pos="464" w:val="left" w:leader="none"/>
                <w:tab w:pos="465" w:val="left" w:leader="none"/>
              </w:tabs>
              <w:spacing w:line="240" w:lineRule="auto" w:before="0" w:after="0"/>
              <w:ind w:left="464" w:right="0" w:hanging="361"/>
              <w:jc w:val="left"/>
              <w:rPr>
                <w:sz w:val="22"/>
              </w:rPr>
            </w:pPr>
            <w:r>
              <w:rPr>
                <w:sz w:val="22"/>
              </w:rPr>
              <w:t>If county is</w:t>
            </w:r>
            <w:r>
              <w:rPr>
                <w:spacing w:val="-1"/>
                <w:sz w:val="22"/>
              </w:rPr>
              <w:t> </w:t>
            </w:r>
            <w:r>
              <w:rPr>
                <w:sz w:val="22"/>
              </w:rPr>
              <w:t>provider;</w:t>
            </w:r>
          </w:p>
          <w:p>
            <w:pPr>
              <w:pStyle w:val="TableParagraph"/>
              <w:numPr>
                <w:ilvl w:val="0"/>
                <w:numId w:val="26"/>
              </w:numPr>
              <w:tabs>
                <w:tab w:pos="464" w:val="left" w:leader="none"/>
                <w:tab w:pos="465" w:val="left" w:leader="none"/>
              </w:tabs>
              <w:spacing w:line="240" w:lineRule="auto" w:before="0" w:after="0"/>
              <w:ind w:left="464" w:right="150" w:hanging="360"/>
              <w:jc w:val="left"/>
              <w:rPr>
                <w:sz w:val="22"/>
              </w:rPr>
            </w:pPr>
            <w:r>
              <w:rPr>
                <w:sz w:val="22"/>
              </w:rPr>
              <w:t>If DDA regional or HQ staff identifies county as needing additional site monitoring;</w:t>
            </w:r>
          </w:p>
          <w:p>
            <w:pPr>
              <w:pStyle w:val="TableParagraph"/>
              <w:numPr>
                <w:ilvl w:val="0"/>
                <w:numId w:val="26"/>
              </w:numPr>
              <w:tabs>
                <w:tab w:pos="464" w:val="left" w:leader="none"/>
                <w:tab w:pos="465" w:val="left" w:leader="none"/>
              </w:tabs>
              <w:spacing w:line="240" w:lineRule="auto" w:before="0" w:after="0"/>
              <w:ind w:left="464" w:right="296" w:hanging="360"/>
              <w:jc w:val="left"/>
              <w:rPr>
                <w:sz w:val="22"/>
              </w:rPr>
            </w:pPr>
            <w:r>
              <w:rPr>
                <w:sz w:val="22"/>
              </w:rPr>
              <w:t>Every three years, all counties are</w:t>
            </w:r>
            <w:r>
              <w:rPr>
                <w:spacing w:val="-6"/>
                <w:sz w:val="22"/>
              </w:rPr>
              <w:t> </w:t>
            </w:r>
            <w:r>
              <w:rPr>
                <w:sz w:val="22"/>
              </w:rPr>
              <w:t>reviewed.</w:t>
            </w:r>
          </w:p>
          <w:p>
            <w:pPr>
              <w:pStyle w:val="TableParagraph"/>
              <w:ind w:left="104" w:right="124" w:firstLine="50"/>
              <w:rPr>
                <w:sz w:val="22"/>
              </w:rPr>
            </w:pPr>
            <w:r>
              <w:rPr>
                <w:sz w:val="22"/>
              </w:rPr>
              <w:t>DDA staff conduct on-site quality assessments to every county once every two years. DDA has 3 Regional Employment Specialists who assist with the quality assessments. Additionally,</w:t>
            </w:r>
          </w:p>
          <w:p>
            <w:pPr>
              <w:pStyle w:val="TableParagraph"/>
              <w:spacing w:line="251" w:lineRule="exact"/>
              <w:ind w:left="104"/>
              <w:rPr>
                <w:sz w:val="22"/>
              </w:rPr>
            </w:pPr>
            <w:r>
              <w:rPr>
                <w:sz w:val="22"/>
              </w:rPr>
              <w:t>DDA review outcome</w:t>
            </w:r>
          </w:p>
        </w:tc>
        <w:tc>
          <w:tcPr>
            <w:tcW w:w="2431" w:type="dxa"/>
            <w:vMerge w:val="restart"/>
            <w:tcBorders>
              <w:top w:val="single" w:sz="18" w:space="0" w:color="4E8542"/>
            </w:tcBorders>
            <w:shd w:val="clear" w:color="auto" w:fill="D0E4CA"/>
          </w:tcPr>
          <w:p>
            <w:pPr>
              <w:pStyle w:val="TableParagraph"/>
              <w:rPr>
                <w:rFonts w:ascii="Times New Roman"/>
                <w:sz w:val="22"/>
              </w:rPr>
            </w:pPr>
          </w:p>
        </w:tc>
      </w:tr>
      <w:tr>
        <w:trPr>
          <w:trHeight w:val="248" w:hRule="atLeast"/>
        </w:trPr>
        <w:tc>
          <w:tcPr>
            <w:tcW w:w="3456" w:type="dxa"/>
            <w:vMerge/>
            <w:tcBorders>
              <w:top w:val="nil"/>
            </w:tcBorders>
            <w:shd w:val="clear" w:color="auto" w:fill="D0E4CA"/>
          </w:tcPr>
          <w:p>
            <w:pPr>
              <w:rPr>
                <w:sz w:val="2"/>
                <w:szCs w:val="2"/>
              </w:rPr>
            </w:pPr>
          </w:p>
        </w:tc>
        <w:tc>
          <w:tcPr>
            <w:tcW w:w="2825" w:type="dxa"/>
            <w:tcBorders>
              <w:top w:val="nil"/>
              <w:bottom w:val="nil"/>
            </w:tcBorders>
            <w:shd w:val="clear" w:color="auto" w:fill="D0E4CA"/>
          </w:tcPr>
          <w:p>
            <w:pPr>
              <w:pStyle w:val="TableParagraph"/>
              <w:spacing w:line="229" w:lineRule="exact"/>
              <w:ind w:left="107"/>
              <w:rPr>
                <w:sz w:val="22"/>
              </w:rPr>
            </w:pPr>
            <w:r>
              <w:rPr>
                <w:sz w:val="22"/>
              </w:rPr>
              <w:t>available in the Basic Plus,</w:t>
            </w:r>
          </w:p>
        </w:tc>
        <w:tc>
          <w:tcPr>
            <w:tcW w:w="1409" w:type="dxa"/>
            <w:vMerge/>
            <w:tcBorders>
              <w:top w:val="nil"/>
            </w:tcBorders>
            <w:shd w:val="clear" w:color="auto" w:fill="D0E4CA"/>
          </w:tcPr>
          <w:p>
            <w:pPr>
              <w:rPr>
                <w:sz w:val="2"/>
                <w:szCs w:val="2"/>
              </w:rPr>
            </w:pPr>
          </w:p>
        </w:tc>
        <w:tc>
          <w:tcPr>
            <w:tcW w:w="2820" w:type="dxa"/>
            <w:vMerge/>
            <w:tcBorders>
              <w:top w:val="nil"/>
            </w:tcBorders>
            <w:shd w:val="clear" w:color="auto" w:fill="D0E4CA"/>
          </w:tcPr>
          <w:p>
            <w:pPr>
              <w:rPr>
                <w:sz w:val="2"/>
                <w:szCs w:val="2"/>
              </w:rPr>
            </w:pPr>
          </w:p>
        </w:tc>
        <w:tc>
          <w:tcPr>
            <w:tcW w:w="2431" w:type="dxa"/>
            <w:vMerge/>
            <w:tcBorders>
              <w:top w:val="nil"/>
            </w:tcBorders>
            <w:shd w:val="clear" w:color="auto" w:fill="D0E4CA"/>
          </w:tcPr>
          <w:p>
            <w:pPr>
              <w:rPr>
                <w:sz w:val="2"/>
                <w:szCs w:val="2"/>
              </w:rPr>
            </w:pPr>
          </w:p>
        </w:tc>
      </w:tr>
      <w:tr>
        <w:trPr>
          <w:trHeight w:val="247" w:hRule="atLeast"/>
        </w:trPr>
        <w:tc>
          <w:tcPr>
            <w:tcW w:w="3456" w:type="dxa"/>
            <w:vMerge/>
            <w:tcBorders>
              <w:top w:val="nil"/>
            </w:tcBorders>
            <w:shd w:val="clear" w:color="auto" w:fill="D0E4CA"/>
          </w:tcPr>
          <w:p>
            <w:pPr>
              <w:rPr>
                <w:sz w:val="2"/>
                <w:szCs w:val="2"/>
              </w:rPr>
            </w:pPr>
          </w:p>
        </w:tc>
        <w:tc>
          <w:tcPr>
            <w:tcW w:w="2825" w:type="dxa"/>
            <w:tcBorders>
              <w:top w:val="nil"/>
              <w:bottom w:val="nil"/>
            </w:tcBorders>
            <w:shd w:val="clear" w:color="auto" w:fill="D0E4CA"/>
          </w:tcPr>
          <w:p>
            <w:pPr>
              <w:pStyle w:val="TableParagraph"/>
              <w:spacing w:line="228" w:lineRule="exact"/>
              <w:ind w:left="107"/>
              <w:rPr>
                <w:sz w:val="22"/>
              </w:rPr>
            </w:pPr>
            <w:r>
              <w:rPr>
                <w:sz w:val="22"/>
              </w:rPr>
              <w:t>Core and community</w:t>
            </w:r>
          </w:p>
        </w:tc>
        <w:tc>
          <w:tcPr>
            <w:tcW w:w="1409" w:type="dxa"/>
            <w:vMerge/>
            <w:tcBorders>
              <w:top w:val="nil"/>
            </w:tcBorders>
            <w:shd w:val="clear" w:color="auto" w:fill="D0E4CA"/>
          </w:tcPr>
          <w:p>
            <w:pPr>
              <w:rPr>
                <w:sz w:val="2"/>
                <w:szCs w:val="2"/>
              </w:rPr>
            </w:pPr>
          </w:p>
        </w:tc>
        <w:tc>
          <w:tcPr>
            <w:tcW w:w="2820" w:type="dxa"/>
            <w:vMerge/>
            <w:tcBorders>
              <w:top w:val="nil"/>
            </w:tcBorders>
            <w:shd w:val="clear" w:color="auto" w:fill="D0E4CA"/>
          </w:tcPr>
          <w:p>
            <w:pPr>
              <w:rPr>
                <w:sz w:val="2"/>
                <w:szCs w:val="2"/>
              </w:rPr>
            </w:pPr>
          </w:p>
        </w:tc>
        <w:tc>
          <w:tcPr>
            <w:tcW w:w="2431" w:type="dxa"/>
            <w:vMerge/>
            <w:tcBorders>
              <w:top w:val="nil"/>
            </w:tcBorders>
            <w:shd w:val="clear" w:color="auto" w:fill="D0E4CA"/>
          </w:tcPr>
          <w:p>
            <w:pPr>
              <w:rPr>
                <w:sz w:val="2"/>
                <w:szCs w:val="2"/>
              </w:rPr>
            </w:pPr>
          </w:p>
        </w:tc>
      </w:tr>
      <w:tr>
        <w:trPr>
          <w:trHeight w:val="516" w:hRule="atLeast"/>
        </w:trPr>
        <w:tc>
          <w:tcPr>
            <w:tcW w:w="3456" w:type="dxa"/>
            <w:vMerge/>
            <w:tcBorders>
              <w:top w:val="nil"/>
            </w:tcBorders>
            <w:shd w:val="clear" w:color="auto" w:fill="D0E4CA"/>
          </w:tcPr>
          <w:p>
            <w:pPr>
              <w:rPr>
                <w:sz w:val="2"/>
                <w:szCs w:val="2"/>
              </w:rPr>
            </w:pPr>
          </w:p>
        </w:tc>
        <w:tc>
          <w:tcPr>
            <w:tcW w:w="2825" w:type="dxa"/>
            <w:tcBorders>
              <w:top w:val="nil"/>
              <w:bottom w:val="nil"/>
            </w:tcBorders>
            <w:shd w:val="clear" w:color="auto" w:fill="D0E4CA"/>
          </w:tcPr>
          <w:p>
            <w:pPr>
              <w:pStyle w:val="TableParagraph"/>
              <w:spacing w:line="237" w:lineRule="exact"/>
              <w:ind w:left="107"/>
              <w:rPr>
                <w:sz w:val="22"/>
              </w:rPr>
            </w:pPr>
            <w:r>
              <w:rPr>
                <w:sz w:val="22"/>
              </w:rPr>
              <w:t>protection waivers.</w:t>
            </w:r>
          </w:p>
        </w:tc>
        <w:tc>
          <w:tcPr>
            <w:tcW w:w="1409" w:type="dxa"/>
            <w:vMerge/>
            <w:tcBorders>
              <w:top w:val="nil"/>
            </w:tcBorders>
            <w:shd w:val="clear" w:color="auto" w:fill="D0E4CA"/>
          </w:tcPr>
          <w:p>
            <w:pPr>
              <w:rPr>
                <w:sz w:val="2"/>
                <w:szCs w:val="2"/>
              </w:rPr>
            </w:pPr>
          </w:p>
        </w:tc>
        <w:tc>
          <w:tcPr>
            <w:tcW w:w="2820" w:type="dxa"/>
            <w:vMerge/>
            <w:tcBorders>
              <w:top w:val="nil"/>
            </w:tcBorders>
            <w:shd w:val="clear" w:color="auto" w:fill="D0E4CA"/>
          </w:tcPr>
          <w:p>
            <w:pPr>
              <w:rPr>
                <w:sz w:val="2"/>
                <w:szCs w:val="2"/>
              </w:rPr>
            </w:pPr>
          </w:p>
        </w:tc>
        <w:tc>
          <w:tcPr>
            <w:tcW w:w="2431" w:type="dxa"/>
            <w:vMerge/>
            <w:tcBorders>
              <w:top w:val="nil"/>
            </w:tcBorders>
            <w:shd w:val="clear" w:color="auto" w:fill="D0E4CA"/>
          </w:tcPr>
          <w:p>
            <w:pPr>
              <w:rPr>
                <w:sz w:val="2"/>
                <w:szCs w:val="2"/>
              </w:rPr>
            </w:pPr>
          </w:p>
        </w:tc>
      </w:tr>
      <w:tr>
        <w:trPr>
          <w:trHeight w:val="517" w:hRule="atLeast"/>
        </w:trPr>
        <w:tc>
          <w:tcPr>
            <w:tcW w:w="3456" w:type="dxa"/>
            <w:vMerge/>
            <w:tcBorders>
              <w:top w:val="nil"/>
            </w:tcBorders>
            <w:shd w:val="clear" w:color="auto" w:fill="D0E4CA"/>
          </w:tcPr>
          <w:p>
            <w:pPr>
              <w:rPr>
                <w:sz w:val="2"/>
                <w:szCs w:val="2"/>
              </w:rPr>
            </w:pPr>
          </w:p>
        </w:tc>
        <w:tc>
          <w:tcPr>
            <w:tcW w:w="2825" w:type="dxa"/>
            <w:tcBorders>
              <w:top w:val="nil"/>
              <w:bottom w:val="nil"/>
            </w:tcBorders>
            <w:shd w:val="clear" w:color="auto" w:fill="D0E4CA"/>
          </w:tcPr>
          <w:p>
            <w:pPr>
              <w:pStyle w:val="TableParagraph"/>
              <w:spacing w:before="7"/>
              <w:rPr>
                <w:b/>
                <w:sz w:val="19"/>
              </w:rPr>
            </w:pPr>
          </w:p>
          <w:p>
            <w:pPr>
              <w:pStyle w:val="TableParagraph"/>
              <w:spacing w:line="259" w:lineRule="exact"/>
              <w:ind w:left="107"/>
              <w:rPr>
                <w:sz w:val="22"/>
              </w:rPr>
            </w:pPr>
            <w:hyperlink r:id="rId88">
              <w:r>
                <w:rPr>
                  <w:color w:val="6B9F24"/>
                  <w:sz w:val="22"/>
                  <w:u w:val="single" w:color="6B9F24"/>
                </w:rPr>
                <w:t>DDA Policy 4.11</w:t>
              </w:r>
              <w:r>
                <w:rPr>
                  <w:color w:val="6B9F24"/>
                  <w:sz w:val="22"/>
                </w:rPr>
                <w:t> </w:t>
              </w:r>
            </w:hyperlink>
            <w:r>
              <w:rPr>
                <w:sz w:val="22"/>
              </w:rPr>
              <w:t>County</w:t>
            </w:r>
          </w:p>
        </w:tc>
        <w:tc>
          <w:tcPr>
            <w:tcW w:w="1409" w:type="dxa"/>
            <w:vMerge/>
            <w:tcBorders>
              <w:top w:val="nil"/>
            </w:tcBorders>
            <w:shd w:val="clear" w:color="auto" w:fill="D0E4CA"/>
          </w:tcPr>
          <w:p>
            <w:pPr>
              <w:rPr>
                <w:sz w:val="2"/>
                <w:szCs w:val="2"/>
              </w:rPr>
            </w:pPr>
          </w:p>
        </w:tc>
        <w:tc>
          <w:tcPr>
            <w:tcW w:w="2820" w:type="dxa"/>
            <w:vMerge/>
            <w:tcBorders>
              <w:top w:val="nil"/>
            </w:tcBorders>
            <w:shd w:val="clear" w:color="auto" w:fill="D0E4CA"/>
          </w:tcPr>
          <w:p>
            <w:pPr>
              <w:rPr>
                <w:sz w:val="2"/>
                <w:szCs w:val="2"/>
              </w:rPr>
            </w:pPr>
          </w:p>
        </w:tc>
        <w:tc>
          <w:tcPr>
            <w:tcW w:w="2431" w:type="dxa"/>
            <w:vMerge/>
            <w:tcBorders>
              <w:top w:val="nil"/>
            </w:tcBorders>
            <w:shd w:val="clear" w:color="auto" w:fill="D0E4CA"/>
          </w:tcPr>
          <w:p>
            <w:pPr>
              <w:rPr>
                <w:sz w:val="2"/>
                <w:szCs w:val="2"/>
              </w:rPr>
            </w:pPr>
          </w:p>
        </w:tc>
      </w:tr>
      <w:tr>
        <w:trPr>
          <w:trHeight w:val="248" w:hRule="atLeast"/>
        </w:trPr>
        <w:tc>
          <w:tcPr>
            <w:tcW w:w="3456" w:type="dxa"/>
            <w:vMerge/>
            <w:tcBorders>
              <w:top w:val="nil"/>
            </w:tcBorders>
            <w:shd w:val="clear" w:color="auto" w:fill="D0E4CA"/>
          </w:tcPr>
          <w:p>
            <w:pPr>
              <w:rPr>
                <w:sz w:val="2"/>
                <w:szCs w:val="2"/>
              </w:rPr>
            </w:pPr>
          </w:p>
        </w:tc>
        <w:tc>
          <w:tcPr>
            <w:tcW w:w="2825" w:type="dxa"/>
            <w:tcBorders>
              <w:top w:val="nil"/>
              <w:bottom w:val="nil"/>
            </w:tcBorders>
            <w:shd w:val="clear" w:color="auto" w:fill="D0E4CA"/>
          </w:tcPr>
          <w:p>
            <w:pPr>
              <w:pStyle w:val="TableParagraph"/>
              <w:spacing w:line="229" w:lineRule="exact"/>
              <w:ind w:left="107"/>
              <w:rPr>
                <w:sz w:val="22"/>
              </w:rPr>
            </w:pPr>
            <w:r>
              <w:rPr>
                <w:sz w:val="22"/>
              </w:rPr>
              <w:t>Services for Working Age</w:t>
            </w:r>
          </w:p>
        </w:tc>
        <w:tc>
          <w:tcPr>
            <w:tcW w:w="1409" w:type="dxa"/>
            <w:vMerge/>
            <w:tcBorders>
              <w:top w:val="nil"/>
            </w:tcBorders>
            <w:shd w:val="clear" w:color="auto" w:fill="D0E4CA"/>
          </w:tcPr>
          <w:p>
            <w:pPr>
              <w:rPr>
                <w:sz w:val="2"/>
                <w:szCs w:val="2"/>
              </w:rPr>
            </w:pPr>
          </w:p>
        </w:tc>
        <w:tc>
          <w:tcPr>
            <w:tcW w:w="2820" w:type="dxa"/>
            <w:vMerge/>
            <w:tcBorders>
              <w:top w:val="nil"/>
            </w:tcBorders>
            <w:shd w:val="clear" w:color="auto" w:fill="D0E4CA"/>
          </w:tcPr>
          <w:p>
            <w:pPr>
              <w:rPr>
                <w:sz w:val="2"/>
                <w:szCs w:val="2"/>
              </w:rPr>
            </w:pPr>
          </w:p>
        </w:tc>
        <w:tc>
          <w:tcPr>
            <w:tcW w:w="2431" w:type="dxa"/>
            <w:vMerge/>
            <w:tcBorders>
              <w:top w:val="nil"/>
            </w:tcBorders>
            <w:shd w:val="clear" w:color="auto" w:fill="D0E4CA"/>
          </w:tcPr>
          <w:p>
            <w:pPr>
              <w:rPr>
                <w:sz w:val="2"/>
                <w:szCs w:val="2"/>
              </w:rPr>
            </w:pPr>
          </w:p>
        </w:tc>
      </w:tr>
      <w:tr>
        <w:trPr>
          <w:trHeight w:val="383" w:hRule="atLeast"/>
        </w:trPr>
        <w:tc>
          <w:tcPr>
            <w:tcW w:w="3456" w:type="dxa"/>
            <w:vMerge/>
            <w:tcBorders>
              <w:top w:val="nil"/>
            </w:tcBorders>
            <w:shd w:val="clear" w:color="auto" w:fill="D0E4CA"/>
          </w:tcPr>
          <w:p>
            <w:pPr>
              <w:rPr>
                <w:sz w:val="2"/>
                <w:szCs w:val="2"/>
              </w:rPr>
            </w:pPr>
          </w:p>
        </w:tc>
        <w:tc>
          <w:tcPr>
            <w:tcW w:w="2825" w:type="dxa"/>
            <w:tcBorders>
              <w:top w:val="nil"/>
              <w:bottom w:val="nil"/>
            </w:tcBorders>
            <w:shd w:val="clear" w:color="auto" w:fill="D0E4CA"/>
          </w:tcPr>
          <w:p>
            <w:pPr>
              <w:pStyle w:val="TableParagraph"/>
              <w:spacing w:line="239" w:lineRule="exact"/>
              <w:ind w:left="107"/>
              <w:rPr>
                <w:sz w:val="22"/>
              </w:rPr>
            </w:pPr>
            <w:r>
              <w:rPr>
                <w:sz w:val="22"/>
              </w:rPr>
              <w:t>Adults</w:t>
            </w:r>
          </w:p>
        </w:tc>
        <w:tc>
          <w:tcPr>
            <w:tcW w:w="1409" w:type="dxa"/>
            <w:vMerge/>
            <w:tcBorders>
              <w:top w:val="nil"/>
            </w:tcBorders>
            <w:shd w:val="clear" w:color="auto" w:fill="D0E4CA"/>
          </w:tcPr>
          <w:p>
            <w:pPr>
              <w:rPr>
                <w:sz w:val="2"/>
                <w:szCs w:val="2"/>
              </w:rPr>
            </w:pPr>
          </w:p>
        </w:tc>
        <w:tc>
          <w:tcPr>
            <w:tcW w:w="2820" w:type="dxa"/>
            <w:vMerge/>
            <w:tcBorders>
              <w:top w:val="nil"/>
            </w:tcBorders>
            <w:shd w:val="clear" w:color="auto" w:fill="D0E4CA"/>
          </w:tcPr>
          <w:p>
            <w:pPr>
              <w:rPr>
                <w:sz w:val="2"/>
                <w:szCs w:val="2"/>
              </w:rPr>
            </w:pPr>
          </w:p>
        </w:tc>
        <w:tc>
          <w:tcPr>
            <w:tcW w:w="2431" w:type="dxa"/>
            <w:vMerge/>
            <w:tcBorders>
              <w:top w:val="nil"/>
            </w:tcBorders>
            <w:shd w:val="clear" w:color="auto" w:fill="D0E4CA"/>
          </w:tcPr>
          <w:p>
            <w:pPr>
              <w:rPr>
                <w:sz w:val="2"/>
                <w:szCs w:val="2"/>
              </w:rPr>
            </w:pPr>
          </w:p>
        </w:tc>
      </w:tr>
      <w:tr>
        <w:trPr>
          <w:trHeight w:val="383" w:hRule="atLeast"/>
        </w:trPr>
        <w:tc>
          <w:tcPr>
            <w:tcW w:w="3456" w:type="dxa"/>
            <w:vMerge/>
            <w:tcBorders>
              <w:top w:val="nil"/>
            </w:tcBorders>
            <w:shd w:val="clear" w:color="auto" w:fill="D0E4CA"/>
          </w:tcPr>
          <w:p>
            <w:pPr>
              <w:rPr>
                <w:sz w:val="2"/>
                <w:szCs w:val="2"/>
              </w:rPr>
            </w:pPr>
          </w:p>
        </w:tc>
        <w:tc>
          <w:tcPr>
            <w:tcW w:w="2825" w:type="dxa"/>
            <w:tcBorders>
              <w:top w:val="nil"/>
              <w:bottom w:val="nil"/>
            </w:tcBorders>
            <w:shd w:val="clear" w:color="auto" w:fill="D0E4CA"/>
          </w:tcPr>
          <w:p>
            <w:pPr>
              <w:pStyle w:val="TableParagraph"/>
              <w:spacing w:line="259" w:lineRule="exact" w:before="104"/>
              <w:ind w:left="107"/>
              <w:rPr>
                <w:sz w:val="22"/>
              </w:rPr>
            </w:pPr>
            <w:hyperlink r:id="rId89">
              <w:r>
                <w:rPr>
                  <w:color w:val="6B9F24"/>
                  <w:sz w:val="22"/>
                  <w:u w:val="single" w:color="6B9F24"/>
                </w:rPr>
                <w:t>County Guidelines</w:t>
              </w:r>
              <w:r>
                <w:rPr>
                  <w:color w:val="6B9F24"/>
                  <w:sz w:val="22"/>
                </w:rPr>
                <w:t> </w:t>
              </w:r>
            </w:hyperlink>
            <w:r>
              <w:rPr>
                <w:sz w:val="22"/>
              </w:rPr>
              <w:t>inform</w:t>
            </w:r>
          </w:p>
        </w:tc>
        <w:tc>
          <w:tcPr>
            <w:tcW w:w="1409" w:type="dxa"/>
            <w:vMerge/>
            <w:tcBorders>
              <w:top w:val="nil"/>
            </w:tcBorders>
            <w:shd w:val="clear" w:color="auto" w:fill="D0E4CA"/>
          </w:tcPr>
          <w:p>
            <w:pPr>
              <w:rPr>
                <w:sz w:val="2"/>
                <w:szCs w:val="2"/>
              </w:rPr>
            </w:pPr>
          </w:p>
        </w:tc>
        <w:tc>
          <w:tcPr>
            <w:tcW w:w="2820" w:type="dxa"/>
            <w:vMerge/>
            <w:tcBorders>
              <w:top w:val="nil"/>
            </w:tcBorders>
            <w:shd w:val="clear" w:color="auto" w:fill="D0E4CA"/>
          </w:tcPr>
          <w:p>
            <w:pPr>
              <w:rPr>
                <w:sz w:val="2"/>
                <w:szCs w:val="2"/>
              </w:rPr>
            </w:pPr>
          </w:p>
        </w:tc>
        <w:tc>
          <w:tcPr>
            <w:tcW w:w="2431" w:type="dxa"/>
            <w:vMerge/>
            <w:tcBorders>
              <w:top w:val="nil"/>
            </w:tcBorders>
            <w:shd w:val="clear" w:color="auto" w:fill="D0E4CA"/>
          </w:tcPr>
          <w:p>
            <w:pPr>
              <w:rPr>
                <w:sz w:val="2"/>
                <w:szCs w:val="2"/>
              </w:rPr>
            </w:pPr>
          </w:p>
        </w:tc>
      </w:tr>
      <w:tr>
        <w:trPr>
          <w:trHeight w:val="248" w:hRule="atLeast"/>
        </w:trPr>
        <w:tc>
          <w:tcPr>
            <w:tcW w:w="3456" w:type="dxa"/>
            <w:vMerge/>
            <w:tcBorders>
              <w:top w:val="nil"/>
            </w:tcBorders>
            <w:shd w:val="clear" w:color="auto" w:fill="D0E4CA"/>
          </w:tcPr>
          <w:p>
            <w:pPr>
              <w:rPr>
                <w:sz w:val="2"/>
                <w:szCs w:val="2"/>
              </w:rPr>
            </w:pPr>
          </w:p>
        </w:tc>
        <w:tc>
          <w:tcPr>
            <w:tcW w:w="2825" w:type="dxa"/>
            <w:tcBorders>
              <w:top w:val="nil"/>
              <w:bottom w:val="nil"/>
            </w:tcBorders>
            <w:shd w:val="clear" w:color="auto" w:fill="D0E4CA"/>
          </w:tcPr>
          <w:p>
            <w:pPr>
              <w:pStyle w:val="TableParagraph"/>
              <w:spacing w:line="229" w:lineRule="exact"/>
              <w:ind w:left="107"/>
              <w:rPr>
                <w:sz w:val="22"/>
              </w:rPr>
            </w:pPr>
            <w:r>
              <w:rPr>
                <w:sz w:val="22"/>
              </w:rPr>
              <w:t>and direct county services,</w:t>
            </w:r>
          </w:p>
        </w:tc>
        <w:tc>
          <w:tcPr>
            <w:tcW w:w="1409" w:type="dxa"/>
            <w:vMerge/>
            <w:tcBorders>
              <w:top w:val="nil"/>
            </w:tcBorders>
            <w:shd w:val="clear" w:color="auto" w:fill="D0E4CA"/>
          </w:tcPr>
          <w:p>
            <w:pPr>
              <w:rPr>
                <w:sz w:val="2"/>
                <w:szCs w:val="2"/>
              </w:rPr>
            </w:pPr>
          </w:p>
        </w:tc>
        <w:tc>
          <w:tcPr>
            <w:tcW w:w="2820" w:type="dxa"/>
            <w:vMerge/>
            <w:tcBorders>
              <w:top w:val="nil"/>
            </w:tcBorders>
            <w:shd w:val="clear" w:color="auto" w:fill="D0E4CA"/>
          </w:tcPr>
          <w:p>
            <w:pPr>
              <w:rPr>
                <w:sz w:val="2"/>
                <w:szCs w:val="2"/>
              </w:rPr>
            </w:pPr>
          </w:p>
        </w:tc>
        <w:tc>
          <w:tcPr>
            <w:tcW w:w="2431" w:type="dxa"/>
            <w:vMerge/>
            <w:tcBorders>
              <w:top w:val="nil"/>
            </w:tcBorders>
            <w:shd w:val="clear" w:color="auto" w:fill="D0E4CA"/>
          </w:tcPr>
          <w:p>
            <w:pPr>
              <w:rPr>
                <w:sz w:val="2"/>
                <w:szCs w:val="2"/>
              </w:rPr>
            </w:pPr>
          </w:p>
        </w:tc>
      </w:tr>
      <w:tr>
        <w:trPr>
          <w:trHeight w:val="247" w:hRule="atLeast"/>
        </w:trPr>
        <w:tc>
          <w:tcPr>
            <w:tcW w:w="3456" w:type="dxa"/>
            <w:vMerge/>
            <w:tcBorders>
              <w:top w:val="nil"/>
            </w:tcBorders>
            <w:shd w:val="clear" w:color="auto" w:fill="D0E4CA"/>
          </w:tcPr>
          <w:p>
            <w:pPr>
              <w:rPr>
                <w:sz w:val="2"/>
                <w:szCs w:val="2"/>
              </w:rPr>
            </w:pPr>
          </w:p>
        </w:tc>
        <w:tc>
          <w:tcPr>
            <w:tcW w:w="2825" w:type="dxa"/>
            <w:tcBorders>
              <w:top w:val="nil"/>
              <w:bottom w:val="nil"/>
            </w:tcBorders>
            <w:shd w:val="clear" w:color="auto" w:fill="D0E4CA"/>
          </w:tcPr>
          <w:p>
            <w:pPr>
              <w:pStyle w:val="TableParagraph"/>
              <w:spacing w:line="228" w:lineRule="exact"/>
              <w:ind w:left="107"/>
              <w:rPr>
                <w:sz w:val="22"/>
              </w:rPr>
            </w:pPr>
            <w:r>
              <w:rPr>
                <w:sz w:val="22"/>
              </w:rPr>
              <w:t>including employment, to</w:t>
            </w:r>
          </w:p>
        </w:tc>
        <w:tc>
          <w:tcPr>
            <w:tcW w:w="1409" w:type="dxa"/>
            <w:vMerge/>
            <w:tcBorders>
              <w:top w:val="nil"/>
            </w:tcBorders>
            <w:shd w:val="clear" w:color="auto" w:fill="D0E4CA"/>
          </w:tcPr>
          <w:p>
            <w:pPr>
              <w:rPr>
                <w:sz w:val="2"/>
                <w:szCs w:val="2"/>
              </w:rPr>
            </w:pPr>
          </w:p>
        </w:tc>
        <w:tc>
          <w:tcPr>
            <w:tcW w:w="2820" w:type="dxa"/>
            <w:vMerge/>
            <w:tcBorders>
              <w:top w:val="nil"/>
            </w:tcBorders>
            <w:shd w:val="clear" w:color="auto" w:fill="D0E4CA"/>
          </w:tcPr>
          <w:p>
            <w:pPr>
              <w:rPr>
                <w:sz w:val="2"/>
                <w:szCs w:val="2"/>
              </w:rPr>
            </w:pPr>
          </w:p>
        </w:tc>
        <w:tc>
          <w:tcPr>
            <w:tcW w:w="2431" w:type="dxa"/>
            <w:vMerge/>
            <w:tcBorders>
              <w:top w:val="nil"/>
            </w:tcBorders>
            <w:shd w:val="clear" w:color="auto" w:fill="D0E4CA"/>
          </w:tcPr>
          <w:p>
            <w:pPr>
              <w:rPr>
                <w:sz w:val="2"/>
                <w:szCs w:val="2"/>
              </w:rPr>
            </w:pPr>
          </w:p>
        </w:tc>
      </w:tr>
      <w:tr>
        <w:trPr>
          <w:trHeight w:val="247" w:hRule="atLeast"/>
        </w:trPr>
        <w:tc>
          <w:tcPr>
            <w:tcW w:w="3456" w:type="dxa"/>
            <w:vMerge/>
            <w:tcBorders>
              <w:top w:val="nil"/>
            </w:tcBorders>
            <w:shd w:val="clear" w:color="auto" w:fill="D0E4CA"/>
          </w:tcPr>
          <w:p>
            <w:pPr>
              <w:rPr>
                <w:sz w:val="2"/>
                <w:szCs w:val="2"/>
              </w:rPr>
            </w:pPr>
          </w:p>
        </w:tc>
        <w:tc>
          <w:tcPr>
            <w:tcW w:w="2825" w:type="dxa"/>
            <w:tcBorders>
              <w:top w:val="nil"/>
              <w:bottom w:val="nil"/>
            </w:tcBorders>
            <w:shd w:val="clear" w:color="auto" w:fill="D0E4CA"/>
          </w:tcPr>
          <w:p>
            <w:pPr>
              <w:pStyle w:val="TableParagraph"/>
              <w:spacing w:line="228" w:lineRule="exact"/>
              <w:ind w:left="107"/>
              <w:rPr>
                <w:sz w:val="22"/>
              </w:rPr>
            </w:pPr>
            <w:r>
              <w:rPr>
                <w:sz w:val="22"/>
              </w:rPr>
              <w:t>include the following</w:t>
            </w:r>
          </w:p>
        </w:tc>
        <w:tc>
          <w:tcPr>
            <w:tcW w:w="1409" w:type="dxa"/>
            <w:vMerge/>
            <w:tcBorders>
              <w:top w:val="nil"/>
            </w:tcBorders>
            <w:shd w:val="clear" w:color="auto" w:fill="D0E4CA"/>
          </w:tcPr>
          <w:p>
            <w:pPr>
              <w:rPr>
                <w:sz w:val="2"/>
                <w:szCs w:val="2"/>
              </w:rPr>
            </w:pPr>
          </w:p>
        </w:tc>
        <w:tc>
          <w:tcPr>
            <w:tcW w:w="2820" w:type="dxa"/>
            <w:vMerge/>
            <w:tcBorders>
              <w:top w:val="nil"/>
            </w:tcBorders>
            <w:shd w:val="clear" w:color="auto" w:fill="D0E4CA"/>
          </w:tcPr>
          <w:p>
            <w:pPr>
              <w:rPr>
                <w:sz w:val="2"/>
                <w:szCs w:val="2"/>
              </w:rPr>
            </w:pPr>
          </w:p>
        </w:tc>
        <w:tc>
          <w:tcPr>
            <w:tcW w:w="2431" w:type="dxa"/>
            <w:vMerge/>
            <w:tcBorders>
              <w:top w:val="nil"/>
            </w:tcBorders>
            <w:shd w:val="clear" w:color="auto" w:fill="D0E4CA"/>
          </w:tcPr>
          <w:p>
            <w:pPr>
              <w:rPr>
                <w:sz w:val="2"/>
                <w:szCs w:val="2"/>
              </w:rPr>
            </w:pPr>
          </w:p>
        </w:tc>
      </w:tr>
      <w:tr>
        <w:trPr>
          <w:trHeight w:val="248" w:hRule="atLeast"/>
        </w:trPr>
        <w:tc>
          <w:tcPr>
            <w:tcW w:w="3456" w:type="dxa"/>
            <w:vMerge/>
            <w:tcBorders>
              <w:top w:val="nil"/>
            </w:tcBorders>
            <w:shd w:val="clear" w:color="auto" w:fill="D0E4CA"/>
          </w:tcPr>
          <w:p>
            <w:pPr>
              <w:rPr>
                <w:sz w:val="2"/>
                <w:szCs w:val="2"/>
              </w:rPr>
            </w:pPr>
          </w:p>
        </w:tc>
        <w:tc>
          <w:tcPr>
            <w:tcW w:w="2825" w:type="dxa"/>
            <w:tcBorders>
              <w:top w:val="nil"/>
              <w:bottom w:val="nil"/>
            </w:tcBorders>
            <w:shd w:val="clear" w:color="auto" w:fill="D0E4CA"/>
          </w:tcPr>
          <w:p>
            <w:pPr>
              <w:pStyle w:val="TableParagraph"/>
              <w:spacing w:line="229" w:lineRule="exact"/>
              <w:ind w:left="107"/>
              <w:rPr>
                <w:sz w:val="22"/>
              </w:rPr>
            </w:pPr>
            <w:r>
              <w:rPr>
                <w:sz w:val="22"/>
              </w:rPr>
              <w:t>benefits of quality living:</w:t>
            </w:r>
          </w:p>
        </w:tc>
        <w:tc>
          <w:tcPr>
            <w:tcW w:w="1409" w:type="dxa"/>
            <w:vMerge/>
            <w:tcBorders>
              <w:top w:val="nil"/>
            </w:tcBorders>
            <w:shd w:val="clear" w:color="auto" w:fill="D0E4CA"/>
          </w:tcPr>
          <w:p>
            <w:pPr>
              <w:rPr>
                <w:sz w:val="2"/>
                <w:szCs w:val="2"/>
              </w:rPr>
            </w:pPr>
          </w:p>
        </w:tc>
        <w:tc>
          <w:tcPr>
            <w:tcW w:w="2820" w:type="dxa"/>
            <w:vMerge/>
            <w:tcBorders>
              <w:top w:val="nil"/>
            </w:tcBorders>
            <w:shd w:val="clear" w:color="auto" w:fill="D0E4CA"/>
          </w:tcPr>
          <w:p>
            <w:pPr>
              <w:rPr>
                <w:sz w:val="2"/>
                <w:szCs w:val="2"/>
              </w:rPr>
            </w:pPr>
          </w:p>
        </w:tc>
        <w:tc>
          <w:tcPr>
            <w:tcW w:w="2431" w:type="dxa"/>
            <w:vMerge/>
            <w:tcBorders>
              <w:top w:val="nil"/>
            </w:tcBorders>
            <w:shd w:val="clear" w:color="auto" w:fill="D0E4CA"/>
          </w:tcPr>
          <w:p>
            <w:pPr>
              <w:rPr>
                <w:sz w:val="2"/>
                <w:szCs w:val="2"/>
              </w:rPr>
            </w:pPr>
          </w:p>
        </w:tc>
      </w:tr>
      <w:tr>
        <w:trPr>
          <w:trHeight w:val="248" w:hRule="atLeast"/>
        </w:trPr>
        <w:tc>
          <w:tcPr>
            <w:tcW w:w="3456" w:type="dxa"/>
            <w:vMerge/>
            <w:tcBorders>
              <w:top w:val="nil"/>
            </w:tcBorders>
            <w:shd w:val="clear" w:color="auto" w:fill="D0E4CA"/>
          </w:tcPr>
          <w:p>
            <w:pPr>
              <w:rPr>
                <w:sz w:val="2"/>
                <w:szCs w:val="2"/>
              </w:rPr>
            </w:pPr>
          </w:p>
        </w:tc>
        <w:tc>
          <w:tcPr>
            <w:tcW w:w="2825" w:type="dxa"/>
            <w:tcBorders>
              <w:top w:val="nil"/>
              <w:bottom w:val="nil"/>
            </w:tcBorders>
            <w:shd w:val="clear" w:color="auto" w:fill="D0E4CA"/>
          </w:tcPr>
          <w:p>
            <w:pPr>
              <w:pStyle w:val="TableParagraph"/>
              <w:spacing w:line="229" w:lineRule="exact"/>
              <w:ind w:left="107"/>
              <w:rPr>
                <w:sz w:val="22"/>
              </w:rPr>
            </w:pPr>
            <w:r>
              <w:rPr>
                <w:sz w:val="22"/>
              </w:rPr>
              <w:t>power and choice,</w:t>
            </w:r>
          </w:p>
        </w:tc>
        <w:tc>
          <w:tcPr>
            <w:tcW w:w="1409" w:type="dxa"/>
            <w:vMerge/>
            <w:tcBorders>
              <w:top w:val="nil"/>
            </w:tcBorders>
            <w:shd w:val="clear" w:color="auto" w:fill="D0E4CA"/>
          </w:tcPr>
          <w:p>
            <w:pPr>
              <w:rPr>
                <w:sz w:val="2"/>
                <w:szCs w:val="2"/>
              </w:rPr>
            </w:pPr>
          </w:p>
        </w:tc>
        <w:tc>
          <w:tcPr>
            <w:tcW w:w="2820" w:type="dxa"/>
            <w:vMerge/>
            <w:tcBorders>
              <w:top w:val="nil"/>
            </w:tcBorders>
            <w:shd w:val="clear" w:color="auto" w:fill="D0E4CA"/>
          </w:tcPr>
          <w:p>
            <w:pPr>
              <w:rPr>
                <w:sz w:val="2"/>
                <w:szCs w:val="2"/>
              </w:rPr>
            </w:pPr>
          </w:p>
        </w:tc>
        <w:tc>
          <w:tcPr>
            <w:tcW w:w="2431" w:type="dxa"/>
            <w:vMerge/>
            <w:tcBorders>
              <w:top w:val="nil"/>
            </w:tcBorders>
            <w:shd w:val="clear" w:color="auto" w:fill="D0E4CA"/>
          </w:tcPr>
          <w:p>
            <w:pPr>
              <w:rPr>
                <w:sz w:val="2"/>
                <w:szCs w:val="2"/>
              </w:rPr>
            </w:pPr>
          </w:p>
        </w:tc>
      </w:tr>
      <w:tr>
        <w:trPr>
          <w:trHeight w:val="248" w:hRule="atLeast"/>
        </w:trPr>
        <w:tc>
          <w:tcPr>
            <w:tcW w:w="3456" w:type="dxa"/>
            <w:vMerge/>
            <w:tcBorders>
              <w:top w:val="nil"/>
            </w:tcBorders>
            <w:shd w:val="clear" w:color="auto" w:fill="D0E4CA"/>
          </w:tcPr>
          <w:p>
            <w:pPr>
              <w:rPr>
                <w:sz w:val="2"/>
                <w:szCs w:val="2"/>
              </w:rPr>
            </w:pPr>
          </w:p>
        </w:tc>
        <w:tc>
          <w:tcPr>
            <w:tcW w:w="2825" w:type="dxa"/>
            <w:tcBorders>
              <w:top w:val="nil"/>
              <w:bottom w:val="nil"/>
            </w:tcBorders>
            <w:shd w:val="clear" w:color="auto" w:fill="D0E4CA"/>
          </w:tcPr>
          <w:p>
            <w:pPr>
              <w:pStyle w:val="TableParagraph"/>
              <w:spacing w:line="229" w:lineRule="exact"/>
              <w:ind w:left="107"/>
              <w:rPr>
                <w:sz w:val="22"/>
              </w:rPr>
            </w:pPr>
            <w:r>
              <w:rPr>
                <w:sz w:val="22"/>
              </w:rPr>
              <w:t>relationships,</w:t>
            </w:r>
          </w:p>
        </w:tc>
        <w:tc>
          <w:tcPr>
            <w:tcW w:w="1409" w:type="dxa"/>
            <w:vMerge/>
            <w:tcBorders>
              <w:top w:val="nil"/>
            </w:tcBorders>
            <w:shd w:val="clear" w:color="auto" w:fill="D0E4CA"/>
          </w:tcPr>
          <w:p>
            <w:pPr>
              <w:rPr>
                <w:sz w:val="2"/>
                <w:szCs w:val="2"/>
              </w:rPr>
            </w:pPr>
          </w:p>
        </w:tc>
        <w:tc>
          <w:tcPr>
            <w:tcW w:w="2820" w:type="dxa"/>
            <w:vMerge/>
            <w:tcBorders>
              <w:top w:val="nil"/>
            </w:tcBorders>
            <w:shd w:val="clear" w:color="auto" w:fill="D0E4CA"/>
          </w:tcPr>
          <w:p>
            <w:pPr>
              <w:rPr>
                <w:sz w:val="2"/>
                <w:szCs w:val="2"/>
              </w:rPr>
            </w:pPr>
          </w:p>
        </w:tc>
        <w:tc>
          <w:tcPr>
            <w:tcW w:w="2431" w:type="dxa"/>
            <w:vMerge/>
            <w:tcBorders>
              <w:top w:val="nil"/>
            </w:tcBorders>
            <w:shd w:val="clear" w:color="auto" w:fill="D0E4CA"/>
          </w:tcPr>
          <w:p>
            <w:pPr>
              <w:rPr>
                <w:sz w:val="2"/>
                <w:szCs w:val="2"/>
              </w:rPr>
            </w:pPr>
          </w:p>
        </w:tc>
      </w:tr>
      <w:tr>
        <w:trPr>
          <w:trHeight w:val="248" w:hRule="atLeast"/>
        </w:trPr>
        <w:tc>
          <w:tcPr>
            <w:tcW w:w="3456" w:type="dxa"/>
            <w:vMerge/>
            <w:tcBorders>
              <w:top w:val="nil"/>
            </w:tcBorders>
            <w:shd w:val="clear" w:color="auto" w:fill="D0E4CA"/>
          </w:tcPr>
          <w:p>
            <w:pPr>
              <w:rPr>
                <w:sz w:val="2"/>
                <w:szCs w:val="2"/>
              </w:rPr>
            </w:pPr>
          </w:p>
        </w:tc>
        <w:tc>
          <w:tcPr>
            <w:tcW w:w="2825" w:type="dxa"/>
            <w:tcBorders>
              <w:top w:val="nil"/>
              <w:bottom w:val="nil"/>
            </w:tcBorders>
            <w:shd w:val="clear" w:color="auto" w:fill="D0E4CA"/>
          </w:tcPr>
          <w:p>
            <w:pPr>
              <w:pStyle w:val="TableParagraph"/>
              <w:spacing w:line="229" w:lineRule="exact"/>
              <w:ind w:left="107"/>
              <w:rPr>
                <w:sz w:val="22"/>
              </w:rPr>
            </w:pPr>
            <w:r>
              <w:rPr>
                <w:sz w:val="22"/>
              </w:rPr>
              <w:t>status/contribution,</w:t>
            </w:r>
          </w:p>
        </w:tc>
        <w:tc>
          <w:tcPr>
            <w:tcW w:w="1409" w:type="dxa"/>
            <w:vMerge/>
            <w:tcBorders>
              <w:top w:val="nil"/>
            </w:tcBorders>
            <w:shd w:val="clear" w:color="auto" w:fill="D0E4CA"/>
          </w:tcPr>
          <w:p>
            <w:pPr>
              <w:rPr>
                <w:sz w:val="2"/>
                <w:szCs w:val="2"/>
              </w:rPr>
            </w:pPr>
          </w:p>
        </w:tc>
        <w:tc>
          <w:tcPr>
            <w:tcW w:w="2820" w:type="dxa"/>
            <w:vMerge/>
            <w:tcBorders>
              <w:top w:val="nil"/>
            </w:tcBorders>
            <w:shd w:val="clear" w:color="auto" w:fill="D0E4CA"/>
          </w:tcPr>
          <w:p>
            <w:pPr>
              <w:rPr>
                <w:sz w:val="2"/>
                <w:szCs w:val="2"/>
              </w:rPr>
            </w:pPr>
          </w:p>
        </w:tc>
        <w:tc>
          <w:tcPr>
            <w:tcW w:w="2431" w:type="dxa"/>
            <w:vMerge/>
            <w:tcBorders>
              <w:top w:val="nil"/>
            </w:tcBorders>
            <w:shd w:val="clear" w:color="auto" w:fill="D0E4CA"/>
          </w:tcPr>
          <w:p>
            <w:pPr>
              <w:rPr>
                <w:sz w:val="2"/>
                <w:szCs w:val="2"/>
              </w:rPr>
            </w:pPr>
          </w:p>
        </w:tc>
      </w:tr>
      <w:tr>
        <w:trPr>
          <w:trHeight w:val="248" w:hRule="atLeast"/>
        </w:trPr>
        <w:tc>
          <w:tcPr>
            <w:tcW w:w="3456" w:type="dxa"/>
            <w:vMerge/>
            <w:tcBorders>
              <w:top w:val="nil"/>
            </w:tcBorders>
            <w:shd w:val="clear" w:color="auto" w:fill="D0E4CA"/>
          </w:tcPr>
          <w:p>
            <w:pPr>
              <w:rPr>
                <w:sz w:val="2"/>
                <w:szCs w:val="2"/>
              </w:rPr>
            </w:pPr>
          </w:p>
        </w:tc>
        <w:tc>
          <w:tcPr>
            <w:tcW w:w="2825" w:type="dxa"/>
            <w:tcBorders>
              <w:top w:val="nil"/>
              <w:bottom w:val="nil"/>
            </w:tcBorders>
            <w:shd w:val="clear" w:color="auto" w:fill="D0E4CA"/>
          </w:tcPr>
          <w:p>
            <w:pPr>
              <w:pStyle w:val="TableParagraph"/>
              <w:spacing w:line="229" w:lineRule="exact"/>
              <w:ind w:left="107"/>
              <w:rPr>
                <w:sz w:val="22"/>
              </w:rPr>
            </w:pPr>
            <w:r>
              <w:rPr>
                <w:sz w:val="22"/>
              </w:rPr>
              <w:t>integration, competence and</w:t>
            </w:r>
          </w:p>
        </w:tc>
        <w:tc>
          <w:tcPr>
            <w:tcW w:w="1409" w:type="dxa"/>
            <w:vMerge/>
            <w:tcBorders>
              <w:top w:val="nil"/>
            </w:tcBorders>
            <w:shd w:val="clear" w:color="auto" w:fill="D0E4CA"/>
          </w:tcPr>
          <w:p>
            <w:pPr>
              <w:rPr>
                <w:sz w:val="2"/>
                <w:szCs w:val="2"/>
              </w:rPr>
            </w:pPr>
          </w:p>
        </w:tc>
        <w:tc>
          <w:tcPr>
            <w:tcW w:w="2820" w:type="dxa"/>
            <w:vMerge/>
            <w:tcBorders>
              <w:top w:val="nil"/>
            </w:tcBorders>
            <w:shd w:val="clear" w:color="auto" w:fill="D0E4CA"/>
          </w:tcPr>
          <w:p>
            <w:pPr>
              <w:rPr>
                <w:sz w:val="2"/>
                <w:szCs w:val="2"/>
              </w:rPr>
            </w:pPr>
          </w:p>
        </w:tc>
        <w:tc>
          <w:tcPr>
            <w:tcW w:w="2431" w:type="dxa"/>
            <w:vMerge/>
            <w:tcBorders>
              <w:top w:val="nil"/>
            </w:tcBorders>
            <w:shd w:val="clear" w:color="auto" w:fill="D0E4CA"/>
          </w:tcPr>
          <w:p>
            <w:pPr>
              <w:rPr>
                <w:sz w:val="2"/>
                <w:szCs w:val="2"/>
              </w:rPr>
            </w:pPr>
          </w:p>
        </w:tc>
      </w:tr>
      <w:tr>
        <w:trPr>
          <w:trHeight w:val="2960" w:hRule="atLeast"/>
        </w:trPr>
        <w:tc>
          <w:tcPr>
            <w:tcW w:w="3456" w:type="dxa"/>
            <w:vMerge/>
            <w:tcBorders>
              <w:top w:val="nil"/>
            </w:tcBorders>
            <w:shd w:val="clear" w:color="auto" w:fill="D0E4CA"/>
          </w:tcPr>
          <w:p>
            <w:pPr>
              <w:rPr>
                <w:sz w:val="2"/>
                <w:szCs w:val="2"/>
              </w:rPr>
            </w:pPr>
          </w:p>
        </w:tc>
        <w:tc>
          <w:tcPr>
            <w:tcW w:w="2825" w:type="dxa"/>
            <w:tcBorders>
              <w:top w:val="nil"/>
            </w:tcBorders>
            <w:shd w:val="clear" w:color="auto" w:fill="D0E4CA"/>
          </w:tcPr>
          <w:p>
            <w:pPr>
              <w:pStyle w:val="TableParagraph"/>
              <w:spacing w:line="239" w:lineRule="exact"/>
              <w:ind w:left="107"/>
              <w:rPr>
                <w:sz w:val="22"/>
              </w:rPr>
            </w:pPr>
            <w:r>
              <w:rPr>
                <w:sz w:val="22"/>
              </w:rPr>
              <w:t>health and safety.</w:t>
            </w:r>
          </w:p>
        </w:tc>
        <w:tc>
          <w:tcPr>
            <w:tcW w:w="1409" w:type="dxa"/>
            <w:vMerge/>
            <w:tcBorders>
              <w:top w:val="nil"/>
            </w:tcBorders>
            <w:shd w:val="clear" w:color="auto" w:fill="D0E4CA"/>
          </w:tcPr>
          <w:p>
            <w:pPr>
              <w:rPr>
                <w:sz w:val="2"/>
                <w:szCs w:val="2"/>
              </w:rPr>
            </w:pPr>
          </w:p>
        </w:tc>
        <w:tc>
          <w:tcPr>
            <w:tcW w:w="2820" w:type="dxa"/>
            <w:vMerge/>
            <w:tcBorders>
              <w:top w:val="nil"/>
            </w:tcBorders>
            <w:shd w:val="clear" w:color="auto" w:fill="D0E4CA"/>
          </w:tcPr>
          <w:p>
            <w:pPr>
              <w:rPr>
                <w:sz w:val="2"/>
                <w:szCs w:val="2"/>
              </w:rPr>
            </w:pPr>
          </w:p>
        </w:tc>
        <w:tc>
          <w:tcPr>
            <w:tcW w:w="2431" w:type="dxa"/>
            <w:vMerge/>
            <w:tcBorders>
              <w:top w:val="nil"/>
            </w:tcBorders>
            <w:shd w:val="clear" w:color="auto" w:fill="D0E4CA"/>
          </w:tcPr>
          <w:p>
            <w:pPr>
              <w:rPr>
                <w:sz w:val="2"/>
                <w:szCs w:val="2"/>
              </w:rPr>
            </w:pPr>
          </w:p>
        </w:tc>
      </w:tr>
    </w:tbl>
    <w:p>
      <w:pPr>
        <w:pStyle w:val="BodyText"/>
        <w:spacing w:before="8"/>
        <w:rPr>
          <w:b/>
          <w:sz w:val="12"/>
        </w:rPr>
      </w:pPr>
      <w:r>
        <w:rPr/>
        <w:pict>
          <v:shape style="position:absolute;margin-left:70.559998pt;margin-top:9.9595pt;width:650.9pt;height:.1pt;mso-position-horizontal-relative:page;mso-position-vertical-relative:paragraph;z-index:-251493376;mso-wrap-distance-left:0;mso-wrap-distance-right:0" coordorigin="1411,199" coordsize="13018,0" path="m1411,199l14429,199e" filled="false" stroked="true" strokeweight=".481pt" strokecolor="#d9d9d9">
            <v:path arrowok="t"/>
            <v:stroke dashstyle="solid"/>
            <w10:wrap type="topAndBottom"/>
          </v:shape>
        </w:pict>
      </w:r>
    </w:p>
    <w:p>
      <w:pPr>
        <w:spacing w:after="0"/>
        <w:rPr>
          <w:sz w:val="12"/>
        </w:rPr>
        <w:sectPr>
          <w:footerReference w:type="default" r:id="rId130"/>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5" w:right="274"/>
              <w:jc w:val="center"/>
              <w:rPr>
                <w:b/>
                <w:sz w:val="24"/>
              </w:rPr>
            </w:pPr>
            <w:r>
              <w:rPr>
                <w:b/>
                <w:sz w:val="24"/>
              </w:rPr>
              <w:t>DDA Pre-Vocational Services</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781" w:hRule="atLeast"/>
        </w:trPr>
        <w:tc>
          <w:tcPr>
            <w:tcW w:w="3456" w:type="dxa"/>
            <w:tcBorders>
              <w:top w:val="single" w:sz="18" w:space="0" w:color="4E8542"/>
            </w:tcBorders>
            <w:shd w:val="clear" w:color="auto" w:fill="D0E4CA"/>
          </w:tcPr>
          <w:p>
            <w:pPr>
              <w:pStyle w:val="TableParagraph"/>
              <w:rPr>
                <w:rFonts w:ascii="Times New Roman"/>
                <w:sz w:val="22"/>
              </w:rPr>
            </w:pPr>
          </w:p>
        </w:tc>
        <w:tc>
          <w:tcPr>
            <w:tcW w:w="2825" w:type="dxa"/>
            <w:tcBorders>
              <w:top w:val="single" w:sz="18" w:space="0" w:color="4E8542"/>
            </w:tcBorders>
            <w:shd w:val="clear" w:color="auto" w:fill="D0E4CA"/>
          </w:tcPr>
          <w:p>
            <w:pPr>
              <w:pStyle w:val="TableParagraph"/>
              <w:rPr>
                <w:rFonts w:ascii="Times New Roman"/>
                <w:sz w:val="22"/>
              </w:rPr>
            </w:pPr>
          </w:p>
        </w:tc>
        <w:tc>
          <w:tcPr>
            <w:tcW w:w="1409" w:type="dxa"/>
            <w:tcBorders>
              <w:top w:val="single" w:sz="18" w:space="0" w:color="4E8542"/>
            </w:tcBorders>
            <w:shd w:val="clear" w:color="auto" w:fill="D0E4CA"/>
          </w:tcPr>
          <w:p>
            <w:pPr>
              <w:pStyle w:val="TableParagraph"/>
              <w:rPr>
                <w:rFonts w:ascii="Times New Roman"/>
                <w:sz w:val="22"/>
              </w:rPr>
            </w:pPr>
          </w:p>
        </w:tc>
        <w:tc>
          <w:tcPr>
            <w:tcW w:w="2820" w:type="dxa"/>
            <w:tcBorders>
              <w:top w:val="single" w:sz="18" w:space="0" w:color="4E8542"/>
            </w:tcBorders>
            <w:shd w:val="clear" w:color="auto" w:fill="D0E4CA"/>
          </w:tcPr>
          <w:p>
            <w:pPr>
              <w:pStyle w:val="TableParagraph"/>
              <w:spacing w:line="243" w:lineRule="exact"/>
              <w:ind w:left="104"/>
              <w:rPr>
                <w:sz w:val="22"/>
              </w:rPr>
            </w:pPr>
            <w:r>
              <w:rPr>
                <w:sz w:val="22"/>
              </w:rPr>
              <w:t>information for trends and</w:t>
            </w:r>
          </w:p>
          <w:p>
            <w:pPr>
              <w:pStyle w:val="TableParagraph"/>
              <w:spacing w:line="270" w:lineRule="atLeast"/>
              <w:ind w:left="104" w:right="470"/>
              <w:rPr>
                <w:sz w:val="22"/>
              </w:rPr>
            </w:pPr>
            <w:r>
              <w:rPr>
                <w:sz w:val="22"/>
              </w:rPr>
              <w:t>patterns on a county-by- county basis monthly.</w:t>
            </w:r>
          </w:p>
        </w:tc>
        <w:tc>
          <w:tcPr>
            <w:tcW w:w="2431" w:type="dxa"/>
            <w:tcBorders>
              <w:top w:val="single" w:sz="18" w:space="0" w:color="4E8542"/>
            </w:tcBorders>
            <w:shd w:val="clear" w:color="auto" w:fill="D0E4CA"/>
          </w:tcPr>
          <w:p>
            <w:pPr>
              <w:pStyle w:val="TableParagraph"/>
              <w:rPr>
                <w:rFonts w:ascii="Times New Roman"/>
                <w:sz w:val="22"/>
              </w:rPr>
            </w:pPr>
          </w:p>
        </w:tc>
      </w:tr>
      <w:tr>
        <w:trPr>
          <w:trHeight w:val="7247" w:hRule="atLeast"/>
        </w:trPr>
        <w:tc>
          <w:tcPr>
            <w:tcW w:w="3456" w:type="dxa"/>
          </w:tcPr>
          <w:p>
            <w:pPr>
              <w:pStyle w:val="TableParagraph"/>
              <w:ind w:left="106" w:right="242"/>
              <w:rPr>
                <w:b/>
                <w:sz w:val="22"/>
              </w:rPr>
            </w:pPr>
            <w:r>
              <w:rPr>
                <w:b/>
                <w:sz w:val="22"/>
              </w:rPr>
              <w:t>The setting is selected by the individual from among setting options including non-disability specific settings and an option for a private unit in a residential setting. The setting options are identified and documented in the person-centered service plan and are based on the individual’s needs, preferences, and, for residential settings, resources available for room and board.</w:t>
            </w:r>
          </w:p>
        </w:tc>
        <w:tc>
          <w:tcPr>
            <w:tcW w:w="2825" w:type="dxa"/>
          </w:tcPr>
          <w:p>
            <w:pPr>
              <w:pStyle w:val="TableParagraph"/>
              <w:ind w:left="107" w:right="170"/>
              <w:rPr>
                <w:sz w:val="22"/>
              </w:rPr>
            </w:pPr>
            <w:r>
              <w:rPr>
                <w:sz w:val="22"/>
              </w:rPr>
              <w:t>During the assessment process, it is the case manager’s responsibility to inform individuals of their options regarding settings and providers. Participants report via the Assessment Meeting Wrap–up and the Assessment Meeting Survey that they are informed of their options regarding services and providers.</w:t>
            </w:r>
          </w:p>
          <w:p>
            <w:pPr>
              <w:pStyle w:val="TableParagraph"/>
              <w:spacing w:before="7"/>
              <w:rPr>
                <w:b/>
                <w:sz w:val="21"/>
              </w:rPr>
            </w:pPr>
          </w:p>
          <w:p>
            <w:pPr>
              <w:pStyle w:val="TableParagraph"/>
              <w:ind w:left="107" w:right="95"/>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 include the following benefits of quality living: power and choice, relationships, status/contribution, integration, competence and health and safety.</w:t>
            </w:r>
          </w:p>
        </w:tc>
        <w:tc>
          <w:tcPr>
            <w:tcW w:w="1409" w:type="dxa"/>
          </w:tcPr>
          <w:p>
            <w:pPr>
              <w:pStyle w:val="TableParagraph"/>
              <w:ind w:left="107" w:right="341"/>
              <w:rPr>
                <w:sz w:val="22"/>
              </w:rPr>
            </w:pPr>
            <w:r>
              <w:rPr>
                <w:sz w:val="22"/>
              </w:rPr>
              <w:t>Partially Compliant</w:t>
            </w:r>
          </w:p>
        </w:tc>
        <w:tc>
          <w:tcPr>
            <w:tcW w:w="2820" w:type="dxa"/>
          </w:tcPr>
          <w:p>
            <w:pPr>
              <w:pStyle w:val="TableParagraph"/>
              <w:ind w:left="104" w:right="87"/>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 service providers at minimum once per biennium 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 providers submit monthly outcome information to counties and progress reports to each client’s case resource manager on a semi- annual basis.</w:t>
            </w:r>
          </w:p>
          <w:p>
            <w:pPr>
              <w:pStyle w:val="TableParagraph"/>
              <w:ind w:left="104" w:right="116"/>
              <w:rPr>
                <w:sz w:val="22"/>
              </w:rPr>
            </w:pPr>
            <w:r>
              <w:rPr>
                <w:sz w:val="22"/>
              </w:rPr>
              <w:t>Each county completes a 16- page self-assessment tool every other year which</w:t>
            </w:r>
          </w:p>
          <w:p>
            <w:pPr>
              <w:pStyle w:val="TableParagraph"/>
              <w:spacing w:line="249" w:lineRule="exact"/>
              <w:ind w:left="104"/>
              <w:rPr>
                <w:sz w:val="22"/>
              </w:rPr>
            </w:pPr>
            <w:r>
              <w:rPr>
                <w:sz w:val="22"/>
              </w:rPr>
              <w:t>assists DDA to prioritize site</w:t>
            </w:r>
          </w:p>
        </w:tc>
        <w:tc>
          <w:tcPr>
            <w:tcW w:w="2431" w:type="dxa"/>
          </w:tcPr>
          <w:p>
            <w:pPr>
              <w:pStyle w:val="TableParagraph"/>
              <w:ind w:left="107" w:right="86"/>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p>
        </w:tc>
      </w:tr>
    </w:tbl>
    <w:p>
      <w:pPr>
        <w:pStyle w:val="BodyText"/>
        <w:spacing w:before="1"/>
        <w:rPr>
          <w:b/>
          <w:sz w:val="14"/>
        </w:rPr>
      </w:pPr>
      <w:r>
        <w:rPr/>
        <w:pict>
          <v:shape style="position:absolute;margin-left:70.559998pt;margin-top:10.7995pt;width:650.9pt;height:.1pt;mso-position-horizontal-relative:page;mso-position-vertical-relative:paragraph;z-index:-251492352;mso-wrap-distance-left:0;mso-wrap-distance-right:0" coordorigin="1411,216" coordsize="13018,0" path="m1411,216l14429,216e" filled="false" stroked="true" strokeweight=".481pt" strokecolor="#d9d9d9">
            <v:path arrowok="t"/>
            <v:stroke dashstyle="solid"/>
            <w10:wrap type="topAndBottom"/>
          </v:shape>
        </w:pict>
      </w:r>
    </w:p>
    <w:p>
      <w:pPr>
        <w:spacing w:after="0"/>
        <w:rPr>
          <w:sz w:val="14"/>
        </w:rPr>
        <w:sectPr>
          <w:footerReference w:type="default" r:id="rId131"/>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151"/>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5" w:right="274"/>
              <w:jc w:val="center"/>
              <w:rPr>
                <w:b/>
                <w:sz w:val="24"/>
              </w:rPr>
            </w:pPr>
            <w:r>
              <w:rPr>
                <w:b/>
                <w:sz w:val="24"/>
              </w:rPr>
              <w:t>DDA Pre-Vocational Services</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2929" w:hRule="atLeast"/>
        </w:trPr>
        <w:tc>
          <w:tcPr>
            <w:tcW w:w="3456" w:type="dxa"/>
            <w:tcBorders>
              <w:top w:val="single" w:sz="18" w:space="0" w:color="4E8542"/>
            </w:tcBorders>
          </w:tcPr>
          <w:p>
            <w:pPr>
              <w:pStyle w:val="TableParagraph"/>
              <w:rPr>
                <w:rFonts w:ascii="Times New Roman"/>
                <w:sz w:val="22"/>
              </w:rPr>
            </w:pPr>
          </w:p>
        </w:tc>
        <w:tc>
          <w:tcPr>
            <w:tcW w:w="2825" w:type="dxa"/>
            <w:tcBorders>
              <w:top w:val="single" w:sz="18" w:space="0" w:color="4E8542"/>
            </w:tcBorders>
          </w:tcPr>
          <w:p>
            <w:pPr>
              <w:pStyle w:val="TableParagraph"/>
              <w:rPr>
                <w:rFonts w:ascii="Times New Roman"/>
                <w:sz w:val="22"/>
              </w:rPr>
            </w:pPr>
          </w:p>
        </w:tc>
        <w:tc>
          <w:tcPr>
            <w:tcW w:w="1409" w:type="dxa"/>
            <w:tcBorders>
              <w:top w:val="single" w:sz="18" w:space="0" w:color="4E8542"/>
            </w:tcBorders>
          </w:tcPr>
          <w:p>
            <w:pPr>
              <w:pStyle w:val="TableParagraph"/>
              <w:rPr>
                <w:rFonts w:ascii="Times New Roman"/>
                <w:sz w:val="22"/>
              </w:rPr>
            </w:pPr>
          </w:p>
        </w:tc>
        <w:tc>
          <w:tcPr>
            <w:tcW w:w="2820" w:type="dxa"/>
            <w:tcBorders>
              <w:top w:val="single" w:sz="18" w:space="0" w:color="4E8542"/>
            </w:tcBorders>
          </w:tcPr>
          <w:p>
            <w:pPr>
              <w:pStyle w:val="TableParagraph"/>
              <w:spacing w:line="243" w:lineRule="exact"/>
              <w:ind w:left="104"/>
              <w:rPr>
                <w:sz w:val="22"/>
              </w:rPr>
            </w:pPr>
            <w:r>
              <w:rPr>
                <w:sz w:val="22"/>
              </w:rPr>
              <w:t>visits. DDA staff conduct on-</w:t>
            </w:r>
          </w:p>
          <w:p>
            <w:pPr>
              <w:pStyle w:val="TableParagraph"/>
              <w:ind w:left="104" w:right="93"/>
              <w:rPr>
                <w:sz w:val="22"/>
              </w:rPr>
            </w:pPr>
            <w:r>
              <w:rPr>
                <w:sz w:val="22"/>
              </w:rPr>
              <w:t>site quality assessments to every county once every two years. DDA has 3 Regional Employment Specialists who assist with the quality assessments. Additionally, DDA review outcome information for trends and patterns on a county-by-</w:t>
            </w:r>
          </w:p>
          <w:p>
            <w:pPr>
              <w:pStyle w:val="TableParagraph"/>
              <w:spacing w:line="249" w:lineRule="exact"/>
              <w:ind w:left="104"/>
              <w:rPr>
                <w:sz w:val="22"/>
              </w:rPr>
            </w:pPr>
            <w:r>
              <w:rPr>
                <w:sz w:val="22"/>
              </w:rPr>
              <w:t>county basis monthly.</w:t>
            </w:r>
          </w:p>
        </w:tc>
        <w:tc>
          <w:tcPr>
            <w:tcW w:w="2431" w:type="dxa"/>
            <w:tcBorders>
              <w:top w:val="single" w:sz="18" w:space="0" w:color="4E8542"/>
            </w:tcBorders>
          </w:tcPr>
          <w:p>
            <w:pPr>
              <w:pStyle w:val="TableParagraph"/>
              <w:rPr>
                <w:rFonts w:ascii="Times New Roman"/>
                <w:sz w:val="22"/>
              </w:rPr>
            </w:pPr>
          </w:p>
        </w:tc>
      </w:tr>
      <w:tr>
        <w:trPr>
          <w:trHeight w:val="5101" w:hRule="atLeast"/>
        </w:trPr>
        <w:tc>
          <w:tcPr>
            <w:tcW w:w="3456" w:type="dxa"/>
            <w:shd w:val="clear" w:color="auto" w:fill="D0E4CA"/>
          </w:tcPr>
          <w:p>
            <w:pPr>
              <w:pStyle w:val="TableParagraph"/>
              <w:ind w:left="107" w:right="261"/>
              <w:rPr>
                <w:b/>
                <w:sz w:val="22"/>
              </w:rPr>
            </w:pPr>
            <w:r>
              <w:rPr>
                <w:b/>
                <w:sz w:val="22"/>
              </w:rPr>
              <w:t>An individual’s essential personal rights of privacy, dignity and respect, and freedom from coercion and restraint are protected.</w:t>
            </w:r>
          </w:p>
        </w:tc>
        <w:tc>
          <w:tcPr>
            <w:tcW w:w="2825" w:type="dxa"/>
            <w:shd w:val="clear" w:color="auto" w:fill="D0E4CA"/>
          </w:tcPr>
          <w:p>
            <w:pPr>
              <w:pStyle w:val="TableParagraph"/>
              <w:spacing w:line="267" w:lineRule="exact"/>
              <w:ind w:left="107"/>
              <w:rPr>
                <w:sz w:val="22"/>
              </w:rPr>
            </w:pPr>
            <w:hyperlink r:id="rId23">
              <w:r>
                <w:rPr>
                  <w:color w:val="6B9F24"/>
                  <w:sz w:val="22"/>
                  <w:u w:val="single" w:color="6B9F24"/>
                </w:rPr>
                <w:t>WAC 388-823-1095</w:t>
              </w:r>
              <w:r>
                <w:rPr>
                  <w:color w:val="6B9F24"/>
                  <w:sz w:val="22"/>
                </w:rPr>
                <w:t> </w:t>
              </w:r>
            </w:hyperlink>
            <w:r>
              <w:rPr>
                <w:sz w:val="22"/>
              </w:rPr>
              <w:t>My</w:t>
            </w:r>
          </w:p>
          <w:p>
            <w:pPr>
              <w:pStyle w:val="TableParagraph"/>
              <w:ind w:left="107"/>
              <w:rPr>
                <w:sz w:val="22"/>
              </w:rPr>
            </w:pPr>
            <w:r>
              <w:rPr>
                <w:sz w:val="22"/>
              </w:rPr>
              <w:t>rights as a DDA client.</w:t>
            </w:r>
          </w:p>
          <w:p>
            <w:pPr>
              <w:pStyle w:val="TableParagraph"/>
              <w:rPr>
                <w:b/>
                <w:sz w:val="22"/>
              </w:rPr>
            </w:pPr>
          </w:p>
          <w:p>
            <w:pPr>
              <w:pStyle w:val="TableParagraph"/>
              <w:ind w:left="107" w:right="95"/>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 include the following benefits of quality living: power and choice, relationships, status/contribution, integration, competence and health and safety.</w:t>
            </w:r>
          </w:p>
        </w:tc>
        <w:tc>
          <w:tcPr>
            <w:tcW w:w="1409" w:type="dxa"/>
            <w:shd w:val="clear" w:color="auto" w:fill="D0E4CA"/>
          </w:tcPr>
          <w:p>
            <w:pPr>
              <w:pStyle w:val="TableParagraph"/>
              <w:ind w:left="107" w:right="341"/>
              <w:rPr>
                <w:sz w:val="22"/>
              </w:rPr>
            </w:pPr>
            <w:r>
              <w:rPr>
                <w:sz w:val="22"/>
              </w:rPr>
              <w:t>Partially Compliant</w:t>
            </w:r>
          </w:p>
        </w:tc>
        <w:tc>
          <w:tcPr>
            <w:tcW w:w="2820" w:type="dxa"/>
            <w:shd w:val="clear" w:color="auto" w:fill="D0E4CA"/>
          </w:tcPr>
          <w:p>
            <w:pPr>
              <w:pStyle w:val="TableParagraph"/>
              <w:ind w:left="104" w:right="87"/>
              <w:rPr>
                <w:sz w:val="22"/>
              </w:rPr>
            </w:pPr>
            <w:r>
              <w:rPr>
                <w:sz w:val="22"/>
              </w:rPr>
              <w:t>By contract and by </w:t>
            </w:r>
            <w:hyperlink r:id="rId88">
              <w:r>
                <w:rPr>
                  <w:color w:val="6B9F24"/>
                  <w:sz w:val="22"/>
                  <w:u w:val="single" w:color="6B9F24"/>
                </w:rPr>
                <w:t>DDA</w:t>
              </w:r>
            </w:hyperlink>
            <w:r>
              <w:rPr>
                <w:color w:val="6B9F24"/>
                <w:sz w:val="22"/>
              </w:rPr>
              <w:t> </w:t>
            </w:r>
            <w:hyperlink r:id="rId88">
              <w:r>
                <w:rPr>
                  <w:color w:val="6B9F24"/>
                  <w:sz w:val="22"/>
                  <w:u w:val="single" w:color="6B9F24"/>
                </w:rPr>
                <w:t>Policy 4.11</w:t>
              </w:r>
              <w:r>
                <w:rPr>
                  <w:color w:val="6B9F24"/>
                  <w:sz w:val="22"/>
                </w:rPr>
                <w:t> </w:t>
              </w:r>
            </w:hyperlink>
            <w:r>
              <w:rPr>
                <w:sz w:val="22"/>
              </w:rPr>
              <w:t>embedded in the contract, each county reviews their employment service providers at minimum once per biennium 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 providers submit monthly</w:t>
            </w:r>
          </w:p>
          <w:p>
            <w:pPr>
              <w:pStyle w:val="TableParagraph"/>
              <w:spacing w:line="249" w:lineRule="exact"/>
              <w:ind w:left="104"/>
              <w:rPr>
                <w:sz w:val="22"/>
              </w:rPr>
            </w:pPr>
            <w:r>
              <w:rPr>
                <w:sz w:val="22"/>
              </w:rPr>
              <w:t>outcome information to</w:t>
            </w:r>
          </w:p>
        </w:tc>
        <w:tc>
          <w:tcPr>
            <w:tcW w:w="2431" w:type="dxa"/>
            <w:shd w:val="clear" w:color="auto" w:fill="D0E4CA"/>
          </w:tcPr>
          <w:p>
            <w:pPr>
              <w:pStyle w:val="TableParagraph"/>
              <w:ind w:left="107" w:right="86"/>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p>
        </w:tc>
      </w:tr>
    </w:tbl>
    <w:p>
      <w:pPr>
        <w:pStyle w:val="BodyText"/>
        <w:spacing w:before="1"/>
        <w:rPr>
          <w:b/>
          <w:sz w:val="14"/>
        </w:rPr>
      </w:pPr>
      <w:r>
        <w:rPr/>
        <w:pict>
          <v:shape style="position:absolute;margin-left:70.559998pt;margin-top:10.7995pt;width:650.9pt;height:.1pt;mso-position-horizontal-relative:page;mso-position-vertical-relative:paragraph;z-index:-251491328;mso-wrap-distance-left:0;mso-wrap-distance-right:0" coordorigin="1411,216" coordsize="13018,0" path="m1411,216l14429,216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5" w:right="274"/>
              <w:jc w:val="center"/>
              <w:rPr>
                <w:b/>
                <w:sz w:val="24"/>
              </w:rPr>
            </w:pPr>
            <w:r>
              <w:rPr>
                <w:b/>
                <w:sz w:val="24"/>
              </w:rPr>
              <w:t>DDA Pre-Vocational Services</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5345" w:hRule="atLeast"/>
        </w:trPr>
        <w:tc>
          <w:tcPr>
            <w:tcW w:w="3456" w:type="dxa"/>
            <w:tcBorders>
              <w:top w:val="single" w:sz="18" w:space="0" w:color="4E8542"/>
            </w:tcBorders>
            <w:shd w:val="clear" w:color="auto" w:fill="D0E4CA"/>
          </w:tcPr>
          <w:p>
            <w:pPr>
              <w:pStyle w:val="TableParagraph"/>
              <w:rPr>
                <w:rFonts w:ascii="Times New Roman"/>
                <w:sz w:val="22"/>
              </w:rPr>
            </w:pPr>
          </w:p>
        </w:tc>
        <w:tc>
          <w:tcPr>
            <w:tcW w:w="2825" w:type="dxa"/>
            <w:tcBorders>
              <w:top w:val="single" w:sz="18" w:space="0" w:color="4E8542"/>
            </w:tcBorders>
            <w:shd w:val="clear" w:color="auto" w:fill="D0E4CA"/>
          </w:tcPr>
          <w:p>
            <w:pPr>
              <w:pStyle w:val="TableParagraph"/>
              <w:rPr>
                <w:rFonts w:ascii="Times New Roman"/>
                <w:sz w:val="22"/>
              </w:rPr>
            </w:pPr>
          </w:p>
        </w:tc>
        <w:tc>
          <w:tcPr>
            <w:tcW w:w="1409" w:type="dxa"/>
            <w:tcBorders>
              <w:top w:val="single" w:sz="18" w:space="0" w:color="4E8542"/>
            </w:tcBorders>
            <w:shd w:val="clear" w:color="auto" w:fill="D0E4CA"/>
          </w:tcPr>
          <w:p>
            <w:pPr>
              <w:pStyle w:val="TableParagraph"/>
              <w:rPr>
                <w:rFonts w:ascii="Times New Roman"/>
                <w:sz w:val="22"/>
              </w:rPr>
            </w:pPr>
          </w:p>
        </w:tc>
        <w:tc>
          <w:tcPr>
            <w:tcW w:w="2820" w:type="dxa"/>
            <w:tcBorders>
              <w:top w:val="single" w:sz="18" w:space="0" w:color="4E8542"/>
            </w:tcBorders>
            <w:shd w:val="clear" w:color="auto" w:fill="D0E4CA"/>
          </w:tcPr>
          <w:p>
            <w:pPr>
              <w:pStyle w:val="TableParagraph"/>
              <w:spacing w:line="243" w:lineRule="exact"/>
              <w:ind w:left="104"/>
              <w:rPr>
                <w:sz w:val="22"/>
              </w:rPr>
            </w:pPr>
            <w:r>
              <w:rPr>
                <w:sz w:val="22"/>
              </w:rPr>
              <w:t>counties and progress</w:t>
            </w:r>
          </w:p>
          <w:p>
            <w:pPr>
              <w:pStyle w:val="TableParagraph"/>
              <w:ind w:left="104" w:right="76"/>
              <w:rPr>
                <w:sz w:val="22"/>
              </w:rPr>
            </w:pPr>
            <w:r>
              <w:rPr>
                <w:sz w:val="22"/>
              </w:rPr>
              <w:t>reports to each client’s case resource manager on a semi- annual basis.</w:t>
            </w:r>
          </w:p>
          <w:p>
            <w:pPr>
              <w:pStyle w:val="TableParagraph"/>
              <w:spacing w:before="11"/>
              <w:rPr>
                <w:b/>
                <w:sz w:val="21"/>
              </w:rPr>
            </w:pPr>
          </w:p>
          <w:p>
            <w:pPr>
              <w:pStyle w:val="TableParagraph"/>
              <w:ind w:left="104" w:right="93"/>
              <w:rPr>
                <w:sz w:val="22"/>
              </w:rPr>
            </w:pPr>
            <w:r>
              <w:rPr>
                <w:sz w:val="22"/>
              </w:rPr>
              <w:t>Each county completes a 16- page self-assessment tool every other year which assists DDA to prioritize site visits. DDA staff conduct on- site quality assessments to every county once every two years. DDA has 3 Regional Employment Specialists who assist with the quality assessments. Additionally, DDA review outcome information for trends and patterns on a county-by-</w:t>
            </w:r>
          </w:p>
          <w:p>
            <w:pPr>
              <w:pStyle w:val="TableParagraph"/>
              <w:spacing w:line="249" w:lineRule="exact" w:before="1"/>
              <w:ind w:left="104"/>
              <w:rPr>
                <w:sz w:val="22"/>
              </w:rPr>
            </w:pPr>
            <w:r>
              <w:rPr>
                <w:sz w:val="22"/>
              </w:rPr>
              <w:t>county basis monthly.</w:t>
            </w:r>
          </w:p>
        </w:tc>
        <w:tc>
          <w:tcPr>
            <w:tcW w:w="2431" w:type="dxa"/>
            <w:tcBorders>
              <w:top w:val="single" w:sz="18" w:space="0" w:color="4E8542"/>
            </w:tcBorders>
            <w:shd w:val="clear" w:color="auto" w:fill="D0E4CA"/>
          </w:tcPr>
          <w:p>
            <w:pPr>
              <w:pStyle w:val="TableParagraph"/>
              <w:rPr>
                <w:rFonts w:ascii="Times New Roman"/>
                <w:sz w:val="22"/>
              </w:rPr>
            </w:pPr>
          </w:p>
        </w:tc>
      </w:tr>
      <w:tr>
        <w:trPr>
          <w:trHeight w:val="2684" w:hRule="atLeast"/>
        </w:trPr>
        <w:tc>
          <w:tcPr>
            <w:tcW w:w="3456" w:type="dxa"/>
          </w:tcPr>
          <w:p>
            <w:pPr>
              <w:pStyle w:val="TableParagraph"/>
              <w:ind w:left="107" w:right="278"/>
              <w:rPr>
                <w:b/>
                <w:sz w:val="22"/>
              </w:rPr>
            </w:pPr>
            <w:r>
              <w:rPr>
                <w:b/>
                <w:sz w:val="22"/>
              </w:rPr>
              <w:t>Individual initiative, autonomy, and independence in making life choices, including but not limited to, daily activities, physical environment, and with whom to interact are optimized and not regimented.</w:t>
            </w:r>
          </w:p>
        </w:tc>
        <w:tc>
          <w:tcPr>
            <w:tcW w:w="2825" w:type="dxa"/>
          </w:tcPr>
          <w:p>
            <w:pPr>
              <w:pStyle w:val="TableParagraph"/>
              <w:spacing w:line="267" w:lineRule="exact"/>
              <w:ind w:left="107"/>
              <w:rPr>
                <w:sz w:val="22"/>
              </w:rPr>
            </w:pPr>
            <w:hyperlink r:id="rId23">
              <w:r>
                <w:rPr>
                  <w:color w:val="6B9F24"/>
                  <w:sz w:val="22"/>
                  <w:u w:val="single" w:color="6B9F24"/>
                </w:rPr>
                <w:t>WAC 388-823-1095</w:t>
              </w:r>
              <w:r>
                <w:rPr>
                  <w:color w:val="6B9F24"/>
                  <w:sz w:val="22"/>
                </w:rPr>
                <w:t> </w:t>
              </w:r>
            </w:hyperlink>
            <w:r>
              <w:rPr>
                <w:sz w:val="22"/>
              </w:rPr>
              <w:t>My</w:t>
            </w:r>
          </w:p>
          <w:p>
            <w:pPr>
              <w:pStyle w:val="TableParagraph"/>
              <w:ind w:left="107"/>
              <w:rPr>
                <w:sz w:val="22"/>
              </w:rPr>
            </w:pPr>
            <w:r>
              <w:rPr>
                <w:sz w:val="22"/>
              </w:rPr>
              <w:t>rights as a DDA client.</w:t>
            </w:r>
          </w:p>
          <w:p>
            <w:pPr>
              <w:pStyle w:val="TableParagraph"/>
              <w:rPr>
                <w:b/>
                <w:sz w:val="22"/>
              </w:rPr>
            </w:pPr>
          </w:p>
          <w:p>
            <w:pPr>
              <w:pStyle w:val="TableParagraph"/>
              <w:ind w:left="107" w:right="294"/>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 include the following benefits of quality living: power and choice,</w:t>
            </w:r>
          </w:p>
          <w:p>
            <w:pPr>
              <w:pStyle w:val="TableParagraph"/>
              <w:spacing w:line="248" w:lineRule="exact"/>
              <w:ind w:left="107"/>
              <w:rPr>
                <w:sz w:val="22"/>
              </w:rPr>
            </w:pPr>
            <w:r>
              <w:rPr>
                <w:sz w:val="22"/>
              </w:rPr>
              <w:t>relationships,</w:t>
            </w:r>
          </w:p>
        </w:tc>
        <w:tc>
          <w:tcPr>
            <w:tcW w:w="1409" w:type="dxa"/>
          </w:tcPr>
          <w:p>
            <w:pPr>
              <w:pStyle w:val="TableParagraph"/>
              <w:ind w:left="107" w:right="341"/>
              <w:rPr>
                <w:sz w:val="22"/>
              </w:rPr>
            </w:pPr>
            <w:r>
              <w:rPr>
                <w:sz w:val="22"/>
              </w:rPr>
              <w:t>Partially Compliant</w:t>
            </w:r>
          </w:p>
        </w:tc>
        <w:tc>
          <w:tcPr>
            <w:tcW w:w="2820" w:type="dxa"/>
          </w:tcPr>
          <w:p>
            <w:pPr>
              <w:pStyle w:val="TableParagraph"/>
              <w:ind w:left="104" w:right="87"/>
              <w:rPr>
                <w:sz w:val="22"/>
              </w:rPr>
            </w:pPr>
            <w:r>
              <w:rPr>
                <w:sz w:val="22"/>
              </w:rPr>
              <w:t>By contract and by </w:t>
            </w:r>
            <w:hyperlink r:id="rId132">
              <w:r>
                <w:rPr>
                  <w:color w:val="6B9F24"/>
                  <w:sz w:val="22"/>
                  <w:u w:val="single" w:color="6B9F24"/>
                </w:rPr>
                <w:t>DDA</w:t>
              </w:r>
            </w:hyperlink>
            <w:r>
              <w:rPr>
                <w:color w:val="6B9F24"/>
                <w:sz w:val="22"/>
              </w:rPr>
              <w:t> </w:t>
            </w:r>
            <w:hyperlink r:id="rId132">
              <w:r>
                <w:rPr>
                  <w:color w:val="6B9F24"/>
                  <w:sz w:val="22"/>
                  <w:u w:val="single" w:color="6B9F24"/>
                </w:rPr>
                <w:t>Policy 4.11</w:t>
              </w:r>
              <w:r>
                <w:rPr>
                  <w:color w:val="6B9F24"/>
                  <w:sz w:val="22"/>
                </w:rPr>
                <w:t> </w:t>
              </w:r>
            </w:hyperlink>
            <w:r>
              <w:rPr>
                <w:sz w:val="22"/>
              </w:rPr>
              <w:t>embedded in the contract, each county reviews their employment service providers at minimum once per biennium to ensure that: all contract obligations are adhered to including HCBS settings</w:t>
            </w:r>
          </w:p>
          <w:p>
            <w:pPr>
              <w:pStyle w:val="TableParagraph"/>
              <w:spacing w:line="249" w:lineRule="exact"/>
              <w:ind w:left="104"/>
              <w:rPr>
                <w:sz w:val="22"/>
              </w:rPr>
            </w:pPr>
            <w:r>
              <w:rPr>
                <w:sz w:val="22"/>
              </w:rPr>
              <w:t>compliance, that services to</w:t>
            </w:r>
          </w:p>
        </w:tc>
        <w:tc>
          <w:tcPr>
            <w:tcW w:w="2431" w:type="dxa"/>
          </w:tcPr>
          <w:p>
            <w:pPr>
              <w:pStyle w:val="TableParagraph"/>
              <w:ind w:left="107" w:right="86"/>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p>
        </w:tc>
      </w:tr>
    </w:tbl>
    <w:p>
      <w:pPr>
        <w:pStyle w:val="BodyText"/>
        <w:spacing w:before="1"/>
        <w:rPr>
          <w:b/>
          <w:sz w:val="14"/>
        </w:rPr>
      </w:pPr>
      <w:r>
        <w:rPr/>
        <w:pict>
          <v:shape style="position:absolute;margin-left:70.559998pt;margin-top:10.7995pt;width:650.9pt;height:.1pt;mso-position-horizontal-relative:page;mso-position-vertical-relative:paragraph;z-index:-251490304;mso-wrap-distance-left:0;mso-wrap-distance-right:0" coordorigin="1411,216" coordsize="13018,0" path="m1411,216l14429,216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5" w:right="274"/>
              <w:jc w:val="center"/>
              <w:rPr>
                <w:b/>
                <w:sz w:val="24"/>
              </w:rPr>
            </w:pPr>
            <w:r>
              <w:rPr>
                <w:b/>
                <w:sz w:val="24"/>
              </w:rPr>
              <w:t>DDA Pre-Vocational Services</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7762" w:hRule="atLeast"/>
        </w:trPr>
        <w:tc>
          <w:tcPr>
            <w:tcW w:w="3456" w:type="dxa"/>
            <w:tcBorders>
              <w:top w:val="single" w:sz="18" w:space="0" w:color="4E8542"/>
            </w:tcBorders>
          </w:tcPr>
          <w:p>
            <w:pPr>
              <w:pStyle w:val="TableParagraph"/>
              <w:rPr>
                <w:rFonts w:ascii="Times New Roman"/>
                <w:sz w:val="22"/>
              </w:rPr>
            </w:pPr>
          </w:p>
        </w:tc>
        <w:tc>
          <w:tcPr>
            <w:tcW w:w="2825" w:type="dxa"/>
            <w:tcBorders>
              <w:top w:val="single" w:sz="18" w:space="0" w:color="4E8542"/>
            </w:tcBorders>
          </w:tcPr>
          <w:p>
            <w:pPr>
              <w:pStyle w:val="TableParagraph"/>
              <w:spacing w:line="243" w:lineRule="exact"/>
              <w:ind w:left="107"/>
              <w:rPr>
                <w:sz w:val="22"/>
              </w:rPr>
            </w:pPr>
            <w:r>
              <w:rPr>
                <w:sz w:val="22"/>
              </w:rPr>
              <w:t>status/contribution,</w:t>
            </w:r>
          </w:p>
          <w:p>
            <w:pPr>
              <w:pStyle w:val="TableParagraph"/>
              <w:ind w:left="107" w:right="85"/>
              <w:rPr>
                <w:sz w:val="22"/>
              </w:rPr>
            </w:pPr>
            <w:r>
              <w:rPr>
                <w:sz w:val="22"/>
              </w:rPr>
              <w:t>integration, competence and health and safety.</w:t>
            </w:r>
          </w:p>
        </w:tc>
        <w:tc>
          <w:tcPr>
            <w:tcW w:w="1409" w:type="dxa"/>
            <w:tcBorders>
              <w:top w:val="single" w:sz="18" w:space="0" w:color="4E8542"/>
            </w:tcBorders>
          </w:tcPr>
          <w:p>
            <w:pPr>
              <w:pStyle w:val="TableParagraph"/>
              <w:rPr>
                <w:rFonts w:ascii="Times New Roman"/>
                <w:sz w:val="22"/>
              </w:rPr>
            </w:pPr>
          </w:p>
        </w:tc>
        <w:tc>
          <w:tcPr>
            <w:tcW w:w="2820" w:type="dxa"/>
            <w:tcBorders>
              <w:top w:val="single" w:sz="18" w:space="0" w:color="4E8542"/>
            </w:tcBorders>
          </w:tcPr>
          <w:p>
            <w:pPr>
              <w:pStyle w:val="TableParagraph"/>
              <w:spacing w:line="243" w:lineRule="exact"/>
              <w:ind w:left="104"/>
              <w:rPr>
                <w:sz w:val="22"/>
              </w:rPr>
            </w:pPr>
            <w:r>
              <w:rPr>
                <w:sz w:val="22"/>
              </w:rPr>
              <w:t>working age adults are</w:t>
            </w:r>
          </w:p>
          <w:p>
            <w:pPr>
              <w:pStyle w:val="TableParagraph"/>
              <w:ind w:left="104" w:right="76"/>
              <w:rPr>
                <w:sz w:val="22"/>
              </w:rPr>
            </w:pPr>
            <w:r>
              <w:rPr>
                <w:sz w:val="22"/>
              </w:rPr>
              <w:t>consistent with DDA policy; each participant is gainfully employed at client’s identified job goal or has an individual employment plan. Additionally, service providers submit monthly outcome information to counties and progress reports to each client’s case resource manager on a semi- annual basis.</w:t>
            </w:r>
          </w:p>
          <w:p>
            <w:pPr>
              <w:pStyle w:val="TableParagraph"/>
              <w:spacing w:before="10"/>
              <w:rPr>
                <w:b/>
                <w:sz w:val="21"/>
              </w:rPr>
            </w:pPr>
          </w:p>
          <w:p>
            <w:pPr>
              <w:pStyle w:val="TableParagraph"/>
              <w:spacing w:before="1"/>
              <w:ind w:left="104" w:right="93"/>
              <w:rPr>
                <w:sz w:val="22"/>
              </w:rPr>
            </w:pPr>
            <w:r>
              <w:rPr>
                <w:sz w:val="22"/>
              </w:rPr>
              <w:t>Each county completes a 16- page self-assessment tool every other year which assists DDA to prioritize site visits. DDA staff conduct on- site quality assessments to every county once every two years. DDA has 3 Regional Employment Specialists who assist with the quality assessments. Additionally, DDA review outcome information for trends and patterns on a county-by-</w:t>
            </w:r>
          </w:p>
          <w:p>
            <w:pPr>
              <w:pStyle w:val="TableParagraph"/>
              <w:spacing w:line="249" w:lineRule="exact" w:before="1"/>
              <w:ind w:left="104"/>
              <w:rPr>
                <w:sz w:val="22"/>
              </w:rPr>
            </w:pPr>
            <w:r>
              <w:rPr>
                <w:sz w:val="22"/>
              </w:rPr>
              <w:t>county basis monthly.</w:t>
            </w:r>
          </w:p>
        </w:tc>
        <w:tc>
          <w:tcPr>
            <w:tcW w:w="2431" w:type="dxa"/>
            <w:tcBorders>
              <w:top w:val="single" w:sz="18" w:space="0" w:color="4E8542"/>
            </w:tcBorders>
          </w:tcPr>
          <w:p>
            <w:pPr>
              <w:pStyle w:val="TableParagraph"/>
              <w:rPr>
                <w:rFonts w:ascii="Times New Roman"/>
                <w:sz w:val="22"/>
              </w:rPr>
            </w:pPr>
          </w:p>
        </w:tc>
      </w:tr>
    </w:tbl>
    <w:p>
      <w:pPr>
        <w:pStyle w:val="BodyText"/>
        <w:rPr>
          <w:b/>
          <w:sz w:val="20"/>
        </w:rPr>
      </w:pPr>
    </w:p>
    <w:p>
      <w:pPr>
        <w:pStyle w:val="BodyText"/>
        <w:spacing w:before="8"/>
        <w:rPr>
          <w:b/>
          <w:sz w:val="17"/>
        </w:rPr>
      </w:pPr>
      <w:r>
        <w:rPr/>
        <w:pict>
          <v:shape style="position:absolute;margin-left:70.559998pt;margin-top:12.992469pt;width:650.9pt;height:.1pt;mso-position-horizontal-relative:page;mso-position-vertical-relative:paragraph;z-index:-251489280;mso-wrap-distance-left:0;mso-wrap-distance-right:0" coordorigin="1411,260" coordsize="13018,0" path="m1411,260l14429,260e" filled="false" stroked="true" strokeweight=".481pt" strokecolor="#d9d9d9">
            <v:path arrowok="t"/>
            <v:stroke dashstyle="solid"/>
            <w10:wrap type="topAndBottom"/>
          </v:shape>
        </w:pict>
      </w:r>
    </w:p>
    <w:p>
      <w:pPr>
        <w:spacing w:after="0"/>
        <w:rPr>
          <w:sz w:val="17"/>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5" w:right="274"/>
              <w:jc w:val="center"/>
              <w:rPr>
                <w:b/>
                <w:sz w:val="24"/>
              </w:rPr>
            </w:pPr>
            <w:r>
              <w:rPr>
                <w:b/>
                <w:sz w:val="24"/>
              </w:rPr>
              <w:t>DDA Pre-Vocational Services</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8031" w:hRule="atLeast"/>
        </w:trPr>
        <w:tc>
          <w:tcPr>
            <w:tcW w:w="3456" w:type="dxa"/>
            <w:tcBorders>
              <w:top w:val="single" w:sz="18" w:space="0" w:color="4E8542"/>
            </w:tcBorders>
            <w:shd w:val="clear" w:color="auto" w:fill="D0E4CA"/>
          </w:tcPr>
          <w:p>
            <w:pPr>
              <w:pStyle w:val="TableParagraph"/>
              <w:spacing w:line="243" w:lineRule="exact"/>
              <w:ind w:left="107"/>
              <w:rPr>
                <w:b/>
                <w:sz w:val="22"/>
              </w:rPr>
            </w:pPr>
            <w:r>
              <w:rPr>
                <w:b/>
                <w:sz w:val="22"/>
              </w:rPr>
              <w:t>Individual choice regarding</w:t>
            </w:r>
          </w:p>
          <w:p>
            <w:pPr>
              <w:pStyle w:val="TableParagraph"/>
              <w:ind w:left="107" w:right="435"/>
              <w:rPr>
                <w:b/>
                <w:sz w:val="22"/>
              </w:rPr>
            </w:pPr>
            <w:r>
              <w:rPr>
                <w:b/>
                <w:sz w:val="22"/>
              </w:rPr>
              <w:t>services and supports, and who provides them, is facilitated.</w:t>
            </w:r>
          </w:p>
        </w:tc>
        <w:tc>
          <w:tcPr>
            <w:tcW w:w="2825" w:type="dxa"/>
            <w:tcBorders>
              <w:top w:val="single" w:sz="18" w:space="0" w:color="4E8542"/>
            </w:tcBorders>
            <w:shd w:val="clear" w:color="auto" w:fill="D0E4CA"/>
          </w:tcPr>
          <w:p>
            <w:pPr>
              <w:pStyle w:val="TableParagraph"/>
              <w:spacing w:line="243" w:lineRule="exact"/>
              <w:ind w:left="107"/>
              <w:rPr>
                <w:sz w:val="22"/>
              </w:rPr>
            </w:pPr>
            <w:hyperlink r:id="rId23">
              <w:r>
                <w:rPr>
                  <w:color w:val="6B9F24"/>
                  <w:sz w:val="22"/>
                  <w:u w:val="single" w:color="6B9F24"/>
                </w:rPr>
                <w:t>WAC 388-823-1095</w:t>
              </w:r>
              <w:r>
                <w:rPr>
                  <w:color w:val="6B9F24"/>
                  <w:sz w:val="22"/>
                </w:rPr>
                <w:t> </w:t>
              </w:r>
            </w:hyperlink>
            <w:r>
              <w:rPr>
                <w:sz w:val="22"/>
              </w:rPr>
              <w:t>My</w:t>
            </w:r>
          </w:p>
          <w:p>
            <w:pPr>
              <w:pStyle w:val="TableParagraph"/>
              <w:ind w:left="107"/>
              <w:rPr>
                <w:sz w:val="22"/>
              </w:rPr>
            </w:pPr>
            <w:r>
              <w:rPr>
                <w:sz w:val="22"/>
              </w:rPr>
              <w:t>rights as a DDA client.</w:t>
            </w:r>
          </w:p>
          <w:p>
            <w:pPr>
              <w:pStyle w:val="TableParagraph"/>
              <w:spacing w:before="10"/>
              <w:rPr>
                <w:b/>
                <w:sz w:val="21"/>
              </w:rPr>
            </w:pPr>
          </w:p>
          <w:p>
            <w:pPr>
              <w:pStyle w:val="TableParagraph"/>
              <w:ind w:left="107" w:right="95"/>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 include the following benefits of quality living: power and choice, relationships, status/contribution, integration, competence and health and safety.</w:t>
            </w:r>
          </w:p>
        </w:tc>
        <w:tc>
          <w:tcPr>
            <w:tcW w:w="1409" w:type="dxa"/>
            <w:tcBorders>
              <w:top w:val="single" w:sz="18" w:space="0" w:color="4E8542"/>
            </w:tcBorders>
            <w:shd w:val="clear" w:color="auto" w:fill="D0E4CA"/>
          </w:tcPr>
          <w:p>
            <w:pPr>
              <w:pStyle w:val="TableParagraph"/>
              <w:spacing w:line="243" w:lineRule="exact"/>
              <w:ind w:left="107"/>
              <w:rPr>
                <w:sz w:val="22"/>
              </w:rPr>
            </w:pPr>
            <w:r>
              <w:rPr>
                <w:sz w:val="22"/>
              </w:rPr>
              <w:t>Partially</w:t>
            </w:r>
          </w:p>
          <w:p>
            <w:pPr>
              <w:pStyle w:val="TableParagraph"/>
              <w:ind w:left="107"/>
              <w:rPr>
                <w:sz w:val="22"/>
              </w:rPr>
            </w:pPr>
            <w:r>
              <w:rPr>
                <w:sz w:val="22"/>
              </w:rPr>
              <w:t>Compliant</w:t>
            </w:r>
          </w:p>
        </w:tc>
        <w:tc>
          <w:tcPr>
            <w:tcW w:w="2820" w:type="dxa"/>
            <w:tcBorders>
              <w:top w:val="single" w:sz="18" w:space="0" w:color="4E8542"/>
            </w:tcBorders>
            <w:shd w:val="clear" w:color="auto" w:fill="D0E4CA"/>
          </w:tcPr>
          <w:p>
            <w:pPr>
              <w:pStyle w:val="TableParagraph"/>
              <w:spacing w:line="243" w:lineRule="exact"/>
              <w:ind w:left="104"/>
              <w:rPr>
                <w:sz w:val="22"/>
              </w:rPr>
            </w:pPr>
            <w:r>
              <w:rPr>
                <w:sz w:val="22"/>
              </w:rPr>
              <w:t>By contract and by </w:t>
            </w:r>
            <w:hyperlink r:id="rId132">
              <w:r>
                <w:rPr>
                  <w:color w:val="6B9F24"/>
                  <w:sz w:val="22"/>
                  <w:u w:val="single" w:color="6B9F24"/>
                </w:rPr>
                <w:t>DDA</w:t>
              </w:r>
            </w:hyperlink>
          </w:p>
          <w:p>
            <w:pPr>
              <w:pStyle w:val="TableParagraph"/>
              <w:ind w:left="104" w:right="87"/>
              <w:rPr>
                <w:sz w:val="22"/>
              </w:rPr>
            </w:pPr>
            <w:hyperlink r:id="rId132">
              <w:r>
                <w:rPr>
                  <w:color w:val="6B9F24"/>
                  <w:sz w:val="22"/>
                  <w:u w:val="single" w:color="6B9F24"/>
                </w:rPr>
                <w:t>Policy 4.11</w:t>
              </w:r>
              <w:r>
                <w:rPr>
                  <w:color w:val="6B9F24"/>
                  <w:sz w:val="22"/>
                </w:rPr>
                <w:t> </w:t>
              </w:r>
            </w:hyperlink>
            <w:r>
              <w:rPr>
                <w:sz w:val="22"/>
              </w:rPr>
              <w:t>embedded in the contract, each county reviews their employment service providers at minimum once per biennium 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 providers submit monthly outcome information to counties and progress reports to each client’s case resource manager on a semi- annual basis.</w:t>
            </w:r>
          </w:p>
          <w:p>
            <w:pPr>
              <w:pStyle w:val="TableParagraph"/>
              <w:ind w:left="104" w:right="116"/>
              <w:rPr>
                <w:sz w:val="22"/>
              </w:rPr>
            </w:pPr>
            <w:r>
              <w:rPr>
                <w:sz w:val="22"/>
              </w:rPr>
              <w:t>Each county completes a 16- page self-assessment tool every other year which assists DDA to prioritize site visits. DDA staff conduct on-</w:t>
            </w:r>
          </w:p>
          <w:p>
            <w:pPr>
              <w:pStyle w:val="TableParagraph"/>
              <w:spacing w:line="270" w:lineRule="atLeast"/>
              <w:ind w:left="104" w:right="93"/>
              <w:rPr>
                <w:sz w:val="22"/>
              </w:rPr>
            </w:pPr>
            <w:r>
              <w:rPr>
                <w:sz w:val="22"/>
              </w:rPr>
              <w:t>site quality assessments to every county once every two</w:t>
            </w:r>
          </w:p>
        </w:tc>
        <w:tc>
          <w:tcPr>
            <w:tcW w:w="2431" w:type="dxa"/>
            <w:tcBorders>
              <w:top w:val="single" w:sz="18" w:space="0" w:color="4E8542"/>
            </w:tcBorders>
            <w:shd w:val="clear" w:color="auto" w:fill="D0E4CA"/>
          </w:tcPr>
          <w:p>
            <w:pPr>
              <w:pStyle w:val="TableParagraph"/>
              <w:spacing w:line="243" w:lineRule="exact"/>
              <w:ind w:left="107"/>
              <w:rPr>
                <w:sz w:val="22"/>
              </w:rPr>
            </w:pPr>
            <w:r>
              <w:rPr>
                <w:sz w:val="22"/>
              </w:rPr>
              <w:t>Revising </w:t>
            </w:r>
            <w:hyperlink r:id="rId23">
              <w:r>
                <w:rPr>
                  <w:color w:val="6B9F24"/>
                  <w:sz w:val="22"/>
                  <w:u w:val="single" w:color="6B9F24"/>
                </w:rPr>
                <w:t>WAC 388-823-</w:t>
              </w:r>
            </w:hyperlink>
          </w:p>
          <w:p>
            <w:pPr>
              <w:pStyle w:val="TableParagraph"/>
              <w:ind w:left="107" w:right="86"/>
              <w:rPr>
                <w:sz w:val="22"/>
              </w:rPr>
            </w:pP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p>
        </w:tc>
      </w:tr>
    </w:tbl>
    <w:p>
      <w:pPr>
        <w:pStyle w:val="BodyText"/>
        <w:spacing w:before="8"/>
        <w:rPr>
          <w:b/>
          <w:sz w:val="15"/>
        </w:rPr>
      </w:pPr>
      <w:r>
        <w:rPr/>
        <w:pict>
          <v:shape style="position:absolute;margin-left:70.559998pt;margin-top:11.75950pt;width:650.9pt;height:.1pt;mso-position-horizontal-relative:page;mso-position-vertical-relative:paragraph;z-index:-251488256;mso-wrap-distance-left:0;mso-wrap-distance-right:0" coordorigin="1411,235" coordsize="13018,0" path="m1411,235l14429,235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5" w:right="274"/>
              <w:jc w:val="center"/>
              <w:rPr>
                <w:b/>
                <w:sz w:val="24"/>
              </w:rPr>
            </w:pPr>
            <w:r>
              <w:rPr>
                <w:b/>
                <w:sz w:val="24"/>
              </w:rPr>
              <w:t>DDA Pre-Vocational Services</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2122" w:hRule="atLeast"/>
        </w:trPr>
        <w:tc>
          <w:tcPr>
            <w:tcW w:w="3456" w:type="dxa"/>
            <w:tcBorders>
              <w:top w:val="single" w:sz="18" w:space="0" w:color="4E8542"/>
            </w:tcBorders>
            <w:shd w:val="clear" w:color="auto" w:fill="D0E4CA"/>
          </w:tcPr>
          <w:p>
            <w:pPr>
              <w:pStyle w:val="TableParagraph"/>
              <w:rPr>
                <w:rFonts w:ascii="Times New Roman"/>
                <w:sz w:val="22"/>
              </w:rPr>
            </w:pPr>
          </w:p>
        </w:tc>
        <w:tc>
          <w:tcPr>
            <w:tcW w:w="2825" w:type="dxa"/>
            <w:tcBorders>
              <w:top w:val="single" w:sz="18" w:space="0" w:color="4E8542"/>
            </w:tcBorders>
            <w:shd w:val="clear" w:color="auto" w:fill="D0E4CA"/>
          </w:tcPr>
          <w:p>
            <w:pPr>
              <w:pStyle w:val="TableParagraph"/>
              <w:rPr>
                <w:rFonts w:ascii="Times New Roman"/>
                <w:sz w:val="22"/>
              </w:rPr>
            </w:pPr>
          </w:p>
        </w:tc>
        <w:tc>
          <w:tcPr>
            <w:tcW w:w="1409" w:type="dxa"/>
            <w:tcBorders>
              <w:top w:val="single" w:sz="18" w:space="0" w:color="4E8542"/>
            </w:tcBorders>
            <w:shd w:val="clear" w:color="auto" w:fill="D0E4CA"/>
          </w:tcPr>
          <w:p>
            <w:pPr>
              <w:pStyle w:val="TableParagraph"/>
              <w:rPr>
                <w:rFonts w:ascii="Times New Roman"/>
                <w:sz w:val="22"/>
              </w:rPr>
            </w:pPr>
          </w:p>
        </w:tc>
        <w:tc>
          <w:tcPr>
            <w:tcW w:w="2820" w:type="dxa"/>
            <w:tcBorders>
              <w:top w:val="single" w:sz="18" w:space="0" w:color="4E8542"/>
            </w:tcBorders>
            <w:shd w:val="clear" w:color="auto" w:fill="D0E4CA"/>
          </w:tcPr>
          <w:p>
            <w:pPr>
              <w:pStyle w:val="TableParagraph"/>
              <w:spacing w:line="243" w:lineRule="exact"/>
              <w:ind w:left="104"/>
              <w:rPr>
                <w:sz w:val="22"/>
              </w:rPr>
            </w:pPr>
            <w:r>
              <w:rPr>
                <w:sz w:val="22"/>
              </w:rPr>
              <w:t>years. DDA has 3 Regional</w:t>
            </w:r>
          </w:p>
          <w:p>
            <w:pPr>
              <w:pStyle w:val="TableParagraph"/>
              <w:ind w:left="104" w:right="126"/>
              <w:rPr>
                <w:sz w:val="22"/>
              </w:rPr>
            </w:pPr>
            <w:r>
              <w:rPr>
                <w:sz w:val="22"/>
              </w:rPr>
              <w:t>Employment Specialists who assist with the quality assessments. Additionally, DDA review outcome information for trends and patterns on a county-by-</w:t>
            </w:r>
          </w:p>
          <w:p>
            <w:pPr>
              <w:pStyle w:val="TableParagraph"/>
              <w:spacing w:line="248" w:lineRule="exact"/>
              <w:ind w:left="104"/>
              <w:rPr>
                <w:sz w:val="22"/>
              </w:rPr>
            </w:pPr>
            <w:r>
              <w:rPr>
                <w:sz w:val="22"/>
              </w:rPr>
              <w:t>county basis monthly.</w:t>
            </w:r>
          </w:p>
        </w:tc>
        <w:tc>
          <w:tcPr>
            <w:tcW w:w="2431" w:type="dxa"/>
            <w:tcBorders>
              <w:top w:val="single" w:sz="18" w:space="0" w:color="4E8542"/>
            </w:tcBorders>
            <w:shd w:val="clear" w:color="auto" w:fill="D0E4CA"/>
          </w:tcPr>
          <w:p>
            <w:pPr>
              <w:pStyle w:val="TableParagraph"/>
              <w:rPr>
                <w:rFonts w:ascii="Times New Roman"/>
                <w:sz w:val="22"/>
              </w:rPr>
            </w:pPr>
          </w:p>
        </w:tc>
      </w:tr>
      <w:tr>
        <w:trPr>
          <w:trHeight w:val="5641" w:hRule="atLeast"/>
        </w:trPr>
        <w:tc>
          <w:tcPr>
            <w:tcW w:w="3456" w:type="dxa"/>
          </w:tcPr>
          <w:p>
            <w:pPr>
              <w:pStyle w:val="TableParagraph"/>
              <w:ind w:left="107" w:right="192"/>
              <w:rPr>
                <w:b/>
                <w:sz w:val="22"/>
              </w:rPr>
            </w:pPr>
            <w:r>
              <w:rPr>
                <w:b/>
                <w:sz w:val="22"/>
              </w:rPr>
              <w:t>The setting is physically accessible to the individual.</w:t>
            </w:r>
          </w:p>
        </w:tc>
        <w:tc>
          <w:tcPr>
            <w:tcW w:w="2825" w:type="dxa"/>
          </w:tcPr>
          <w:p>
            <w:pPr>
              <w:pStyle w:val="TableParagraph"/>
              <w:ind w:left="107" w:right="95"/>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 include the following benefits of quality living: power and choice, relationships, status/contribution, integration, competence and health and safety.</w:t>
            </w:r>
          </w:p>
        </w:tc>
        <w:tc>
          <w:tcPr>
            <w:tcW w:w="1409" w:type="dxa"/>
          </w:tcPr>
          <w:p>
            <w:pPr>
              <w:pStyle w:val="TableParagraph"/>
              <w:ind w:left="107" w:right="341"/>
              <w:rPr>
                <w:sz w:val="22"/>
              </w:rPr>
            </w:pPr>
            <w:r>
              <w:rPr>
                <w:sz w:val="22"/>
              </w:rPr>
              <w:t>Partially Compliant</w:t>
            </w:r>
          </w:p>
        </w:tc>
        <w:tc>
          <w:tcPr>
            <w:tcW w:w="2820" w:type="dxa"/>
          </w:tcPr>
          <w:p>
            <w:pPr>
              <w:pStyle w:val="TableParagraph"/>
              <w:ind w:left="104" w:right="87"/>
              <w:rPr>
                <w:sz w:val="22"/>
              </w:rPr>
            </w:pPr>
            <w:r>
              <w:rPr>
                <w:sz w:val="22"/>
              </w:rPr>
              <w:t>By contract and by </w:t>
            </w:r>
            <w:hyperlink r:id="rId132">
              <w:r>
                <w:rPr>
                  <w:color w:val="6B9F24"/>
                  <w:sz w:val="22"/>
                  <w:u w:val="single" w:color="6B9F24"/>
                </w:rPr>
                <w:t>DDA</w:t>
              </w:r>
            </w:hyperlink>
            <w:r>
              <w:rPr>
                <w:color w:val="6B9F24"/>
                <w:sz w:val="22"/>
              </w:rPr>
              <w:t> </w:t>
            </w:r>
            <w:hyperlink r:id="rId132">
              <w:r>
                <w:rPr>
                  <w:color w:val="6B9F24"/>
                  <w:sz w:val="22"/>
                  <w:u w:val="single" w:color="6B9F24"/>
                </w:rPr>
                <w:t>Policy 4.11</w:t>
              </w:r>
              <w:r>
                <w:rPr>
                  <w:color w:val="6B9F24"/>
                  <w:sz w:val="22"/>
                </w:rPr>
                <w:t> </w:t>
              </w:r>
            </w:hyperlink>
            <w:r>
              <w:rPr>
                <w:sz w:val="22"/>
              </w:rPr>
              <w:t>embedded in the contract, each county reviews their employment service providers at minimum once per biennium to ensure that: all contract obligations are adhered to including HCBS settings compliance, that services to working age adults are consistent with DDA policy; each participant is gainfully employed at client’s identified job goal or has an individual employment plan. Additionally, service providers submit monthly outcome information to counties and progress</w:t>
            </w:r>
          </w:p>
          <w:p>
            <w:pPr>
              <w:pStyle w:val="TableParagraph"/>
              <w:spacing w:line="251" w:lineRule="exact"/>
              <w:ind w:left="104"/>
              <w:rPr>
                <w:sz w:val="22"/>
              </w:rPr>
            </w:pPr>
            <w:r>
              <w:rPr>
                <w:sz w:val="22"/>
              </w:rPr>
              <w:t>reports to each client’s case</w:t>
            </w:r>
          </w:p>
        </w:tc>
        <w:tc>
          <w:tcPr>
            <w:tcW w:w="2431" w:type="dxa"/>
          </w:tcPr>
          <w:p>
            <w:pPr>
              <w:pStyle w:val="TableParagraph"/>
              <w:ind w:left="107" w:right="86"/>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p>
        </w:tc>
      </w:tr>
    </w:tbl>
    <w:p>
      <w:pPr>
        <w:pStyle w:val="BodyText"/>
        <w:rPr>
          <w:b/>
          <w:sz w:val="20"/>
        </w:rPr>
      </w:pPr>
    </w:p>
    <w:p>
      <w:pPr>
        <w:pStyle w:val="BodyText"/>
        <w:spacing w:before="11"/>
        <w:rPr>
          <w:b/>
          <w:sz w:val="15"/>
        </w:rPr>
      </w:pPr>
      <w:r>
        <w:rPr/>
        <w:pict>
          <v:shape style="position:absolute;margin-left:70.559998pt;margin-top:11.912469pt;width:650.9pt;height:.1pt;mso-position-horizontal-relative:page;mso-position-vertical-relative:paragraph;z-index:-251487232;mso-wrap-distance-left:0;mso-wrap-distance-right:0" coordorigin="1411,238" coordsize="13018,0" path="m1411,238l14429,238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5" w:right="274"/>
              <w:jc w:val="center"/>
              <w:rPr>
                <w:b/>
                <w:sz w:val="24"/>
              </w:rPr>
            </w:pPr>
            <w:r>
              <w:rPr>
                <w:b/>
                <w:sz w:val="24"/>
              </w:rPr>
              <w:t>DDA Pre-Vocational Services</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4808" w:hRule="atLeast"/>
        </w:trPr>
        <w:tc>
          <w:tcPr>
            <w:tcW w:w="3456" w:type="dxa"/>
            <w:tcBorders>
              <w:top w:val="single" w:sz="18" w:space="0" w:color="4E8542"/>
            </w:tcBorders>
          </w:tcPr>
          <w:p>
            <w:pPr>
              <w:pStyle w:val="TableParagraph"/>
              <w:rPr>
                <w:rFonts w:ascii="Times New Roman"/>
                <w:sz w:val="22"/>
              </w:rPr>
            </w:pPr>
          </w:p>
        </w:tc>
        <w:tc>
          <w:tcPr>
            <w:tcW w:w="2825" w:type="dxa"/>
            <w:tcBorders>
              <w:top w:val="single" w:sz="18" w:space="0" w:color="4E8542"/>
            </w:tcBorders>
          </w:tcPr>
          <w:p>
            <w:pPr>
              <w:pStyle w:val="TableParagraph"/>
              <w:rPr>
                <w:rFonts w:ascii="Times New Roman"/>
                <w:sz w:val="22"/>
              </w:rPr>
            </w:pPr>
          </w:p>
        </w:tc>
        <w:tc>
          <w:tcPr>
            <w:tcW w:w="1409" w:type="dxa"/>
            <w:tcBorders>
              <w:top w:val="single" w:sz="18" w:space="0" w:color="4E8542"/>
            </w:tcBorders>
          </w:tcPr>
          <w:p>
            <w:pPr>
              <w:pStyle w:val="TableParagraph"/>
              <w:rPr>
                <w:rFonts w:ascii="Times New Roman"/>
                <w:sz w:val="22"/>
              </w:rPr>
            </w:pPr>
          </w:p>
        </w:tc>
        <w:tc>
          <w:tcPr>
            <w:tcW w:w="2820" w:type="dxa"/>
            <w:tcBorders>
              <w:top w:val="single" w:sz="18" w:space="0" w:color="4E8542"/>
            </w:tcBorders>
          </w:tcPr>
          <w:p>
            <w:pPr>
              <w:pStyle w:val="TableParagraph"/>
              <w:spacing w:line="243" w:lineRule="exact"/>
              <w:ind w:left="104"/>
              <w:rPr>
                <w:sz w:val="22"/>
              </w:rPr>
            </w:pPr>
            <w:r>
              <w:rPr>
                <w:sz w:val="22"/>
              </w:rPr>
              <w:t>resource manager on a semi-</w:t>
            </w:r>
          </w:p>
          <w:p>
            <w:pPr>
              <w:pStyle w:val="TableParagraph"/>
              <w:ind w:left="104"/>
              <w:rPr>
                <w:sz w:val="22"/>
              </w:rPr>
            </w:pPr>
            <w:r>
              <w:rPr>
                <w:sz w:val="22"/>
              </w:rPr>
              <w:t>annual basis.</w:t>
            </w:r>
          </w:p>
          <w:p>
            <w:pPr>
              <w:pStyle w:val="TableParagraph"/>
              <w:spacing w:before="10"/>
              <w:rPr>
                <w:b/>
                <w:sz w:val="21"/>
              </w:rPr>
            </w:pPr>
          </w:p>
          <w:p>
            <w:pPr>
              <w:pStyle w:val="TableParagraph"/>
              <w:ind w:left="104" w:right="70"/>
              <w:rPr>
                <w:sz w:val="22"/>
              </w:rPr>
            </w:pPr>
            <w:r>
              <w:rPr>
                <w:sz w:val="22"/>
              </w:rPr>
              <w:t>Each county completes a 16- page self-assessment tool every other year which assists DDA to prioritize site visits. DDA staff conducts on- site quality assessments to every county once every two years. DDA has 3 Regional Employment Specialists who assist with the quality assessments. Additionally, DDA review outcome information for trends and patterns on a county-by-</w:t>
            </w:r>
          </w:p>
          <w:p>
            <w:pPr>
              <w:pStyle w:val="TableParagraph"/>
              <w:spacing w:line="249" w:lineRule="exact" w:before="1"/>
              <w:ind w:left="104"/>
              <w:rPr>
                <w:sz w:val="22"/>
              </w:rPr>
            </w:pPr>
            <w:r>
              <w:rPr>
                <w:sz w:val="22"/>
              </w:rPr>
              <w:t>county basis monthly.</w:t>
            </w:r>
          </w:p>
        </w:tc>
        <w:tc>
          <w:tcPr>
            <w:tcW w:w="2431" w:type="dxa"/>
            <w:tcBorders>
              <w:top w:val="single" w:sz="18" w:space="0" w:color="4E8542"/>
            </w:tcBorders>
          </w:tcPr>
          <w:p>
            <w:pPr>
              <w:pStyle w:val="TableParagraph"/>
              <w:rPr>
                <w:rFonts w:ascii="Times New Roman"/>
                <w:sz w:val="22"/>
              </w:rPr>
            </w:pPr>
          </w:p>
        </w:tc>
      </w:tr>
      <w:tr>
        <w:trPr>
          <w:trHeight w:val="3222" w:hRule="atLeast"/>
        </w:trPr>
        <w:tc>
          <w:tcPr>
            <w:tcW w:w="3456" w:type="dxa"/>
            <w:shd w:val="clear" w:color="auto" w:fill="D0E4CA"/>
          </w:tcPr>
          <w:p>
            <w:pPr>
              <w:pStyle w:val="TableParagraph"/>
              <w:ind w:left="107" w:right="153"/>
              <w:rPr>
                <w:b/>
                <w:sz w:val="22"/>
              </w:rPr>
            </w:pPr>
            <w:r>
              <w:rPr>
                <w:b/>
                <w:sz w:val="22"/>
              </w:rPr>
              <w:t>The setting that is located in a building that is also a publicly or privately operated facility that provides inpatient institutional treatment, or in a building on the grounds of, or immediately adjacent to, a public institution, or any other setting that has the effect of isolating individuals receiving Medicaid HCBS from the broader community of individuals</w:t>
            </w:r>
          </w:p>
          <w:p>
            <w:pPr>
              <w:pStyle w:val="TableParagraph"/>
              <w:spacing w:line="249" w:lineRule="exact"/>
              <w:ind w:left="107"/>
              <w:rPr>
                <w:b/>
                <w:sz w:val="22"/>
              </w:rPr>
            </w:pPr>
            <w:r>
              <w:rPr>
                <w:b/>
                <w:sz w:val="22"/>
              </w:rPr>
              <w:t>not receiving HCBS.</w:t>
            </w:r>
          </w:p>
        </w:tc>
        <w:tc>
          <w:tcPr>
            <w:tcW w:w="2825" w:type="dxa"/>
            <w:shd w:val="clear" w:color="auto" w:fill="D0E4CA"/>
          </w:tcPr>
          <w:p>
            <w:pPr>
              <w:pStyle w:val="TableParagraph"/>
              <w:ind w:left="107" w:right="95"/>
              <w:rPr>
                <w:sz w:val="22"/>
              </w:rPr>
            </w:pPr>
            <w:hyperlink r:id="rId89">
              <w:r>
                <w:rPr>
                  <w:color w:val="6B9F24"/>
                  <w:sz w:val="22"/>
                  <w:u w:val="single" w:color="6B9F24"/>
                </w:rPr>
                <w:t>County Guidelines</w:t>
              </w:r>
              <w:r>
                <w:rPr>
                  <w:color w:val="6B9F24"/>
                  <w:sz w:val="22"/>
                </w:rPr>
                <w:t> </w:t>
              </w:r>
            </w:hyperlink>
            <w:r>
              <w:rPr>
                <w:sz w:val="22"/>
              </w:rPr>
              <w:t>inform and direct county services, including employment, to include the following benefits of quality living: power and choice, relationships, status/contribution, integration, competence and health and safety.</w:t>
            </w:r>
          </w:p>
        </w:tc>
        <w:tc>
          <w:tcPr>
            <w:tcW w:w="1409" w:type="dxa"/>
            <w:shd w:val="clear" w:color="auto" w:fill="D0E4CA"/>
          </w:tcPr>
          <w:p>
            <w:pPr>
              <w:pStyle w:val="TableParagraph"/>
              <w:ind w:left="107" w:right="341"/>
              <w:rPr>
                <w:sz w:val="22"/>
              </w:rPr>
            </w:pPr>
            <w:r>
              <w:rPr>
                <w:sz w:val="22"/>
              </w:rPr>
              <w:t>Partially Compliant</w:t>
            </w:r>
          </w:p>
        </w:tc>
        <w:tc>
          <w:tcPr>
            <w:tcW w:w="2820" w:type="dxa"/>
            <w:shd w:val="clear" w:color="auto" w:fill="D0E4CA"/>
          </w:tcPr>
          <w:p>
            <w:pPr>
              <w:pStyle w:val="TableParagraph"/>
              <w:ind w:left="104" w:right="93"/>
              <w:rPr>
                <w:sz w:val="22"/>
              </w:rPr>
            </w:pPr>
            <w:r>
              <w:rPr>
                <w:sz w:val="22"/>
              </w:rPr>
              <w:t>Each county completes a 16- page self-assessment tool every other year which assists DDA to prioritize site visits. DDA staff conduct on- site quality assessments to every county once every two years. DDA has 3 Regional Employment Specialists who assist with the quality assessments. Additionally,</w:t>
            </w:r>
          </w:p>
          <w:p>
            <w:pPr>
              <w:pStyle w:val="TableParagraph"/>
              <w:spacing w:line="249" w:lineRule="exact"/>
              <w:ind w:left="104"/>
              <w:rPr>
                <w:sz w:val="22"/>
              </w:rPr>
            </w:pPr>
            <w:r>
              <w:rPr>
                <w:sz w:val="22"/>
              </w:rPr>
              <w:t>DDA review outcome</w:t>
            </w:r>
          </w:p>
        </w:tc>
        <w:tc>
          <w:tcPr>
            <w:tcW w:w="2431" w:type="dxa"/>
            <w:shd w:val="clear" w:color="auto" w:fill="D0E4CA"/>
          </w:tcPr>
          <w:p>
            <w:pPr>
              <w:pStyle w:val="TableParagraph"/>
              <w:ind w:left="107" w:right="86"/>
              <w:rPr>
                <w:sz w:val="22"/>
              </w:rPr>
            </w:pPr>
            <w:r>
              <w:rPr>
                <w:sz w:val="22"/>
              </w:rPr>
              <w:t>Revising </w:t>
            </w:r>
            <w:hyperlink r:id="rId23">
              <w:r>
                <w:rPr>
                  <w:color w:val="6B9F24"/>
                  <w:sz w:val="22"/>
                  <w:u w:val="single" w:color="6B9F24"/>
                </w:rPr>
                <w:t>WAC 388-823-</w:t>
              </w:r>
            </w:hyperlink>
            <w:r>
              <w:rPr>
                <w:color w:val="6B9F24"/>
                <w:sz w:val="22"/>
              </w:rPr>
              <w:t> </w:t>
            </w:r>
            <w:hyperlink r:id="rId23">
              <w:r>
                <w:rPr>
                  <w:color w:val="6B9F24"/>
                  <w:sz w:val="22"/>
                  <w:u w:val="single" w:color="6B9F24"/>
                </w:rPr>
                <w:t>1095</w:t>
              </w:r>
              <w:r>
                <w:rPr>
                  <w:color w:val="6B9F24"/>
                  <w:sz w:val="22"/>
                </w:rPr>
                <w:t> </w:t>
              </w:r>
            </w:hyperlink>
            <w:r>
              <w:rPr>
                <w:sz w:val="22"/>
              </w:rPr>
              <w:t>to include all rights listed in the HCBS rules and adding language to the contracts requiring adherence to the WAC. See </w:t>
            </w:r>
            <w:r>
              <w:rPr>
                <w:color w:val="6B9F24"/>
                <w:sz w:val="22"/>
                <w:u w:val="single" w:color="6B9F24"/>
              </w:rPr>
              <w:t>Appendix C.</w:t>
            </w:r>
          </w:p>
        </w:tc>
      </w:tr>
    </w:tbl>
    <w:p>
      <w:pPr>
        <w:pStyle w:val="BodyText"/>
        <w:spacing w:before="1"/>
        <w:rPr>
          <w:b/>
          <w:sz w:val="14"/>
        </w:rPr>
      </w:pPr>
      <w:r>
        <w:rPr/>
        <w:pict>
          <v:shape style="position:absolute;margin-left:70.559998pt;margin-top:10.7995pt;width:650.9pt;height:.1pt;mso-position-horizontal-relative:page;mso-position-vertical-relative:paragraph;z-index:-251486208;mso-wrap-distance-left:0;mso-wrap-distance-right:0" coordorigin="1411,216" coordsize="13018,0" path="m1411,216l14429,216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80" w:type="dxa"/>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Layout w:type="fixed"/>
        <w:tblCellMar>
          <w:top w:w="0" w:type="dxa"/>
          <w:left w:w="0" w:type="dxa"/>
          <w:bottom w:w="0" w:type="dxa"/>
          <w:right w:w="0" w:type="dxa"/>
        </w:tblCellMar>
        <w:tblLook w:val="01E0"/>
      </w:tblPr>
      <w:tblGrid>
        <w:gridCol w:w="3456"/>
        <w:gridCol w:w="2825"/>
        <w:gridCol w:w="1409"/>
        <w:gridCol w:w="2820"/>
        <w:gridCol w:w="2431"/>
      </w:tblGrid>
      <w:tr>
        <w:trPr>
          <w:trHeight w:val="879" w:hRule="atLeast"/>
        </w:trPr>
        <w:tc>
          <w:tcPr>
            <w:tcW w:w="3456" w:type="dxa"/>
            <w:tcBorders>
              <w:bottom w:val="single" w:sz="18" w:space="0" w:color="4E8542"/>
            </w:tcBorders>
          </w:tcPr>
          <w:p>
            <w:pPr>
              <w:pStyle w:val="TableParagraph"/>
              <w:spacing w:line="292" w:lineRule="exact"/>
              <w:ind w:left="244"/>
              <w:rPr>
                <w:b/>
                <w:sz w:val="24"/>
              </w:rPr>
            </w:pPr>
            <w:r>
              <w:rPr>
                <w:b/>
                <w:sz w:val="24"/>
              </w:rPr>
              <w:t>Characteristics/Requirements</w:t>
            </w:r>
          </w:p>
        </w:tc>
        <w:tc>
          <w:tcPr>
            <w:tcW w:w="2825" w:type="dxa"/>
            <w:tcBorders>
              <w:bottom w:val="single" w:sz="18" w:space="0" w:color="4E8542"/>
            </w:tcBorders>
          </w:tcPr>
          <w:p>
            <w:pPr>
              <w:pStyle w:val="TableParagraph"/>
              <w:ind w:left="295" w:right="274"/>
              <w:jc w:val="center"/>
              <w:rPr>
                <w:b/>
                <w:sz w:val="24"/>
              </w:rPr>
            </w:pPr>
            <w:r>
              <w:rPr>
                <w:b/>
                <w:sz w:val="24"/>
              </w:rPr>
              <w:t>DDA Pre-Vocational Services</w:t>
            </w:r>
          </w:p>
          <w:p>
            <w:pPr>
              <w:pStyle w:val="TableParagraph"/>
              <w:spacing w:line="274" w:lineRule="exact"/>
              <w:ind w:left="294" w:right="274"/>
              <w:jc w:val="center"/>
              <w:rPr>
                <w:b/>
                <w:sz w:val="24"/>
              </w:rPr>
            </w:pPr>
            <w:r>
              <w:rPr>
                <w:b/>
                <w:sz w:val="24"/>
              </w:rPr>
              <w:t>State Evaluation</w:t>
            </w:r>
          </w:p>
        </w:tc>
        <w:tc>
          <w:tcPr>
            <w:tcW w:w="1409" w:type="dxa"/>
            <w:tcBorders>
              <w:bottom w:val="single" w:sz="18" w:space="0" w:color="4E8542"/>
            </w:tcBorders>
          </w:tcPr>
          <w:p>
            <w:pPr>
              <w:pStyle w:val="TableParagraph"/>
              <w:ind w:left="445" w:right="84" w:hanging="327"/>
              <w:rPr>
                <w:b/>
                <w:sz w:val="24"/>
              </w:rPr>
            </w:pPr>
            <w:r>
              <w:rPr>
                <w:b/>
                <w:sz w:val="24"/>
              </w:rPr>
              <w:t>Compliance Level</w:t>
            </w:r>
          </w:p>
        </w:tc>
        <w:tc>
          <w:tcPr>
            <w:tcW w:w="2820" w:type="dxa"/>
            <w:tcBorders>
              <w:bottom w:val="single" w:sz="18" w:space="0" w:color="4E8542"/>
            </w:tcBorders>
          </w:tcPr>
          <w:p>
            <w:pPr>
              <w:pStyle w:val="TableParagraph"/>
              <w:spacing w:line="292" w:lineRule="exact"/>
              <w:ind w:left="522"/>
              <w:rPr>
                <w:b/>
                <w:sz w:val="24"/>
              </w:rPr>
            </w:pPr>
            <w:r>
              <w:rPr>
                <w:b/>
                <w:sz w:val="24"/>
              </w:rPr>
              <w:t>Oversight Process</w:t>
            </w:r>
          </w:p>
        </w:tc>
        <w:tc>
          <w:tcPr>
            <w:tcW w:w="2431" w:type="dxa"/>
            <w:tcBorders>
              <w:bottom w:val="single" w:sz="18" w:space="0" w:color="4E8542"/>
            </w:tcBorders>
          </w:tcPr>
          <w:p>
            <w:pPr>
              <w:pStyle w:val="TableParagraph"/>
              <w:spacing w:line="292" w:lineRule="exact"/>
              <w:ind w:left="572"/>
              <w:rPr>
                <w:b/>
                <w:sz w:val="24"/>
              </w:rPr>
            </w:pPr>
            <w:r>
              <w:rPr>
                <w:b/>
                <w:sz w:val="24"/>
              </w:rPr>
              <w:t>Remediation</w:t>
            </w:r>
          </w:p>
        </w:tc>
      </w:tr>
      <w:tr>
        <w:trPr>
          <w:trHeight w:val="781" w:hRule="atLeast"/>
        </w:trPr>
        <w:tc>
          <w:tcPr>
            <w:tcW w:w="3456" w:type="dxa"/>
            <w:tcBorders>
              <w:top w:val="single" w:sz="18" w:space="0" w:color="4E8542"/>
            </w:tcBorders>
            <w:shd w:val="clear" w:color="auto" w:fill="D0E4CA"/>
          </w:tcPr>
          <w:p>
            <w:pPr>
              <w:pStyle w:val="TableParagraph"/>
              <w:rPr>
                <w:rFonts w:ascii="Times New Roman"/>
                <w:sz w:val="22"/>
              </w:rPr>
            </w:pPr>
          </w:p>
        </w:tc>
        <w:tc>
          <w:tcPr>
            <w:tcW w:w="2825" w:type="dxa"/>
            <w:tcBorders>
              <w:top w:val="single" w:sz="18" w:space="0" w:color="4E8542"/>
            </w:tcBorders>
            <w:shd w:val="clear" w:color="auto" w:fill="D0E4CA"/>
          </w:tcPr>
          <w:p>
            <w:pPr>
              <w:pStyle w:val="TableParagraph"/>
              <w:rPr>
                <w:rFonts w:ascii="Times New Roman"/>
                <w:sz w:val="22"/>
              </w:rPr>
            </w:pPr>
          </w:p>
        </w:tc>
        <w:tc>
          <w:tcPr>
            <w:tcW w:w="1409" w:type="dxa"/>
            <w:tcBorders>
              <w:top w:val="single" w:sz="18" w:space="0" w:color="4E8542"/>
            </w:tcBorders>
            <w:shd w:val="clear" w:color="auto" w:fill="D0E4CA"/>
          </w:tcPr>
          <w:p>
            <w:pPr>
              <w:pStyle w:val="TableParagraph"/>
              <w:rPr>
                <w:rFonts w:ascii="Times New Roman"/>
                <w:sz w:val="22"/>
              </w:rPr>
            </w:pPr>
          </w:p>
        </w:tc>
        <w:tc>
          <w:tcPr>
            <w:tcW w:w="2820" w:type="dxa"/>
            <w:tcBorders>
              <w:top w:val="single" w:sz="18" w:space="0" w:color="4E8542"/>
            </w:tcBorders>
            <w:shd w:val="clear" w:color="auto" w:fill="D0E4CA"/>
          </w:tcPr>
          <w:p>
            <w:pPr>
              <w:pStyle w:val="TableParagraph"/>
              <w:spacing w:line="243" w:lineRule="exact"/>
              <w:ind w:left="104"/>
              <w:rPr>
                <w:sz w:val="22"/>
              </w:rPr>
            </w:pPr>
            <w:r>
              <w:rPr>
                <w:sz w:val="22"/>
              </w:rPr>
              <w:t>information for trends and</w:t>
            </w:r>
          </w:p>
          <w:p>
            <w:pPr>
              <w:pStyle w:val="TableParagraph"/>
              <w:spacing w:line="270" w:lineRule="atLeast"/>
              <w:ind w:left="104" w:right="470"/>
              <w:rPr>
                <w:sz w:val="22"/>
              </w:rPr>
            </w:pPr>
            <w:r>
              <w:rPr>
                <w:sz w:val="22"/>
              </w:rPr>
              <w:t>patterns on a county-by- county basis monthly.</w:t>
            </w:r>
          </w:p>
        </w:tc>
        <w:tc>
          <w:tcPr>
            <w:tcW w:w="2431" w:type="dxa"/>
            <w:tcBorders>
              <w:top w:val="single" w:sz="18" w:space="0" w:color="4E8542"/>
            </w:tcBorders>
            <w:shd w:val="clear" w:color="auto" w:fill="D0E4CA"/>
          </w:tcPr>
          <w:p>
            <w:pPr>
              <w:pStyle w:val="TableParagraph"/>
              <w:rPr>
                <w:rFonts w:ascii="Times New Roman"/>
                <w:sz w:val="22"/>
              </w:rPr>
            </w:pPr>
          </w:p>
        </w:tc>
      </w:tr>
    </w:tbl>
    <w:p>
      <w:pPr>
        <w:pStyle w:val="BodyText"/>
        <w:rPr>
          <w:b/>
        </w:rPr>
      </w:pPr>
    </w:p>
    <w:p>
      <w:pPr>
        <w:pStyle w:val="BodyText"/>
        <w:rPr>
          <w:b/>
        </w:rPr>
      </w:pPr>
    </w:p>
    <w:p>
      <w:pPr>
        <w:pStyle w:val="BodyText"/>
        <w:rPr>
          <w:b/>
        </w:rPr>
      </w:pPr>
    </w:p>
    <w:p>
      <w:pPr>
        <w:pStyle w:val="BodyText"/>
        <w:rPr>
          <w:b/>
        </w:rPr>
      </w:pPr>
    </w:p>
    <w:p>
      <w:pPr>
        <w:pStyle w:val="BodyText"/>
        <w:spacing w:before="3"/>
        <w:rPr>
          <w:b/>
        </w:rPr>
      </w:pPr>
    </w:p>
    <w:p>
      <w:pPr>
        <w:spacing w:before="0" w:after="46"/>
        <w:ind w:left="2918" w:right="2957" w:firstLine="0"/>
        <w:jc w:val="center"/>
        <w:rPr>
          <w:b/>
          <w:sz w:val="24"/>
        </w:rPr>
      </w:pPr>
      <w:r>
        <w:rPr>
          <w:b/>
          <w:sz w:val="24"/>
        </w:rPr>
        <w:t>Characteristics/Requirements Not Met</w:t>
      </w:r>
    </w:p>
    <w:tbl>
      <w:tblPr>
        <w:tblW w:w="0" w:type="auto"/>
        <w:jc w:val="left"/>
        <w:tblInd w:w="108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Layout w:type="fixed"/>
        <w:tblCellMar>
          <w:top w:w="0" w:type="dxa"/>
          <w:left w:w="0" w:type="dxa"/>
          <w:bottom w:w="0" w:type="dxa"/>
          <w:right w:w="0" w:type="dxa"/>
        </w:tblCellMar>
        <w:tblLook w:val="01E0"/>
      </w:tblPr>
      <w:tblGrid>
        <w:gridCol w:w="6415"/>
        <w:gridCol w:w="6525"/>
      </w:tblGrid>
      <w:tr>
        <w:trPr>
          <w:trHeight w:val="291" w:hRule="atLeast"/>
        </w:trPr>
        <w:tc>
          <w:tcPr>
            <w:tcW w:w="6415" w:type="dxa"/>
            <w:tcBorders>
              <w:bottom w:val="single" w:sz="18" w:space="0" w:color="9F2936"/>
            </w:tcBorders>
          </w:tcPr>
          <w:p>
            <w:pPr>
              <w:pStyle w:val="TableParagraph"/>
              <w:spacing w:line="271" w:lineRule="exact"/>
              <w:ind w:left="1722"/>
              <w:rPr>
                <w:b/>
                <w:sz w:val="24"/>
              </w:rPr>
            </w:pPr>
            <w:r>
              <w:rPr>
                <w:b/>
                <w:sz w:val="24"/>
              </w:rPr>
              <w:t>Characteristics/Requirements</w:t>
            </w:r>
          </w:p>
        </w:tc>
        <w:tc>
          <w:tcPr>
            <w:tcW w:w="6525" w:type="dxa"/>
            <w:tcBorders>
              <w:bottom w:val="single" w:sz="18" w:space="0" w:color="9F2936"/>
            </w:tcBorders>
          </w:tcPr>
          <w:p>
            <w:pPr>
              <w:pStyle w:val="TableParagraph"/>
              <w:spacing w:line="271" w:lineRule="exact"/>
              <w:ind w:left="2324" w:right="2307"/>
              <w:jc w:val="center"/>
              <w:rPr>
                <w:b/>
                <w:sz w:val="24"/>
              </w:rPr>
            </w:pPr>
            <w:r>
              <w:rPr>
                <w:b/>
                <w:sz w:val="24"/>
              </w:rPr>
              <w:t>Proposed Changes</w:t>
            </w:r>
          </w:p>
        </w:tc>
      </w:tr>
      <w:tr>
        <w:trPr>
          <w:trHeight w:val="1613" w:hRule="atLeast"/>
        </w:trPr>
        <w:tc>
          <w:tcPr>
            <w:tcW w:w="6415" w:type="dxa"/>
            <w:tcBorders>
              <w:top w:val="single" w:sz="18" w:space="0" w:color="9F2936"/>
            </w:tcBorders>
            <w:shd w:val="clear" w:color="auto" w:fill="EEC2C5"/>
          </w:tcPr>
          <w:p>
            <w:pPr>
              <w:pStyle w:val="TableParagraph"/>
              <w:spacing w:before="1"/>
              <w:ind w:left="107" w:right="195"/>
              <w:rPr>
                <w:b/>
                <w:sz w:val="22"/>
              </w:rPr>
            </w:pPr>
            <w:r>
              <w:rPr>
                <w:b/>
                <w:sz w:val="22"/>
              </w:rPr>
              <w:t>The setting is integrated in, and facilitates the individual’s full access to, the greater community, including opportunities to seek employment and work in competitive integrated settings, engage in community life, control personal resources, and receive services in the community, in the same manner as individuals without</w:t>
            </w:r>
          </w:p>
          <w:p>
            <w:pPr>
              <w:pStyle w:val="TableParagraph"/>
              <w:spacing w:line="250" w:lineRule="exact"/>
              <w:ind w:left="107"/>
              <w:rPr>
                <w:b/>
                <w:sz w:val="22"/>
              </w:rPr>
            </w:pPr>
            <w:r>
              <w:rPr>
                <w:b/>
                <w:sz w:val="22"/>
              </w:rPr>
              <w:t>disabilities.</w:t>
            </w:r>
          </w:p>
        </w:tc>
        <w:tc>
          <w:tcPr>
            <w:tcW w:w="6525" w:type="dxa"/>
            <w:tcBorders>
              <w:top w:val="single" w:sz="18" w:space="0" w:color="9F2936"/>
            </w:tcBorders>
            <w:shd w:val="clear" w:color="auto" w:fill="EEC2C5"/>
          </w:tcPr>
          <w:p>
            <w:pPr>
              <w:pStyle w:val="TableParagraph"/>
              <w:spacing w:before="1"/>
              <w:ind w:left="107" w:right="318"/>
              <w:rPr>
                <w:sz w:val="22"/>
              </w:rPr>
            </w:pPr>
            <w:r>
              <w:rPr>
                <w:sz w:val="22"/>
              </w:rPr>
              <w:t>DDA eliminated new admissions to Pre-vocational Services effective September 1, 2015, through approved waiver amendments in the Basic Plus, Core and Community Protection waivers. All people receiving pre-vocational employment supports will be supported to transition into integrated service options within four years.</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8"/>
        </w:rPr>
      </w:pPr>
      <w:r>
        <w:rPr/>
        <w:pict>
          <v:shape style="position:absolute;margin-left:70.559998pt;margin-top:19.661062pt;width:650.9pt;height:.1pt;mso-position-horizontal-relative:page;mso-position-vertical-relative:paragraph;z-index:-251485184;mso-wrap-distance-left:0;mso-wrap-distance-right:0" coordorigin="1411,393" coordsize="13018,0" path="m1411,393l14429,393e" filled="false" stroked="true" strokeweight=".481pt" strokecolor="#d9d9d9">
            <v:path arrowok="t"/>
            <v:stroke dashstyle="solid"/>
            <w10:wrap type="topAndBottom"/>
          </v:shape>
        </w:pict>
      </w:r>
    </w:p>
    <w:p>
      <w:pPr>
        <w:spacing w:after="0"/>
        <w:rPr>
          <w:sz w:val="2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p>
      <w:pPr>
        <w:spacing w:line="391" w:lineRule="exact" w:before="0"/>
        <w:ind w:left="2920" w:right="2957" w:firstLine="0"/>
        <w:jc w:val="center"/>
        <w:rPr>
          <w:b/>
          <w:sz w:val="32"/>
        </w:rPr>
      </w:pPr>
      <w:bookmarkStart w:name="APPENDIX B: Site Specific Assessment" w:id="85"/>
      <w:bookmarkEnd w:id="85"/>
      <w:r>
        <w:rPr/>
      </w:r>
      <w:bookmarkStart w:name="_bookmark39" w:id="86"/>
      <w:bookmarkEnd w:id="86"/>
      <w:r>
        <w:rPr/>
      </w:r>
      <w:r>
        <w:rPr>
          <w:b/>
          <w:sz w:val="32"/>
        </w:rPr>
        <w:t>APPENDIX B: Site Specific Assessment</w:t>
      </w:r>
    </w:p>
    <w:p>
      <w:pPr>
        <w:spacing w:before="0"/>
        <w:ind w:left="2919" w:right="2957" w:firstLine="0"/>
        <w:jc w:val="center"/>
        <w:rPr>
          <w:i/>
          <w:sz w:val="22"/>
        </w:rPr>
      </w:pPr>
      <w:bookmarkStart w:name="Updated 9/12/16" w:id="87"/>
      <w:bookmarkEnd w:id="87"/>
      <w:r>
        <w:rPr/>
      </w:r>
      <w:r>
        <w:rPr>
          <w:i/>
          <w:sz w:val="22"/>
        </w:rPr>
        <w:t>Updated 9/12/16</w:t>
      </w:r>
    </w:p>
    <w:p>
      <w:pPr>
        <w:pStyle w:val="BodyText"/>
        <w:spacing w:before="5"/>
        <w:rPr>
          <w:i/>
          <w:sz w:val="25"/>
        </w:rPr>
      </w:pPr>
    </w:p>
    <w:p>
      <w:pPr>
        <w:spacing w:before="0"/>
        <w:ind w:left="2919" w:right="2957" w:firstLine="0"/>
        <w:jc w:val="center"/>
        <w:rPr>
          <w:b/>
          <w:sz w:val="28"/>
        </w:rPr>
      </w:pPr>
      <w:r>
        <w:rPr>
          <w:b/>
          <w:sz w:val="28"/>
        </w:rPr>
        <w:t>Settings Assessment</w:t>
      </w:r>
    </w:p>
    <w:p>
      <w:pPr>
        <w:pStyle w:val="BodyText"/>
        <w:spacing w:before="3"/>
        <w:rPr>
          <w:b/>
          <w:sz w:val="36"/>
        </w:rPr>
      </w:pPr>
    </w:p>
    <w:p>
      <w:pPr>
        <w:pStyle w:val="BodyText"/>
        <w:spacing w:line="276" w:lineRule="auto"/>
        <w:ind w:left="1059" w:right="1114"/>
      </w:pPr>
      <w:r>
        <w:rPr/>
        <w:t>CMS requires an individualized assessment process that determines the level of compliance and ide</w:t>
      </w:r>
      <w:bookmarkStart w:name="_bookmark40" w:id="88"/>
      <w:bookmarkEnd w:id="88"/>
      <w:r>
        <w:rPr/>
        <w:t>n</w:t>
      </w:r>
      <w:r>
        <w:rPr/>
        <w:t>tifies areas of non-compliance for individual sites within each setting type. Providers in Washington did not complete self-assessments. Each setting had an in-person monitoring visit by at least one or more of the following entities. Each of these monitoring entities is trained on the HCBS setting rules and monitors all sites using consistent tools to validate compliance.</w:t>
      </w:r>
    </w:p>
    <w:p>
      <w:pPr>
        <w:pStyle w:val="BodyText"/>
      </w:pPr>
    </w:p>
    <w:p>
      <w:pPr>
        <w:pStyle w:val="BodyText"/>
        <w:spacing w:before="4"/>
        <w:rPr>
          <w:sz w:val="16"/>
        </w:rPr>
      </w:pPr>
    </w:p>
    <w:p>
      <w:pPr>
        <w:spacing w:before="0"/>
        <w:ind w:left="1059" w:right="0" w:firstLine="0"/>
        <w:jc w:val="left"/>
        <w:rPr>
          <w:i/>
          <w:sz w:val="22"/>
        </w:rPr>
      </w:pPr>
      <w:r>
        <w:rPr>
          <w:i/>
          <w:sz w:val="22"/>
        </w:rPr>
        <w:t>The following chart illustrates each setting and the entity that monitors compliance for that setting:</w:t>
      </w:r>
    </w:p>
    <w:p>
      <w:pPr>
        <w:pStyle w:val="BodyText"/>
        <w:rPr>
          <w:i/>
          <w:sz w:val="20"/>
        </w:rPr>
      </w:pPr>
    </w:p>
    <w:p>
      <w:pPr>
        <w:pStyle w:val="BodyText"/>
        <w:rPr>
          <w:i/>
          <w:sz w:val="20"/>
        </w:rPr>
      </w:pPr>
    </w:p>
    <w:p>
      <w:pPr>
        <w:pStyle w:val="BodyText"/>
        <w:rPr>
          <w:i/>
          <w:sz w:val="26"/>
        </w:rPr>
      </w:pPr>
    </w:p>
    <w:tbl>
      <w:tblPr>
        <w:tblW w:w="0" w:type="auto"/>
        <w:jc w:val="left"/>
        <w:tblInd w:w="1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55"/>
        <w:gridCol w:w="696"/>
        <w:gridCol w:w="718"/>
        <w:gridCol w:w="598"/>
        <w:gridCol w:w="742"/>
        <w:gridCol w:w="1056"/>
        <w:gridCol w:w="619"/>
      </w:tblGrid>
      <w:tr>
        <w:trPr>
          <w:trHeight w:val="294" w:hRule="atLeast"/>
        </w:trPr>
        <w:tc>
          <w:tcPr>
            <w:tcW w:w="7255" w:type="dxa"/>
            <w:vMerge w:val="restart"/>
            <w:shd w:val="clear" w:color="auto" w:fill="BEAECF"/>
          </w:tcPr>
          <w:p>
            <w:pPr>
              <w:pStyle w:val="TableParagraph"/>
              <w:spacing w:before="153"/>
              <w:ind w:left="3270" w:right="3259"/>
              <w:jc w:val="center"/>
              <w:rPr>
                <w:rFonts w:ascii="Calibri Light"/>
                <w:b w:val="0"/>
                <w:sz w:val="24"/>
              </w:rPr>
            </w:pPr>
            <w:r>
              <w:rPr>
                <w:rFonts w:ascii="Calibri Light"/>
                <w:b w:val="0"/>
                <w:sz w:val="24"/>
              </w:rPr>
              <w:t>Setting</w:t>
            </w:r>
          </w:p>
        </w:tc>
        <w:tc>
          <w:tcPr>
            <w:tcW w:w="4429" w:type="dxa"/>
            <w:gridSpan w:val="6"/>
            <w:shd w:val="clear" w:color="auto" w:fill="BEAECF"/>
          </w:tcPr>
          <w:p>
            <w:pPr>
              <w:pStyle w:val="TableParagraph"/>
              <w:spacing w:line="273" w:lineRule="exact" w:before="1"/>
              <w:ind w:left="1459"/>
              <w:rPr>
                <w:rFonts w:ascii="Calibri Light"/>
                <w:b w:val="0"/>
                <w:sz w:val="24"/>
              </w:rPr>
            </w:pPr>
            <w:r>
              <w:rPr>
                <w:rFonts w:ascii="Calibri Light"/>
                <w:b w:val="0"/>
                <w:sz w:val="24"/>
              </w:rPr>
              <w:t>Monitoring Entity</w:t>
            </w:r>
          </w:p>
        </w:tc>
      </w:tr>
      <w:tr>
        <w:trPr>
          <w:trHeight w:val="292" w:hRule="atLeast"/>
        </w:trPr>
        <w:tc>
          <w:tcPr>
            <w:tcW w:w="7255" w:type="dxa"/>
            <w:vMerge/>
            <w:tcBorders>
              <w:top w:val="nil"/>
            </w:tcBorders>
            <w:shd w:val="clear" w:color="auto" w:fill="BEAECF"/>
          </w:tcPr>
          <w:p>
            <w:pPr>
              <w:rPr>
                <w:sz w:val="2"/>
                <w:szCs w:val="2"/>
              </w:rPr>
            </w:pPr>
          </w:p>
        </w:tc>
        <w:tc>
          <w:tcPr>
            <w:tcW w:w="696" w:type="dxa"/>
            <w:shd w:val="clear" w:color="auto" w:fill="BEAECF"/>
          </w:tcPr>
          <w:p>
            <w:pPr>
              <w:pStyle w:val="TableParagraph"/>
              <w:spacing w:line="272" w:lineRule="exact"/>
              <w:ind w:left="116" w:right="169"/>
              <w:jc w:val="center"/>
              <w:rPr>
                <w:rFonts w:ascii="Calibri Light"/>
                <w:b w:val="0"/>
                <w:i/>
                <w:sz w:val="24"/>
              </w:rPr>
            </w:pPr>
            <w:r>
              <w:rPr>
                <w:rFonts w:ascii="Calibri Light"/>
                <w:b w:val="0"/>
                <w:i/>
                <w:sz w:val="24"/>
              </w:rPr>
              <w:t>RCS </w:t>
            </w:r>
          </w:p>
        </w:tc>
        <w:tc>
          <w:tcPr>
            <w:tcW w:w="718" w:type="dxa"/>
            <w:shd w:val="clear" w:color="auto" w:fill="BEAECF"/>
          </w:tcPr>
          <w:p>
            <w:pPr>
              <w:pStyle w:val="TableParagraph"/>
              <w:spacing w:line="272" w:lineRule="exact"/>
              <w:ind w:left="118" w:right="167"/>
              <w:jc w:val="center"/>
              <w:rPr>
                <w:rFonts w:ascii="Calibri Light"/>
                <w:b w:val="0"/>
                <w:i/>
                <w:sz w:val="24"/>
              </w:rPr>
            </w:pPr>
            <w:r>
              <w:rPr>
                <w:rFonts w:ascii="Calibri Light"/>
                <w:b w:val="0"/>
                <w:i/>
                <w:sz w:val="24"/>
              </w:rPr>
              <w:t>HCS </w:t>
            </w:r>
          </w:p>
        </w:tc>
        <w:tc>
          <w:tcPr>
            <w:tcW w:w="598" w:type="dxa"/>
            <w:shd w:val="clear" w:color="auto" w:fill="BEAECF"/>
          </w:tcPr>
          <w:p>
            <w:pPr>
              <w:pStyle w:val="TableParagraph"/>
              <w:spacing w:line="272" w:lineRule="exact"/>
              <w:ind w:right="162"/>
              <w:jc w:val="right"/>
              <w:rPr>
                <w:rFonts w:ascii="Calibri Light"/>
                <w:b w:val="0"/>
                <w:i/>
                <w:sz w:val="24"/>
              </w:rPr>
            </w:pPr>
            <w:r>
              <w:rPr>
                <w:rFonts w:ascii="Calibri Light"/>
                <w:b w:val="0"/>
                <w:i/>
                <w:sz w:val="24"/>
              </w:rPr>
              <w:t>CA </w:t>
            </w:r>
          </w:p>
        </w:tc>
        <w:tc>
          <w:tcPr>
            <w:tcW w:w="742" w:type="dxa"/>
            <w:shd w:val="clear" w:color="auto" w:fill="BEAECF"/>
          </w:tcPr>
          <w:p>
            <w:pPr>
              <w:pStyle w:val="TableParagraph"/>
              <w:spacing w:line="272" w:lineRule="exact"/>
              <w:ind w:left="115" w:right="170"/>
              <w:jc w:val="center"/>
              <w:rPr>
                <w:rFonts w:ascii="Calibri Light"/>
                <w:b w:val="0"/>
                <w:i/>
                <w:sz w:val="24"/>
              </w:rPr>
            </w:pPr>
            <w:r>
              <w:rPr>
                <w:rFonts w:ascii="Calibri Light"/>
                <w:b w:val="0"/>
                <w:i/>
                <w:sz w:val="24"/>
              </w:rPr>
              <w:t>AAA </w:t>
            </w:r>
          </w:p>
        </w:tc>
        <w:tc>
          <w:tcPr>
            <w:tcW w:w="1056" w:type="dxa"/>
            <w:shd w:val="clear" w:color="auto" w:fill="BEAECF"/>
          </w:tcPr>
          <w:p>
            <w:pPr>
              <w:pStyle w:val="TableParagraph"/>
              <w:spacing w:line="272" w:lineRule="exact"/>
              <w:ind w:left="113" w:right="64"/>
              <w:jc w:val="center"/>
              <w:rPr>
                <w:rFonts w:ascii="Calibri Light"/>
                <w:b w:val="0"/>
                <w:i/>
                <w:sz w:val="24"/>
              </w:rPr>
            </w:pPr>
            <w:r>
              <w:rPr>
                <w:rFonts w:ascii="Calibri Light"/>
                <w:b w:val="0"/>
                <w:i/>
                <w:sz w:val="24"/>
              </w:rPr>
              <w:t>Counties </w:t>
            </w:r>
          </w:p>
        </w:tc>
        <w:tc>
          <w:tcPr>
            <w:tcW w:w="619" w:type="dxa"/>
            <w:shd w:val="clear" w:color="auto" w:fill="BEAECF"/>
          </w:tcPr>
          <w:p>
            <w:pPr>
              <w:pStyle w:val="TableParagraph"/>
              <w:spacing w:line="272" w:lineRule="exact"/>
              <w:ind w:left="106"/>
              <w:rPr>
                <w:rFonts w:ascii="Calibri Light"/>
                <w:b w:val="0"/>
                <w:i/>
                <w:sz w:val="24"/>
              </w:rPr>
            </w:pPr>
            <w:r>
              <w:rPr>
                <w:rFonts w:ascii="Calibri Light"/>
                <w:b w:val="0"/>
                <w:i/>
                <w:sz w:val="24"/>
              </w:rPr>
              <w:t>DDA </w:t>
            </w:r>
          </w:p>
        </w:tc>
      </w:tr>
      <w:tr>
        <w:trPr>
          <w:trHeight w:val="292" w:hRule="atLeast"/>
        </w:trPr>
        <w:tc>
          <w:tcPr>
            <w:tcW w:w="7255" w:type="dxa"/>
          </w:tcPr>
          <w:p>
            <w:pPr>
              <w:pStyle w:val="TableParagraph"/>
              <w:spacing w:line="272" w:lineRule="exact"/>
              <w:ind w:left="107"/>
              <w:rPr>
                <w:rFonts w:ascii="Calibri Light"/>
                <w:b w:val="0"/>
                <w:sz w:val="24"/>
              </w:rPr>
            </w:pPr>
            <w:r>
              <w:rPr>
                <w:rFonts w:ascii="Calibri Light"/>
                <w:b w:val="0"/>
                <w:sz w:val="24"/>
              </w:rPr>
              <w:t>Adult Day Services</w:t>
            </w:r>
          </w:p>
        </w:tc>
        <w:tc>
          <w:tcPr>
            <w:tcW w:w="696" w:type="dxa"/>
          </w:tcPr>
          <w:p>
            <w:pPr>
              <w:pStyle w:val="TableParagraph"/>
              <w:rPr>
                <w:rFonts w:ascii="Times New Roman"/>
                <w:sz w:val="20"/>
              </w:rPr>
            </w:pPr>
          </w:p>
        </w:tc>
        <w:tc>
          <w:tcPr>
            <w:tcW w:w="718" w:type="dxa"/>
          </w:tcPr>
          <w:p>
            <w:pPr>
              <w:pStyle w:val="TableParagraph"/>
              <w:spacing w:line="258" w:lineRule="exact" w:before="14"/>
              <w:ind w:left="13"/>
              <w:jc w:val="center"/>
              <w:rPr>
                <w:rFonts w:ascii="Wingdings" w:hAnsi="Wingdings"/>
                <w:sz w:val="24"/>
              </w:rPr>
            </w:pPr>
            <w:r>
              <w:rPr>
                <w:rFonts w:ascii="Wingdings" w:hAnsi="Wingdings"/>
                <w:sz w:val="24"/>
              </w:rPr>
              <w:t></w:t>
            </w:r>
          </w:p>
        </w:tc>
        <w:tc>
          <w:tcPr>
            <w:tcW w:w="598" w:type="dxa"/>
          </w:tcPr>
          <w:p>
            <w:pPr>
              <w:pStyle w:val="TableParagraph"/>
              <w:rPr>
                <w:rFonts w:ascii="Times New Roman"/>
                <w:sz w:val="20"/>
              </w:rPr>
            </w:pPr>
          </w:p>
        </w:tc>
        <w:tc>
          <w:tcPr>
            <w:tcW w:w="742" w:type="dxa"/>
          </w:tcPr>
          <w:p>
            <w:pPr>
              <w:pStyle w:val="TableParagraph"/>
              <w:spacing w:line="258" w:lineRule="exact" w:before="14"/>
              <w:ind w:left="6"/>
              <w:jc w:val="center"/>
              <w:rPr>
                <w:rFonts w:ascii="Wingdings" w:hAnsi="Wingdings"/>
                <w:sz w:val="24"/>
              </w:rPr>
            </w:pPr>
            <w:r>
              <w:rPr>
                <w:rFonts w:ascii="Wingdings" w:hAnsi="Wingdings"/>
                <w:sz w:val="24"/>
              </w:rPr>
              <w:t></w:t>
            </w:r>
          </w:p>
        </w:tc>
        <w:tc>
          <w:tcPr>
            <w:tcW w:w="1056" w:type="dxa"/>
          </w:tcPr>
          <w:p>
            <w:pPr>
              <w:pStyle w:val="TableParagraph"/>
              <w:rPr>
                <w:rFonts w:ascii="Times New Roman"/>
                <w:sz w:val="20"/>
              </w:rPr>
            </w:pPr>
          </w:p>
        </w:tc>
        <w:tc>
          <w:tcPr>
            <w:tcW w:w="619" w:type="dxa"/>
          </w:tcPr>
          <w:p>
            <w:pPr>
              <w:pStyle w:val="TableParagraph"/>
              <w:rPr>
                <w:rFonts w:ascii="Times New Roman"/>
                <w:sz w:val="20"/>
              </w:rPr>
            </w:pPr>
          </w:p>
        </w:tc>
      </w:tr>
      <w:tr>
        <w:trPr>
          <w:trHeight w:val="292" w:hRule="atLeast"/>
        </w:trPr>
        <w:tc>
          <w:tcPr>
            <w:tcW w:w="7255" w:type="dxa"/>
            <w:shd w:val="clear" w:color="auto" w:fill="D6CDE0"/>
          </w:tcPr>
          <w:p>
            <w:pPr>
              <w:pStyle w:val="TableParagraph"/>
              <w:spacing w:line="272" w:lineRule="exact"/>
              <w:ind w:left="107"/>
              <w:rPr>
                <w:rFonts w:ascii="Calibri Light"/>
                <w:b w:val="0"/>
                <w:sz w:val="24"/>
              </w:rPr>
            </w:pPr>
            <w:r>
              <w:rPr>
                <w:rFonts w:ascii="Calibri Light"/>
                <w:b w:val="0"/>
                <w:sz w:val="24"/>
              </w:rPr>
              <w:t>DDA Supported Living</w:t>
            </w:r>
          </w:p>
        </w:tc>
        <w:tc>
          <w:tcPr>
            <w:tcW w:w="696" w:type="dxa"/>
            <w:shd w:val="clear" w:color="auto" w:fill="D6CDE0"/>
          </w:tcPr>
          <w:p>
            <w:pPr>
              <w:pStyle w:val="TableParagraph"/>
              <w:spacing w:line="258" w:lineRule="exact" w:before="14"/>
              <w:ind w:left="6"/>
              <w:jc w:val="center"/>
              <w:rPr>
                <w:rFonts w:ascii="Wingdings" w:hAnsi="Wingdings"/>
                <w:sz w:val="24"/>
              </w:rPr>
            </w:pPr>
            <w:r>
              <w:rPr>
                <w:rFonts w:ascii="Wingdings" w:hAnsi="Wingdings"/>
                <w:sz w:val="24"/>
              </w:rPr>
              <w:t></w:t>
            </w:r>
          </w:p>
        </w:tc>
        <w:tc>
          <w:tcPr>
            <w:tcW w:w="718" w:type="dxa"/>
            <w:shd w:val="clear" w:color="auto" w:fill="D6CDE0"/>
          </w:tcPr>
          <w:p>
            <w:pPr>
              <w:pStyle w:val="TableParagraph"/>
              <w:rPr>
                <w:rFonts w:ascii="Times New Roman"/>
                <w:sz w:val="20"/>
              </w:rPr>
            </w:pPr>
          </w:p>
        </w:tc>
        <w:tc>
          <w:tcPr>
            <w:tcW w:w="598" w:type="dxa"/>
            <w:shd w:val="clear" w:color="auto" w:fill="D6CDE0"/>
          </w:tcPr>
          <w:p>
            <w:pPr>
              <w:pStyle w:val="TableParagraph"/>
              <w:rPr>
                <w:rFonts w:ascii="Times New Roman"/>
                <w:sz w:val="20"/>
              </w:rPr>
            </w:pPr>
          </w:p>
        </w:tc>
        <w:tc>
          <w:tcPr>
            <w:tcW w:w="742" w:type="dxa"/>
            <w:shd w:val="clear" w:color="auto" w:fill="D6CDE0"/>
          </w:tcPr>
          <w:p>
            <w:pPr>
              <w:pStyle w:val="TableParagraph"/>
              <w:rPr>
                <w:rFonts w:ascii="Times New Roman"/>
                <w:sz w:val="20"/>
              </w:rPr>
            </w:pPr>
          </w:p>
        </w:tc>
        <w:tc>
          <w:tcPr>
            <w:tcW w:w="1056" w:type="dxa"/>
            <w:shd w:val="clear" w:color="auto" w:fill="D6CDE0"/>
          </w:tcPr>
          <w:p>
            <w:pPr>
              <w:pStyle w:val="TableParagraph"/>
              <w:rPr>
                <w:rFonts w:ascii="Times New Roman"/>
                <w:sz w:val="20"/>
              </w:rPr>
            </w:pPr>
          </w:p>
        </w:tc>
        <w:tc>
          <w:tcPr>
            <w:tcW w:w="619" w:type="dxa"/>
            <w:shd w:val="clear" w:color="auto" w:fill="D6CDE0"/>
          </w:tcPr>
          <w:p>
            <w:pPr>
              <w:pStyle w:val="TableParagraph"/>
              <w:spacing w:line="258" w:lineRule="exact" w:before="14"/>
              <w:ind w:left="212"/>
              <w:rPr>
                <w:rFonts w:ascii="Wingdings" w:hAnsi="Wingdings"/>
                <w:sz w:val="24"/>
              </w:rPr>
            </w:pPr>
            <w:r>
              <w:rPr>
                <w:rFonts w:ascii="Wingdings" w:hAnsi="Wingdings"/>
                <w:sz w:val="24"/>
              </w:rPr>
              <w:t></w:t>
            </w:r>
          </w:p>
        </w:tc>
      </w:tr>
      <w:tr>
        <w:trPr>
          <w:trHeight w:val="294" w:hRule="atLeast"/>
        </w:trPr>
        <w:tc>
          <w:tcPr>
            <w:tcW w:w="7255" w:type="dxa"/>
          </w:tcPr>
          <w:p>
            <w:pPr>
              <w:pStyle w:val="TableParagraph"/>
              <w:spacing w:line="273" w:lineRule="exact" w:before="1"/>
              <w:ind w:left="107"/>
              <w:rPr>
                <w:rFonts w:ascii="Calibri Light"/>
                <w:b w:val="0"/>
                <w:sz w:val="24"/>
              </w:rPr>
            </w:pPr>
            <w:r>
              <w:rPr>
                <w:rFonts w:ascii="Calibri Light"/>
                <w:b w:val="0"/>
                <w:sz w:val="24"/>
              </w:rPr>
              <w:t>DDA Group Home</w:t>
            </w:r>
          </w:p>
        </w:tc>
        <w:tc>
          <w:tcPr>
            <w:tcW w:w="696" w:type="dxa"/>
          </w:tcPr>
          <w:p>
            <w:pPr>
              <w:pStyle w:val="TableParagraph"/>
              <w:spacing w:line="260" w:lineRule="exact" w:before="14"/>
              <w:ind w:left="6"/>
              <w:jc w:val="center"/>
              <w:rPr>
                <w:rFonts w:ascii="Wingdings" w:hAnsi="Wingdings"/>
                <w:sz w:val="24"/>
              </w:rPr>
            </w:pPr>
            <w:r>
              <w:rPr>
                <w:rFonts w:ascii="Wingdings" w:hAnsi="Wingdings"/>
                <w:sz w:val="24"/>
              </w:rPr>
              <w:t></w:t>
            </w:r>
          </w:p>
        </w:tc>
        <w:tc>
          <w:tcPr>
            <w:tcW w:w="718" w:type="dxa"/>
          </w:tcPr>
          <w:p>
            <w:pPr>
              <w:pStyle w:val="TableParagraph"/>
              <w:rPr>
                <w:rFonts w:ascii="Times New Roman"/>
                <w:sz w:val="22"/>
              </w:rPr>
            </w:pPr>
          </w:p>
        </w:tc>
        <w:tc>
          <w:tcPr>
            <w:tcW w:w="598" w:type="dxa"/>
          </w:tcPr>
          <w:p>
            <w:pPr>
              <w:pStyle w:val="TableParagraph"/>
              <w:rPr>
                <w:rFonts w:ascii="Times New Roman"/>
                <w:sz w:val="22"/>
              </w:rPr>
            </w:pPr>
          </w:p>
        </w:tc>
        <w:tc>
          <w:tcPr>
            <w:tcW w:w="742" w:type="dxa"/>
          </w:tcPr>
          <w:p>
            <w:pPr>
              <w:pStyle w:val="TableParagraph"/>
              <w:rPr>
                <w:rFonts w:ascii="Times New Roman"/>
                <w:sz w:val="22"/>
              </w:rPr>
            </w:pPr>
          </w:p>
        </w:tc>
        <w:tc>
          <w:tcPr>
            <w:tcW w:w="1056" w:type="dxa"/>
          </w:tcPr>
          <w:p>
            <w:pPr>
              <w:pStyle w:val="TableParagraph"/>
              <w:rPr>
                <w:rFonts w:ascii="Times New Roman"/>
                <w:sz w:val="22"/>
              </w:rPr>
            </w:pPr>
          </w:p>
        </w:tc>
        <w:tc>
          <w:tcPr>
            <w:tcW w:w="619" w:type="dxa"/>
          </w:tcPr>
          <w:p>
            <w:pPr>
              <w:pStyle w:val="TableParagraph"/>
              <w:rPr>
                <w:rFonts w:ascii="Times New Roman"/>
                <w:sz w:val="22"/>
              </w:rPr>
            </w:pPr>
          </w:p>
        </w:tc>
      </w:tr>
      <w:tr>
        <w:trPr>
          <w:trHeight w:val="292" w:hRule="atLeast"/>
        </w:trPr>
        <w:tc>
          <w:tcPr>
            <w:tcW w:w="7255" w:type="dxa"/>
            <w:shd w:val="clear" w:color="auto" w:fill="DFD6E7"/>
          </w:tcPr>
          <w:p>
            <w:pPr>
              <w:pStyle w:val="TableParagraph"/>
              <w:spacing w:line="272" w:lineRule="exact"/>
              <w:ind w:left="107"/>
              <w:rPr>
                <w:rFonts w:ascii="Calibri Light"/>
                <w:b w:val="0"/>
                <w:sz w:val="24"/>
              </w:rPr>
            </w:pPr>
            <w:r>
              <w:rPr>
                <w:rFonts w:ascii="Calibri Light"/>
                <w:b w:val="0"/>
                <w:sz w:val="24"/>
              </w:rPr>
              <w:t>DDA Licensed Staff Residential, Child Foster Home, Group Care Facilities</w:t>
            </w:r>
          </w:p>
        </w:tc>
        <w:tc>
          <w:tcPr>
            <w:tcW w:w="696" w:type="dxa"/>
            <w:shd w:val="clear" w:color="auto" w:fill="DFD6E7"/>
          </w:tcPr>
          <w:p>
            <w:pPr>
              <w:pStyle w:val="TableParagraph"/>
              <w:rPr>
                <w:rFonts w:ascii="Times New Roman"/>
                <w:sz w:val="20"/>
              </w:rPr>
            </w:pPr>
          </w:p>
        </w:tc>
        <w:tc>
          <w:tcPr>
            <w:tcW w:w="718" w:type="dxa"/>
            <w:shd w:val="clear" w:color="auto" w:fill="DFD6E7"/>
          </w:tcPr>
          <w:p>
            <w:pPr>
              <w:pStyle w:val="TableParagraph"/>
              <w:rPr>
                <w:rFonts w:ascii="Times New Roman"/>
                <w:sz w:val="20"/>
              </w:rPr>
            </w:pPr>
          </w:p>
        </w:tc>
        <w:tc>
          <w:tcPr>
            <w:tcW w:w="598" w:type="dxa"/>
            <w:shd w:val="clear" w:color="auto" w:fill="DFD6E7"/>
          </w:tcPr>
          <w:p>
            <w:pPr>
              <w:pStyle w:val="TableParagraph"/>
              <w:spacing w:line="260" w:lineRule="exact" w:before="12"/>
              <w:ind w:right="193"/>
              <w:jc w:val="right"/>
              <w:rPr>
                <w:rFonts w:ascii="Wingdings" w:hAnsi="Wingdings"/>
                <w:sz w:val="24"/>
              </w:rPr>
            </w:pPr>
            <w:r>
              <w:rPr>
                <w:rFonts w:ascii="Wingdings" w:hAnsi="Wingdings"/>
                <w:sz w:val="24"/>
              </w:rPr>
              <w:t></w:t>
            </w:r>
          </w:p>
        </w:tc>
        <w:tc>
          <w:tcPr>
            <w:tcW w:w="742" w:type="dxa"/>
            <w:shd w:val="clear" w:color="auto" w:fill="DFD6E7"/>
          </w:tcPr>
          <w:p>
            <w:pPr>
              <w:pStyle w:val="TableParagraph"/>
              <w:rPr>
                <w:rFonts w:ascii="Times New Roman"/>
                <w:sz w:val="20"/>
              </w:rPr>
            </w:pPr>
          </w:p>
        </w:tc>
        <w:tc>
          <w:tcPr>
            <w:tcW w:w="1056" w:type="dxa"/>
            <w:shd w:val="clear" w:color="auto" w:fill="DFD6E7"/>
          </w:tcPr>
          <w:p>
            <w:pPr>
              <w:pStyle w:val="TableParagraph"/>
              <w:rPr>
                <w:rFonts w:ascii="Times New Roman"/>
                <w:sz w:val="20"/>
              </w:rPr>
            </w:pPr>
          </w:p>
        </w:tc>
        <w:tc>
          <w:tcPr>
            <w:tcW w:w="619" w:type="dxa"/>
            <w:shd w:val="clear" w:color="auto" w:fill="DFD6E7"/>
          </w:tcPr>
          <w:p>
            <w:pPr>
              <w:pStyle w:val="TableParagraph"/>
              <w:spacing w:line="260" w:lineRule="exact" w:before="12"/>
              <w:ind w:left="212"/>
              <w:rPr>
                <w:rFonts w:ascii="Wingdings" w:hAnsi="Wingdings"/>
                <w:sz w:val="24"/>
              </w:rPr>
            </w:pPr>
            <w:r>
              <w:rPr>
                <w:rFonts w:ascii="Wingdings" w:hAnsi="Wingdings"/>
                <w:sz w:val="24"/>
              </w:rPr>
              <w:t></w:t>
            </w:r>
          </w:p>
        </w:tc>
      </w:tr>
      <w:tr>
        <w:trPr>
          <w:trHeight w:val="292" w:hRule="atLeast"/>
        </w:trPr>
        <w:tc>
          <w:tcPr>
            <w:tcW w:w="7255" w:type="dxa"/>
          </w:tcPr>
          <w:p>
            <w:pPr>
              <w:pStyle w:val="TableParagraph"/>
              <w:spacing w:line="272" w:lineRule="exact"/>
              <w:ind w:left="107"/>
              <w:rPr>
                <w:rFonts w:ascii="Calibri Light"/>
                <w:b w:val="0"/>
                <w:sz w:val="24"/>
              </w:rPr>
            </w:pPr>
            <w:r>
              <w:rPr>
                <w:rFonts w:ascii="Calibri Light"/>
                <w:b w:val="0"/>
                <w:sz w:val="24"/>
              </w:rPr>
              <w:t>DDA Individual Supported Employment</w:t>
            </w:r>
          </w:p>
        </w:tc>
        <w:tc>
          <w:tcPr>
            <w:tcW w:w="696" w:type="dxa"/>
          </w:tcPr>
          <w:p>
            <w:pPr>
              <w:pStyle w:val="TableParagraph"/>
              <w:rPr>
                <w:rFonts w:ascii="Times New Roman"/>
                <w:sz w:val="20"/>
              </w:rPr>
            </w:pPr>
          </w:p>
        </w:tc>
        <w:tc>
          <w:tcPr>
            <w:tcW w:w="718" w:type="dxa"/>
          </w:tcPr>
          <w:p>
            <w:pPr>
              <w:pStyle w:val="TableParagraph"/>
              <w:rPr>
                <w:rFonts w:ascii="Times New Roman"/>
                <w:sz w:val="20"/>
              </w:rPr>
            </w:pPr>
          </w:p>
        </w:tc>
        <w:tc>
          <w:tcPr>
            <w:tcW w:w="598" w:type="dxa"/>
          </w:tcPr>
          <w:p>
            <w:pPr>
              <w:pStyle w:val="TableParagraph"/>
              <w:rPr>
                <w:rFonts w:ascii="Times New Roman"/>
                <w:sz w:val="20"/>
              </w:rPr>
            </w:pPr>
          </w:p>
        </w:tc>
        <w:tc>
          <w:tcPr>
            <w:tcW w:w="742" w:type="dxa"/>
          </w:tcPr>
          <w:p>
            <w:pPr>
              <w:pStyle w:val="TableParagraph"/>
              <w:rPr>
                <w:rFonts w:ascii="Times New Roman"/>
                <w:sz w:val="20"/>
              </w:rPr>
            </w:pPr>
          </w:p>
        </w:tc>
        <w:tc>
          <w:tcPr>
            <w:tcW w:w="1056" w:type="dxa"/>
          </w:tcPr>
          <w:p>
            <w:pPr>
              <w:pStyle w:val="TableParagraph"/>
              <w:spacing w:line="258" w:lineRule="exact" w:before="14"/>
              <w:ind w:left="4"/>
              <w:jc w:val="center"/>
              <w:rPr>
                <w:rFonts w:ascii="Wingdings" w:hAnsi="Wingdings"/>
                <w:sz w:val="24"/>
              </w:rPr>
            </w:pPr>
            <w:r>
              <w:rPr>
                <w:rFonts w:ascii="Wingdings" w:hAnsi="Wingdings"/>
                <w:sz w:val="24"/>
              </w:rPr>
              <w:t></w:t>
            </w:r>
          </w:p>
        </w:tc>
        <w:tc>
          <w:tcPr>
            <w:tcW w:w="619" w:type="dxa"/>
          </w:tcPr>
          <w:p>
            <w:pPr>
              <w:pStyle w:val="TableParagraph"/>
              <w:spacing w:line="163" w:lineRule="auto" w:before="38"/>
              <w:ind w:left="166"/>
              <w:rPr>
                <w:rFonts w:ascii="Calibri Light" w:hAnsi="Calibri Light"/>
                <w:b w:val="0"/>
                <w:sz w:val="16"/>
              </w:rPr>
            </w:pPr>
            <w:r>
              <w:rPr>
                <w:rFonts w:ascii="Wingdings" w:hAnsi="Wingdings"/>
                <w:position w:val="-7"/>
                <w:sz w:val="24"/>
              </w:rPr>
              <w:t></w:t>
            </w:r>
            <w:hyperlink w:history="true" w:anchor="_bookmark40">
              <w:r>
                <w:rPr>
                  <w:rFonts w:ascii="Calibri Light" w:hAnsi="Calibri Light"/>
                  <w:b w:val="0"/>
                  <w:sz w:val="16"/>
                </w:rPr>
                <w:t>1</w:t>
              </w:r>
            </w:hyperlink>
          </w:p>
        </w:tc>
      </w:tr>
      <w:tr>
        <w:trPr>
          <w:trHeight w:val="292" w:hRule="atLeast"/>
        </w:trPr>
        <w:tc>
          <w:tcPr>
            <w:tcW w:w="7255" w:type="dxa"/>
            <w:shd w:val="clear" w:color="auto" w:fill="DFD6E7"/>
          </w:tcPr>
          <w:p>
            <w:pPr>
              <w:pStyle w:val="TableParagraph"/>
              <w:spacing w:line="272" w:lineRule="exact"/>
              <w:ind w:left="107"/>
              <w:rPr>
                <w:rFonts w:ascii="Calibri Light"/>
                <w:b w:val="0"/>
                <w:sz w:val="24"/>
              </w:rPr>
            </w:pPr>
            <w:r>
              <w:rPr>
                <w:rFonts w:ascii="Calibri Light"/>
                <w:b w:val="0"/>
                <w:sz w:val="24"/>
              </w:rPr>
              <w:t>DDA Group Supported Employment</w:t>
            </w:r>
          </w:p>
        </w:tc>
        <w:tc>
          <w:tcPr>
            <w:tcW w:w="696" w:type="dxa"/>
            <w:shd w:val="clear" w:color="auto" w:fill="DFD6E7"/>
          </w:tcPr>
          <w:p>
            <w:pPr>
              <w:pStyle w:val="TableParagraph"/>
              <w:rPr>
                <w:rFonts w:ascii="Times New Roman"/>
                <w:sz w:val="20"/>
              </w:rPr>
            </w:pPr>
          </w:p>
        </w:tc>
        <w:tc>
          <w:tcPr>
            <w:tcW w:w="718" w:type="dxa"/>
            <w:shd w:val="clear" w:color="auto" w:fill="DFD6E7"/>
          </w:tcPr>
          <w:p>
            <w:pPr>
              <w:pStyle w:val="TableParagraph"/>
              <w:rPr>
                <w:rFonts w:ascii="Times New Roman"/>
                <w:sz w:val="20"/>
              </w:rPr>
            </w:pPr>
          </w:p>
        </w:tc>
        <w:tc>
          <w:tcPr>
            <w:tcW w:w="598" w:type="dxa"/>
            <w:shd w:val="clear" w:color="auto" w:fill="DFD6E7"/>
          </w:tcPr>
          <w:p>
            <w:pPr>
              <w:pStyle w:val="TableParagraph"/>
              <w:rPr>
                <w:rFonts w:ascii="Times New Roman"/>
                <w:sz w:val="20"/>
              </w:rPr>
            </w:pPr>
          </w:p>
        </w:tc>
        <w:tc>
          <w:tcPr>
            <w:tcW w:w="742" w:type="dxa"/>
            <w:shd w:val="clear" w:color="auto" w:fill="DFD6E7"/>
          </w:tcPr>
          <w:p>
            <w:pPr>
              <w:pStyle w:val="TableParagraph"/>
              <w:rPr>
                <w:rFonts w:ascii="Times New Roman"/>
                <w:sz w:val="20"/>
              </w:rPr>
            </w:pPr>
          </w:p>
        </w:tc>
        <w:tc>
          <w:tcPr>
            <w:tcW w:w="1056" w:type="dxa"/>
            <w:shd w:val="clear" w:color="auto" w:fill="DFD6E7"/>
          </w:tcPr>
          <w:p>
            <w:pPr>
              <w:pStyle w:val="TableParagraph"/>
              <w:spacing w:line="258" w:lineRule="exact" w:before="14"/>
              <w:ind w:left="4"/>
              <w:jc w:val="center"/>
              <w:rPr>
                <w:rFonts w:ascii="Wingdings" w:hAnsi="Wingdings"/>
                <w:sz w:val="24"/>
              </w:rPr>
            </w:pPr>
            <w:r>
              <w:rPr>
                <w:rFonts w:ascii="Wingdings" w:hAnsi="Wingdings"/>
                <w:sz w:val="24"/>
              </w:rPr>
              <w:t></w:t>
            </w:r>
          </w:p>
        </w:tc>
        <w:tc>
          <w:tcPr>
            <w:tcW w:w="619" w:type="dxa"/>
            <w:shd w:val="clear" w:color="auto" w:fill="DFD6E7"/>
          </w:tcPr>
          <w:p>
            <w:pPr>
              <w:pStyle w:val="TableParagraph"/>
              <w:spacing w:line="163" w:lineRule="auto" w:before="38"/>
              <w:ind w:left="174"/>
              <w:rPr>
                <w:rFonts w:ascii="Calibri Light" w:hAnsi="Calibri Light"/>
                <w:b w:val="0"/>
                <w:sz w:val="16"/>
              </w:rPr>
            </w:pPr>
            <w:r>
              <w:rPr>
                <w:rFonts w:ascii="Wingdings" w:hAnsi="Wingdings"/>
                <w:position w:val="-7"/>
                <w:sz w:val="24"/>
              </w:rPr>
              <w:t></w:t>
            </w:r>
            <w:r>
              <w:rPr>
                <w:rFonts w:ascii="Calibri Light" w:hAnsi="Calibri Light"/>
                <w:b w:val="0"/>
                <w:sz w:val="16"/>
              </w:rPr>
              <w:t>1</w:t>
            </w:r>
          </w:p>
        </w:tc>
      </w:tr>
      <w:tr>
        <w:trPr>
          <w:trHeight w:val="294" w:hRule="atLeast"/>
        </w:trPr>
        <w:tc>
          <w:tcPr>
            <w:tcW w:w="7255" w:type="dxa"/>
          </w:tcPr>
          <w:p>
            <w:pPr>
              <w:pStyle w:val="TableParagraph"/>
              <w:spacing w:line="273" w:lineRule="exact" w:before="1"/>
              <w:ind w:left="107"/>
              <w:rPr>
                <w:rFonts w:ascii="Calibri Light"/>
                <w:b w:val="0"/>
                <w:sz w:val="24"/>
              </w:rPr>
            </w:pPr>
            <w:r>
              <w:rPr>
                <w:rFonts w:ascii="Calibri Light"/>
                <w:b w:val="0"/>
                <w:sz w:val="24"/>
              </w:rPr>
              <w:t>DDA Community Inclusion</w:t>
            </w:r>
          </w:p>
        </w:tc>
        <w:tc>
          <w:tcPr>
            <w:tcW w:w="696" w:type="dxa"/>
          </w:tcPr>
          <w:p>
            <w:pPr>
              <w:pStyle w:val="TableParagraph"/>
              <w:rPr>
                <w:rFonts w:ascii="Times New Roman"/>
                <w:sz w:val="22"/>
              </w:rPr>
            </w:pPr>
          </w:p>
        </w:tc>
        <w:tc>
          <w:tcPr>
            <w:tcW w:w="718" w:type="dxa"/>
          </w:tcPr>
          <w:p>
            <w:pPr>
              <w:pStyle w:val="TableParagraph"/>
              <w:rPr>
                <w:rFonts w:ascii="Times New Roman"/>
                <w:sz w:val="22"/>
              </w:rPr>
            </w:pPr>
          </w:p>
        </w:tc>
        <w:tc>
          <w:tcPr>
            <w:tcW w:w="598" w:type="dxa"/>
          </w:tcPr>
          <w:p>
            <w:pPr>
              <w:pStyle w:val="TableParagraph"/>
              <w:rPr>
                <w:rFonts w:ascii="Times New Roman"/>
                <w:sz w:val="22"/>
              </w:rPr>
            </w:pPr>
          </w:p>
        </w:tc>
        <w:tc>
          <w:tcPr>
            <w:tcW w:w="742" w:type="dxa"/>
          </w:tcPr>
          <w:p>
            <w:pPr>
              <w:pStyle w:val="TableParagraph"/>
              <w:rPr>
                <w:rFonts w:ascii="Times New Roman"/>
                <w:sz w:val="22"/>
              </w:rPr>
            </w:pPr>
          </w:p>
        </w:tc>
        <w:tc>
          <w:tcPr>
            <w:tcW w:w="1056" w:type="dxa"/>
          </w:tcPr>
          <w:p>
            <w:pPr>
              <w:pStyle w:val="TableParagraph"/>
              <w:spacing w:line="260" w:lineRule="exact" w:before="14"/>
              <w:ind w:left="4"/>
              <w:jc w:val="center"/>
              <w:rPr>
                <w:rFonts w:ascii="Wingdings" w:hAnsi="Wingdings"/>
                <w:sz w:val="24"/>
              </w:rPr>
            </w:pPr>
            <w:r>
              <w:rPr>
                <w:rFonts w:ascii="Wingdings" w:hAnsi="Wingdings"/>
                <w:sz w:val="24"/>
              </w:rPr>
              <w:t></w:t>
            </w:r>
          </w:p>
        </w:tc>
        <w:tc>
          <w:tcPr>
            <w:tcW w:w="619" w:type="dxa"/>
          </w:tcPr>
          <w:p>
            <w:pPr>
              <w:pStyle w:val="TableParagraph"/>
              <w:spacing w:line="168" w:lineRule="auto" w:before="39"/>
              <w:ind w:left="174"/>
              <w:rPr>
                <w:rFonts w:ascii="Calibri Light" w:hAnsi="Calibri Light"/>
                <w:b w:val="0"/>
                <w:sz w:val="16"/>
              </w:rPr>
            </w:pPr>
            <w:r>
              <w:rPr>
                <w:rFonts w:ascii="Wingdings" w:hAnsi="Wingdings"/>
                <w:position w:val="-7"/>
                <w:sz w:val="24"/>
              </w:rPr>
              <w:t></w:t>
            </w:r>
            <w:r>
              <w:rPr>
                <w:rFonts w:ascii="Calibri Light" w:hAnsi="Calibri Light"/>
                <w:b w:val="0"/>
                <w:sz w:val="16"/>
              </w:rPr>
              <w:t>1</w:t>
            </w:r>
          </w:p>
        </w:tc>
      </w:tr>
      <w:tr>
        <w:trPr>
          <w:trHeight w:val="292" w:hRule="atLeast"/>
        </w:trPr>
        <w:tc>
          <w:tcPr>
            <w:tcW w:w="7255" w:type="dxa"/>
            <w:shd w:val="clear" w:color="auto" w:fill="DFD6E7"/>
          </w:tcPr>
          <w:p>
            <w:pPr>
              <w:pStyle w:val="TableParagraph"/>
              <w:spacing w:line="272" w:lineRule="exact"/>
              <w:ind w:left="107"/>
              <w:rPr>
                <w:rFonts w:ascii="Calibri Light"/>
                <w:b w:val="0"/>
                <w:sz w:val="24"/>
              </w:rPr>
            </w:pPr>
            <w:r>
              <w:rPr>
                <w:rFonts w:ascii="Calibri Light"/>
                <w:b w:val="0"/>
                <w:sz w:val="24"/>
              </w:rPr>
              <w:t>DDA Group Training Homes</w:t>
            </w:r>
          </w:p>
        </w:tc>
        <w:tc>
          <w:tcPr>
            <w:tcW w:w="696" w:type="dxa"/>
            <w:shd w:val="clear" w:color="auto" w:fill="DFD6E7"/>
          </w:tcPr>
          <w:p>
            <w:pPr>
              <w:pStyle w:val="TableParagraph"/>
              <w:spacing w:line="260" w:lineRule="exact" w:before="12"/>
              <w:ind w:left="6"/>
              <w:jc w:val="center"/>
              <w:rPr>
                <w:rFonts w:ascii="Wingdings" w:hAnsi="Wingdings"/>
                <w:sz w:val="24"/>
              </w:rPr>
            </w:pPr>
            <w:r>
              <w:rPr>
                <w:rFonts w:ascii="Wingdings" w:hAnsi="Wingdings"/>
                <w:sz w:val="24"/>
              </w:rPr>
              <w:t></w:t>
            </w:r>
          </w:p>
        </w:tc>
        <w:tc>
          <w:tcPr>
            <w:tcW w:w="718" w:type="dxa"/>
            <w:shd w:val="clear" w:color="auto" w:fill="DFD6E7"/>
          </w:tcPr>
          <w:p>
            <w:pPr>
              <w:pStyle w:val="TableParagraph"/>
              <w:rPr>
                <w:rFonts w:ascii="Times New Roman"/>
                <w:sz w:val="20"/>
              </w:rPr>
            </w:pPr>
          </w:p>
        </w:tc>
        <w:tc>
          <w:tcPr>
            <w:tcW w:w="598" w:type="dxa"/>
            <w:shd w:val="clear" w:color="auto" w:fill="DFD6E7"/>
          </w:tcPr>
          <w:p>
            <w:pPr>
              <w:pStyle w:val="TableParagraph"/>
              <w:rPr>
                <w:rFonts w:ascii="Times New Roman"/>
                <w:sz w:val="20"/>
              </w:rPr>
            </w:pPr>
          </w:p>
        </w:tc>
        <w:tc>
          <w:tcPr>
            <w:tcW w:w="742" w:type="dxa"/>
            <w:shd w:val="clear" w:color="auto" w:fill="DFD6E7"/>
          </w:tcPr>
          <w:p>
            <w:pPr>
              <w:pStyle w:val="TableParagraph"/>
              <w:rPr>
                <w:rFonts w:ascii="Times New Roman"/>
                <w:sz w:val="20"/>
              </w:rPr>
            </w:pPr>
          </w:p>
        </w:tc>
        <w:tc>
          <w:tcPr>
            <w:tcW w:w="1056" w:type="dxa"/>
            <w:shd w:val="clear" w:color="auto" w:fill="DFD6E7"/>
          </w:tcPr>
          <w:p>
            <w:pPr>
              <w:pStyle w:val="TableParagraph"/>
              <w:rPr>
                <w:rFonts w:ascii="Times New Roman"/>
                <w:sz w:val="20"/>
              </w:rPr>
            </w:pPr>
          </w:p>
        </w:tc>
        <w:tc>
          <w:tcPr>
            <w:tcW w:w="619" w:type="dxa"/>
            <w:shd w:val="clear" w:color="auto" w:fill="DFD6E7"/>
          </w:tcPr>
          <w:p>
            <w:pPr>
              <w:pStyle w:val="TableParagraph"/>
              <w:spacing w:line="260" w:lineRule="exact" w:before="12"/>
              <w:ind w:left="212"/>
              <w:rPr>
                <w:rFonts w:ascii="Wingdings" w:hAnsi="Wingdings"/>
                <w:sz w:val="24"/>
              </w:rPr>
            </w:pPr>
            <w:r>
              <w:rPr>
                <w:rFonts w:ascii="Wingdings" w:hAnsi="Wingdings"/>
                <w:sz w:val="24"/>
              </w:rPr>
              <w:t></w:t>
            </w:r>
          </w:p>
        </w:tc>
      </w:tr>
      <w:tr>
        <w:trPr>
          <w:trHeight w:val="292" w:hRule="atLeast"/>
        </w:trPr>
        <w:tc>
          <w:tcPr>
            <w:tcW w:w="7255" w:type="dxa"/>
          </w:tcPr>
          <w:p>
            <w:pPr>
              <w:pStyle w:val="TableParagraph"/>
              <w:spacing w:line="272" w:lineRule="exact"/>
              <w:ind w:left="107"/>
              <w:rPr>
                <w:rFonts w:ascii="Calibri Light"/>
                <w:b w:val="0"/>
                <w:sz w:val="24"/>
              </w:rPr>
            </w:pPr>
            <w:r>
              <w:rPr>
                <w:rFonts w:ascii="Calibri Light"/>
                <w:b w:val="0"/>
                <w:sz w:val="24"/>
              </w:rPr>
              <w:t>DDA Companion Homes</w:t>
            </w:r>
          </w:p>
        </w:tc>
        <w:tc>
          <w:tcPr>
            <w:tcW w:w="696" w:type="dxa"/>
          </w:tcPr>
          <w:p>
            <w:pPr>
              <w:pStyle w:val="TableParagraph"/>
              <w:rPr>
                <w:rFonts w:ascii="Times New Roman"/>
                <w:sz w:val="20"/>
              </w:rPr>
            </w:pPr>
          </w:p>
        </w:tc>
        <w:tc>
          <w:tcPr>
            <w:tcW w:w="718" w:type="dxa"/>
          </w:tcPr>
          <w:p>
            <w:pPr>
              <w:pStyle w:val="TableParagraph"/>
              <w:rPr>
                <w:rFonts w:ascii="Times New Roman"/>
                <w:sz w:val="20"/>
              </w:rPr>
            </w:pPr>
          </w:p>
        </w:tc>
        <w:tc>
          <w:tcPr>
            <w:tcW w:w="598" w:type="dxa"/>
          </w:tcPr>
          <w:p>
            <w:pPr>
              <w:pStyle w:val="TableParagraph"/>
              <w:rPr>
                <w:rFonts w:ascii="Times New Roman"/>
                <w:sz w:val="20"/>
              </w:rPr>
            </w:pPr>
          </w:p>
        </w:tc>
        <w:tc>
          <w:tcPr>
            <w:tcW w:w="742" w:type="dxa"/>
          </w:tcPr>
          <w:p>
            <w:pPr>
              <w:pStyle w:val="TableParagraph"/>
              <w:rPr>
                <w:rFonts w:ascii="Times New Roman"/>
                <w:sz w:val="20"/>
              </w:rPr>
            </w:pPr>
          </w:p>
        </w:tc>
        <w:tc>
          <w:tcPr>
            <w:tcW w:w="1056" w:type="dxa"/>
          </w:tcPr>
          <w:p>
            <w:pPr>
              <w:pStyle w:val="TableParagraph"/>
              <w:rPr>
                <w:rFonts w:ascii="Times New Roman"/>
                <w:sz w:val="20"/>
              </w:rPr>
            </w:pPr>
          </w:p>
        </w:tc>
        <w:tc>
          <w:tcPr>
            <w:tcW w:w="619" w:type="dxa"/>
          </w:tcPr>
          <w:p>
            <w:pPr>
              <w:pStyle w:val="TableParagraph"/>
              <w:spacing w:line="258" w:lineRule="exact" w:before="14"/>
              <w:ind w:left="212"/>
              <w:rPr>
                <w:rFonts w:ascii="Wingdings" w:hAnsi="Wingdings"/>
                <w:sz w:val="24"/>
              </w:rPr>
            </w:pPr>
            <w:r>
              <w:rPr>
                <w:rFonts w:ascii="Wingdings" w:hAnsi="Wingdings"/>
                <w:sz w:val="24"/>
              </w:rPr>
              <w:t></w:t>
            </w:r>
          </w:p>
        </w:tc>
      </w:tr>
      <w:tr>
        <w:trPr>
          <w:trHeight w:val="292" w:hRule="atLeast"/>
        </w:trPr>
        <w:tc>
          <w:tcPr>
            <w:tcW w:w="7255" w:type="dxa"/>
            <w:shd w:val="clear" w:color="auto" w:fill="D6CDE0"/>
          </w:tcPr>
          <w:p>
            <w:pPr>
              <w:pStyle w:val="TableParagraph"/>
              <w:spacing w:line="272" w:lineRule="exact"/>
              <w:ind w:left="107"/>
              <w:rPr>
                <w:rFonts w:ascii="Calibri Light"/>
                <w:b w:val="0"/>
                <w:sz w:val="24"/>
              </w:rPr>
            </w:pPr>
            <w:r>
              <w:rPr>
                <w:rFonts w:ascii="Calibri Light"/>
                <w:b w:val="0"/>
                <w:sz w:val="24"/>
              </w:rPr>
              <w:t>In-Home Settings</w:t>
            </w:r>
          </w:p>
        </w:tc>
        <w:tc>
          <w:tcPr>
            <w:tcW w:w="696" w:type="dxa"/>
            <w:shd w:val="clear" w:color="auto" w:fill="D6CDE0"/>
          </w:tcPr>
          <w:p>
            <w:pPr>
              <w:pStyle w:val="TableParagraph"/>
              <w:rPr>
                <w:rFonts w:ascii="Times New Roman"/>
                <w:sz w:val="20"/>
              </w:rPr>
            </w:pPr>
          </w:p>
        </w:tc>
        <w:tc>
          <w:tcPr>
            <w:tcW w:w="718" w:type="dxa"/>
            <w:shd w:val="clear" w:color="auto" w:fill="D6CDE0"/>
          </w:tcPr>
          <w:p>
            <w:pPr>
              <w:pStyle w:val="TableParagraph"/>
              <w:spacing w:line="258" w:lineRule="exact" w:before="14"/>
              <w:ind w:left="13"/>
              <w:jc w:val="center"/>
              <w:rPr>
                <w:rFonts w:ascii="Wingdings" w:hAnsi="Wingdings"/>
                <w:sz w:val="24"/>
              </w:rPr>
            </w:pPr>
            <w:r>
              <w:rPr>
                <w:rFonts w:ascii="Wingdings" w:hAnsi="Wingdings"/>
                <w:sz w:val="24"/>
              </w:rPr>
              <w:t></w:t>
            </w:r>
          </w:p>
        </w:tc>
        <w:tc>
          <w:tcPr>
            <w:tcW w:w="598" w:type="dxa"/>
            <w:shd w:val="clear" w:color="auto" w:fill="D6CDE0"/>
          </w:tcPr>
          <w:p>
            <w:pPr>
              <w:pStyle w:val="TableParagraph"/>
              <w:rPr>
                <w:rFonts w:ascii="Times New Roman"/>
                <w:sz w:val="20"/>
              </w:rPr>
            </w:pPr>
          </w:p>
        </w:tc>
        <w:tc>
          <w:tcPr>
            <w:tcW w:w="742" w:type="dxa"/>
            <w:shd w:val="clear" w:color="auto" w:fill="D6CDE0"/>
          </w:tcPr>
          <w:p>
            <w:pPr>
              <w:pStyle w:val="TableParagraph"/>
              <w:spacing w:line="258" w:lineRule="exact" w:before="14"/>
              <w:ind w:left="6"/>
              <w:jc w:val="center"/>
              <w:rPr>
                <w:rFonts w:ascii="Wingdings" w:hAnsi="Wingdings"/>
                <w:sz w:val="24"/>
              </w:rPr>
            </w:pPr>
            <w:r>
              <w:rPr>
                <w:rFonts w:ascii="Wingdings" w:hAnsi="Wingdings"/>
                <w:sz w:val="24"/>
              </w:rPr>
              <w:t></w:t>
            </w:r>
          </w:p>
        </w:tc>
        <w:tc>
          <w:tcPr>
            <w:tcW w:w="1056" w:type="dxa"/>
            <w:shd w:val="clear" w:color="auto" w:fill="D6CDE0"/>
          </w:tcPr>
          <w:p>
            <w:pPr>
              <w:pStyle w:val="TableParagraph"/>
              <w:rPr>
                <w:rFonts w:ascii="Times New Roman"/>
                <w:sz w:val="20"/>
              </w:rPr>
            </w:pPr>
          </w:p>
        </w:tc>
        <w:tc>
          <w:tcPr>
            <w:tcW w:w="619" w:type="dxa"/>
            <w:shd w:val="clear" w:color="auto" w:fill="D6CDE0"/>
          </w:tcPr>
          <w:p>
            <w:pPr>
              <w:pStyle w:val="TableParagraph"/>
              <w:spacing w:line="258" w:lineRule="exact" w:before="14"/>
              <w:ind w:left="212"/>
              <w:rPr>
                <w:rFonts w:ascii="Wingdings" w:hAnsi="Wingdings"/>
                <w:sz w:val="24"/>
              </w:rPr>
            </w:pPr>
            <w:r>
              <w:rPr>
                <w:rFonts w:ascii="Wingdings" w:hAnsi="Wingdings"/>
                <w:sz w:val="24"/>
              </w:rPr>
              <w:t></w:t>
            </w:r>
          </w:p>
        </w:tc>
      </w:tr>
    </w:tbl>
    <w:p>
      <w:pPr>
        <w:pStyle w:val="BodyText"/>
        <w:spacing w:before="10"/>
        <w:rPr>
          <w:i/>
          <w:sz w:val="11"/>
        </w:rPr>
      </w:pPr>
      <w:r>
        <w:rPr/>
        <w:pict>
          <v:shape style="position:absolute;margin-left:72pt;margin-top:9.6pt;width:144pt;height:.1pt;mso-position-horizontal-relative:page;mso-position-vertical-relative:paragraph;z-index:-251484160;mso-wrap-distance-left:0;mso-wrap-distance-right:0" coordorigin="1440,192" coordsize="2880,0" path="m1440,192l4320,192e" filled="false" stroked="true" strokeweight=".72pt" strokecolor="#000000">
            <v:path arrowok="t"/>
            <v:stroke dashstyle="solid"/>
            <w10:wrap type="topAndBottom"/>
          </v:shape>
        </w:pict>
      </w:r>
    </w:p>
    <w:p>
      <w:pPr>
        <w:pStyle w:val="BodyText"/>
        <w:spacing w:before="4"/>
        <w:rPr>
          <w:i/>
          <w:sz w:val="19"/>
        </w:rPr>
      </w:pPr>
    </w:p>
    <w:p>
      <w:pPr>
        <w:pStyle w:val="BodyText"/>
        <w:spacing w:before="70"/>
        <w:ind w:left="1060"/>
      </w:pPr>
      <w:r>
        <w:rPr>
          <w:position w:val="8"/>
          <w:sz w:val="14"/>
        </w:rPr>
        <w:t>1 </w:t>
      </w:r>
      <w:r>
        <w:rPr/>
        <w:t>Seven of 39 Counties who are direct providers of services are monitored by DDA</w:t>
      </w:r>
    </w:p>
    <w:p>
      <w:pPr>
        <w:pStyle w:val="BodyText"/>
        <w:spacing w:before="6"/>
        <w:rPr>
          <w:sz w:val="16"/>
        </w:rPr>
      </w:pPr>
      <w:r>
        <w:rPr/>
        <w:pict>
          <v:shape style="position:absolute;margin-left:70.559998pt;margin-top:12.31368pt;width:650.9pt;height:.1pt;mso-position-horizontal-relative:page;mso-position-vertical-relative:paragraph;z-index:-251483136;mso-wrap-distance-left:0;mso-wrap-distance-right:0" coordorigin="1411,246" coordsize="13018,0" path="m1411,246l14429,246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0"/>
        </w:rPr>
      </w:pPr>
    </w:p>
    <w:p>
      <w:pPr>
        <w:pStyle w:val="BodyText"/>
        <w:spacing w:before="7"/>
        <w:rPr>
          <w:b/>
          <w:sz w:val="16"/>
        </w:rPr>
      </w:pPr>
    </w:p>
    <w:p>
      <w:pPr>
        <w:spacing w:line="244" w:lineRule="exact" w:before="1"/>
        <w:ind w:left="3767" w:right="0" w:firstLine="0"/>
        <w:jc w:val="left"/>
        <w:rPr>
          <w:sz w:val="20"/>
        </w:rPr>
      </w:pPr>
      <w:r>
        <w:rPr>
          <w:sz w:val="20"/>
        </w:rPr>
        <w:t>Abbreviations:</w:t>
      </w:r>
    </w:p>
    <w:p>
      <w:pPr>
        <w:pStyle w:val="ListParagraph"/>
        <w:numPr>
          <w:ilvl w:val="0"/>
          <w:numId w:val="27"/>
        </w:numPr>
        <w:tabs>
          <w:tab w:pos="4119" w:val="left" w:leader="none"/>
          <w:tab w:pos="4120" w:val="left" w:leader="none"/>
        </w:tabs>
        <w:spacing w:line="255" w:lineRule="exact" w:before="0" w:after="0"/>
        <w:ind w:left="4119" w:right="0" w:hanging="360"/>
        <w:jc w:val="left"/>
        <w:rPr>
          <w:sz w:val="20"/>
        </w:rPr>
      </w:pPr>
      <w:r>
        <w:rPr>
          <w:sz w:val="20"/>
        </w:rPr>
        <w:t>AAA – Area Agencies on</w:t>
      </w:r>
      <w:r>
        <w:rPr>
          <w:spacing w:val="-17"/>
          <w:sz w:val="20"/>
        </w:rPr>
        <w:t> </w:t>
      </w:r>
      <w:r>
        <w:rPr>
          <w:sz w:val="20"/>
        </w:rPr>
        <w:t>Aging</w:t>
      </w:r>
    </w:p>
    <w:p>
      <w:pPr>
        <w:pStyle w:val="ListParagraph"/>
        <w:numPr>
          <w:ilvl w:val="0"/>
          <w:numId w:val="27"/>
        </w:numPr>
        <w:tabs>
          <w:tab w:pos="4119" w:val="left" w:leader="none"/>
          <w:tab w:pos="4120" w:val="left" w:leader="none"/>
        </w:tabs>
        <w:spacing w:line="255" w:lineRule="exact" w:before="2" w:after="0"/>
        <w:ind w:left="4119" w:right="0" w:hanging="360"/>
        <w:jc w:val="left"/>
        <w:rPr>
          <w:sz w:val="20"/>
        </w:rPr>
      </w:pPr>
      <w:r>
        <w:rPr>
          <w:sz w:val="20"/>
        </w:rPr>
        <w:t>CA – Children’s</w:t>
      </w:r>
      <w:r>
        <w:rPr>
          <w:spacing w:val="-17"/>
          <w:sz w:val="20"/>
        </w:rPr>
        <w:t> </w:t>
      </w:r>
      <w:r>
        <w:rPr>
          <w:sz w:val="20"/>
        </w:rPr>
        <w:t>Administration</w:t>
      </w:r>
    </w:p>
    <w:p>
      <w:pPr>
        <w:pStyle w:val="ListParagraph"/>
        <w:numPr>
          <w:ilvl w:val="0"/>
          <w:numId w:val="27"/>
        </w:numPr>
        <w:tabs>
          <w:tab w:pos="4119" w:val="left" w:leader="none"/>
          <w:tab w:pos="4120" w:val="left" w:leader="none"/>
        </w:tabs>
        <w:spacing w:line="254" w:lineRule="exact" w:before="0" w:after="0"/>
        <w:ind w:left="4119" w:right="0" w:hanging="360"/>
        <w:jc w:val="left"/>
        <w:rPr>
          <w:sz w:val="20"/>
        </w:rPr>
      </w:pPr>
      <w:r>
        <w:rPr>
          <w:sz w:val="20"/>
        </w:rPr>
        <w:t>DDA – Developmental Disabilities</w:t>
      </w:r>
      <w:r>
        <w:rPr>
          <w:spacing w:val="-3"/>
          <w:sz w:val="20"/>
        </w:rPr>
        <w:t> </w:t>
      </w:r>
      <w:r>
        <w:rPr>
          <w:sz w:val="20"/>
        </w:rPr>
        <w:t>Administration</w:t>
      </w:r>
    </w:p>
    <w:p>
      <w:pPr>
        <w:pStyle w:val="ListParagraph"/>
        <w:numPr>
          <w:ilvl w:val="0"/>
          <w:numId w:val="27"/>
        </w:numPr>
        <w:tabs>
          <w:tab w:pos="4119" w:val="left" w:leader="none"/>
          <w:tab w:pos="4120" w:val="left" w:leader="none"/>
        </w:tabs>
        <w:spacing w:line="254" w:lineRule="exact" w:before="0" w:after="0"/>
        <w:ind w:left="4119" w:right="0" w:hanging="360"/>
        <w:jc w:val="left"/>
        <w:rPr>
          <w:sz w:val="20"/>
        </w:rPr>
      </w:pPr>
      <w:r>
        <w:rPr>
          <w:sz w:val="20"/>
        </w:rPr>
        <w:t>HCS – Home and Community</w:t>
      </w:r>
      <w:r>
        <w:rPr>
          <w:spacing w:val="1"/>
          <w:sz w:val="20"/>
        </w:rPr>
        <w:t> </w:t>
      </w:r>
      <w:r>
        <w:rPr>
          <w:sz w:val="20"/>
        </w:rPr>
        <w:t>Services</w:t>
      </w:r>
    </w:p>
    <w:p>
      <w:pPr>
        <w:pStyle w:val="ListParagraph"/>
        <w:numPr>
          <w:ilvl w:val="0"/>
          <w:numId w:val="27"/>
        </w:numPr>
        <w:tabs>
          <w:tab w:pos="4119" w:val="left" w:leader="none"/>
          <w:tab w:pos="4120" w:val="left" w:leader="none"/>
        </w:tabs>
        <w:spacing w:line="255" w:lineRule="exact" w:before="0" w:after="0"/>
        <w:ind w:left="4119" w:right="0" w:hanging="360"/>
        <w:jc w:val="left"/>
        <w:rPr>
          <w:sz w:val="20"/>
        </w:rPr>
      </w:pPr>
      <w:r>
        <w:rPr>
          <w:sz w:val="20"/>
        </w:rPr>
        <w:t>RCS –Residential Care</w:t>
      </w:r>
      <w:r>
        <w:rPr>
          <w:spacing w:val="-2"/>
          <w:sz w:val="20"/>
        </w:rPr>
        <w:t> </w:t>
      </w:r>
      <w:r>
        <w:rPr>
          <w:sz w:val="20"/>
        </w:rPr>
        <w:t>Services</w:t>
      </w:r>
    </w:p>
    <w:p>
      <w:pPr>
        <w:pStyle w:val="BodyText"/>
        <w:spacing w:before="11"/>
        <w:rPr>
          <w:sz w:val="19"/>
        </w:rPr>
      </w:pPr>
    </w:p>
    <w:p>
      <w:pPr>
        <w:pStyle w:val="BodyText"/>
        <w:spacing w:line="276" w:lineRule="auto"/>
        <w:ind w:left="1059" w:right="1357"/>
      </w:pPr>
      <w:r>
        <w:rPr/>
        <w:t>The following section describes each of the entities charged with the assessment and monitoring of the settings included within the statewide transition plan.</w:t>
      </w:r>
    </w:p>
    <w:p>
      <w:pPr>
        <w:pStyle w:val="BodyText"/>
        <w:spacing w:before="8"/>
        <w:rPr>
          <w:sz w:val="16"/>
        </w:rPr>
      </w:pPr>
    </w:p>
    <w:p>
      <w:pPr>
        <w:spacing w:before="0"/>
        <w:ind w:left="1060" w:right="0" w:firstLine="0"/>
        <w:jc w:val="left"/>
        <w:rPr>
          <w:b/>
          <w:sz w:val="28"/>
        </w:rPr>
      </w:pPr>
      <w:r>
        <w:rPr>
          <w:b/>
          <w:sz w:val="28"/>
        </w:rPr>
        <w:t>Residential Care Services</w:t>
      </w:r>
    </w:p>
    <w:p>
      <w:pPr>
        <w:pStyle w:val="BodyText"/>
        <w:spacing w:line="276" w:lineRule="auto" w:before="248"/>
        <w:ind w:left="1060" w:right="1151"/>
      </w:pPr>
      <w:r>
        <w:rPr/>
        <w:t>Evaluating whether facilities have the effect of isolating residents has been a long standing process in Washington. Under </w:t>
      </w:r>
      <w:hyperlink r:id="rId37">
        <w:r>
          <w:rPr>
            <w:color w:val="6F2F9F"/>
            <w:u w:val="single" w:color="6F2F9F"/>
          </w:rPr>
          <w:t>RCW 70.129.140</w:t>
        </w:r>
      </w:hyperlink>
      <w:r>
        <w:rPr>
          <w:color w:val="6F2F9F"/>
        </w:rPr>
        <w:t> </w:t>
      </w:r>
      <w:hyperlink r:id="rId37">
        <w:r>
          <w:rPr>
            <w:color w:val="6F2F9F"/>
            <w:u w:val="single" w:color="6F2F9F"/>
          </w:rPr>
          <w:t>(2)(b)</w:t>
        </w:r>
        <w:r>
          <w:rPr/>
          <w:t>, </w:t>
        </w:r>
      </w:hyperlink>
      <w:r>
        <w:rPr/>
        <w:t>the Residential Care Services (RCS) monitors a resident’s right to interact with members of the community inside and outside of the facility. RCS will continue to identify any site that has the effect of isolating residents. RCS conducts inspections of all licensed facilities at least every 18 months, and with an average of every 12 months. Additional investigations are conducted within that cycle if a complaint is made. All inspectors are either Social Service professionals or Registered Nurses and are directly employed by or contracted with the State of Washington. These staff members do not have a vested interest in the facilities or contracted providers and there is no inherent conflict of interest. RCS staff are trained on HCB Settings requirements.</w:t>
      </w:r>
    </w:p>
    <w:p>
      <w:pPr>
        <w:pStyle w:val="BodyText"/>
        <w:spacing w:before="3"/>
        <w:rPr>
          <w:sz w:val="25"/>
        </w:rPr>
      </w:pPr>
    </w:p>
    <w:p>
      <w:pPr>
        <w:pStyle w:val="BodyText"/>
        <w:spacing w:line="276" w:lineRule="auto"/>
        <w:ind w:left="1059" w:right="1192"/>
      </w:pPr>
      <w:r>
        <w:rPr/>
        <w:t>The inspection and licensing or certification process is a continuous process. All facilities had a regularly scheduled monitoring visit within 18 months of the submission of the statewide transition plan. The statewide plan was first submitted on March 11, 2015, and all facilities monitored by HCS received a licensing or certification visit by September 15, 2016.</w:t>
      </w:r>
    </w:p>
    <w:p>
      <w:pPr>
        <w:pStyle w:val="BodyText"/>
        <w:spacing w:line="268" w:lineRule="exact"/>
        <w:ind w:left="1059"/>
      </w:pPr>
      <w:r>
        <w:rPr/>
        <w:t>During the on-going monitoring activities that occur at least every 18 months, surveyors evaluate the settings as follows:</w:t>
      </w:r>
    </w:p>
    <w:p>
      <w:pPr>
        <w:pStyle w:val="ListParagraph"/>
        <w:numPr>
          <w:ilvl w:val="0"/>
          <w:numId w:val="28"/>
        </w:numPr>
        <w:tabs>
          <w:tab w:pos="2234" w:val="left" w:leader="none"/>
        </w:tabs>
        <w:spacing w:line="276" w:lineRule="auto" w:before="41" w:after="0"/>
        <w:ind w:left="2233" w:right="1249" w:hanging="360"/>
        <w:jc w:val="left"/>
        <w:rPr>
          <w:sz w:val="22"/>
        </w:rPr>
      </w:pPr>
      <w:r>
        <w:rPr>
          <w:sz w:val="22"/>
        </w:rPr>
        <w:t>Tour the setting to inspect the physical environment, meet residents, observe how care is occurring, and note any quality of life or safety</w:t>
      </w:r>
      <w:r>
        <w:rPr>
          <w:spacing w:val="-1"/>
          <w:sz w:val="22"/>
        </w:rPr>
        <w:t> </w:t>
      </w:r>
      <w:r>
        <w:rPr>
          <w:sz w:val="22"/>
        </w:rPr>
        <w:t>concerns.</w:t>
      </w:r>
    </w:p>
    <w:p>
      <w:pPr>
        <w:pStyle w:val="ListParagraph"/>
        <w:numPr>
          <w:ilvl w:val="0"/>
          <w:numId w:val="28"/>
        </w:numPr>
        <w:tabs>
          <w:tab w:pos="2234" w:val="left" w:leader="none"/>
        </w:tabs>
        <w:spacing w:line="268" w:lineRule="exact" w:before="0" w:after="0"/>
        <w:ind w:left="2233" w:right="0" w:hanging="361"/>
        <w:jc w:val="left"/>
        <w:rPr>
          <w:sz w:val="22"/>
        </w:rPr>
      </w:pPr>
      <w:r>
        <w:rPr>
          <w:sz w:val="22"/>
        </w:rPr>
        <w:t>Select residents for a comprehensive interview and interview those residents and at least one other family</w:t>
      </w:r>
      <w:r>
        <w:rPr>
          <w:spacing w:val="-19"/>
          <w:sz w:val="22"/>
        </w:rPr>
        <w:t> </w:t>
      </w:r>
      <w:r>
        <w:rPr>
          <w:sz w:val="22"/>
        </w:rPr>
        <w:t>member.</w:t>
      </w:r>
    </w:p>
    <w:p>
      <w:pPr>
        <w:pStyle w:val="ListParagraph"/>
        <w:numPr>
          <w:ilvl w:val="1"/>
          <w:numId w:val="28"/>
        </w:numPr>
        <w:tabs>
          <w:tab w:pos="2954" w:val="left" w:leader="none"/>
        </w:tabs>
        <w:spacing w:line="276" w:lineRule="auto" w:before="41" w:after="0"/>
        <w:ind w:left="2953" w:right="1396" w:hanging="360"/>
        <w:jc w:val="left"/>
        <w:rPr>
          <w:sz w:val="22"/>
        </w:rPr>
      </w:pPr>
      <w:r>
        <w:rPr>
          <w:sz w:val="22"/>
        </w:rPr>
        <w:t>Residents are selected based on the size of the facility and the inspectors attempt to interview at least one resident with heavy care needs and at least one with light care</w:t>
      </w:r>
      <w:r>
        <w:rPr>
          <w:spacing w:val="-4"/>
          <w:sz w:val="22"/>
        </w:rPr>
        <w:t> </w:t>
      </w:r>
      <w:r>
        <w:rPr>
          <w:sz w:val="22"/>
        </w:rPr>
        <w:t>needs.</w:t>
      </w:r>
    </w:p>
    <w:p>
      <w:pPr>
        <w:pStyle w:val="ListParagraph"/>
        <w:numPr>
          <w:ilvl w:val="0"/>
          <w:numId w:val="28"/>
        </w:numPr>
        <w:tabs>
          <w:tab w:pos="2234" w:val="left" w:leader="none"/>
        </w:tabs>
        <w:spacing w:line="268" w:lineRule="exact" w:before="0" w:after="0"/>
        <w:ind w:left="2233" w:right="0" w:hanging="361"/>
        <w:jc w:val="left"/>
        <w:rPr>
          <w:sz w:val="22"/>
        </w:rPr>
      </w:pPr>
      <w:r>
        <w:rPr>
          <w:sz w:val="22"/>
        </w:rPr>
        <w:t>Interview setting staff about resident care, services, and the operation of the</w:t>
      </w:r>
      <w:r>
        <w:rPr>
          <w:spacing w:val="-11"/>
          <w:sz w:val="22"/>
        </w:rPr>
        <w:t> </w:t>
      </w:r>
      <w:r>
        <w:rPr>
          <w:sz w:val="22"/>
        </w:rPr>
        <w:t>facility.</w:t>
      </w:r>
    </w:p>
    <w:p>
      <w:pPr>
        <w:pStyle w:val="BodyText"/>
        <w:spacing w:before="8"/>
        <w:rPr>
          <w:sz w:val="20"/>
        </w:rPr>
      </w:pPr>
      <w:r>
        <w:rPr/>
        <w:pict>
          <v:shape style="position:absolute;margin-left:70.559998pt;margin-top:14.83822pt;width:650.9pt;height:.1pt;mso-position-horizontal-relative:page;mso-position-vertical-relative:paragraph;z-index:-251482112;mso-wrap-distance-left:0;mso-wrap-distance-right:0" coordorigin="1411,297" coordsize="13018,0" path="m1411,297l14429,297e" filled="false" stroked="true" strokeweight=".481pt" strokecolor="#d9d9d9">
            <v:path arrowok="t"/>
            <v:stroke dashstyle="solid"/>
            <w10:wrap type="topAndBottom"/>
          </v:shape>
        </w:pict>
      </w:r>
    </w:p>
    <w:p>
      <w:pPr>
        <w:spacing w:after="0"/>
        <w:rPr>
          <w:sz w:val="20"/>
        </w:rPr>
        <w:sectPr>
          <w:footerReference w:type="default" r:id="rId133"/>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12"/>
        </w:rPr>
      </w:pPr>
    </w:p>
    <w:p>
      <w:pPr>
        <w:pStyle w:val="ListParagraph"/>
        <w:numPr>
          <w:ilvl w:val="0"/>
          <w:numId w:val="28"/>
        </w:numPr>
        <w:tabs>
          <w:tab w:pos="2234" w:val="left" w:leader="none"/>
        </w:tabs>
        <w:spacing w:line="240" w:lineRule="auto" w:before="56" w:after="0"/>
        <w:ind w:left="2233" w:right="0" w:hanging="361"/>
        <w:jc w:val="left"/>
        <w:rPr>
          <w:sz w:val="22"/>
        </w:rPr>
      </w:pPr>
      <w:r>
        <w:rPr>
          <w:sz w:val="22"/>
        </w:rPr>
        <w:t>Observe resident direct care, medications, and food</w:t>
      </w:r>
      <w:r>
        <w:rPr>
          <w:spacing w:val="-2"/>
          <w:sz w:val="22"/>
        </w:rPr>
        <w:t> </w:t>
      </w:r>
      <w:r>
        <w:rPr>
          <w:sz w:val="22"/>
        </w:rPr>
        <w:t>service.</w:t>
      </w:r>
    </w:p>
    <w:p>
      <w:pPr>
        <w:pStyle w:val="ListParagraph"/>
        <w:numPr>
          <w:ilvl w:val="0"/>
          <w:numId w:val="28"/>
        </w:numPr>
        <w:tabs>
          <w:tab w:pos="2234" w:val="left" w:leader="none"/>
        </w:tabs>
        <w:spacing w:line="240" w:lineRule="auto" w:before="41" w:after="0"/>
        <w:ind w:left="2233" w:right="0" w:hanging="361"/>
        <w:jc w:val="left"/>
        <w:rPr>
          <w:sz w:val="22"/>
        </w:rPr>
      </w:pPr>
      <w:r>
        <w:rPr>
          <w:sz w:val="22"/>
        </w:rPr>
        <w:t>Review resident</w:t>
      </w:r>
      <w:r>
        <w:rPr>
          <w:spacing w:val="1"/>
          <w:sz w:val="22"/>
        </w:rPr>
        <w:t> </w:t>
      </w:r>
      <w:r>
        <w:rPr>
          <w:sz w:val="22"/>
        </w:rPr>
        <w:t>records.</w:t>
      </w:r>
    </w:p>
    <w:p>
      <w:pPr>
        <w:pStyle w:val="ListParagraph"/>
        <w:numPr>
          <w:ilvl w:val="0"/>
          <w:numId w:val="28"/>
        </w:numPr>
        <w:tabs>
          <w:tab w:pos="2234" w:val="left" w:leader="none"/>
        </w:tabs>
        <w:spacing w:line="240" w:lineRule="auto" w:before="38" w:after="0"/>
        <w:ind w:left="2233" w:right="0" w:hanging="361"/>
        <w:jc w:val="left"/>
        <w:rPr>
          <w:sz w:val="22"/>
        </w:rPr>
      </w:pPr>
      <w:r>
        <w:rPr>
          <w:sz w:val="22"/>
        </w:rPr>
        <w:t>Review staff records.</w:t>
      </w:r>
    </w:p>
    <w:p>
      <w:pPr>
        <w:pStyle w:val="ListParagraph"/>
        <w:numPr>
          <w:ilvl w:val="0"/>
          <w:numId w:val="28"/>
        </w:numPr>
        <w:tabs>
          <w:tab w:pos="2234" w:val="left" w:leader="none"/>
        </w:tabs>
        <w:spacing w:line="240" w:lineRule="auto" w:before="41" w:after="0"/>
        <w:ind w:left="2233" w:right="0" w:hanging="361"/>
        <w:jc w:val="left"/>
        <w:rPr>
          <w:sz w:val="22"/>
        </w:rPr>
      </w:pPr>
      <w:r>
        <w:rPr>
          <w:sz w:val="22"/>
        </w:rPr>
        <w:t>Conduct an exit</w:t>
      </w:r>
      <w:r>
        <w:rPr>
          <w:spacing w:val="-5"/>
          <w:sz w:val="22"/>
        </w:rPr>
        <w:t> </w:t>
      </w:r>
      <w:r>
        <w:rPr>
          <w:sz w:val="22"/>
        </w:rPr>
        <w:t>conference.</w:t>
      </w:r>
    </w:p>
    <w:p>
      <w:pPr>
        <w:pStyle w:val="ListParagraph"/>
        <w:numPr>
          <w:ilvl w:val="0"/>
          <w:numId w:val="28"/>
        </w:numPr>
        <w:tabs>
          <w:tab w:pos="2235" w:val="left" w:leader="none"/>
        </w:tabs>
        <w:spacing w:line="240" w:lineRule="auto" w:before="41" w:after="0"/>
        <w:ind w:left="2234" w:right="0" w:hanging="361"/>
        <w:jc w:val="left"/>
        <w:rPr>
          <w:sz w:val="22"/>
        </w:rPr>
      </w:pPr>
      <w:r>
        <w:rPr>
          <w:sz w:val="22"/>
        </w:rPr>
        <w:t>Follow up as needed with complaints, violations, or citations, stop placements, or</w:t>
      </w:r>
      <w:r>
        <w:rPr>
          <w:spacing w:val="-21"/>
          <w:sz w:val="22"/>
        </w:rPr>
        <w:t> </w:t>
      </w:r>
      <w:r>
        <w:rPr>
          <w:sz w:val="22"/>
        </w:rPr>
        <w:t>revocation.</w:t>
      </w:r>
    </w:p>
    <w:p>
      <w:pPr>
        <w:pStyle w:val="BodyText"/>
        <w:spacing w:before="7"/>
        <w:rPr>
          <w:sz w:val="28"/>
        </w:rPr>
      </w:pPr>
    </w:p>
    <w:p>
      <w:pPr>
        <w:pStyle w:val="BodyText"/>
        <w:spacing w:line="276" w:lineRule="auto"/>
        <w:ind w:left="1060" w:right="1135"/>
      </w:pPr>
      <w:r>
        <w:rPr/>
        <w:t>As part of the RCS inspection, RCS interviews residents using a survey tool. Questions were added to the RCS resident survey to elicit resident feedback on their experiences and satisfaction with their residential setting. Interviews are conducted in a place that is convenient to the participant and respects his or her privacy. For clients residing in their own home or apartment, questions are being added to the Client Services Verification phone survey. Any site that is identified to have the effect of isolating residents will be evaluated for heightened scrutiny.</w:t>
      </w:r>
    </w:p>
    <w:p>
      <w:pPr>
        <w:pStyle w:val="BodyText"/>
      </w:pPr>
    </w:p>
    <w:p>
      <w:pPr>
        <w:pStyle w:val="BodyText"/>
        <w:ind w:left="1059" w:right="1414"/>
        <w:jc w:val="both"/>
      </w:pPr>
      <w:r>
        <w:rPr/>
        <w:t>A</w:t>
      </w:r>
      <w:r>
        <w:rPr>
          <w:spacing w:val="-12"/>
        </w:rPr>
        <w:t> </w:t>
      </w:r>
      <w:r>
        <w:rPr/>
        <w:t>facility</w:t>
      </w:r>
      <w:r>
        <w:rPr>
          <w:spacing w:val="-11"/>
        </w:rPr>
        <w:t> </w:t>
      </w:r>
      <w:r>
        <w:rPr/>
        <w:t>found</w:t>
      </w:r>
      <w:r>
        <w:rPr>
          <w:spacing w:val="-12"/>
        </w:rPr>
        <w:t> </w:t>
      </w:r>
      <w:r>
        <w:rPr/>
        <w:t>not</w:t>
      </w:r>
      <w:r>
        <w:rPr>
          <w:spacing w:val="-12"/>
        </w:rPr>
        <w:t> </w:t>
      </w:r>
      <w:r>
        <w:rPr/>
        <w:t>in</w:t>
      </w:r>
      <w:r>
        <w:rPr>
          <w:spacing w:val="-12"/>
        </w:rPr>
        <w:t> </w:t>
      </w:r>
      <w:r>
        <w:rPr/>
        <w:t>compliance,</w:t>
      </w:r>
      <w:r>
        <w:rPr>
          <w:spacing w:val="-11"/>
        </w:rPr>
        <w:t> </w:t>
      </w:r>
      <w:r>
        <w:rPr/>
        <w:t>but</w:t>
      </w:r>
      <w:r>
        <w:rPr>
          <w:spacing w:val="-11"/>
        </w:rPr>
        <w:t> </w:t>
      </w:r>
      <w:r>
        <w:rPr/>
        <w:t>where</w:t>
      </w:r>
      <w:r>
        <w:rPr>
          <w:spacing w:val="-11"/>
        </w:rPr>
        <w:t> </w:t>
      </w:r>
      <w:r>
        <w:rPr/>
        <w:t>health</w:t>
      </w:r>
      <w:r>
        <w:rPr>
          <w:spacing w:val="-11"/>
        </w:rPr>
        <w:t> </w:t>
      </w:r>
      <w:r>
        <w:rPr/>
        <w:t>and</w:t>
      </w:r>
      <w:r>
        <w:rPr>
          <w:spacing w:val="-12"/>
        </w:rPr>
        <w:t> </w:t>
      </w:r>
      <w:r>
        <w:rPr/>
        <w:t>safety</w:t>
      </w:r>
      <w:r>
        <w:rPr>
          <w:spacing w:val="-13"/>
        </w:rPr>
        <w:t> </w:t>
      </w:r>
      <w:r>
        <w:rPr/>
        <w:t>of</w:t>
      </w:r>
      <w:r>
        <w:rPr>
          <w:spacing w:val="-13"/>
        </w:rPr>
        <w:t> </w:t>
      </w:r>
      <w:r>
        <w:rPr/>
        <w:t>the</w:t>
      </w:r>
      <w:r>
        <w:rPr>
          <w:spacing w:val="-11"/>
        </w:rPr>
        <w:t> </w:t>
      </w:r>
      <w:r>
        <w:rPr/>
        <w:t>resident</w:t>
      </w:r>
      <w:r>
        <w:rPr>
          <w:spacing w:val="-11"/>
        </w:rPr>
        <w:t> </w:t>
      </w:r>
      <w:r>
        <w:rPr/>
        <w:t>is</w:t>
      </w:r>
      <w:r>
        <w:rPr>
          <w:spacing w:val="-11"/>
        </w:rPr>
        <w:t> </w:t>
      </w:r>
      <w:r>
        <w:rPr/>
        <w:t>not</w:t>
      </w:r>
      <w:r>
        <w:rPr>
          <w:spacing w:val="-11"/>
        </w:rPr>
        <w:t> </w:t>
      </w:r>
      <w:r>
        <w:rPr/>
        <w:t>a</w:t>
      </w:r>
      <w:r>
        <w:rPr>
          <w:spacing w:val="-11"/>
        </w:rPr>
        <w:t> </w:t>
      </w:r>
      <w:r>
        <w:rPr/>
        <w:t>high</w:t>
      </w:r>
      <w:r>
        <w:rPr>
          <w:spacing w:val="-12"/>
        </w:rPr>
        <w:t> </w:t>
      </w:r>
      <w:r>
        <w:rPr/>
        <w:t>risk,</w:t>
      </w:r>
      <w:r>
        <w:rPr>
          <w:spacing w:val="-11"/>
        </w:rPr>
        <w:t> </w:t>
      </w:r>
      <w:r>
        <w:rPr/>
        <w:t>are</w:t>
      </w:r>
      <w:r>
        <w:rPr>
          <w:spacing w:val="-11"/>
        </w:rPr>
        <w:t> </w:t>
      </w:r>
      <w:r>
        <w:rPr/>
        <w:t>required</w:t>
      </w:r>
      <w:r>
        <w:rPr>
          <w:spacing w:val="-11"/>
        </w:rPr>
        <w:t> </w:t>
      </w:r>
      <w:r>
        <w:rPr/>
        <w:t>to</w:t>
      </w:r>
      <w:r>
        <w:rPr>
          <w:spacing w:val="-10"/>
        </w:rPr>
        <w:t> </w:t>
      </w:r>
      <w:r>
        <w:rPr/>
        <w:t>submit</w:t>
      </w:r>
      <w:r>
        <w:rPr>
          <w:spacing w:val="-11"/>
        </w:rPr>
        <w:t> </w:t>
      </w:r>
      <w:r>
        <w:rPr/>
        <w:t>an</w:t>
      </w:r>
      <w:r>
        <w:rPr>
          <w:spacing w:val="-11"/>
        </w:rPr>
        <w:t> </w:t>
      </w:r>
      <w:r>
        <w:rPr/>
        <w:t>attestation</w:t>
      </w:r>
      <w:r>
        <w:rPr>
          <w:spacing w:val="-11"/>
        </w:rPr>
        <w:t> </w:t>
      </w:r>
      <w:r>
        <w:rPr/>
        <w:t>describing what actions they will take to come into compliance. This applies to all rules, including HCBS rules. The need for follow up and re-visits are determined</w:t>
      </w:r>
      <w:r>
        <w:rPr>
          <w:spacing w:val="-10"/>
        </w:rPr>
        <w:t> </w:t>
      </w:r>
      <w:r>
        <w:rPr/>
        <w:t>by</w:t>
      </w:r>
      <w:r>
        <w:rPr>
          <w:spacing w:val="-10"/>
        </w:rPr>
        <w:t> </w:t>
      </w:r>
      <w:r>
        <w:rPr/>
        <w:t>the</w:t>
      </w:r>
      <w:r>
        <w:rPr>
          <w:spacing w:val="-9"/>
        </w:rPr>
        <w:t> </w:t>
      </w:r>
      <w:r>
        <w:rPr/>
        <w:t>licensor.</w:t>
      </w:r>
      <w:r>
        <w:rPr>
          <w:spacing w:val="31"/>
        </w:rPr>
        <w:t> </w:t>
      </w:r>
      <w:r>
        <w:rPr/>
        <w:t>Re-visits</w:t>
      </w:r>
      <w:r>
        <w:rPr>
          <w:spacing w:val="-8"/>
        </w:rPr>
        <w:t> </w:t>
      </w:r>
      <w:r>
        <w:rPr/>
        <w:t>generally</w:t>
      </w:r>
      <w:r>
        <w:rPr>
          <w:spacing w:val="-10"/>
        </w:rPr>
        <w:t> </w:t>
      </w:r>
      <w:r>
        <w:rPr/>
        <w:t>occur</w:t>
      </w:r>
      <w:r>
        <w:rPr>
          <w:spacing w:val="-8"/>
        </w:rPr>
        <w:t> </w:t>
      </w:r>
      <w:r>
        <w:rPr/>
        <w:t>10-15</w:t>
      </w:r>
      <w:r>
        <w:rPr>
          <w:spacing w:val="-8"/>
        </w:rPr>
        <w:t> </w:t>
      </w:r>
      <w:r>
        <w:rPr/>
        <w:t>days</w:t>
      </w:r>
      <w:r>
        <w:rPr>
          <w:spacing w:val="-10"/>
        </w:rPr>
        <w:t> </w:t>
      </w:r>
      <w:r>
        <w:rPr/>
        <w:t>after</w:t>
      </w:r>
      <w:r>
        <w:rPr>
          <w:spacing w:val="-12"/>
        </w:rPr>
        <w:t> </w:t>
      </w:r>
      <w:r>
        <w:rPr/>
        <w:t>the</w:t>
      </w:r>
      <w:r>
        <w:rPr>
          <w:spacing w:val="-7"/>
        </w:rPr>
        <w:t> </w:t>
      </w:r>
      <w:r>
        <w:rPr/>
        <w:t>attestation</w:t>
      </w:r>
      <w:r>
        <w:rPr>
          <w:spacing w:val="-10"/>
        </w:rPr>
        <w:t> </w:t>
      </w:r>
      <w:r>
        <w:rPr/>
        <w:t>date.</w:t>
      </w:r>
      <w:r>
        <w:rPr>
          <w:spacing w:val="-11"/>
        </w:rPr>
        <w:t> </w:t>
      </w:r>
      <w:r>
        <w:rPr/>
        <w:t>The</w:t>
      </w:r>
      <w:r>
        <w:rPr>
          <w:spacing w:val="-8"/>
        </w:rPr>
        <w:t> </w:t>
      </w:r>
      <w:r>
        <w:rPr/>
        <w:t>attestation</w:t>
      </w:r>
      <w:r>
        <w:rPr>
          <w:spacing w:val="-9"/>
        </w:rPr>
        <w:t> </w:t>
      </w:r>
      <w:r>
        <w:rPr/>
        <w:t>must</w:t>
      </w:r>
      <w:r>
        <w:rPr>
          <w:spacing w:val="-8"/>
        </w:rPr>
        <w:t> </w:t>
      </w:r>
      <w:r>
        <w:rPr/>
        <w:t>be</w:t>
      </w:r>
      <w:r>
        <w:rPr>
          <w:spacing w:val="-7"/>
        </w:rPr>
        <w:t> </w:t>
      </w:r>
      <w:r>
        <w:rPr/>
        <w:t>followed</w:t>
      </w:r>
      <w:r>
        <w:rPr>
          <w:spacing w:val="-9"/>
        </w:rPr>
        <w:t> </w:t>
      </w:r>
      <w:r>
        <w:rPr/>
        <w:t>up</w:t>
      </w:r>
      <w:r>
        <w:rPr>
          <w:spacing w:val="-12"/>
        </w:rPr>
        <w:t> </w:t>
      </w:r>
      <w:r>
        <w:rPr/>
        <w:t>on</w:t>
      </w:r>
      <w:r>
        <w:rPr>
          <w:spacing w:val="-9"/>
        </w:rPr>
        <w:t> </w:t>
      </w:r>
      <w:r>
        <w:rPr/>
        <w:t>in</w:t>
      </w:r>
      <w:r>
        <w:rPr>
          <w:spacing w:val="-10"/>
        </w:rPr>
        <w:t> </w:t>
      </w:r>
      <w:r>
        <w:rPr/>
        <w:t>not</w:t>
      </w:r>
      <w:r>
        <w:rPr>
          <w:spacing w:val="-7"/>
        </w:rPr>
        <w:t> </w:t>
      </w:r>
      <w:r>
        <w:rPr/>
        <w:t>more than 45 days from the exit unless there is a reason that more time is required and there is justification for that</w:t>
      </w:r>
      <w:r>
        <w:rPr>
          <w:spacing w:val="-26"/>
        </w:rPr>
        <w:t> </w:t>
      </w:r>
      <w:r>
        <w:rPr/>
        <w:t>need.</w:t>
      </w:r>
    </w:p>
    <w:p>
      <w:pPr>
        <w:pStyle w:val="BodyText"/>
        <w:spacing w:before="7"/>
        <w:rPr>
          <w:sz w:val="19"/>
        </w:rPr>
      </w:pPr>
    </w:p>
    <w:p>
      <w:pPr>
        <w:pStyle w:val="BodyText"/>
        <w:ind w:left="1059" w:right="1135"/>
      </w:pPr>
      <w:r>
        <w:rPr/>
        <w:t>Support may be provided to the facility including technical assistance and consultation. ALTSA or DDA make follow up visits to the facility and interview residents to determine if compliance is met or whether further actions need to be taken.</w:t>
      </w:r>
    </w:p>
    <w:p>
      <w:pPr>
        <w:pStyle w:val="BodyText"/>
        <w:spacing w:before="8"/>
        <w:rPr>
          <w:sz w:val="19"/>
        </w:rPr>
      </w:pPr>
    </w:p>
    <w:p>
      <w:pPr>
        <w:pStyle w:val="BodyText"/>
        <w:ind w:left="1059" w:right="1135"/>
      </w:pPr>
      <w:r>
        <w:rPr/>
        <w:t>Any facility that is found to have a significant health and safety risk to a resident, or has a condition placed on their license, are visited between one and four times weekly, depending on the severity of the situation. The visit frequency is determined on a case by case basis.</w:t>
      </w:r>
    </w:p>
    <w:p>
      <w:pPr>
        <w:pStyle w:val="BodyText"/>
        <w:spacing w:before="10"/>
        <w:rPr>
          <w:sz w:val="19"/>
        </w:rPr>
      </w:pPr>
    </w:p>
    <w:p>
      <w:pPr>
        <w:spacing w:line="341" w:lineRule="exact" w:before="0"/>
        <w:ind w:left="1060" w:right="0" w:firstLine="0"/>
        <w:jc w:val="left"/>
        <w:rPr>
          <w:b/>
          <w:sz w:val="28"/>
        </w:rPr>
      </w:pPr>
      <w:r>
        <w:rPr>
          <w:b/>
          <w:sz w:val="28"/>
        </w:rPr>
        <w:t>AAA</w:t>
      </w:r>
    </w:p>
    <w:p>
      <w:pPr>
        <w:pStyle w:val="BodyText"/>
        <w:spacing w:line="276" w:lineRule="auto"/>
        <w:ind w:left="1059" w:right="1124"/>
      </w:pPr>
      <w:r>
        <w:rPr/>
        <w:t>Adult Day Care settings are monitored by the Area Agencies on Aging (AAAs) for compliance. Each setting receives an on-site review at least every 18 months. Ongoing monitoring of these facilities includes regular in-person site visits. Since 2014, all ADC settings received additional site visits by the monitoring agency. Monitoring activities include interviews with providers, participants, and responsible parties (such as guardians) when appropriate.</w:t>
      </w:r>
    </w:p>
    <w:p>
      <w:pPr>
        <w:pStyle w:val="BodyText"/>
        <w:spacing w:before="4"/>
        <w:rPr>
          <w:sz w:val="25"/>
        </w:rPr>
      </w:pPr>
    </w:p>
    <w:p>
      <w:pPr>
        <w:pStyle w:val="BodyText"/>
        <w:spacing w:line="276" w:lineRule="auto" w:before="1"/>
        <w:ind w:left="1059" w:right="1135"/>
      </w:pPr>
      <w:r>
        <w:rPr/>
        <w:t>AAA staff are either Social Service professionals or Registered Nurses and are directly employed by the AAA. These staff members do not have a vested interest in the facilities or contracted providers and there is no inherent conflict of interest. AAA staff are trained on HCB Settings requirements.</w:t>
      </w:r>
    </w:p>
    <w:p>
      <w:pPr>
        <w:pStyle w:val="BodyText"/>
        <w:spacing w:before="1"/>
        <w:rPr>
          <w:sz w:val="12"/>
        </w:rPr>
      </w:pPr>
      <w:r>
        <w:rPr/>
        <w:pict>
          <v:shape style="position:absolute;margin-left:70.559998pt;margin-top:9.621139pt;width:650.9pt;height:.1pt;mso-position-horizontal-relative:page;mso-position-vertical-relative:paragraph;z-index:-251481088;mso-wrap-distance-left:0;mso-wrap-distance-right:0" coordorigin="1411,192" coordsize="13018,0" path="m1411,192l14429,192e" filled="false" stroked="true" strokeweight=".481pt" strokecolor="#d9d9d9">
            <v:path arrowok="t"/>
            <v:stroke dashstyle="solid"/>
            <w10:wrap type="topAndBottom"/>
          </v:shape>
        </w:pict>
      </w:r>
    </w:p>
    <w:p>
      <w:pPr>
        <w:spacing w:after="0"/>
        <w:rPr>
          <w:sz w:val="12"/>
        </w:rPr>
        <w:sectPr>
          <w:footerReference w:type="default" r:id="rId134"/>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161"/>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0"/>
        </w:rPr>
      </w:pPr>
    </w:p>
    <w:p>
      <w:pPr>
        <w:pStyle w:val="BodyText"/>
        <w:rPr>
          <w:b/>
          <w:sz w:val="20"/>
        </w:rPr>
      </w:pPr>
    </w:p>
    <w:p>
      <w:pPr>
        <w:spacing w:before="204"/>
        <w:ind w:left="1060" w:right="0" w:firstLine="0"/>
        <w:jc w:val="left"/>
        <w:rPr>
          <w:b/>
          <w:sz w:val="28"/>
        </w:rPr>
      </w:pPr>
      <w:r>
        <w:rPr>
          <w:b/>
          <w:sz w:val="28"/>
        </w:rPr>
        <w:t>Children’s Administration</w:t>
      </w:r>
    </w:p>
    <w:p>
      <w:pPr>
        <w:pStyle w:val="BodyText"/>
        <w:spacing w:line="276" w:lineRule="auto" w:before="251"/>
        <w:ind w:left="1059" w:right="1124"/>
      </w:pPr>
      <w:r>
        <w:rPr/>
        <w:t>Oversight of children’s residential settings utilized by Developmental Disabilities Administration’s waiver participants involves multiple actors. The Division of Licensed Resources licensors, under the Children’s Administration, inspects and licenses Child Foster Homes, Group Care Facilities, and Licensed Staffed Residential facilities. DDA Social Workers and Social Service Specialists conduct annual assessments of all waiver participants and visit the participant’s residence if the annual assessment is not conducted in the waiver participant’s home. All waiver participants under twenty-one (21) years of age who receive Voluntary Placement Services under the HCBS waiver, are visited by DDA Social Workers every 90 days in the participant’s home based upon Chapter 388-826 WAC. DDA Residential Quality Assurance staff conduct annual visits to waiver participants who receive Voluntary Placement Services in all of the licensed settings identified above. All DDA staff have received training on HCBS settings requirements and report any concerns to their supervisors.</w:t>
      </w:r>
    </w:p>
    <w:p>
      <w:pPr>
        <w:pStyle w:val="BodyText"/>
        <w:spacing w:before="8"/>
        <w:rPr>
          <w:sz w:val="27"/>
        </w:rPr>
      </w:pPr>
    </w:p>
    <w:p>
      <w:pPr>
        <w:spacing w:before="0"/>
        <w:ind w:left="1060" w:right="0" w:firstLine="0"/>
        <w:jc w:val="left"/>
        <w:rPr>
          <w:b/>
          <w:sz w:val="28"/>
        </w:rPr>
      </w:pPr>
      <w:r>
        <w:rPr>
          <w:b/>
          <w:sz w:val="28"/>
        </w:rPr>
        <w:t>Washington Counties</w:t>
      </w:r>
    </w:p>
    <w:p>
      <w:pPr>
        <w:pStyle w:val="BodyText"/>
        <w:spacing w:line="276" w:lineRule="auto" w:before="250"/>
        <w:ind w:left="1059" w:right="1081"/>
      </w:pPr>
      <w:r>
        <w:rPr/>
        <w:t>DDA contracts with county agencies for monitoring activities. The monitoring agencies have databases that outline all citations and remediation actions taken. Any and all remediation actions include follow up to ensure ongoing compliance. All deficiencies are noted so that concerns receive follow up and can be reviewed at future monitoring visits to ensure continued compliance. All monitoring agencies receive regular on- going trainings to ensure that they are up-to-date on all federal, state, and local laws, regulations, and policies, including training on HCBS setting rules. Washington Counties who are direct service providers are monitored by DDA staff. Washington Counties who are direct service providers offer the range of employment programs including individual supported employment/group supported employment, community inclusion and individual technical assistance.</w:t>
      </w:r>
    </w:p>
    <w:p>
      <w:pPr>
        <w:pStyle w:val="BodyText"/>
        <w:spacing w:before="7"/>
        <w:rPr>
          <w:sz w:val="16"/>
        </w:rPr>
      </w:pPr>
    </w:p>
    <w:p>
      <w:pPr>
        <w:spacing w:before="1"/>
        <w:ind w:left="1060" w:right="0" w:firstLine="0"/>
        <w:jc w:val="left"/>
        <w:rPr>
          <w:b/>
          <w:sz w:val="28"/>
        </w:rPr>
      </w:pPr>
      <w:r>
        <w:rPr>
          <w:b/>
          <w:sz w:val="28"/>
        </w:rPr>
        <w:t>Case Managers</w:t>
      </w:r>
    </w:p>
    <w:p>
      <w:pPr>
        <w:pStyle w:val="BodyText"/>
        <w:spacing w:line="276" w:lineRule="auto" w:before="248"/>
        <w:ind w:left="1060" w:right="1214"/>
      </w:pPr>
      <w:r>
        <w:rPr/>
        <w:t>In addition to monitoring agency visits, each participant is visited at a minimum of once every twelve months by a case manager who is also responsible for reporting any concerns, violations, and non-compliance with any rule, regulation, or policy; including any HCBS setting rules. Case management staff are either Social Service professionals, Case Resource Managers, or Registered Nurses and are directly employed by the State or the AAA. These staff members do not have a vested interest in the facilities or contracted providers and there is no inherent conflict of interest. Case managers receive ongoing training on all rules and regulations through Management Bulletins, policy chapter revisions, and</w:t>
      </w:r>
    </w:p>
    <w:p>
      <w:pPr>
        <w:pStyle w:val="BodyText"/>
        <w:spacing w:before="10"/>
        <w:rPr>
          <w:sz w:val="16"/>
        </w:rPr>
      </w:pPr>
      <w:r>
        <w:rPr/>
        <w:pict>
          <v:shape style="position:absolute;margin-left:70.559998pt;margin-top:12.469695pt;width:650.9pt;height:.1pt;mso-position-horizontal-relative:page;mso-position-vertical-relative:paragraph;z-index:-251480064;mso-wrap-distance-left:0;mso-wrap-distance-right:0" coordorigin="1411,249" coordsize="13018,0" path="m1411,249l14429,249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12"/>
        </w:rPr>
      </w:pPr>
    </w:p>
    <w:p>
      <w:pPr>
        <w:pStyle w:val="BodyText"/>
        <w:spacing w:line="276" w:lineRule="auto" w:before="56"/>
        <w:ind w:left="1060" w:right="1282"/>
      </w:pPr>
      <w:r>
        <w:rPr/>
        <w:t>monthly reviews of these changes with their supervisor in team meetings. As a result of DSHS rules, notices to staff, and comprehensive training, DSHS case management staff are cognizant of the HCBS requirements and will identify facilities or settings that may have the effect of isolating residents. Settings identified as potentially out of compliance will be evaluated by ALTSA or DDA for heightened scrutiny.</w:t>
      </w:r>
    </w:p>
    <w:p>
      <w:pPr>
        <w:pStyle w:val="BodyText"/>
        <w:spacing w:before="7"/>
        <w:rPr>
          <w:sz w:val="25"/>
        </w:rPr>
      </w:pPr>
    </w:p>
    <w:p>
      <w:pPr>
        <w:spacing w:before="0"/>
        <w:ind w:left="1060" w:right="0" w:firstLine="0"/>
        <w:jc w:val="left"/>
        <w:rPr>
          <w:b/>
          <w:sz w:val="28"/>
        </w:rPr>
      </w:pPr>
      <w:r>
        <w:rPr>
          <w:b/>
          <w:sz w:val="28"/>
        </w:rPr>
        <w:t>Ombuds Staff</w:t>
      </w:r>
    </w:p>
    <w:p>
      <w:pPr>
        <w:pStyle w:val="BodyText"/>
        <w:spacing w:before="6"/>
        <w:rPr>
          <w:b/>
          <w:sz w:val="31"/>
        </w:rPr>
      </w:pPr>
    </w:p>
    <w:p>
      <w:pPr>
        <w:pStyle w:val="BodyText"/>
        <w:spacing w:line="276" w:lineRule="auto" w:before="1"/>
        <w:ind w:left="1060" w:right="1092"/>
      </w:pPr>
      <w:r>
        <w:rPr/>
        <w:t>In addition, the Washington State Ombuds program is also able to identify facilities that may have the effect of isolating residents, in their role of providing resident advocacy support and hearing resident complaints. If the Ombuds person in a facility suspects that a facility has the effect of isolating residents, she or he will either work with the facility to resolve the problem or encourage the client to call the complaint investigation hotline for RCS.</w:t>
      </w:r>
    </w:p>
    <w:p>
      <w:pPr>
        <w:pStyle w:val="BodyText"/>
      </w:pPr>
    </w:p>
    <w:p>
      <w:pPr>
        <w:pStyle w:val="BodyText"/>
        <w:spacing w:before="1"/>
      </w:pPr>
    </w:p>
    <w:p>
      <w:pPr>
        <w:spacing w:before="0"/>
        <w:ind w:left="1060" w:right="0" w:firstLine="0"/>
        <w:jc w:val="left"/>
        <w:rPr>
          <w:b/>
          <w:sz w:val="28"/>
        </w:rPr>
      </w:pPr>
      <w:r>
        <w:rPr>
          <w:b/>
          <w:sz w:val="28"/>
        </w:rPr>
        <w:t>Others</w:t>
      </w:r>
    </w:p>
    <w:p>
      <w:pPr>
        <w:pStyle w:val="BodyText"/>
        <w:spacing w:line="276" w:lineRule="auto" w:before="248"/>
        <w:ind w:left="1060" w:right="1420"/>
      </w:pPr>
      <w:r>
        <w:rPr/>
        <w:t>Residents, families, stakeholders, advocacy organizations, or any concerned citizen may also notify DSHS of any facility they believe may have the potential to isolate residents by contacting ALTSA’s Complaint Resolution Unit. Identified settings will be evaluated by ALTSA or DDA for heightened scrutiny.</w:t>
      </w:r>
    </w:p>
    <w:p>
      <w:pPr>
        <w:pStyle w:val="BodyText"/>
        <w:spacing w:before="10"/>
        <w:rPr>
          <w:sz w:val="27"/>
        </w:rPr>
      </w:pPr>
    </w:p>
    <w:p>
      <w:pPr>
        <w:spacing w:before="0"/>
        <w:ind w:left="2916" w:right="2957" w:firstLine="0"/>
        <w:jc w:val="center"/>
        <w:rPr>
          <w:b/>
          <w:sz w:val="32"/>
        </w:rPr>
      </w:pPr>
      <w:r>
        <w:rPr>
          <w:b/>
          <w:sz w:val="32"/>
        </w:rPr>
        <w:t>Settings Reviewed</w:t>
      </w:r>
    </w:p>
    <w:p>
      <w:pPr>
        <w:pStyle w:val="BodyText"/>
        <w:spacing w:before="12"/>
        <w:rPr>
          <w:b/>
          <w:sz w:val="36"/>
        </w:rPr>
      </w:pPr>
    </w:p>
    <w:p>
      <w:pPr>
        <w:spacing w:before="0"/>
        <w:ind w:left="1060" w:right="0" w:firstLine="0"/>
        <w:jc w:val="left"/>
        <w:rPr>
          <w:b/>
          <w:sz w:val="28"/>
        </w:rPr>
      </w:pPr>
      <w:r>
        <w:rPr>
          <w:b/>
          <w:sz w:val="28"/>
        </w:rPr>
        <w:t>Privately Owned Homes</w:t>
      </w:r>
    </w:p>
    <w:p>
      <w:pPr>
        <w:pStyle w:val="BodyText"/>
        <w:spacing w:before="10"/>
        <w:rPr>
          <w:b/>
          <w:sz w:val="23"/>
        </w:rPr>
      </w:pPr>
    </w:p>
    <w:p>
      <w:pPr>
        <w:pStyle w:val="BodyText"/>
        <w:ind w:left="1059" w:right="1129"/>
      </w:pPr>
      <w:r>
        <w:rPr/>
        <w:t>Individual, privately-owned or rented homes or apartments are referred to as “In-Home” settings within Washington’s state system. Participants residing in In-Home settings are monitored by the assigned case manager for compliance with home and community-based settings requirements. Case managers ensure participants are informed about their rights by explaining those rights and gathering signatures on appropriate forms to indicate the participant has been made aware of their rights. To ensure the safety and wellbeing of In-Home participants, case managers are required to make regular monitoring contacts in addition to their annual assessment or re-assessment visit each year.</w:t>
      </w:r>
    </w:p>
    <w:p>
      <w:pPr>
        <w:pStyle w:val="BodyText"/>
        <w:spacing w:before="1"/>
        <w:ind w:left="1059" w:right="1758"/>
      </w:pPr>
      <w:r>
        <w:rPr/>
        <w:t>Specialized caseloads receive enhanced monitoring and supports for individuals in specific circumstances where a participant’s safety and wellbeing may be a concern.</w:t>
      </w:r>
    </w:p>
    <w:p>
      <w:pPr>
        <w:pStyle w:val="BodyText"/>
        <w:spacing w:before="4"/>
        <w:rPr>
          <w:sz w:val="19"/>
        </w:rPr>
      </w:pPr>
      <w:r>
        <w:rPr/>
        <w:pict>
          <v:shape style="position:absolute;margin-left:70.559998pt;margin-top:14.02282pt;width:650.9pt;height:.1pt;mso-position-horizontal-relative:page;mso-position-vertical-relative:paragraph;z-index:-251479040;mso-wrap-distance-left:0;mso-wrap-distance-right:0" coordorigin="1411,280" coordsize="13018,0" path="m1411,280l14429,280e" filled="false" stroked="true" strokeweight=".481pt" strokecolor="#d9d9d9">
            <v:path arrowok="t"/>
            <v:stroke dashstyle="solid"/>
            <w10:wrap type="topAndBottom"/>
          </v:shape>
        </w:pict>
      </w:r>
    </w:p>
    <w:p>
      <w:pPr>
        <w:spacing w:after="0"/>
        <w:rPr>
          <w:sz w:val="1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12"/>
        </w:rPr>
      </w:pPr>
    </w:p>
    <w:p>
      <w:pPr>
        <w:pStyle w:val="BodyText"/>
        <w:spacing w:line="276" w:lineRule="auto" w:before="56"/>
        <w:ind w:left="1059" w:right="1190"/>
      </w:pPr>
      <w:r>
        <w:rPr/>
        <w:t>Existing settings purchased by a group of families solely for their family members with disabilities who use home and community-based services have been reviewed and confirmed to not isolate individuals from the community of individuals not receiving Medicaid-funded HCBS. One remaining setting that the State has determined is not isolating has been referred to CMS for Heightened Scrutiny. Case management staff and licensing staff will monitor this setting and all others for on-going compliance. Stakeholders and community members also provide feedback to the department to identify incidents of non-compliance with the HCBS rules and requirements.</w:t>
      </w:r>
    </w:p>
    <w:p>
      <w:pPr>
        <w:pStyle w:val="BodyText"/>
        <w:spacing w:before="5"/>
        <w:rPr>
          <w:sz w:val="32"/>
        </w:rPr>
      </w:pPr>
    </w:p>
    <w:p>
      <w:pPr>
        <w:spacing w:before="0"/>
        <w:ind w:left="1060" w:right="0" w:firstLine="0"/>
        <w:jc w:val="left"/>
        <w:rPr>
          <w:b/>
          <w:sz w:val="28"/>
        </w:rPr>
      </w:pPr>
      <w:r>
        <w:rPr>
          <w:b/>
          <w:sz w:val="28"/>
        </w:rPr>
        <w:t>Adult Day Care</w:t>
      </w:r>
    </w:p>
    <w:p>
      <w:pPr>
        <w:pStyle w:val="BodyText"/>
        <w:spacing w:before="4"/>
        <w:rPr>
          <w:b/>
          <w:sz w:val="29"/>
        </w:rPr>
      </w:pPr>
    </w:p>
    <w:p>
      <w:pPr>
        <w:pStyle w:val="BodyText"/>
        <w:spacing w:line="276" w:lineRule="auto"/>
        <w:ind w:left="1059" w:right="1228"/>
      </w:pPr>
      <w:r>
        <w:rPr/>
        <w:t>The Adult Day Care program in Washington is a very small program. As of February of 2017, there are 56 participants enrolled in ADC with Medicaid funding. Most of these participants are receiving services at a setting that provides both ADH and ADC (16 providers). ADH is a much larger program with approximately 925 participants. These settings were determined to be compliant with the HCBS rules and were approved as part of the Residential Support Waiver. There are six ADC centers contracted to provide only ADC services to Medicaid recipients, providing services to 16 Medicaid participants statewide. All ADC centers are located within the community, such as in churches and community</w:t>
      </w:r>
      <w:r>
        <w:rPr>
          <w:spacing w:val="-4"/>
        </w:rPr>
        <w:t> </w:t>
      </w:r>
      <w:r>
        <w:rPr/>
        <w:t>centers.</w:t>
      </w:r>
    </w:p>
    <w:p>
      <w:pPr>
        <w:pStyle w:val="BodyText"/>
        <w:spacing w:before="3"/>
        <w:rPr>
          <w:sz w:val="25"/>
        </w:rPr>
      </w:pPr>
    </w:p>
    <w:p>
      <w:pPr>
        <w:pStyle w:val="BodyText"/>
        <w:spacing w:line="276" w:lineRule="auto"/>
        <w:ind w:left="1059" w:right="1281"/>
      </w:pPr>
      <w:r>
        <w:rPr/>
        <w:t>Participants typically access the program four to five hours a day, two to three times per week. All Medicaid participants who attend ADC also receive Medicaid personal care services and choose ADC as part of their service plan. While attending ADC, participants are offered the choice of a variety of activities including community based activities. Participants choose the activities in which to participate. Some of the reasons participants have given for wanting to attend ADC include participation in the STARS program, using the gym, for recreation, and to socialize.</w:t>
      </w:r>
    </w:p>
    <w:p>
      <w:pPr>
        <w:pStyle w:val="BodyText"/>
        <w:spacing w:before="11"/>
        <w:rPr>
          <w:sz w:val="21"/>
        </w:rPr>
      </w:pPr>
    </w:p>
    <w:p>
      <w:pPr>
        <w:spacing w:before="0"/>
        <w:ind w:left="1059" w:right="0" w:firstLine="0"/>
        <w:jc w:val="left"/>
        <w:rPr>
          <w:i/>
          <w:sz w:val="22"/>
        </w:rPr>
      </w:pPr>
      <w:r>
        <w:rPr>
          <w:i/>
          <w:sz w:val="22"/>
        </w:rPr>
        <w:t>Monitoring ADC Settings</w:t>
      </w:r>
    </w:p>
    <w:p>
      <w:pPr>
        <w:pStyle w:val="BodyText"/>
        <w:spacing w:line="276" w:lineRule="auto" w:before="134"/>
        <w:ind w:left="1058" w:right="1124"/>
      </w:pPr>
      <w:r>
        <w:rPr/>
        <w:t>Adult Day Care settings are monitored for compliance by the Area Agencies on Aging (AAAs). Each setting receives an on-site review at least every 18 months. Ongoing monitoring of these facilities includes regular in-person site visits. Since 2014, all ADC settings received additional site visits by the monitoring agency. Monitoring activities include interviews with providers, participants, and responsible parties (such as guardians) when appropriate.</w:t>
      </w:r>
    </w:p>
    <w:p>
      <w:pPr>
        <w:pStyle w:val="BodyText"/>
        <w:spacing w:before="6"/>
        <w:rPr>
          <w:sz w:val="25"/>
        </w:rPr>
      </w:pPr>
    </w:p>
    <w:p>
      <w:pPr>
        <w:pStyle w:val="BodyText"/>
        <w:ind w:left="1059" w:right="1135"/>
      </w:pPr>
      <w:r>
        <w:rPr/>
        <w:t>In addition, a headquarters based Registered Nurse visited all contracted ADC centers in 2014 to determine whether the settings were in compliance with the HCBS rules. Training on HCBS rules and setting requirements was provided to headquarters’ staff prior to site visits. One adult day care center was found to be located in a nursing facility and did not comport with HCBS setting rules. The state terminated their</w:t>
      </w:r>
    </w:p>
    <w:p>
      <w:pPr>
        <w:pStyle w:val="BodyText"/>
        <w:rPr>
          <w:sz w:val="20"/>
        </w:rPr>
      </w:pPr>
    </w:p>
    <w:p>
      <w:pPr>
        <w:pStyle w:val="BodyText"/>
        <w:spacing w:before="10"/>
        <w:rPr>
          <w:sz w:val="15"/>
        </w:rPr>
      </w:pPr>
      <w:r>
        <w:rPr/>
        <w:pict>
          <v:shape style="position:absolute;margin-left:70.559998pt;margin-top:11.883758pt;width:650.9pt;height:.1pt;mso-position-horizontal-relative:page;mso-position-vertical-relative:paragraph;z-index:-251478016;mso-wrap-distance-left:0;mso-wrap-distance-right:0" coordorigin="1411,238" coordsize="13018,0" path="m1411,238l14429,238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12"/>
        </w:rPr>
      </w:pPr>
    </w:p>
    <w:p>
      <w:pPr>
        <w:pStyle w:val="BodyText"/>
        <w:spacing w:before="56"/>
        <w:ind w:left="1060" w:right="1135" w:hanging="1"/>
      </w:pPr>
      <w:r>
        <w:rPr/>
        <w:t>contract for ADC on June 18, 2014. No Medicaid funded participants were receiving adult day services prior to the termination of their contract. All remaining centers comport with HCBS setting rules and with all regulations regarding accessibility.</w:t>
      </w:r>
    </w:p>
    <w:p>
      <w:pPr>
        <w:pStyle w:val="BodyText"/>
      </w:pPr>
    </w:p>
    <w:p>
      <w:pPr>
        <w:pStyle w:val="BodyText"/>
        <w:spacing w:line="276" w:lineRule="auto"/>
        <w:ind w:left="1060" w:right="1172"/>
      </w:pPr>
      <w:r>
        <w:rPr/>
        <w:t>An ALTSA headquarters Registered Nurse in the Performance Improvement Unit is responsible for updating and providing training to ADC providers, revising the Washington Administrative Code (WAC) and working with the AAAs to update monitoring procedures as required by new federal or state regulations.</w:t>
      </w:r>
    </w:p>
    <w:p>
      <w:pPr>
        <w:pStyle w:val="BodyText"/>
      </w:pPr>
    </w:p>
    <w:p>
      <w:pPr>
        <w:pStyle w:val="BodyText"/>
        <w:ind w:left="1060" w:right="1091"/>
      </w:pPr>
      <w:r>
        <w:rPr/>
        <w:t>Ongoing training is held with providers of ADC to continually enhance their knowledge of federal, state, and local rules and regulations related to the services they provide. Quarterly meetings are held with providers to facilitate communication and answer questions. An additional training on the HCBS rules was provided at the quarterly meeting on January 12, 2017.</w:t>
      </w:r>
    </w:p>
    <w:p>
      <w:pPr>
        <w:pStyle w:val="BodyText"/>
      </w:pPr>
    </w:p>
    <w:p>
      <w:pPr>
        <w:pStyle w:val="BodyText"/>
        <w:spacing w:before="2"/>
        <w:rPr>
          <w:sz w:val="20"/>
        </w:rPr>
      </w:pPr>
    </w:p>
    <w:p>
      <w:pPr>
        <w:pStyle w:val="Heading5"/>
        <w:ind w:left="1160"/>
        <w:rPr>
          <w:rFonts w:ascii="Times New Roman"/>
          <w:i/>
        </w:rPr>
      </w:pPr>
      <w:r>
        <w:rPr>
          <w:rFonts w:ascii="Times New Roman"/>
          <w:i/>
        </w:rPr>
        <w:t>ADC Settings that fully comply:</w:t>
      </w:r>
    </w:p>
    <w:p>
      <w:pPr>
        <w:pStyle w:val="BodyText"/>
        <w:spacing w:before="2"/>
        <w:rPr>
          <w:rFonts w:ascii="Times New Roman"/>
          <w:i/>
          <w:sz w:val="21"/>
        </w:rPr>
      </w:pPr>
    </w:p>
    <w:tbl>
      <w:tblPr>
        <w:tblW w:w="0" w:type="auto"/>
        <w:jc w:val="left"/>
        <w:tblInd w:w="2704" w:type="dxa"/>
        <w:tblBorders>
          <w:top w:val="single" w:sz="8" w:space="0" w:color="70B062"/>
          <w:left w:val="single" w:sz="8" w:space="0" w:color="70B062"/>
          <w:bottom w:val="single" w:sz="8" w:space="0" w:color="70B062"/>
          <w:right w:val="single" w:sz="8" w:space="0" w:color="70B062"/>
          <w:insideH w:val="single" w:sz="8" w:space="0" w:color="70B062"/>
          <w:insideV w:val="single" w:sz="8" w:space="0" w:color="70B062"/>
        </w:tblBorders>
        <w:tblLayout w:type="fixed"/>
        <w:tblCellMar>
          <w:top w:w="0" w:type="dxa"/>
          <w:left w:w="0" w:type="dxa"/>
          <w:bottom w:w="0" w:type="dxa"/>
          <w:right w:w="0" w:type="dxa"/>
        </w:tblCellMar>
        <w:tblLook w:val="01E0"/>
      </w:tblPr>
      <w:tblGrid>
        <w:gridCol w:w="4616"/>
        <w:gridCol w:w="2643"/>
        <w:gridCol w:w="804"/>
      </w:tblGrid>
      <w:tr>
        <w:trPr>
          <w:trHeight w:val="400" w:hRule="atLeast"/>
        </w:trPr>
        <w:tc>
          <w:tcPr>
            <w:tcW w:w="4616" w:type="dxa"/>
            <w:tcBorders>
              <w:right w:val="nil"/>
            </w:tcBorders>
            <w:shd w:val="clear" w:color="auto" w:fill="4E8542"/>
          </w:tcPr>
          <w:p>
            <w:pPr>
              <w:pStyle w:val="TableParagraph"/>
              <w:spacing w:before="1"/>
              <w:ind w:left="107"/>
              <w:rPr>
                <w:b/>
                <w:sz w:val="22"/>
              </w:rPr>
            </w:pPr>
            <w:r>
              <w:rPr>
                <w:b/>
                <w:color w:val="FFFFFF"/>
                <w:sz w:val="22"/>
              </w:rPr>
              <w:t>Setting</w:t>
            </w:r>
          </w:p>
        </w:tc>
        <w:tc>
          <w:tcPr>
            <w:tcW w:w="2643" w:type="dxa"/>
            <w:tcBorders>
              <w:left w:val="nil"/>
              <w:right w:val="nil"/>
            </w:tcBorders>
            <w:shd w:val="clear" w:color="auto" w:fill="4E8542"/>
          </w:tcPr>
          <w:p>
            <w:pPr>
              <w:pStyle w:val="TableParagraph"/>
              <w:spacing w:before="1"/>
              <w:ind w:left="1839" w:right="146"/>
              <w:jc w:val="center"/>
              <w:rPr>
                <w:b/>
                <w:sz w:val="22"/>
              </w:rPr>
            </w:pPr>
            <w:r>
              <w:rPr>
                <w:b/>
                <w:color w:val="FFFFFF"/>
                <w:sz w:val="22"/>
              </w:rPr>
              <w:t>Clients</w:t>
            </w:r>
          </w:p>
        </w:tc>
        <w:tc>
          <w:tcPr>
            <w:tcW w:w="804" w:type="dxa"/>
            <w:tcBorders>
              <w:left w:val="nil"/>
            </w:tcBorders>
            <w:shd w:val="clear" w:color="auto" w:fill="4E8542"/>
          </w:tcPr>
          <w:p>
            <w:pPr>
              <w:pStyle w:val="TableParagraph"/>
              <w:spacing w:before="1"/>
              <w:ind w:left="166" w:right="155"/>
              <w:jc w:val="center"/>
              <w:rPr>
                <w:b/>
                <w:sz w:val="22"/>
              </w:rPr>
            </w:pPr>
            <w:r>
              <w:rPr>
                <w:b/>
                <w:color w:val="FFFFFF"/>
                <w:sz w:val="22"/>
              </w:rPr>
              <w:t>Sites</w:t>
            </w:r>
          </w:p>
        </w:tc>
      </w:tr>
      <w:tr>
        <w:trPr>
          <w:trHeight w:val="270" w:hRule="atLeast"/>
        </w:trPr>
        <w:tc>
          <w:tcPr>
            <w:tcW w:w="4616" w:type="dxa"/>
            <w:tcBorders>
              <w:right w:val="nil"/>
            </w:tcBorders>
            <w:shd w:val="clear" w:color="auto" w:fill="D0E4CA"/>
          </w:tcPr>
          <w:p>
            <w:pPr>
              <w:pStyle w:val="TableParagraph"/>
              <w:spacing w:line="249" w:lineRule="exact" w:before="1"/>
              <w:ind w:left="107"/>
              <w:rPr>
                <w:sz w:val="22"/>
              </w:rPr>
            </w:pPr>
            <w:r>
              <w:rPr>
                <w:sz w:val="22"/>
              </w:rPr>
              <w:t>Adult Day Care Only</w:t>
            </w:r>
          </w:p>
        </w:tc>
        <w:tc>
          <w:tcPr>
            <w:tcW w:w="2643" w:type="dxa"/>
            <w:tcBorders>
              <w:left w:val="nil"/>
              <w:right w:val="nil"/>
            </w:tcBorders>
            <w:shd w:val="clear" w:color="auto" w:fill="D0E4CA"/>
          </w:tcPr>
          <w:p>
            <w:pPr>
              <w:pStyle w:val="TableParagraph"/>
              <w:spacing w:line="249" w:lineRule="exact" w:before="1"/>
              <w:ind w:left="1839" w:right="145"/>
              <w:jc w:val="center"/>
              <w:rPr>
                <w:sz w:val="22"/>
              </w:rPr>
            </w:pPr>
            <w:r>
              <w:rPr>
                <w:sz w:val="22"/>
              </w:rPr>
              <w:t>16</w:t>
            </w:r>
          </w:p>
        </w:tc>
        <w:tc>
          <w:tcPr>
            <w:tcW w:w="804" w:type="dxa"/>
            <w:tcBorders>
              <w:left w:val="nil"/>
            </w:tcBorders>
            <w:shd w:val="clear" w:color="auto" w:fill="D0E4CA"/>
          </w:tcPr>
          <w:p>
            <w:pPr>
              <w:pStyle w:val="TableParagraph"/>
              <w:spacing w:line="249" w:lineRule="exact" w:before="1"/>
              <w:ind w:left="11"/>
              <w:jc w:val="center"/>
              <w:rPr>
                <w:sz w:val="22"/>
              </w:rPr>
            </w:pPr>
            <w:r>
              <w:rPr>
                <w:w w:val="100"/>
                <w:sz w:val="22"/>
              </w:rPr>
              <w:t>6</w:t>
            </w:r>
          </w:p>
        </w:tc>
      </w:tr>
      <w:tr>
        <w:trPr>
          <w:trHeight w:val="267" w:hRule="atLeast"/>
        </w:trPr>
        <w:tc>
          <w:tcPr>
            <w:tcW w:w="4616" w:type="dxa"/>
            <w:tcBorders>
              <w:right w:val="nil"/>
            </w:tcBorders>
          </w:tcPr>
          <w:p>
            <w:pPr>
              <w:pStyle w:val="TableParagraph"/>
              <w:spacing w:line="248" w:lineRule="exact"/>
              <w:ind w:left="107"/>
              <w:rPr>
                <w:sz w:val="22"/>
              </w:rPr>
            </w:pPr>
            <w:r>
              <w:rPr>
                <w:sz w:val="22"/>
              </w:rPr>
              <w:t>Adult Day Care in ADH setting</w:t>
            </w:r>
          </w:p>
        </w:tc>
        <w:tc>
          <w:tcPr>
            <w:tcW w:w="2643" w:type="dxa"/>
            <w:tcBorders>
              <w:left w:val="nil"/>
              <w:right w:val="nil"/>
            </w:tcBorders>
          </w:tcPr>
          <w:p>
            <w:pPr>
              <w:pStyle w:val="TableParagraph"/>
              <w:spacing w:line="248" w:lineRule="exact"/>
              <w:ind w:left="1839" w:right="145"/>
              <w:jc w:val="center"/>
              <w:rPr>
                <w:sz w:val="22"/>
              </w:rPr>
            </w:pPr>
            <w:r>
              <w:rPr>
                <w:sz w:val="22"/>
              </w:rPr>
              <w:t>56</w:t>
            </w:r>
          </w:p>
        </w:tc>
        <w:tc>
          <w:tcPr>
            <w:tcW w:w="804" w:type="dxa"/>
            <w:tcBorders>
              <w:left w:val="nil"/>
            </w:tcBorders>
          </w:tcPr>
          <w:p>
            <w:pPr>
              <w:pStyle w:val="TableParagraph"/>
              <w:spacing w:line="248" w:lineRule="exact"/>
              <w:ind w:left="166" w:right="152"/>
              <w:jc w:val="center"/>
              <w:rPr>
                <w:sz w:val="22"/>
              </w:rPr>
            </w:pPr>
            <w:r>
              <w:rPr>
                <w:sz w:val="22"/>
              </w:rPr>
              <w:t>16</w:t>
            </w:r>
          </w:p>
        </w:tc>
      </w:tr>
    </w:tbl>
    <w:p>
      <w:pPr>
        <w:pStyle w:val="BodyText"/>
        <w:rPr>
          <w:rFonts w:ascii="Times New Roman"/>
          <w:i/>
          <w:sz w:val="26"/>
        </w:rPr>
      </w:pPr>
    </w:p>
    <w:p>
      <w:pPr>
        <w:pStyle w:val="BodyText"/>
        <w:spacing w:before="10"/>
        <w:rPr>
          <w:rFonts w:ascii="Times New Roman"/>
          <w:i/>
          <w:sz w:val="20"/>
        </w:rPr>
      </w:pPr>
    </w:p>
    <w:p>
      <w:pPr>
        <w:spacing w:before="1"/>
        <w:ind w:left="1060" w:right="0" w:firstLine="0"/>
        <w:jc w:val="left"/>
        <w:rPr>
          <w:b/>
          <w:sz w:val="28"/>
        </w:rPr>
      </w:pPr>
      <w:r>
        <w:rPr>
          <w:b/>
          <w:sz w:val="28"/>
        </w:rPr>
        <w:t>DDA Settings</w:t>
      </w:r>
    </w:p>
    <w:p>
      <w:pPr>
        <w:pStyle w:val="BodyText"/>
        <w:spacing w:before="1"/>
        <w:rPr>
          <w:b/>
          <w:sz w:val="29"/>
        </w:rPr>
      </w:pPr>
    </w:p>
    <w:p>
      <w:pPr>
        <w:pStyle w:val="BodyText"/>
        <w:spacing w:before="1"/>
        <w:ind w:left="1059" w:right="1412"/>
      </w:pPr>
      <w:r>
        <w:rPr/>
        <w:t>DDA employs a multi-party process to determine levels of compliance and identify areas of non-compliance for all individual sites within each setting type.</w:t>
      </w:r>
    </w:p>
    <w:p>
      <w:pPr>
        <w:pStyle w:val="BodyText"/>
      </w:pPr>
    </w:p>
    <w:p>
      <w:pPr>
        <w:pStyle w:val="BodyText"/>
        <w:ind w:left="1059" w:right="1157"/>
      </w:pPr>
      <w:r>
        <w:rPr/>
        <w:t>First, each waiver participant has a DDA Case Resource Manager or Social Services Specialist who performs an in-person, annual assessment and collaboratively develops a person-centered service plan. The majority of these assessments are conducted in the participant’s residence.</w:t>
      </w:r>
    </w:p>
    <w:p>
      <w:pPr>
        <w:pStyle w:val="BodyText"/>
        <w:ind w:left="1059" w:right="1155"/>
      </w:pPr>
      <w:r>
        <w:rPr/>
        <w:t>Annual assessments and the development of Person-Centered Service Plans are conducted by Case Resource Managers for participants who live in:</w:t>
      </w:r>
    </w:p>
    <w:p>
      <w:pPr>
        <w:pStyle w:val="ListParagraph"/>
        <w:numPr>
          <w:ilvl w:val="0"/>
          <w:numId w:val="29"/>
        </w:numPr>
        <w:tabs>
          <w:tab w:pos="1779" w:val="left" w:leader="none"/>
          <w:tab w:pos="1781" w:val="left" w:leader="none"/>
        </w:tabs>
        <w:spacing w:line="279" w:lineRule="exact" w:before="1" w:after="0"/>
        <w:ind w:left="1780" w:right="0" w:hanging="362"/>
        <w:jc w:val="left"/>
        <w:rPr>
          <w:sz w:val="22"/>
        </w:rPr>
      </w:pPr>
      <w:r>
        <w:rPr>
          <w:sz w:val="22"/>
        </w:rPr>
        <w:t>Own</w:t>
      </w:r>
      <w:r>
        <w:rPr>
          <w:spacing w:val="-1"/>
          <w:sz w:val="22"/>
        </w:rPr>
        <w:t> </w:t>
      </w:r>
      <w:r>
        <w:rPr>
          <w:sz w:val="22"/>
        </w:rPr>
        <w:t>homes;</w:t>
      </w:r>
    </w:p>
    <w:p>
      <w:pPr>
        <w:pStyle w:val="ListParagraph"/>
        <w:numPr>
          <w:ilvl w:val="0"/>
          <w:numId w:val="29"/>
        </w:numPr>
        <w:tabs>
          <w:tab w:pos="1780" w:val="left" w:leader="none"/>
          <w:tab w:pos="1781" w:val="left" w:leader="none"/>
        </w:tabs>
        <w:spacing w:line="279" w:lineRule="exact" w:before="0" w:after="0"/>
        <w:ind w:left="1780" w:right="0" w:hanging="361"/>
        <w:jc w:val="left"/>
        <w:rPr>
          <w:sz w:val="22"/>
        </w:rPr>
      </w:pPr>
      <w:r>
        <w:rPr>
          <w:sz w:val="22"/>
        </w:rPr>
        <w:t>DDA Companion</w:t>
      </w:r>
      <w:r>
        <w:rPr>
          <w:spacing w:val="-5"/>
          <w:sz w:val="22"/>
        </w:rPr>
        <w:t> </w:t>
      </w:r>
      <w:r>
        <w:rPr>
          <w:sz w:val="22"/>
        </w:rPr>
        <w:t>Homes;</w:t>
      </w:r>
    </w:p>
    <w:p>
      <w:pPr>
        <w:pStyle w:val="ListParagraph"/>
        <w:numPr>
          <w:ilvl w:val="0"/>
          <w:numId w:val="29"/>
        </w:numPr>
        <w:tabs>
          <w:tab w:pos="1780" w:val="left" w:leader="none"/>
          <w:tab w:pos="1781" w:val="left" w:leader="none"/>
        </w:tabs>
        <w:spacing w:line="240" w:lineRule="auto" w:before="1" w:after="0"/>
        <w:ind w:left="1780" w:right="0" w:hanging="361"/>
        <w:jc w:val="left"/>
        <w:rPr>
          <w:sz w:val="22"/>
        </w:rPr>
      </w:pPr>
      <w:r>
        <w:rPr>
          <w:sz w:val="22"/>
        </w:rPr>
        <w:t>Group</w:t>
      </w:r>
      <w:r>
        <w:rPr>
          <w:spacing w:val="-1"/>
          <w:sz w:val="22"/>
        </w:rPr>
        <w:t> </w:t>
      </w:r>
      <w:r>
        <w:rPr>
          <w:sz w:val="22"/>
        </w:rPr>
        <w:t>homes;</w:t>
      </w:r>
    </w:p>
    <w:p>
      <w:pPr>
        <w:pStyle w:val="ListParagraph"/>
        <w:numPr>
          <w:ilvl w:val="0"/>
          <w:numId w:val="29"/>
        </w:numPr>
        <w:tabs>
          <w:tab w:pos="1780" w:val="left" w:leader="none"/>
          <w:tab w:pos="1781" w:val="left" w:leader="none"/>
        </w:tabs>
        <w:spacing w:line="240" w:lineRule="auto" w:before="0" w:after="0"/>
        <w:ind w:left="1780" w:right="0" w:hanging="361"/>
        <w:jc w:val="left"/>
        <w:rPr>
          <w:sz w:val="22"/>
        </w:rPr>
      </w:pPr>
      <w:r>
        <w:rPr/>
        <w:pict>
          <v:shape style="position:absolute;margin-left:70.559998pt;margin-top:20.677786pt;width:650.9pt;height:.1pt;mso-position-horizontal-relative:page;mso-position-vertical-relative:paragraph;z-index:-251476992;mso-wrap-distance-left:0;mso-wrap-distance-right:0" coordorigin="1411,414" coordsize="13018,0" path="m1411,414l14429,414e" filled="false" stroked="true" strokeweight=".481pt" strokecolor="#d9d9d9">
            <v:path arrowok="t"/>
            <v:stroke dashstyle="solid"/>
            <w10:wrap type="topAndBottom"/>
          </v:shape>
        </w:pict>
      </w:r>
      <w:r>
        <w:rPr>
          <w:sz w:val="22"/>
        </w:rPr>
        <w:t>Group Training homes;</w:t>
      </w:r>
      <w:r>
        <w:rPr>
          <w:spacing w:val="-4"/>
          <w:sz w:val="22"/>
        </w:rPr>
        <w:t> </w:t>
      </w:r>
      <w:r>
        <w:rPr>
          <w:sz w:val="22"/>
        </w:rPr>
        <w:t>and</w:t>
      </w:r>
    </w:p>
    <w:p>
      <w:pPr>
        <w:spacing w:after="0" w:line="240" w:lineRule="auto"/>
        <w:jc w:val="left"/>
        <w:rPr>
          <w:sz w:val="2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7"/>
        <w:rPr>
          <w:b/>
          <w:sz w:val="16"/>
        </w:rPr>
      </w:pPr>
    </w:p>
    <w:p>
      <w:pPr>
        <w:pStyle w:val="ListParagraph"/>
        <w:numPr>
          <w:ilvl w:val="0"/>
          <w:numId w:val="29"/>
        </w:numPr>
        <w:tabs>
          <w:tab w:pos="1780" w:val="left" w:leader="none"/>
          <w:tab w:pos="1781" w:val="left" w:leader="none"/>
        </w:tabs>
        <w:spacing w:line="240" w:lineRule="auto" w:before="0" w:after="0"/>
        <w:ind w:left="1780" w:right="0" w:hanging="361"/>
        <w:jc w:val="left"/>
        <w:rPr>
          <w:sz w:val="22"/>
        </w:rPr>
      </w:pPr>
      <w:r>
        <w:rPr>
          <w:sz w:val="22"/>
        </w:rPr>
        <w:t>Licensed Staffed Residential, Child Foster Care and Child Group Care</w:t>
      </w:r>
      <w:r>
        <w:rPr>
          <w:spacing w:val="-10"/>
          <w:sz w:val="22"/>
        </w:rPr>
        <w:t> </w:t>
      </w:r>
      <w:r>
        <w:rPr>
          <w:sz w:val="22"/>
        </w:rPr>
        <w:t>Facilities.</w:t>
      </w:r>
    </w:p>
    <w:p>
      <w:pPr>
        <w:pStyle w:val="BodyText"/>
      </w:pPr>
    </w:p>
    <w:p>
      <w:pPr>
        <w:pStyle w:val="BodyText"/>
        <w:spacing w:before="1"/>
        <w:ind w:left="1059" w:right="1167"/>
      </w:pPr>
      <w:r>
        <w:rPr/>
        <w:t>When the participant receives a DDA paid service in their residence and the assessment is not conducted in the participant’s residence, the Case Resource Manager will conduct a follow-up home visit to ensure that the person-centered service plan can be implemented in the living environment. As part of the annual assessment, each participant is asked to review the past year’s person-centered service plan. Any issues with compliance are documented in the participant’s electronic case file and staffed with the Case Resource Manager’s supervisor for appropriate follow-up to achieve compliance. All Case Resource Managers and DDA Supervisors have received training on HCBS settings requirements through in-service training conducted in each DDA region by the DDA State Waiver</w:t>
      </w:r>
      <w:r>
        <w:rPr>
          <w:spacing w:val="-19"/>
        </w:rPr>
        <w:t> </w:t>
      </w:r>
      <w:r>
        <w:rPr/>
        <w:t>Team.</w:t>
      </w:r>
    </w:p>
    <w:p>
      <w:pPr>
        <w:pStyle w:val="BodyText"/>
        <w:spacing w:before="11"/>
        <w:rPr>
          <w:sz w:val="21"/>
        </w:rPr>
      </w:pPr>
    </w:p>
    <w:p>
      <w:pPr>
        <w:pStyle w:val="BodyText"/>
        <w:ind w:left="1058" w:right="1135"/>
      </w:pPr>
      <w:r>
        <w:rPr/>
        <w:t>Second, each residential service has a licenser or certifier who makes on-site inspections of each residential site not less than once every eighteen months. Licensers and certifiers are either staff of Residential Care Services (RCS), contractors of RCS or DDA, or staff of Children’s Administration (for children’s residential service providers). Licensers and certifiers may cite non-compliance in their inspection reports and require remediation within a stated time frame. All RCS licensers and certifiers have received in-service trainings on HCBS settings requirements from RCS managers.</w:t>
      </w:r>
    </w:p>
    <w:p>
      <w:pPr>
        <w:pStyle w:val="ListParagraph"/>
        <w:numPr>
          <w:ilvl w:val="0"/>
          <w:numId w:val="29"/>
        </w:numPr>
        <w:tabs>
          <w:tab w:pos="1779" w:val="left" w:leader="none"/>
          <w:tab w:pos="1780" w:val="left" w:leader="none"/>
        </w:tabs>
        <w:spacing w:line="279" w:lineRule="exact" w:before="0" w:after="0"/>
        <w:ind w:left="1779" w:right="0" w:hanging="361"/>
        <w:jc w:val="left"/>
        <w:rPr>
          <w:sz w:val="22"/>
        </w:rPr>
      </w:pPr>
      <w:r>
        <w:rPr>
          <w:sz w:val="22"/>
        </w:rPr>
        <w:t>DDA Companion Homes are inspected and certified by DDA contracted</w:t>
      </w:r>
      <w:r>
        <w:rPr>
          <w:spacing w:val="-12"/>
          <w:sz w:val="22"/>
        </w:rPr>
        <w:t> </w:t>
      </w:r>
      <w:r>
        <w:rPr>
          <w:sz w:val="22"/>
        </w:rPr>
        <w:t>certifiers.</w:t>
      </w:r>
    </w:p>
    <w:p>
      <w:pPr>
        <w:pStyle w:val="ListParagraph"/>
        <w:numPr>
          <w:ilvl w:val="0"/>
          <w:numId w:val="29"/>
        </w:numPr>
        <w:tabs>
          <w:tab w:pos="1779" w:val="left" w:leader="none"/>
          <w:tab w:pos="1780" w:val="left" w:leader="none"/>
        </w:tabs>
        <w:spacing w:line="240" w:lineRule="auto" w:before="0" w:after="0"/>
        <w:ind w:left="1779" w:right="0" w:hanging="361"/>
        <w:jc w:val="left"/>
        <w:rPr>
          <w:sz w:val="22"/>
        </w:rPr>
      </w:pPr>
      <w:r>
        <w:rPr>
          <w:sz w:val="22"/>
        </w:rPr>
        <w:t>Supported Living providers are inspected and certified by RCS staff or RCS contracted</w:t>
      </w:r>
      <w:r>
        <w:rPr>
          <w:spacing w:val="-19"/>
          <w:sz w:val="22"/>
        </w:rPr>
        <w:t> </w:t>
      </w:r>
      <w:r>
        <w:rPr>
          <w:sz w:val="22"/>
        </w:rPr>
        <w:t>certifiers.</w:t>
      </w:r>
    </w:p>
    <w:p>
      <w:pPr>
        <w:pStyle w:val="BodyText"/>
        <w:spacing w:before="1"/>
        <w:ind w:left="1779" w:right="1250"/>
      </w:pPr>
      <w:r>
        <w:rPr/>
        <w:t>(In addition, the 19 Provider-owned supported living residences have been inspected by DDA Residential Quality Assurance staff and all provider-owned supported living residences were found to be in compliance with HCBS settings regulations..)</w:t>
      </w:r>
    </w:p>
    <w:p>
      <w:pPr>
        <w:pStyle w:val="ListParagraph"/>
        <w:numPr>
          <w:ilvl w:val="0"/>
          <w:numId w:val="29"/>
        </w:numPr>
        <w:tabs>
          <w:tab w:pos="1778" w:val="left" w:leader="none"/>
          <w:tab w:pos="1780" w:val="left" w:leader="none"/>
        </w:tabs>
        <w:spacing w:line="279" w:lineRule="exact" w:before="0" w:after="0"/>
        <w:ind w:left="1779" w:right="0" w:hanging="362"/>
        <w:jc w:val="left"/>
        <w:rPr>
          <w:sz w:val="22"/>
        </w:rPr>
      </w:pPr>
      <w:r>
        <w:rPr>
          <w:sz w:val="22"/>
        </w:rPr>
        <w:t>Group Homes and Group Training Homes are inspected and certified by RCS</w:t>
      </w:r>
      <w:r>
        <w:rPr>
          <w:spacing w:val="-13"/>
          <w:sz w:val="22"/>
        </w:rPr>
        <w:t> </w:t>
      </w:r>
      <w:r>
        <w:rPr>
          <w:sz w:val="22"/>
        </w:rPr>
        <w:t>staff.</w:t>
      </w:r>
    </w:p>
    <w:p>
      <w:pPr>
        <w:pStyle w:val="ListParagraph"/>
        <w:numPr>
          <w:ilvl w:val="0"/>
          <w:numId w:val="29"/>
        </w:numPr>
        <w:tabs>
          <w:tab w:pos="1778" w:val="left" w:leader="none"/>
          <w:tab w:pos="1780" w:val="left" w:leader="none"/>
        </w:tabs>
        <w:spacing w:line="279" w:lineRule="exact" w:before="0" w:after="0"/>
        <w:ind w:left="1779" w:right="0" w:hanging="362"/>
        <w:jc w:val="left"/>
        <w:rPr>
          <w:sz w:val="22"/>
        </w:rPr>
      </w:pPr>
      <w:r>
        <w:rPr>
          <w:sz w:val="22"/>
        </w:rPr>
        <w:t>Licensed staffed residential, Child Foster Care and Child Group Care Facilities are all inspected by Children’s Administration</w:t>
      </w:r>
      <w:r>
        <w:rPr>
          <w:spacing w:val="-32"/>
          <w:sz w:val="22"/>
        </w:rPr>
        <w:t> </w:t>
      </w:r>
      <w:r>
        <w:rPr>
          <w:sz w:val="22"/>
        </w:rPr>
        <w:t>licensers.</w:t>
      </w:r>
    </w:p>
    <w:p>
      <w:pPr>
        <w:pStyle w:val="ListParagraph"/>
        <w:numPr>
          <w:ilvl w:val="0"/>
          <w:numId w:val="29"/>
        </w:numPr>
        <w:tabs>
          <w:tab w:pos="1778" w:val="left" w:leader="none"/>
          <w:tab w:pos="1780" w:val="left" w:leader="none"/>
        </w:tabs>
        <w:spacing w:line="240" w:lineRule="auto" w:before="1" w:after="0"/>
        <w:ind w:left="1778" w:right="1366" w:hanging="360"/>
        <w:jc w:val="left"/>
        <w:rPr>
          <w:sz w:val="22"/>
        </w:rPr>
      </w:pPr>
      <w:r>
        <w:rPr>
          <w:sz w:val="22"/>
        </w:rPr>
        <w:t>DDA Individual and Group Supported Employment services operated by county-contracted employment vendors have work sites inspected by county staff or contracted staff; DDA Individual and Group Supported Employment services provided directly by counties are monitored by DDA</w:t>
      </w:r>
      <w:r>
        <w:rPr>
          <w:spacing w:val="-8"/>
          <w:sz w:val="22"/>
        </w:rPr>
        <w:t> </w:t>
      </w:r>
      <w:r>
        <w:rPr>
          <w:sz w:val="22"/>
        </w:rPr>
        <w:t>staff.</w:t>
      </w:r>
    </w:p>
    <w:p>
      <w:pPr>
        <w:pStyle w:val="ListParagraph"/>
        <w:numPr>
          <w:ilvl w:val="0"/>
          <w:numId w:val="29"/>
        </w:numPr>
        <w:tabs>
          <w:tab w:pos="1778" w:val="left" w:leader="none"/>
          <w:tab w:pos="1780" w:val="left" w:leader="none"/>
        </w:tabs>
        <w:spacing w:line="240" w:lineRule="auto" w:before="1" w:after="0"/>
        <w:ind w:left="1778" w:right="1271" w:hanging="360"/>
        <w:jc w:val="left"/>
        <w:rPr>
          <w:sz w:val="22"/>
        </w:rPr>
      </w:pPr>
      <w:r>
        <w:rPr>
          <w:sz w:val="22"/>
        </w:rPr>
        <w:t>DDA participants who receive Community Inclusion use this service to access their communities and meet their personal goals as outlined in their Person-Centered Service Plans; there are no fixed sites to assess. County staff monitor the performance of Community Inclusion</w:t>
      </w:r>
      <w:r>
        <w:rPr>
          <w:spacing w:val="-2"/>
          <w:sz w:val="22"/>
        </w:rPr>
        <w:t> </w:t>
      </w:r>
      <w:r>
        <w:rPr>
          <w:sz w:val="22"/>
        </w:rPr>
        <w:t>providers.</w:t>
      </w:r>
    </w:p>
    <w:p>
      <w:pPr>
        <w:pStyle w:val="BodyText"/>
        <w:spacing w:before="10"/>
        <w:rPr>
          <w:sz w:val="21"/>
        </w:rPr>
      </w:pPr>
    </w:p>
    <w:p>
      <w:pPr>
        <w:pStyle w:val="BodyText"/>
        <w:ind w:left="1058" w:right="1126"/>
      </w:pPr>
      <w:r>
        <w:rPr/>
        <w:t>Third, DDA has residential quality assurance staff who make unannounced visits to participants who receive residential services. If staff discovers non-compliance they will notify the appropriate licenser or certifier for follow-up.</w:t>
      </w:r>
    </w:p>
    <w:p>
      <w:pPr>
        <w:pStyle w:val="BodyText"/>
        <w:spacing w:before="2"/>
      </w:pPr>
    </w:p>
    <w:p>
      <w:pPr>
        <w:pStyle w:val="BodyText"/>
        <w:spacing w:after="14"/>
        <w:ind w:left="1059" w:right="1239"/>
      </w:pPr>
      <w:r>
        <w:rPr/>
        <w:t>Fourth, all employment work sites are subject to review by counties as part of the contracted oversight of their contracted employment service providers. DDA also has staff employment specialists who work with counties and their contracted employment service providers. If counties discover non-compliance they require remediation. DDA may provide contracted technical assistance to employment providers in need of guidance/training to achieve compliance. DDA staff perform oversight and monitoring of all counties.</w:t>
      </w: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0"/>
        </w:rPr>
      </w:pPr>
    </w:p>
    <w:p>
      <w:pPr>
        <w:pStyle w:val="BodyText"/>
        <w:spacing w:before="7"/>
        <w:rPr>
          <w:b/>
          <w:sz w:val="18"/>
        </w:rPr>
      </w:pPr>
    </w:p>
    <w:p>
      <w:pPr>
        <w:pStyle w:val="BodyText"/>
        <w:ind w:left="1060" w:right="1178"/>
        <w:jc w:val="both"/>
      </w:pPr>
      <w:r>
        <w:rPr/>
        <w:t>DDA will develop a database to track all reported instances of sites that are not in full compliance with HCBS settings requirements, remediation measures taken, and follow-up inspections to verify compliance. This database will include data from RCS databases together with DDA data so that DDA management will be able to monitor compliance and remediation efforts across all settings.</w:t>
      </w:r>
    </w:p>
    <w:p>
      <w:pPr>
        <w:pStyle w:val="BodyText"/>
        <w:spacing w:before="11"/>
        <w:rPr>
          <w:sz w:val="21"/>
        </w:rPr>
      </w:pPr>
    </w:p>
    <w:p>
      <w:pPr>
        <w:pStyle w:val="BodyText"/>
        <w:ind w:left="1059"/>
        <w:jc w:val="both"/>
      </w:pPr>
      <w:r>
        <w:rPr/>
        <w:t>DDA Settings that fully comply:</w:t>
      </w:r>
    </w:p>
    <w:p>
      <w:pPr>
        <w:pStyle w:val="BodyText"/>
        <w:spacing w:before="11"/>
        <w:rPr>
          <w:sz w:val="19"/>
        </w:rPr>
      </w:pPr>
    </w:p>
    <w:tbl>
      <w:tblPr>
        <w:tblW w:w="0" w:type="auto"/>
        <w:jc w:val="left"/>
        <w:tblInd w:w="2520" w:type="dxa"/>
        <w:tblBorders>
          <w:top w:val="single" w:sz="8" w:space="0" w:color="70B062"/>
          <w:left w:val="single" w:sz="8" w:space="0" w:color="70B062"/>
          <w:bottom w:val="single" w:sz="8" w:space="0" w:color="70B062"/>
          <w:right w:val="single" w:sz="8" w:space="0" w:color="70B062"/>
          <w:insideH w:val="single" w:sz="8" w:space="0" w:color="70B062"/>
          <w:insideV w:val="single" w:sz="8" w:space="0" w:color="70B062"/>
        </w:tblBorders>
        <w:tblLayout w:type="fixed"/>
        <w:tblCellMar>
          <w:top w:w="0" w:type="dxa"/>
          <w:left w:w="0" w:type="dxa"/>
          <w:bottom w:w="0" w:type="dxa"/>
          <w:right w:w="0" w:type="dxa"/>
        </w:tblCellMar>
        <w:tblLook w:val="01E0"/>
      </w:tblPr>
      <w:tblGrid>
        <w:gridCol w:w="4922"/>
        <w:gridCol w:w="1052"/>
        <w:gridCol w:w="910"/>
      </w:tblGrid>
      <w:tr>
        <w:trPr>
          <w:trHeight w:val="299" w:hRule="atLeast"/>
        </w:trPr>
        <w:tc>
          <w:tcPr>
            <w:tcW w:w="4922" w:type="dxa"/>
            <w:tcBorders>
              <w:right w:val="nil"/>
            </w:tcBorders>
            <w:shd w:val="clear" w:color="auto" w:fill="4E8542"/>
          </w:tcPr>
          <w:p>
            <w:pPr>
              <w:pStyle w:val="TableParagraph"/>
              <w:spacing w:line="267" w:lineRule="exact"/>
              <w:ind w:left="107"/>
              <w:rPr>
                <w:b/>
                <w:sz w:val="22"/>
              </w:rPr>
            </w:pPr>
            <w:r>
              <w:rPr>
                <w:b/>
                <w:color w:val="FFFFFF"/>
                <w:sz w:val="22"/>
              </w:rPr>
              <w:t>Setting</w:t>
            </w:r>
          </w:p>
        </w:tc>
        <w:tc>
          <w:tcPr>
            <w:tcW w:w="1052" w:type="dxa"/>
            <w:tcBorders>
              <w:left w:val="nil"/>
              <w:right w:val="nil"/>
            </w:tcBorders>
            <w:shd w:val="clear" w:color="auto" w:fill="4E8542"/>
          </w:tcPr>
          <w:p>
            <w:pPr>
              <w:pStyle w:val="TableParagraph"/>
              <w:spacing w:line="267" w:lineRule="exact"/>
              <w:ind w:right="232"/>
              <w:jc w:val="right"/>
              <w:rPr>
                <w:b/>
                <w:sz w:val="22"/>
              </w:rPr>
            </w:pPr>
            <w:r>
              <w:rPr>
                <w:b/>
                <w:color w:val="FFFFFF"/>
                <w:sz w:val="22"/>
              </w:rPr>
              <w:t>Clients</w:t>
            </w:r>
          </w:p>
        </w:tc>
        <w:tc>
          <w:tcPr>
            <w:tcW w:w="910" w:type="dxa"/>
            <w:tcBorders>
              <w:left w:val="nil"/>
            </w:tcBorders>
            <w:shd w:val="clear" w:color="auto" w:fill="4E8542"/>
          </w:tcPr>
          <w:p>
            <w:pPr>
              <w:pStyle w:val="TableParagraph"/>
              <w:spacing w:line="267" w:lineRule="exact"/>
              <w:ind w:left="208"/>
              <w:rPr>
                <w:b/>
                <w:sz w:val="22"/>
              </w:rPr>
            </w:pPr>
            <w:r>
              <w:rPr>
                <w:b/>
                <w:color w:val="FFFFFF"/>
                <w:sz w:val="22"/>
              </w:rPr>
              <w:t>Sites</w:t>
            </w:r>
          </w:p>
        </w:tc>
      </w:tr>
      <w:tr>
        <w:trPr>
          <w:trHeight w:val="301" w:hRule="atLeast"/>
        </w:trPr>
        <w:tc>
          <w:tcPr>
            <w:tcW w:w="4922" w:type="dxa"/>
            <w:tcBorders>
              <w:right w:val="nil"/>
            </w:tcBorders>
            <w:shd w:val="clear" w:color="auto" w:fill="D0E4CA"/>
          </w:tcPr>
          <w:p>
            <w:pPr>
              <w:pStyle w:val="TableParagraph"/>
              <w:spacing w:line="267" w:lineRule="exact"/>
              <w:ind w:left="107"/>
              <w:rPr>
                <w:sz w:val="22"/>
              </w:rPr>
            </w:pPr>
            <w:r>
              <w:rPr>
                <w:sz w:val="22"/>
              </w:rPr>
              <w:t>Community Inclusion</w:t>
            </w:r>
          </w:p>
        </w:tc>
        <w:tc>
          <w:tcPr>
            <w:tcW w:w="1052" w:type="dxa"/>
            <w:tcBorders>
              <w:left w:val="nil"/>
              <w:right w:val="nil"/>
            </w:tcBorders>
            <w:shd w:val="clear" w:color="auto" w:fill="D0E4CA"/>
          </w:tcPr>
          <w:p>
            <w:pPr>
              <w:pStyle w:val="TableParagraph"/>
              <w:spacing w:line="267" w:lineRule="exact"/>
              <w:ind w:right="185"/>
              <w:jc w:val="right"/>
              <w:rPr>
                <w:sz w:val="22"/>
              </w:rPr>
            </w:pPr>
            <w:r>
              <w:rPr>
                <w:sz w:val="22"/>
              </w:rPr>
              <w:t>982</w:t>
            </w:r>
          </w:p>
        </w:tc>
        <w:tc>
          <w:tcPr>
            <w:tcW w:w="910" w:type="dxa"/>
            <w:tcBorders>
              <w:left w:val="nil"/>
            </w:tcBorders>
            <w:shd w:val="clear" w:color="auto" w:fill="D0E4CA"/>
          </w:tcPr>
          <w:p>
            <w:pPr>
              <w:pStyle w:val="TableParagraph"/>
              <w:spacing w:line="267" w:lineRule="exact"/>
              <w:ind w:right="75"/>
              <w:jc w:val="right"/>
              <w:rPr>
                <w:sz w:val="22"/>
              </w:rPr>
            </w:pPr>
            <w:r>
              <w:rPr>
                <w:sz w:val="22"/>
              </w:rPr>
              <w:t>982</w:t>
            </w:r>
          </w:p>
        </w:tc>
      </w:tr>
      <w:tr>
        <w:trPr>
          <w:trHeight w:val="267" w:hRule="atLeast"/>
        </w:trPr>
        <w:tc>
          <w:tcPr>
            <w:tcW w:w="4922" w:type="dxa"/>
            <w:tcBorders>
              <w:right w:val="nil"/>
            </w:tcBorders>
          </w:tcPr>
          <w:p>
            <w:pPr>
              <w:pStyle w:val="TableParagraph"/>
              <w:spacing w:line="248" w:lineRule="exact"/>
              <w:ind w:left="107"/>
              <w:rPr>
                <w:sz w:val="22"/>
              </w:rPr>
            </w:pPr>
            <w:r>
              <w:rPr>
                <w:sz w:val="22"/>
              </w:rPr>
              <w:t>Supported Living Provider-owned</w:t>
            </w:r>
          </w:p>
        </w:tc>
        <w:tc>
          <w:tcPr>
            <w:tcW w:w="1052" w:type="dxa"/>
            <w:tcBorders>
              <w:left w:val="nil"/>
              <w:right w:val="nil"/>
            </w:tcBorders>
          </w:tcPr>
          <w:p>
            <w:pPr>
              <w:pStyle w:val="TableParagraph"/>
              <w:spacing w:line="248" w:lineRule="exact"/>
              <w:ind w:right="190"/>
              <w:jc w:val="right"/>
              <w:rPr>
                <w:sz w:val="22"/>
              </w:rPr>
            </w:pPr>
            <w:r>
              <w:rPr>
                <w:sz w:val="22"/>
              </w:rPr>
              <w:t>43</w:t>
            </w:r>
          </w:p>
        </w:tc>
        <w:tc>
          <w:tcPr>
            <w:tcW w:w="910" w:type="dxa"/>
            <w:tcBorders>
              <w:left w:val="nil"/>
            </w:tcBorders>
          </w:tcPr>
          <w:p>
            <w:pPr>
              <w:pStyle w:val="TableParagraph"/>
              <w:spacing w:line="248" w:lineRule="exact"/>
              <w:ind w:right="82"/>
              <w:jc w:val="right"/>
              <w:rPr>
                <w:sz w:val="22"/>
              </w:rPr>
            </w:pPr>
            <w:r>
              <w:rPr>
                <w:sz w:val="22"/>
              </w:rPr>
              <w:t>19</w:t>
            </w:r>
          </w:p>
        </w:tc>
      </w:tr>
      <w:tr>
        <w:trPr>
          <w:trHeight w:val="267" w:hRule="atLeast"/>
        </w:trPr>
        <w:tc>
          <w:tcPr>
            <w:tcW w:w="4922" w:type="dxa"/>
            <w:tcBorders>
              <w:right w:val="nil"/>
            </w:tcBorders>
            <w:shd w:val="clear" w:color="auto" w:fill="D0E4CA"/>
          </w:tcPr>
          <w:p>
            <w:pPr>
              <w:pStyle w:val="TableParagraph"/>
              <w:spacing w:line="248" w:lineRule="exact"/>
              <w:ind w:left="107"/>
              <w:rPr>
                <w:sz w:val="22"/>
              </w:rPr>
            </w:pPr>
            <w:r>
              <w:rPr>
                <w:sz w:val="22"/>
              </w:rPr>
              <w:t>Group Homes</w:t>
            </w:r>
          </w:p>
        </w:tc>
        <w:tc>
          <w:tcPr>
            <w:tcW w:w="1052" w:type="dxa"/>
            <w:tcBorders>
              <w:left w:val="nil"/>
              <w:right w:val="nil"/>
            </w:tcBorders>
            <w:shd w:val="clear" w:color="auto" w:fill="D0E4CA"/>
          </w:tcPr>
          <w:p>
            <w:pPr>
              <w:pStyle w:val="TableParagraph"/>
              <w:spacing w:line="248" w:lineRule="exact"/>
              <w:ind w:right="192"/>
              <w:jc w:val="right"/>
              <w:rPr>
                <w:sz w:val="22"/>
              </w:rPr>
            </w:pPr>
            <w:r>
              <w:rPr>
                <w:sz w:val="22"/>
              </w:rPr>
              <w:t>265</w:t>
            </w:r>
          </w:p>
        </w:tc>
        <w:tc>
          <w:tcPr>
            <w:tcW w:w="910" w:type="dxa"/>
            <w:tcBorders>
              <w:left w:val="nil"/>
            </w:tcBorders>
            <w:shd w:val="clear" w:color="auto" w:fill="D0E4CA"/>
          </w:tcPr>
          <w:p>
            <w:pPr>
              <w:pStyle w:val="TableParagraph"/>
              <w:spacing w:line="248" w:lineRule="exact"/>
              <w:ind w:right="82"/>
              <w:jc w:val="right"/>
              <w:rPr>
                <w:sz w:val="22"/>
              </w:rPr>
            </w:pPr>
            <w:r>
              <w:rPr>
                <w:sz w:val="22"/>
              </w:rPr>
              <w:t>45</w:t>
            </w:r>
          </w:p>
        </w:tc>
      </w:tr>
      <w:tr>
        <w:trPr>
          <w:trHeight w:val="270" w:hRule="atLeast"/>
        </w:trPr>
        <w:tc>
          <w:tcPr>
            <w:tcW w:w="4922" w:type="dxa"/>
            <w:tcBorders>
              <w:right w:val="nil"/>
            </w:tcBorders>
          </w:tcPr>
          <w:p>
            <w:pPr>
              <w:pStyle w:val="TableParagraph"/>
              <w:spacing w:line="249" w:lineRule="exact" w:before="1"/>
              <w:ind w:left="107"/>
              <w:rPr>
                <w:sz w:val="22"/>
              </w:rPr>
            </w:pPr>
            <w:r>
              <w:rPr>
                <w:sz w:val="22"/>
              </w:rPr>
              <w:t>Licensed Staffed Residential</w:t>
            </w:r>
          </w:p>
        </w:tc>
        <w:tc>
          <w:tcPr>
            <w:tcW w:w="1052" w:type="dxa"/>
            <w:tcBorders>
              <w:left w:val="nil"/>
              <w:right w:val="nil"/>
            </w:tcBorders>
          </w:tcPr>
          <w:p>
            <w:pPr>
              <w:pStyle w:val="TableParagraph"/>
              <w:spacing w:line="249" w:lineRule="exact" w:before="1"/>
              <w:ind w:right="190"/>
              <w:jc w:val="right"/>
              <w:rPr>
                <w:sz w:val="22"/>
              </w:rPr>
            </w:pPr>
            <w:r>
              <w:rPr>
                <w:sz w:val="22"/>
              </w:rPr>
              <w:t>90</w:t>
            </w:r>
          </w:p>
        </w:tc>
        <w:tc>
          <w:tcPr>
            <w:tcW w:w="910" w:type="dxa"/>
            <w:tcBorders>
              <w:left w:val="nil"/>
            </w:tcBorders>
          </w:tcPr>
          <w:p>
            <w:pPr>
              <w:pStyle w:val="TableParagraph"/>
              <w:spacing w:line="249" w:lineRule="exact" w:before="1"/>
              <w:ind w:right="82"/>
              <w:jc w:val="right"/>
              <w:rPr>
                <w:sz w:val="22"/>
              </w:rPr>
            </w:pPr>
            <w:r>
              <w:rPr>
                <w:sz w:val="22"/>
              </w:rPr>
              <w:t>35</w:t>
            </w:r>
          </w:p>
        </w:tc>
      </w:tr>
      <w:tr>
        <w:trPr>
          <w:trHeight w:val="267" w:hRule="atLeast"/>
        </w:trPr>
        <w:tc>
          <w:tcPr>
            <w:tcW w:w="4922" w:type="dxa"/>
            <w:tcBorders>
              <w:right w:val="nil"/>
            </w:tcBorders>
            <w:shd w:val="clear" w:color="auto" w:fill="D0E4CA"/>
          </w:tcPr>
          <w:p>
            <w:pPr>
              <w:pStyle w:val="TableParagraph"/>
              <w:spacing w:line="248" w:lineRule="exact"/>
              <w:ind w:left="107"/>
              <w:rPr>
                <w:sz w:val="22"/>
              </w:rPr>
            </w:pPr>
            <w:r>
              <w:rPr>
                <w:sz w:val="22"/>
              </w:rPr>
              <w:t>Child Foster Care</w:t>
            </w:r>
          </w:p>
        </w:tc>
        <w:tc>
          <w:tcPr>
            <w:tcW w:w="1052" w:type="dxa"/>
            <w:tcBorders>
              <w:left w:val="nil"/>
              <w:right w:val="nil"/>
            </w:tcBorders>
            <w:shd w:val="clear" w:color="auto" w:fill="D0E4CA"/>
          </w:tcPr>
          <w:p>
            <w:pPr>
              <w:pStyle w:val="TableParagraph"/>
              <w:spacing w:line="248" w:lineRule="exact"/>
              <w:ind w:right="190"/>
              <w:jc w:val="right"/>
              <w:rPr>
                <w:sz w:val="22"/>
              </w:rPr>
            </w:pPr>
            <w:r>
              <w:rPr>
                <w:sz w:val="22"/>
              </w:rPr>
              <w:t>12</w:t>
            </w:r>
          </w:p>
        </w:tc>
        <w:tc>
          <w:tcPr>
            <w:tcW w:w="910" w:type="dxa"/>
            <w:tcBorders>
              <w:left w:val="nil"/>
            </w:tcBorders>
            <w:shd w:val="clear" w:color="auto" w:fill="D0E4CA"/>
          </w:tcPr>
          <w:p>
            <w:pPr>
              <w:pStyle w:val="TableParagraph"/>
              <w:spacing w:line="248" w:lineRule="exact"/>
              <w:ind w:right="82"/>
              <w:jc w:val="right"/>
              <w:rPr>
                <w:sz w:val="22"/>
              </w:rPr>
            </w:pPr>
            <w:r>
              <w:rPr>
                <w:sz w:val="22"/>
              </w:rPr>
              <w:t>11</w:t>
            </w:r>
          </w:p>
        </w:tc>
      </w:tr>
      <w:tr>
        <w:trPr>
          <w:trHeight w:val="268" w:hRule="atLeast"/>
        </w:trPr>
        <w:tc>
          <w:tcPr>
            <w:tcW w:w="4922" w:type="dxa"/>
            <w:tcBorders>
              <w:right w:val="nil"/>
            </w:tcBorders>
          </w:tcPr>
          <w:p>
            <w:pPr>
              <w:pStyle w:val="TableParagraph"/>
              <w:spacing w:line="248" w:lineRule="exact"/>
              <w:ind w:left="107"/>
              <w:rPr>
                <w:sz w:val="22"/>
              </w:rPr>
            </w:pPr>
            <w:r>
              <w:rPr>
                <w:sz w:val="22"/>
              </w:rPr>
              <w:t>Group Foster Care</w:t>
            </w:r>
          </w:p>
        </w:tc>
        <w:tc>
          <w:tcPr>
            <w:tcW w:w="1052" w:type="dxa"/>
            <w:tcBorders>
              <w:left w:val="nil"/>
              <w:right w:val="nil"/>
            </w:tcBorders>
          </w:tcPr>
          <w:p>
            <w:pPr>
              <w:pStyle w:val="TableParagraph"/>
              <w:spacing w:line="248" w:lineRule="exact"/>
              <w:ind w:right="190"/>
              <w:jc w:val="right"/>
              <w:rPr>
                <w:sz w:val="22"/>
              </w:rPr>
            </w:pPr>
            <w:r>
              <w:rPr>
                <w:sz w:val="22"/>
              </w:rPr>
              <w:t>22</w:t>
            </w:r>
          </w:p>
        </w:tc>
        <w:tc>
          <w:tcPr>
            <w:tcW w:w="910" w:type="dxa"/>
            <w:tcBorders>
              <w:left w:val="nil"/>
            </w:tcBorders>
          </w:tcPr>
          <w:p>
            <w:pPr>
              <w:pStyle w:val="TableParagraph"/>
              <w:spacing w:line="248" w:lineRule="exact"/>
              <w:ind w:right="83"/>
              <w:jc w:val="right"/>
              <w:rPr>
                <w:sz w:val="22"/>
              </w:rPr>
            </w:pPr>
            <w:r>
              <w:rPr>
                <w:w w:val="100"/>
                <w:sz w:val="22"/>
              </w:rPr>
              <w:t>9</w:t>
            </w:r>
          </w:p>
        </w:tc>
      </w:tr>
      <w:tr>
        <w:trPr>
          <w:trHeight w:val="267" w:hRule="atLeast"/>
        </w:trPr>
        <w:tc>
          <w:tcPr>
            <w:tcW w:w="4922" w:type="dxa"/>
            <w:tcBorders>
              <w:right w:val="nil"/>
            </w:tcBorders>
            <w:shd w:val="clear" w:color="auto" w:fill="D0E4CA"/>
          </w:tcPr>
          <w:p>
            <w:pPr>
              <w:pStyle w:val="TableParagraph"/>
              <w:spacing w:line="248" w:lineRule="exact"/>
              <w:ind w:left="107"/>
              <w:rPr>
                <w:sz w:val="22"/>
              </w:rPr>
            </w:pPr>
            <w:r>
              <w:rPr>
                <w:sz w:val="22"/>
              </w:rPr>
              <w:t>Individual Supported Employment</w:t>
            </w:r>
          </w:p>
        </w:tc>
        <w:tc>
          <w:tcPr>
            <w:tcW w:w="1052" w:type="dxa"/>
            <w:tcBorders>
              <w:left w:val="nil"/>
              <w:right w:val="nil"/>
            </w:tcBorders>
            <w:shd w:val="clear" w:color="auto" w:fill="D0E4CA"/>
          </w:tcPr>
          <w:p>
            <w:pPr>
              <w:pStyle w:val="TableParagraph"/>
              <w:spacing w:line="248" w:lineRule="exact"/>
              <w:ind w:right="190"/>
              <w:jc w:val="right"/>
              <w:rPr>
                <w:sz w:val="22"/>
              </w:rPr>
            </w:pPr>
            <w:r>
              <w:rPr>
                <w:sz w:val="22"/>
              </w:rPr>
              <w:t>5,853</w:t>
            </w:r>
          </w:p>
        </w:tc>
        <w:tc>
          <w:tcPr>
            <w:tcW w:w="910" w:type="dxa"/>
            <w:tcBorders>
              <w:left w:val="nil"/>
            </w:tcBorders>
            <w:shd w:val="clear" w:color="auto" w:fill="D0E4CA"/>
          </w:tcPr>
          <w:p>
            <w:pPr>
              <w:pStyle w:val="TableParagraph"/>
              <w:spacing w:line="248" w:lineRule="exact"/>
              <w:ind w:right="82"/>
              <w:jc w:val="right"/>
              <w:rPr>
                <w:sz w:val="22"/>
              </w:rPr>
            </w:pPr>
            <w:r>
              <w:rPr>
                <w:sz w:val="22"/>
              </w:rPr>
              <w:t>5,853</w:t>
            </w:r>
          </w:p>
        </w:tc>
      </w:tr>
      <w:tr>
        <w:trPr>
          <w:trHeight w:val="270" w:hRule="atLeast"/>
        </w:trPr>
        <w:tc>
          <w:tcPr>
            <w:tcW w:w="4922" w:type="dxa"/>
            <w:tcBorders>
              <w:right w:val="nil"/>
            </w:tcBorders>
          </w:tcPr>
          <w:p>
            <w:pPr>
              <w:pStyle w:val="TableParagraph"/>
              <w:spacing w:line="249" w:lineRule="exact" w:before="1"/>
              <w:ind w:left="107"/>
              <w:rPr>
                <w:sz w:val="22"/>
              </w:rPr>
            </w:pPr>
            <w:r>
              <w:rPr>
                <w:sz w:val="22"/>
              </w:rPr>
              <w:t>Group Supported Employment</w:t>
            </w:r>
          </w:p>
        </w:tc>
        <w:tc>
          <w:tcPr>
            <w:tcW w:w="1052" w:type="dxa"/>
            <w:tcBorders>
              <w:left w:val="nil"/>
              <w:right w:val="nil"/>
            </w:tcBorders>
          </w:tcPr>
          <w:p>
            <w:pPr>
              <w:pStyle w:val="TableParagraph"/>
              <w:spacing w:line="249" w:lineRule="exact" w:before="1"/>
              <w:ind w:right="190"/>
              <w:jc w:val="right"/>
              <w:rPr>
                <w:sz w:val="22"/>
              </w:rPr>
            </w:pPr>
            <w:r>
              <w:rPr>
                <w:sz w:val="22"/>
              </w:rPr>
              <w:t>1,034</w:t>
            </w:r>
          </w:p>
        </w:tc>
        <w:tc>
          <w:tcPr>
            <w:tcW w:w="910" w:type="dxa"/>
            <w:tcBorders>
              <w:left w:val="nil"/>
            </w:tcBorders>
          </w:tcPr>
          <w:p>
            <w:pPr>
              <w:pStyle w:val="TableParagraph"/>
              <w:spacing w:line="249" w:lineRule="exact" w:before="1"/>
              <w:ind w:right="84"/>
              <w:jc w:val="right"/>
              <w:rPr>
                <w:sz w:val="22"/>
              </w:rPr>
            </w:pPr>
            <w:r>
              <w:rPr>
                <w:sz w:val="22"/>
              </w:rPr>
              <w:t>258</w:t>
            </w:r>
          </w:p>
        </w:tc>
      </w:tr>
      <w:tr>
        <w:trPr>
          <w:trHeight w:val="267" w:hRule="atLeast"/>
        </w:trPr>
        <w:tc>
          <w:tcPr>
            <w:tcW w:w="4922" w:type="dxa"/>
            <w:tcBorders>
              <w:right w:val="nil"/>
            </w:tcBorders>
            <w:shd w:val="clear" w:color="auto" w:fill="D0E4CA"/>
          </w:tcPr>
          <w:p>
            <w:pPr>
              <w:pStyle w:val="TableParagraph"/>
              <w:spacing w:line="248" w:lineRule="exact"/>
              <w:ind w:left="107"/>
              <w:rPr>
                <w:sz w:val="22"/>
              </w:rPr>
            </w:pPr>
            <w:r>
              <w:rPr>
                <w:sz w:val="22"/>
              </w:rPr>
              <w:t>Behavioral Health Stabilization Crisis Diversion Beds</w:t>
            </w:r>
          </w:p>
        </w:tc>
        <w:tc>
          <w:tcPr>
            <w:tcW w:w="1052" w:type="dxa"/>
            <w:tcBorders>
              <w:left w:val="nil"/>
              <w:right w:val="nil"/>
            </w:tcBorders>
            <w:shd w:val="clear" w:color="auto" w:fill="D0E4CA"/>
          </w:tcPr>
          <w:p>
            <w:pPr>
              <w:pStyle w:val="TableParagraph"/>
              <w:spacing w:line="248" w:lineRule="exact"/>
              <w:ind w:right="190"/>
              <w:jc w:val="right"/>
              <w:rPr>
                <w:sz w:val="22"/>
              </w:rPr>
            </w:pPr>
            <w:r>
              <w:rPr>
                <w:sz w:val="22"/>
              </w:rPr>
              <w:t>12</w:t>
            </w:r>
          </w:p>
        </w:tc>
        <w:tc>
          <w:tcPr>
            <w:tcW w:w="910" w:type="dxa"/>
            <w:tcBorders>
              <w:left w:val="nil"/>
            </w:tcBorders>
            <w:shd w:val="clear" w:color="auto" w:fill="D0E4CA"/>
          </w:tcPr>
          <w:p>
            <w:pPr>
              <w:pStyle w:val="TableParagraph"/>
              <w:spacing w:line="248" w:lineRule="exact"/>
              <w:ind w:right="83"/>
              <w:jc w:val="right"/>
              <w:rPr>
                <w:sz w:val="22"/>
              </w:rPr>
            </w:pPr>
            <w:r>
              <w:rPr>
                <w:w w:val="100"/>
                <w:sz w:val="22"/>
              </w:rPr>
              <w:t>8</w:t>
            </w:r>
          </w:p>
        </w:tc>
      </w:tr>
      <w:tr>
        <w:trPr>
          <w:trHeight w:val="267" w:hRule="atLeast"/>
        </w:trPr>
        <w:tc>
          <w:tcPr>
            <w:tcW w:w="4922" w:type="dxa"/>
            <w:tcBorders>
              <w:right w:val="nil"/>
            </w:tcBorders>
          </w:tcPr>
          <w:p>
            <w:pPr>
              <w:pStyle w:val="TableParagraph"/>
              <w:spacing w:line="248" w:lineRule="exact"/>
              <w:ind w:left="107"/>
              <w:rPr>
                <w:sz w:val="22"/>
              </w:rPr>
            </w:pPr>
            <w:r>
              <w:rPr>
                <w:sz w:val="22"/>
              </w:rPr>
              <w:t>Group Training Homes</w:t>
            </w:r>
          </w:p>
        </w:tc>
        <w:tc>
          <w:tcPr>
            <w:tcW w:w="1052" w:type="dxa"/>
            <w:tcBorders>
              <w:left w:val="nil"/>
              <w:right w:val="nil"/>
            </w:tcBorders>
          </w:tcPr>
          <w:p>
            <w:pPr>
              <w:pStyle w:val="TableParagraph"/>
              <w:spacing w:line="248" w:lineRule="exact"/>
              <w:ind w:right="190"/>
              <w:jc w:val="right"/>
              <w:rPr>
                <w:sz w:val="22"/>
              </w:rPr>
            </w:pPr>
            <w:r>
              <w:rPr>
                <w:sz w:val="22"/>
              </w:rPr>
              <w:t>20</w:t>
            </w:r>
          </w:p>
        </w:tc>
        <w:tc>
          <w:tcPr>
            <w:tcW w:w="910" w:type="dxa"/>
            <w:tcBorders>
              <w:left w:val="nil"/>
            </w:tcBorders>
          </w:tcPr>
          <w:p>
            <w:pPr>
              <w:pStyle w:val="TableParagraph"/>
              <w:spacing w:line="248" w:lineRule="exact"/>
              <w:ind w:right="83"/>
              <w:jc w:val="right"/>
              <w:rPr>
                <w:sz w:val="22"/>
              </w:rPr>
            </w:pPr>
            <w:r>
              <w:rPr>
                <w:w w:val="100"/>
                <w:sz w:val="22"/>
              </w:rPr>
              <w:t>2</w:t>
            </w:r>
          </w:p>
        </w:tc>
      </w:tr>
      <w:tr>
        <w:trPr>
          <w:trHeight w:val="270" w:hRule="atLeast"/>
        </w:trPr>
        <w:tc>
          <w:tcPr>
            <w:tcW w:w="4922" w:type="dxa"/>
            <w:tcBorders>
              <w:right w:val="nil"/>
            </w:tcBorders>
            <w:shd w:val="clear" w:color="auto" w:fill="D0E4CA"/>
          </w:tcPr>
          <w:p>
            <w:pPr>
              <w:pStyle w:val="TableParagraph"/>
              <w:spacing w:line="250" w:lineRule="exact"/>
              <w:ind w:left="107"/>
              <w:rPr>
                <w:sz w:val="22"/>
              </w:rPr>
            </w:pPr>
            <w:r>
              <w:rPr>
                <w:sz w:val="22"/>
              </w:rPr>
              <w:t>Companion Homes</w:t>
            </w:r>
          </w:p>
        </w:tc>
        <w:tc>
          <w:tcPr>
            <w:tcW w:w="1052" w:type="dxa"/>
            <w:tcBorders>
              <w:left w:val="nil"/>
              <w:right w:val="nil"/>
            </w:tcBorders>
            <w:shd w:val="clear" w:color="auto" w:fill="D0E4CA"/>
          </w:tcPr>
          <w:p>
            <w:pPr>
              <w:pStyle w:val="TableParagraph"/>
              <w:spacing w:line="250" w:lineRule="exact"/>
              <w:ind w:right="190"/>
              <w:jc w:val="right"/>
              <w:rPr>
                <w:sz w:val="22"/>
              </w:rPr>
            </w:pPr>
            <w:r>
              <w:rPr>
                <w:sz w:val="22"/>
              </w:rPr>
              <w:t>68</w:t>
            </w:r>
          </w:p>
        </w:tc>
        <w:tc>
          <w:tcPr>
            <w:tcW w:w="910" w:type="dxa"/>
            <w:tcBorders>
              <w:left w:val="nil"/>
            </w:tcBorders>
            <w:shd w:val="clear" w:color="auto" w:fill="D0E4CA"/>
          </w:tcPr>
          <w:p>
            <w:pPr>
              <w:pStyle w:val="TableParagraph"/>
              <w:spacing w:line="250" w:lineRule="exact"/>
              <w:ind w:right="82"/>
              <w:jc w:val="right"/>
              <w:rPr>
                <w:sz w:val="22"/>
              </w:rPr>
            </w:pPr>
            <w:r>
              <w:rPr>
                <w:sz w:val="22"/>
              </w:rPr>
              <w:t>68</w:t>
            </w:r>
          </w:p>
        </w:tc>
      </w:tr>
    </w:tbl>
    <w:p>
      <w:pPr>
        <w:pStyle w:val="BodyText"/>
        <w:spacing w:before="9"/>
        <w:rPr>
          <w:sz w:val="21"/>
        </w:rPr>
      </w:pPr>
    </w:p>
    <w:p>
      <w:pPr>
        <w:pStyle w:val="ListParagraph"/>
        <w:numPr>
          <w:ilvl w:val="1"/>
          <w:numId w:val="29"/>
        </w:numPr>
        <w:tabs>
          <w:tab w:pos="2140" w:val="left" w:leader="none"/>
          <w:tab w:pos="2141" w:val="left" w:leader="none"/>
        </w:tabs>
        <w:spacing w:line="240" w:lineRule="auto" w:before="0" w:after="0"/>
        <w:ind w:left="2140" w:right="0" w:hanging="361"/>
        <w:jc w:val="left"/>
        <w:rPr>
          <w:sz w:val="22"/>
        </w:rPr>
      </w:pPr>
      <w:r>
        <w:rPr>
          <w:sz w:val="22"/>
        </w:rPr>
        <w:t>Specialized Psychiatric</w:t>
      </w:r>
      <w:r>
        <w:rPr>
          <w:spacing w:val="-2"/>
          <w:sz w:val="22"/>
        </w:rPr>
        <w:t> </w:t>
      </w:r>
      <w:r>
        <w:rPr>
          <w:sz w:val="22"/>
        </w:rPr>
        <w:t>Services</w:t>
      </w:r>
    </w:p>
    <w:p>
      <w:pPr>
        <w:pStyle w:val="ListParagraph"/>
        <w:numPr>
          <w:ilvl w:val="1"/>
          <w:numId w:val="29"/>
        </w:numPr>
        <w:tabs>
          <w:tab w:pos="2140" w:val="left" w:leader="none"/>
          <w:tab w:pos="2141" w:val="left" w:leader="none"/>
        </w:tabs>
        <w:spacing w:line="240" w:lineRule="auto" w:before="1" w:after="0"/>
        <w:ind w:left="2140" w:right="0" w:hanging="361"/>
        <w:jc w:val="left"/>
        <w:rPr>
          <w:sz w:val="22"/>
        </w:rPr>
      </w:pPr>
      <w:r>
        <w:rPr>
          <w:sz w:val="22"/>
        </w:rPr>
        <w:t>Positive Behavior Support &amp;</w:t>
      </w:r>
      <w:r>
        <w:rPr>
          <w:spacing w:val="-3"/>
          <w:sz w:val="22"/>
        </w:rPr>
        <w:t> </w:t>
      </w:r>
      <w:r>
        <w:rPr>
          <w:sz w:val="22"/>
        </w:rPr>
        <w:t>Consultation</w:t>
      </w:r>
    </w:p>
    <w:p>
      <w:pPr>
        <w:pStyle w:val="ListParagraph"/>
        <w:numPr>
          <w:ilvl w:val="1"/>
          <w:numId w:val="29"/>
        </w:numPr>
        <w:tabs>
          <w:tab w:pos="2140" w:val="left" w:leader="none"/>
          <w:tab w:pos="2141" w:val="left" w:leader="none"/>
        </w:tabs>
        <w:spacing w:line="676" w:lineRule="auto" w:before="1" w:after="0"/>
        <w:ind w:left="1059" w:right="9498" w:firstLine="720"/>
        <w:jc w:val="left"/>
        <w:rPr>
          <w:sz w:val="22"/>
        </w:rPr>
      </w:pPr>
      <w:r>
        <w:rPr/>
        <w:pict>
          <v:shape style="position:absolute;margin-left:144.960007pt;margin-top:64.98188pt;width:336.6pt;height:29.9pt;mso-position-horizontal-relative:page;mso-position-vertical-relative:paragraph;z-index:251842560" type="#_x0000_t202" filled="false" stroked="false">
            <v:textbox inset="0,0,0,0">
              <w:txbxContent>
                <w:tbl>
                  <w:tblPr>
                    <w:tblW w:w="0" w:type="auto"/>
                    <w:jc w:val="left"/>
                    <w:tblInd w:w="10" w:type="dxa"/>
                    <w:tblBorders>
                      <w:top w:val="single" w:sz="8" w:space="0" w:color="CF4654"/>
                      <w:left w:val="single" w:sz="8" w:space="0" w:color="CF4654"/>
                      <w:bottom w:val="single" w:sz="8" w:space="0" w:color="CF4654"/>
                      <w:right w:val="single" w:sz="8" w:space="0" w:color="CF4654"/>
                      <w:insideH w:val="single" w:sz="8" w:space="0" w:color="CF4654"/>
                      <w:insideV w:val="single" w:sz="8" w:space="0" w:color="CF4654"/>
                    </w:tblBorders>
                    <w:tblLayout w:type="fixed"/>
                    <w:tblCellMar>
                      <w:top w:w="0" w:type="dxa"/>
                      <w:left w:w="0" w:type="dxa"/>
                      <w:bottom w:w="0" w:type="dxa"/>
                      <w:right w:w="0" w:type="dxa"/>
                    </w:tblCellMar>
                    <w:tblLook w:val="01E0"/>
                  </w:tblPr>
                  <w:tblGrid>
                    <w:gridCol w:w="3653"/>
                    <w:gridCol w:w="2244"/>
                    <w:gridCol w:w="807"/>
                  </w:tblGrid>
                  <w:tr>
                    <w:trPr>
                      <w:trHeight w:val="268" w:hRule="atLeast"/>
                    </w:trPr>
                    <w:tc>
                      <w:tcPr>
                        <w:tcW w:w="3653" w:type="dxa"/>
                        <w:tcBorders>
                          <w:right w:val="nil"/>
                        </w:tcBorders>
                        <w:shd w:val="clear" w:color="auto" w:fill="9F2936"/>
                      </w:tcPr>
                      <w:p>
                        <w:pPr>
                          <w:pStyle w:val="TableParagraph"/>
                          <w:spacing w:line="248" w:lineRule="exact"/>
                          <w:ind w:left="107"/>
                          <w:rPr>
                            <w:b/>
                            <w:sz w:val="22"/>
                          </w:rPr>
                        </w:pPr>
                        <w:r>
                          <w:rPr>
                            <w:b/>
                            <w:color w:val="FFFFFF"/>
                            <w:sz w:val="22"/>
                          </w:rPr>
                          <w:t>Setting</w:t>
                        </w:r>
                      </w:p>
                    </w:tc>
                    <w:tc>
                      <w:tcPr>
                        <w:tcW w:w="2244" w:type="dxa"/>
                        <w:tcBorders>
                          <w:left w:val="nil"/>
                          <w:right w:val="nil"/>
                        </w:tcBorders>
                        <w:shd w:val="clear" w:color="auto" w:fill="9F2936"/>
                      </w:tcPr>
                      <w:p>
                        <w:pPr>
                          <w:pStyle w:val="TableParagraph"/>
                          <w:spacing w:line="248" w:lineRule="exact"/>
                          <w:ind w:left="1439" w:right="147"/>
                          <w:jc w:val="center"/>
                          <w:rPr>
                            <w:b/>
                            <w:sz w:val="22"/>
                          </w:rPr>
                        </w:pPr>
                        <w:r>
                          <w:rPr>
                            <w:b/>
                            <w:color w:val="FFFFFF"/>
                            <w:sz w:val="22"/>
                          </w:rPr>
                          <w:t>Clients</w:t>
                        </w:r>
                      </w:p>
                    </w:tc>
                    <w:tc>
                      <w:tcPr>
                        <w:tcW w:w="807" w:type="dxa"/>
                        <w:tcBorders>
                          <w:left w:val="nil"/>
                        </w:tcBorders>
                        <w:shd w:val="clear" w:color="auto" w:fill="9F2936"/>
                      </w:tcPr>
                      <w:p>
                        <w:pPr>
                          <w:pStyle w:val="TableParagraph"/>
                          <w:spacing w:line="248" w:lineRule="exact"/>
                          <w:ind w:left="164" w:right="159"/>
                          <w:jc w:val="center"/>
                          <w:rPr>
                            <w:b/>
                            <w:sz w:val="22"/>
                          </w:rPr>
                        </w:pPr>
                        <w:r>
                          <w:rPr>
                            <w:b/>
                            <w:color w:val="FFFFFF"/>
                            <w:sz w:val="22"/>
                          </w:rPr>
                          <w:t>Sites</w:t>
                        </w:r>
                      </w:p>
                    </w:tc>
                  </w:tr>
                  <w:tr>
                    <w:trPr>
                      <w:trHeight w:val="270" w:hRule="atLeast"/>
                    </w:trPr>
                    <w:tc>
                      <w:tcPr>
                        <w:tcW w:w="3653" w:type="dxa"/>
                        <w:tcBorders>
                          <w:right w:val="nil"/>
                        </w:tcBorders>
                        <w:shd w:val="clear" w:color="auto" w:fill="EEC2C5"/>
                      </w:tcPr>
                      <w:p>
                        <w:pPr>
                          <w:pStyle w:val="TableParagraph"/>
                          <w:spacing w:line="250" w:lineRule="exact"/>
                          <w:ind w:left="107"/>
                          <w:rPr>
                            <w:sz w:val="22"/>
                          </w:rPr>
                        </w:pPr>
                        <w:r>
                          <w:rPr>
                            <w:sz w:val="22"/>
                          </w:rPr>
                          <w:t>Pre-Vocational Services</w:t>
                        </w:r>
                      </w:p>
                    </w:tc>
                    <w:tc>
                      <w:tcPr>
                        <w:tcW w:w="2244" w:type="dxa"/>
                        <w:tcBorders>
                          <w:left w:val="nil"/>
                          <w:right w:val="nil"/>
                        </w:tcBorders>
                        <w:shd w:val="clear" w:color="auto" w:fill="EEC2C5"/>
                      </w:tcPr>
                      <w:p>
                        <w:pPr>
                          <w:pStyle w:val="TableParagraph"/>
                          <w:spacing w:line="250" w:lineRule="exact"/>
                          <w:ind w:left="1437" w:right="147"/>
                          <w:jc w:val="center"/>
                          <w:rPr>
                            <w:sz w:val="22"/>
                          </w:rPr>
                        </w:pPr>
                        <w:r>
                          <w:rPr>
                            <w:sz w:val="22"/>
                          </w:rPr>
                          <w:t>148</w:t>
                        </w:r>
                      </w:p>
                    </w:tc>
                    <w:tc>
                      <w:tcPr>
                        <w:tcW w:w="807" w:type="dxa"/>
                        <w:tcBorders>
                          <w:left w:val="nil"/>
                        </w:tcBorders>
                        <w:shd w:val="clear" w:color="auto" w:fill="EEC2C5"/>
                      </w:tcPr>
                      <w:p>
                        <w:pPr>
                          <w:pStyle w:val="TableParagraph"/>
                          <w:spacing w:line="250" w:lineRule="exact"/>
                          <w:ind w:left="5"/>
                          <w:jc w:val="center"/>
                          <w:rPr>
                            <w:sz w:val="22"/>
                          </w:rPr>
                        </w:pPr>
                        <w:r>
                          <w:rPr>
                            <w:w w:val="100"/>
                            <w:sz w:val="22"/>
                          </w:rPr>
                          <w:t>9</w:t>
                        </w:r>
                      </w:p>
                    </w:tc>
                  </w:tr>
                </w:tbl>
                <w:p>
                  <w:pPr>
                    <w:pStyle w:val="BodyText"/>
                  </w:pPr>
                </w:p>
              </w:txbxContent>
            </v:textbox>
            <w10:wrap type="none"/>
          </v:shape>
        </w:pict>
      </w:r>
      <w:r>
        <w:rPr>
          <w:sz w:val="22"/>
        </w:rPr>
        <w:t>Community Crisis Stabilization Services DDA Settings that cannot</w:t>
      </w:r>
      <w:r>
        <w:rPr>
          <w:spacing w:val="-4"/>
          <w:sz w:val="22"/>
        </w:rPr>
        <w:t> </w:t>
      </w:r>
      <w:r>
        <w:rPr>
          <w:sz w:val="22"/>
        </w:rPr>
        <w:t>comply:</w:t>
      </w:r>
    </w:p>
    <w:p>
      <w:pPr>
        <w:pStyle w:val="BodyText"/>
      </w:pPr>
    </w:p>
    <w:p>
      <w:pPr>
        <w:pStyle w:val="BodyText"/>
      </w:pPr>
    </w:p>
    <w:p>
      <w:pPr>
        <w:pStyle w:val="BodyText"/>
        <w:spacing w:before="9"/>
        <w:rPr>
          <w:sz w:val="27"/>
        </w:rPr>
      </w:pPr>
    </w:p>
    <w:p>
      <w:pPr>
        <w:pStyle w:val="BodyText"/>
        <w:spacing w:line="273" w:lineRule="auto"/>
        <w:ind w:left="1060" w:right="1859"/>
      </w:pPr>
      <w:r>
        <w:rPr/>
        <w:t>DDA Settings that are presumed to have the qualities of an institution, but for which the state will submit evidence for the application of heightened scrutiny:</w:t>
      </w: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7"/>
        <w:rPr>
          <w:b/>
          <w:sz w:val="16"/>
        </w:rPr>
      </w:pPr>
    </w:p>
    <w:p>
      <w:pPr>
        <w:pStyle w:val="ListParagraph"/>
        <w:numPr>
          <w:ilvl w:val="1"/>
          <w:numId w:val="29"/>
        </w:numPr>
        <w:tabs>
          <w:tab w:pos="2140" w:val="left" w:leader="none"/>
          <w:tab w:pos="2141" w:val="left" w:leader="none"/>
        </w:tabs>
        <w:spacing w:line="240" w:lineRule="auto" w:before="0" w:after="0"/>
        <w:ind w:left="2140" w:right="0" w:hanging="361"/>
        <w:jc w:val="left"/>
        <w:rPr>
          <w:sz w:val="22"/>
        </w:rPr>
      </w:pPr>
      <w:r>
        <w:rPr>
          <w:sz w:val="22"/>
        </w:rPr>
        <w:t>One</w:t>
      </w:r>
      <w:r>
        <w:rPr>
          <w:spacing w:val="1"/>
          <w:sz w:val="22"/>
        </w:rPr>
        <w:t> </w:t>
      </w:r>
      <w:r>
        <w:rPr>
          <w:sz w:val="22"/>
        </w:rPr>
        <w:t>known</w:t>
      </w:r>
    </w:p>
    <w:p>
      <w:pPr>
        <w:pStyle w:val="BodyText"/>
      </w:pPr>
    </w:p>
    <w:p>
      <w:pPr>
        <w:pStyle w:val="BodyText"/>
        <w:spacing w:line="276" w:lineRule="auto" w:before="1"/>
        <w:ind w:left="1059" w:right="1088"/>
      </w:pPr>
      <w:r>
        <w:rPr/>
        <w:t>CMS presumes certain settings have the qualities of an institution, and applies “heightened scrutiny” to these settings. Such settings include those in a publicly or privately-owned facility that provides inpatient treatment; are on the grounds of or immediately adjacent to, a public institution; or that have the effect of isolating individuals. For these settings, the state is provided the opportunity to provide information to CMS on whether the setting has the qualities of a home and community-based setting and does not have the qualities of an institution.</w:t>
      </w:r>
    </w:p>
    <w:p>
      <w:pPr>
        <w:pStyle w:val="BodyText"/>
        <w:spacing w:before="9"/>
        <w:rPr>
          <w:sz w:val="19"/>
        </w:rPr>
      </w:pPr>
    </w:p>
    <w:p>
      <w:pPr>
        <w:spacing w:before="0"/>
        <w:ind w:left="1060" w:right="0" w:firstLine="0"/>
        <w:jc w:val="left"/>
        <w:rPr>
          <w:b/>
          <w:sz w:val="28"/>
        </w:rPr>
      </w:pPr>
      <w:bookmarkStart w:name="Ongoing evaluation of all settings for H" w:id="89"/>
      <w:bookmarkEnd w:id="89"/>
      <w:r>
        <w:rPr/>
      </w:r>
      <w:bookmarkStart w:name="_bookmark41" w:id="90"/>
      <w:bookmarkEnd w:id="90"/>
      <w:r>
        <w:rPr/>
      </w:r>
      <w:r>
        <w:rPr>
          <w:b/>
          <w:sz w:val="28"/>
        </w:rPr>
        <w:t>Ongoing evaluation of all settings for HCBS characteristics</w:t>
      </w:r>
    </w:p>
    <w:p>
      <w:pPr>
        <w:pStyle w:val="BodyText"/>
        <w:spacing w:before="169"/>
        <w:ind w:left="1059" w:right="1137"/>
      </w:pPr>
      <w:r>
        <w:rPr/>
        <w:t>All settings must meet the HCBS final federal rule. Where noted in the “Analysis by Setting” section, the State is using WAC 388-823-1095 as an overarching rule to ensure DDA settings compliance</w:t>
      </w:r>
      <w:r>
        <w:rPr>
          <w:color w:val="1F487C"/>
        </w:rPr>
        <w:t>. </w:t>
      </w:r>
      <w:r>
        <w:rPr/>
        <w:t>The State evaluates settings for HCBS characteristics during the monitoring process completed by the monitoring entity. During this process, sites or homes receive an on-site review, interviews are completed with participants, staff, and administrators as appropriate to the setting, and a visual review of the home or facility, and client record reviews are completed. A more comprehensive outline of the rules and regulations used during monitoring activities of provider owned settings is provided in Appendix B.</w:t>
      </w:r>
    </w:p>
    <w:p>
      <w:pPr>
        <w:pStyle w:val="BodyText"/>
        <w:spacing w:before="11"/>
        <w:rPr>
          <w:sz w:val="21"/>
        </w:rPr>
      </w:pPr>
    </w:p>
    <w:p>
      <w:pPr>
        <w:pStyle w:val="BodyText"/>
        <w:ind w:left="1058" w:right="1111"/>
      </w:pPr>
      <w:r>
        <w:rPr/>
        <w:t>During subsequent monitoring visits, if information received from beneficiaries differs from that received from providers, an investigation will be conducted by the monitoring entity to ensure safety, wellbeing, and adherence to all HCBS rules and regulations. When provider issues are identified, a corrective action plan is required.</w:t>
      </w:r>
    </w:p>
    <w:p>
      <w:pPr>
        <w:pStyle w:val="BodyText"/>
      </w:pPr>
    </w:p>
    <w:p>
      <w:pPr>
        <w:pStyle w:val="BodyText"/>
        <w:spacing w:before="1"/>
        <w:ind w:left="1058" w:right="1135"/>
      </w:pPr>
      <w:r>
        <w:rPr/>
        <w:t>To assist in evaluating provider owned settings, an existing RCS report is being revised to track and trend RCS facility citations for non- compliance. When issues are identified through this report, the state will develop and implement an improvement plan to address systemic issues.</w:t>
      </w:r>
    </w:p>
    <w:p>
      <w:pPr>
        <w:pStyle w:val="BodyText"/>
        <w:spacing w:before="10"/>
        <w:rPr>
          <w:sz w:val="21"/>
        </w:rPr>
      </w:pPr>
    </w:p>
    <w:p>
      <w:pPr>
        <w:pStyle w:val="BodyText"/>
        <w:ind w:left="1058" w:right="1135"/>
      </w:pPr>
      <w:r>
        <w:rPr/>
        <w:t>Additionally, DDA is developing a database to track all reported instances of sites that are not in full compliance with HCBS settings requirements, remediation measures taken, and follow-up inspections to verify compliance. This database and data from RCS databases will allow for monitoring compliance across all settings.</w:t>
      </w:r>
    </w:p>
    <w:p>
      <w:pPr>
        <w:pStyle w:val="BodyText"/>
        <w:spacing w:before="2"/>
        <w:rPr>
          <w:sz w:val="24"/>
        </w:rPr>
      </w:pPr>
    </w:p>
    <w:p>
      <w:pPr>
        <w:spacing w:before="0"/>
        <w:ind w:left="1060" w:right="0" w:firstLine="0"/>
        <w:jc w:val="left"/>
        <w:rPr>
          <w:b/>
          <w:sz w:val="28"/>
        </w:rPr>
      </w:pPr>
      <w:r>
        <w:rPr>
          <w:b/>
          <w:sz w:val="28"/>
        </w:rPr>
        <w:t>Remediation</w:t>
      </w:r>
    </w:p>
    <w:p>
      <w:pPr>
        <w:pStyle w:val="BodyText"/>
        <w:rPr>
          <w:b/>
          <w:sz w:val="28"/>
        </w:rPr>
      </w:pPr>
    </w:p>
    <w:p>
      <w:pPr>
        <w:pStyle w:val="BodyText"/>
        <w:ind w:left="1060" w:right="1135" w:hanging="1"/>
      </w:pPr>
      <w:r>
        <w:rPr/>
        <w:t>For settings who fail to meet any of the HCBS requirements, outcomes of the licensing/certification processes include citations and/or enforcement actions taken on non-compliant providers (such as plans of correction, shortened timelines for certification, fines, and certification/license revocation). For repeat violations, progressive disciplinary actions will be taken depending on the severity of the violation.</w:t>
      </w:r>
    </w:p>
    <w:p>
      <w:pPr>
        <w:pStyle w:val="BodyText"/>
        <w:spacing w:before="10"/>
        <w:rPr>
          <w:sz w:val="24"/>
        </w:rPr>
      </w:pPr>
      <w:r>
        <w:rPr/>
        <w:pict>
          <v:shape style="position:absolute;margin-left:70.559998pt;margin-top:17.363543pt;width:650.9pt;height:.1pt;mso-position-horizontal-relative:page;mso-position-vertical-relative:paragraph;z-index:-251472896;mso-wrap-distance-left:0;mso-wrap-distance-right:0" coordorigin="1411,347" coordsize="13018,0" path="m1411,347l14429,347e" filled="false" stroked="true" strokeweight=".481pt" strokecolor="#d9d9d9">
            <v:path arrowok="t"/>
            <v:stroke dashstyle="solid"/>
            <w10:wrap type="topAndBottom"/>
          </v:shape>
        </w:pict>
      </w:r>
    </w:p>
    <w:p>
      <w:pPr>
        <w:spacing w:after="0"/>
        <w:rPr>
          <w:sz w:val="2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12"/>
        </w:rPr>
      </w:pPr>
    </w:p>
    <w:p>
      <w:pPr>
        <w:pStyle w:val="BodyText"/>
        <w:spacing w:before="56"/>
        <w:ind w:left="1059" w:right="1329"/>
      </w:pPr>
      <w:r>
        <w:rPr/>
        <w:t>In addition, system issues are addressed through training of providers, revision of laws and rules, and strengthening of licensing requirements. ALTSA and DDA are revising reports to track and trend issues that arise regarding participant rights. This information is used by the RCS Management Team, HCS Management Team, DDA Management team, and an ALTSA-wide executive management committee to address systemic issues through Quality Improvement projects.</w:t>
      </w:r>
    </w:p>
    <w:p>
      <w:pPr>
        <w:pStyle w:val="BodyText"/>
        <w:rPr>
          <w:sz w:val="28"/>
        </w:rPr>
      </w:pPr>
    </w:p>
    <w:p>
      <w:pPr>
        <w:pStyle w:val="BodyText"/>
        <w:ind w:left="1060" w:right="1617"/>
        <w:jc w:val="both"/>
      </w:pPr>
      <w:r>
        <w:rPr/>
        <w:t>When providers are unable to come into compliance with the HCBS rules (or other rules and regulations that pose a health or safety risk to residents), RCS or DDA will revoke the license and/or contract of the facility. When a facility’s license is revoked, ALTSA and DDA follow the procedures for resident relocations outlined above on page 17 of this document.</w:t>
      </w:r>
    </w:p>
    <w:p>
      <w:pPr>
        <w:pStyle w:val="BodyText"/>
        <w:rPr>
          <w:sz w:val="24"/>
        </w:rPr>
      </w:pPr>
    </w:p>
    <w:p>
      <w:pPr>
        <w:spacing w:line="293" w:lineRule="exact" w:before="1"/>
        <w:ind w:left="1060" w:right="0" w:firstLine="0"/>
        <w:jc w:val="left"/>
        <w:rPr>
          <w:b/>
          <w:sz w:val="24"/>
        </w:rPr>
      </w:pPr>
      <w:r>
        <w:rPr>
          <w:b/>
          <w:sz w:val="24"/>
          <w:u w:val="single"/>
        </w:rPr>
        <w:t>Resident Relocation Procedure</w:t>
      </w:r>
    </w:p>
    <w:p>
      <w:pPr>
        <w:pStyle w:val="ListParagraph"/>
        <w:numPr>
          <w:ilvl w:val="0"/>
          <w:numId w:val="3"/>
        </w:numPr>
        <w:tabs>
          <w:tab w:pos="1420" w:val="left" w:leader="none"/>
        </w:tabs>
        <w:spacing w:line="240" w:lineRule="auto" w:before="0" w:after="0"/>
        <w:ind w:left="1419" w:right="1270" w:hanging="360"/>
        <w:jc w:val="left"/>
        <w:rPr>
          <w:sz w:val="22"/>
        </w:rPr>
      </w:pPr>
      <w:r>
        <w:rPr>
          <w:sz w:val="22"/>
        </w:rPr>
        <w:t>After</w:t>
      </w:r>
      <w:r>
        <w:rPr>
          <w:spacing w:val="-2"/>
          <w:sz w:val="22"/>
        </w:rPr>
        <w:t> </w:t>
      </w:r>
      <w:r>
        <w:rPr>
          <w:sz w:val="22"/>
        </w:rPr>
        <w:t>receiving</w:t>
      </w:r>
      <w:r>
        <w:rPr>
          <w:spacing w:val="-3"/>
          <w:sz w:val="22"/>
        </w:rPr>
        <w:t> </w:t>
      </w:r>
      <w:r>
        <w:rPr>
          <w:sz w:val="22"/>
        </w:rPr>
        <w:t>notification</w:t>
      </w:r>
      <w:r>
        <w:rPr>
          <w:spacing w:val="-7"/>
          <w:sz w:val="22"/>
        </w:rPr>
        <w:t> </w:t>
      </w:r>
      <w:r>
        <w:rPr>
          <w:sz w:val="22"/>
        </w:rPr>
        <w:t>from</w:t>
      </w:r>
      <w:r>
        <w:rPr>
          <w:spacing w:val="-3"/>
          <w:sz w:val="22"/>
        </w:rPr>
        <w:t> </w:t>
      </w:r>
      <w:r>
        <w:rPr>
          <w:sz w:val="22"/>
        </w:rPr>
        <w:t>Residential</w:t>
      </w:r>
      <w:r>
        <w:rPr>
          <w:spacing w:val="-2"/>
          <w:sz w:val="22"/>
        </w:rPr>
        <w:t> </w:t>
      </w:r>
      <w:r>
        <w:rPr>
          <w:sz w:val="22"/>
        </w:rPr>
        <w:t>Care</w:t>
      </w:r>
      <w:r>
        <w:rPr>
          <w:spacing w:val="-1"/>
          <w:sz w:val="22"/>
        </w:rPr>
        <w:t> </w:t>
      </w:r>
      <w:r>
        <w:rPr>
          <w:sz w:val="22"/>
        </w:rPr>
        <w:t>Services</w:t>
      </w:r>
      <w:r>
        <w:rPr>
          <w:spacing w:val="-2"/>
          <w:sz w:val="22"/>
        </w:rPr>
        <w:t> </w:t>
      </w:r>
      <w:r>
        <w:rPr>
          <w:sz w:val="22"/>
        </w:rPr>
        <w:t>(RCS),</w:t>
      </w:r>
      <w:r>
        <w:rPr>
          <w:spacing w:val="-4"/>
          <w:sz w:val="22"/>
        </w:rPr>
        <w:t> </w:t>
      </w:r>
      <w:r>
        <w:rPr>
          <w:sz w:val="22"/>
        </w:rPr>
        <w:t>or</w:t>
      </w:r>
      <w:r>
        <w:rPr>
          <w:spacing w:val="-4"/>
          <w:sz w:val="22"/>
        </w:rPr>
        <w:t> </w:t>
      </w:r>
      <w:r>
        <w:rPr>
          <w:sz w:val="22"/>
        </w:rPr>
        <w:t>written</w:t>
      </w:r>
      <w:r>
        <w:rPr>
          <w:spacing w:val="-5"/>
          <w:sz w:val="22"/>
        </w:rPr>
        <w:t> </w:t>
      </w:r>
      <w:r>
        <w:rPr>
          <w:sz w:val="22"/>
        </w:rPr>
        <w:t>notification</w:t>
      </w:r>
      <w:r>
        <w:rPr>
          <w:spacing w:val="-3"/>
          <w:sz w:val="22"/>
        </w:rPr>
        <w:t> </w:t>
      </w:r>
      <w:r>
        <w:rPr>
          <w:sz w:val="22"/>
        </w:rPr>
        <w:t>from</w:t>
      </w:r>
      <w:r>
        <w:rPr>
          <w:spacing w:val="-1"/>
          <w:sz w:val="22"/>
        </w:rPr>
        <w:t> </w:t>
      </w:r>
      <w:r>
        <w:rPr>
          <w:sz w:val="22"/>
        </w:rPr>
        <w:t>a</w:t>
      </w:r>
      <w:r>
        <w:rPr>
          <w:spacing w:val="-2"/>
          <w:sz w:val="22"/>
        </w:rPr>
        <w:t> </w:t>
      </w:r>
      <w:r>
        <w:rPr>
          <w:sz w:val="22"/>
        </w:rPr>
        <w:t>facility,</w:t>
      </w:r>
      <w:r>
        <w:rPr>
          <w:spacing w:val="-3"/>
          <w:sz w:val="22"/>
        </w:rPr>
        <w:t> </w:t>
      </w:r>
      <w:r>
        <w:rPr>
          <w:sz w:val="22"/>
        </w:rPr>
        <w:t>the</w:t>
      </w:r>
      <w:r>
        <w:rPr>
          <w:spacing w:val="-1"/>
          <w:sz w:val="22"/>
        </w:rPr>
        <w:t> </w:t>
      </w:r>
      <w:r>
        <w:rPr>
          <w:sz w:val="22"/>
        </w:rPr>
        <w:t>Agency’s</w:t>
      </w:r>
      <w:r>
        <w:rPr>
          <w:spacing w:val="-4"/>
          <w:sz w:val="22"/>
        </w:rPr>
        <w:t> </w:t>
      </w:r>
      <w:r>
        <w:rPr>
          <w:sz w:val="22"/>
        </w:rPr>
        <w:t>Social</w:t>
      </w:r>
      <w:r>
        <w:rPr>
          <w:spacing w:val="-5"/>
          <w:sz w:val="22"/>
        </w:rPr>
        <w:t> </w:t>
      </w:r>
      <w:r>
        <w:rPr>
          <w:sz w:val="22"/>
        </w:rPr>
        <w:t>Services</w:t>
      </w:r>
      <w:r>
        <w:rPr>
          <w:spacing w:val="-4"/>
          <w:sz w:val="22"/>
        </w:rPr>
        <w:t> </w:t>
      </w:r>
      <w:r>
        <w:rPr>
          <w:sz w:val="22"/>
        </w:rPr>
        <w:t>Program Manager, Field Services Administrator (FSA) or their designee will notify the Social Services Supervisors of the</w:t>
      </w:r>
      <w:r>
        <w:rPr>
          <w:spacing w:val="-20"/>
          <w:sz w:val="22"/>
        </w:rPr>
        <w:t> </w:t>
      </w:r>
      <w:r>
        <w:rPr>
          <w:sz w:val="22"/>
        </w:rPr>
        <w:t>closure.</w:t>
      </w:r>
    </w:p>
    <w:p>
      <w:pPr>
        <w:pStyle w:val="ListParagraph"/>
        <w:numPr>
          <w:ilvl w:val="0"/>
          <w:numId w:val="3"/>
        </w:numPr>
        <w:tabs>
          <w:tab w:pos="1420" w:val="left" w:leader="none"/>
        </w:tabs>
        <w:spacing w:line="268" w:lineRule="exact" w:before="0" w:after="0"/>
        <w:ind w:left="1419" w:right="0" w:hanging="360"/>
        <w:jc w:val="left"/>
        <w:rPr>
          <w:sz w:val="22"/>
        </w:rPr>
      </w:pPr>
      <w:r>
        <w:rPr>
          <w:sz w:val="22"/>
        </w:rPr>
        <w:t>Clients are notified of the pending</w:t>
      </w:r>
      <w:r>
        <w:rPr>
          <w:spacing w:val="-9"/>
          <w:sz w:val="22"/>
        </w:rPr>
        <w:t> </w:t>
      </w:r>
      <w:r>
        <w:rPr>
          <w:sz w:val="22"/>
        </w:rPr>
        <w:t>closure.</w:t>
      </w:r>
    </w:p>
    <w:p>
      <w:pPr>
        <w:pStyle w:val="ListParagraph"/>
        <w:numPr>
          <w:ilvl w:val="1"/>
          <w:numId w:val="3"/>
        </w:numPr>
        <w:tabs>
          <w:tab w:pos="1781" w:val="left" w:leader="none"/>
        </w:tabs>
        <w:spacing w:line="268" w:lineRule="exact" w:before="0" w:after="0"/>
        <w:ind w:left="1780" w:right="0" w:hanging="362"/>
        <w:jc w:val="left"/>
        <w:rPr>
          <w:sz w:val="22"/>
        </w:rPr>
      </w:pPr>
      <w:r>
        <w:rPr>
          <w:sz w:val="22"/>
        </w:rPr>
        <w:t>Clients are provided a 30 day advance</w:t>
      </w:r>
      <w:r>
        <w:rPr>
          <w:spacing w:val="-3"/>
          <w:sz w:val="22"/>
        </w:rPr>
        <w:t> </w:t>
      </w:r>
      <w:r>
        <w:rPr>
          <w:sz w:val="22"/>
        </w:rPr>
        <w:t>notification.</w:t>
      </w:r>
    </w:p>
    <w:p>
      <w:pPr>
        <w:pStyle w:val="ListParagraph"/>
        <w:numPr>
          <w:ilvl w:val="1"/>
          <w:numId w:val="3"/>
        </w:numPr>
        <w:tabs>
          <w:tab w:pos="1781" w:val="left" w:leader="none"/>
        </w:tabs>
        <w:spacing w:line="240" w:lineRule="auto" w:before="0" w:after="0"/>
        <w:ind w:left="1780" w:right="0" w:hanging="361"/>
        <w:jc w:val="left"/>
        <w:rPr>
          <w:sz w:val="22"/>
        </w:rPr>
      </w:pPr>
      <w:r>
        <w:rPr>
          <w:sz w:val="22"/>
        </w:rPr>
        <w:t>When client safety is a significant concern or there is imminent risk of harm, shorter timeframes may be given to protect</w:t>
      </w:r>
      <w:r>
        <w:rPr>
          <w:spacing w:val="-27"/>
          <w:sz w:val="22"/>
        </w:rPr>
        <w:t> </w:t>
      </w:r>
      <w:r>
        <w:rPr>
          <w:sz w:val="22"/>
        </w:rPr>
        <w:t>residents.</w:t>
      </w:r>
    </w:p>
    <w:p>
      <w:pPr>
        <w:pStyle w:val="ListParagraph"/>
        <w:numPr>
          <w:ilvl w:val="1"/>
          <w:numId w:val="3"/>
        </w:numPr>
        <w:tabs>
          <w:tab w:pos="1781" w:val="left" w:leader="none"/>
        </w:tabs>
        <w:spacing w:line="240" w:lineRule="auto" w:before="0" w:after="0"/>
        <w:ind w:left="1780" w:right="0" w:hanging="361"/>
        <w:jc w:val="left"/>
        <w:rPr>
          <w:sz w:val="22"/>
        </w:rPr>
      </w:pPr>
      <w:r>
        <w:rPr>
          <w:sz w:val="22"/>
        </w:rPr>
        <w:t>All residents are provided the opportunity to a fair</w:t>
      </w:r>
      <w:r>
        <w:rPr>
          <w:spacing w:val="-5"/>
          <w:sz w:val="22"/>
        </w:rPr>
        <w:t> </w:t>
      </w:r>
      <w:r>
        <w:rPr>
          <w:sz w:val="22"/>
        </w:rPr>
        <w:t>hearing.</w:t>
      </w:r>
    </w:p>
    <w:p>
      <w:pPr>
        <w:pStyle w:val="ListParagraph"/>
        <w:numPr>
          <w:ilvl w:val="0"/>
          <w:numId w:val="3"/>
        </w:numPr>
        <w:tabs>
          <w:tab w:pos="1420" w:val="left" w:leader="none"/>
        </w:tabs>
        <w:spacing w:line="240" w:lineRule="auto" w:before="0" w:after="0"/>
        <w:ind w:left="1419" w:right="1158" w:hanging="360"/>
        <w:jc w:val="left"/>
        <w:rPr>
          <w:sz w:val="22"/>
        </w:rPr>
      </w:pPr>
      <w:r>
        <w:rPr>
          <w:sz w:val="22"/>
        </w:rPr>
        <w:t>The Program Manager, FSA, or designee and Supervisors, after obtaining the resident list, will determine the level of involvement needed by staff and response time needed to assist with relocating clients based on the facility census and closure</w:t>
      </w:r>
      <w:r>
        <w:rPr>
          <w:spacing w:val="-13"/>
          <w:sz w:val="22"/>
        </w:rPr>
        <w:t> </w:t>
      </w:r>
      <w:r>
        <w:rPr>
          <w:sz w:val="22"/>
        </w:rPr>
        <w:t>date.</w:t>
      </w:r>
    </w:p>
    <w:p>
      <w:pPr>
        <w:pStyle w:val="ListParagraph"/>
        <w:numPr>
          <w:ilvl w:val="1"/>
          <w:numId w:val="3"/>
        </w:numPr>
        <w:tabs>
          <w:tab w:pos="1781" w:val="left" w:leader="none"/>
        </w:tabs>
        <w:spacing w:line="240" w:lineRule="auto" w:before="1" w:after="0"/>
        <w:ind w:left="1780" w:right="0" w:hanging="362"/>
        <w:jc w:val="left"/>
        <w:rPr>
          <w:sz w:val="22"/>
        </w:rPr>
      </w:pPr>
      <w:r>
        <w:rPr>
          <w:sz w:val="22"/>
        </w:rPr>
        <w:t>Determine an Agency Point Person(s) and a Point Person(s) in the</w:t>
      </w:r>
      <w:r>
        <w:rPr>
          <w:spacing w:val="-12"/>
          <w:sz w:val="22"/>
        </w:rPr>
        <w:t> </w:t>
      </w:r>
      <w:r>
        <w:rPr>
          <w:sz w:val="22"/>
        </w:rPr>
        <w:t>facility.</w:t>
      </w:r>
    </w:p>
    <w:p>
      <w:pPr>
        <w:pStyle w:val="ListParagraph"/>
        <w:numPr>
          <w:ilvl w:val="1"/>
          <w:numId w:val="3"/>
        </w:numPr>
        <w:tabs>
          <w:tab w:pos="1780" w:val="left" w:leader="none"/>
        </w:tabs>
        <w:spacing w:line="240" w:lineRule="auto" w:before="0" w:after="0"/>
        <w:ind w:left="1779" w:right="1343" w:hanging="360"/>
        <w:jc w:val="left"/>
        <w:rPr>
          <w:sz w:val="22"/>
        </w:rPr>
      </w:pPr>
      <w:r>
        <w:rPr>
          <w:sz w:val="22"/>
        </w:rPr>
        <w:t>Identify HCS, DDA, VA and managed care (e.g. PACE) clients from the census list to enlist additional case management assistance by all appropriate agencies.</w:t>
      </w:r>
    </w:p>
    <w:p>
      <w:pPr>
        <w:pStyle w:val="ListParagraph"/>
        <w:numPr>
          <w:ilvl w:val="1"/>
          <w:numId w:val="3"/>
        </w:numPr>
        <w:tabs>
          <w:tab w:pos="1780" w:val="left" w:leader="none"/>
        </w:tabs>
        <w:spacing w:line="240" w:lineRule="auto" w:before="0" w:after="0"/>
        <w:ind w:left="1779" w:right="0" w:hanging="361"/>
        <w:jc w:val="left"/>
        <w:rPr>
          <w:sz w:val="22"/>
        </w:rPr>
      </w:pPr>
      <w:r>
        <w:rPr>
          <w:sz w:val="22"/>
        </w:rPr>
        <w:t>Assign Agency Case Managers to each</w:t>
      </w:r>
      <w:r>
        <w:rPr>
          <w:spacing w:val="-3"/>
          <w:sz w:val="22"/>
        </w:rPr>
        <w:t> </w:t>
      </w:r>
      <w:r>
        <w:rPr>
          <w:sz w:val="22"/>
        </w:rPr>
        <w:t>client.</w:t>
      </w:r>
    </w:p>
    <w:p>
      <w:pPr>
        <w:pStyle w:val="ListParagraph"/>
        <w:numPr>
          <w:ilvl w:val="1"/>
          <w:numId w:val="3"/>
        </w:numPr>
        <w:tabs>
          <w:tab w:pos="1780" w:val="left" w:leader="none"/>
        </w:tabs>
        <w:spacing w:line="237" w:lineRule="auto" w:before="2" w:after="0"/>
        <w:ind w:left="1779" w:right="1383" w:hanging="360"/>
        <w:jc w:val="left"/>
        <w:rPr>
          <w:sz w:val="22"/>
        </w:rPr>
      </w:pPr>
      <w:r>
        <w:rPr>
          <w:sz w:val="22"/>
        </w:rPr>
        <w:t>The Agency Point Person will notify facility staff of client assignments and the Program Manager, FSA, or designee and DDA Policy and Quality Improvement (PQI) Specialist of any issues that will need special</w:t>
      </w:r>
      <w:r>
        <w:rPr>
          <w:spacing w:val="-5"/>
          <w:sz w:val="22"/>
        </w:rPr>
        <w:t> </w:t>
      </w:r>
      <w:r>
        <w:rPr>
          <w:sz w:val="22"/>
        </w:rPr>
        <w:t>consideration.</w:t>
      </w:r>
    </w:p>
    <w:p>
      <w:pPr>
        <w:pStyle w:val="ListParagraph"/>
        <w:numPr>
          <w:ilvl w:val="1"/>
          <w:numId w:val="3"/>
        </w:numPr>
        <w:tabs>
          <w:tab w:pos="1780" w:val="left" w:leader="none"/>
        </w:tabs>
        <w:spacing w:line="240" w:lineRule="auto" w:before="2" w:after="0"/>
        <w:ind w:left="1779" w:right="0" w:hanging="361"/>
        <w:jc w:val="left"/>
        <w:rPr>
          <w:sz w:val="22"/>
        </w:rPr>
      </w:pPr>
      <w:r>
        <w:rPr>
          <w:sz w:val="22"/>
        </w:rPr>
        <w:t>Case management staff</w:t>
      </w:r>
      <w:r>
        <w:rPr>
          <w:spacing w:val="-7"/>
          <w:sz w:val="22"/>
        </w:rPr>
        <w:t> </w:t>
      </w:r>
      <w:r>
        <w:rPr>
          <w:sz w:val="22"/>
        </w:rPr>
        <w:t>will:</w:t>
      </w:r>
    </w:p>
    <w:p>
      <w:pPr>
        <w:pStyle w:val="ListParagraph"/>
        <w:numPr>
          <w:ilvl w:val="2"/>
          <w:numId w:val="3"/>
        </w:numPr>
        <w:tabs>
          <w:tab w:pos="2138" w:val="left" w:leader="none"/>
          <w:tab w:pos="2140" w:val="left" w:leader="none"/>
        </w:tabs>
        <w:spacing w:line="240" w:lineRule="auto" w:before="0" w:after="0"/>
        <w:ind w:left="2139" w:right="0" w:hanging="362"/>
        <w:jc w:val="left"/>
        <w:rPr>
          <w:sz w:val="22"/>
        </w:rPr>
      </w:pPr>
      <w:r>
        <w:rPr>
          <w:sz w:val="22"/>
        </w:rPr>
        <w:t>Complete a face-to-face visit to determine level of care, provide placement setting options, and evaluate the need for</w:t>
      </w:r>
      <w:r>
        <w:rPr>
          <w:spacing w:val="-24"/>
          <w:sz w:val="22"/>
        </w:rPr>
        <w:t> </w:t>
      </w:r>
      <w:r>
        <w:rPr>
          <w:sz w:val="22"/>
        </w:rPr>
        <w:t>assessment.</w:t>
      </w:r>
    </w:p>
    <w:p>
      <w:pPr>
        <w:pStyle w:val="ListParagraph"/>
        <w:numPr>
          <w:ilvl w:val="2"/>
          <w:numId w:val="3"/>
        </w:numPr>
        <w:tabs>
          <w:tab w:pos="2140" w:val="left" w:leader="none"/>
        </w:tabs>
        <w:spacing w:line="240" w:lineRule="auto" w:before="0" w:after="0"/>
        <w:ind w:left="2139" w:right="0" w:hanging="362"/>
        <w:jc w:val="left"/>
        <w:rPr>
          <w:sz w:val="22"/>
        </w:rPr>
      </w:pPr>
      <w:r>
        <w:rPr>
          <w:sz w:val="22"/>
        </w:rPr>
        <w:t>Complete comprehensive assessments as</w:t>
      </w:r>
      <w:r>
        <w:rPr>
          <w:spacing w:val="-4"/>
          <w:sz w:val="22"/>
        </w:rPr>
        <w:t> </w:t>
      </w:r>
      <w:r>
        <w:rPr>
          <w:sz w:val="22"/>
        </w:rPr>
        <w:t>required.</w:t>
      </w:r>
    </w:p>
    <w:p>
      <w:pPr>
        <w:pStyle w:val="ListParagraph"/>
        <w:numPr>
          <w:ilvl w:val="2"/>
          <w:numId w:val="3"/>
        </w:numPr>
        <w:tabs>
          <w:tab w:pos="2139" w:val="left" w:leader="none"/>
        </w:tabs>
        <w:spacing w:line="240" w:lineRule="auto" w:before="0" w:after="0"/>
        <w:ind w:left="2138" w:right="0" w:hanging="361"/>
        <w:jc w:val="left"/>
        <w:rPr>
          <w:sz w:val="22"/>
        </w:rPr>
      </w:pPr>
      <w:r>
        <w:rPr>
          <w:sz w:val="22"/>
        </w:rPr>
        <w:t>Identify placement options and</w:t>
      </w:r>
      <w:r>
        <w:rPr>
          <w:spacing w:val="-5"/>
          <w:sz w:val="22"/>
        </w:rPr>
        <w:t> </w:t>
      </w:r>
      <w:r>
        <w:rPr>
          <w:sz w:val="22"/>
        </w:rPr>
        <w:t>availability.</w:t>
      </w:r>
    </w:p>
    <w:p>
      <w:pPr>
        <w:pStyle w:val="ListParagraph"/>
        <w:numPr>
          <w:ilvl w:val="2"/>
          <w:numId w:val="3"/>
        </w:numPr>
        <w:tabs>
          <w:tab w:pos="2139" w:val="left" w:leader="none"/>
        </w:tabs>
        <w:spacing w:line="240" w:lineRule="auto" w:before="0" w:after="0"/>
        <w:ind w:left="2138" w:right="0" w:hanging="361"/>
        <w:jc w:val="left"/>
        <w:rPr>
          <w:sz w:val="22"/>
        </w:rPr>
      </w:pPr>
      <w:r>
        <w:rPr>
          <w:sz w:val="22"/>
        </w:rPr>
        <w:t>Review all placement options with the client, the client’s representative, and other parties chosen by the</w:t>
      </w:r>
      <w:r>
        <w:rPr>
          <w:spacing w:val="-22"/>
          <w:sz w:val="22"/>
        </w:rPr>
        <w:t> </w:t>
      </w:r>
      <w:r>
        <w:rPr>
          <w:sz w:val="22"/>
        </w:rPr>
        <w:t>client.</w:t>
      </w:r>
    </w:p>
    <w:p>
      <w:pPr>
        <w:pStyle w:val="ListParagraph"/>
        <w:numPr>
          <w:ilvl w:val="2"/>
          <w:numId w:val="3"/>
        </w:numPr>
        <w:tabs>
          <w:tab w:pos="2139" w:val="left" w:leader="none"/>
        </w:tabs>
        <w:spacing w:line="240" w:lineRule="auto" w:before="0" w:after="0"/>
        <w:ind w:left="2138" w:right="0" w:hanging="361"/>
        <w:jc w:val="left"/>
        <w:rPr>
          <w:sz w:val="22"/>
        </w:rPr>
      </w:pPr>
      <w:r>
        <w:rPr>
          <w:sz w:val="22"/>
        </w:rPr>
        <w:t>Once the client chooses a placement option, staff</w:t>
      </w:r>
      <w:r>
        <w:rPr>
          <w:spacing w:val="-5"/>
          <w:sz w:val="22"/>
        </w:rPr>
        <w:t> </w:t>
      </w:r>
      <w:r>
        <w:rPr>
          <w:sz w:val="22"/>
        </w:rPr>
        <w:t>will:</w:t>
      </w:r>
    </w:p>
    <w:p>
      <w:pPr>
        <w:pStyle w:val="ListParagraph"/>
        <w:numPr>
          <w:ilvl w:val="3"/>
          <w:numId w:val="3"/>
        </w:numPr>
        <w:tabs>
          <w:tab w:pos="2499" w:val="left" w:leader="none"/>
        </w:tabs>
        <w:spacing w:line="240" w:lineRule="auto" w:before="1" w:after="0"/>
        <w:ind w:left="2498" w:right="0" w:hanging="361"/>
        <w:jc w:val="left"/>
        <w:rPr>
          <w:sz w:val="22"/>
        </w:rPr>
      </w:pPr>
      <w:r>
        <w:rPr>
          <w:sz w:val="22"/>
        </w:rPr>
        <w:t>Arrange for</w:t>
      </w:r>
      <w:r>
        <w:rPr>
          <w:spacing w:val="-2"/>
          <w:sz w:val="22"/>
        </w:rPr>
        <w:t> </w:t>
      </w:r>
      <w:r>
        <w:rPr>
          <w:sz w:val="22"/>
        </w:rPr>
        <w:t>transportation.</w:t>
      </w:r>
    </w:p>
    <w:p>
      <w:pPr>
        <w:pStyle w:val="ListParagraph"/>
        <w:numPr>
          <w:ilvl w:val="3"/>
          <w:numId w:val="3"/>
        </w:numPr>
        <w:tabs>
          <w:tab w:pos="2499" w:val="left" w:leader="none"/>
        </w:tabs>
        <w:spacing w:line="268" w:lineRule="exact" w:before="0" w:after="0"/>
        <w:ind w:left="2498" w:right="0" w:hanging="361"/>
        <w:jc w:val="left"/>
        <w:rPr>
          <w:sz w:val="22"/>
        </w:rPr>
      </w:pPr>
      <w:r>
        <w:rPr>
          <w:sz w:val="22"/>
        </w:rPr>
        <w:t>Authorize placements.</w:t>
      </w:r>
    </w:p>
    <w:p>
      <w:pPr>
        <w:pStyle w:val="ListParagraph"/>
        <w:numPr>
          <w:ilvl w:val="3"/>
          <w:numId w:val="3"/>
        </w:numPr>
        <w:tabs>
          <w:tab w:pos="2499" w:val="left" w:leader="none"/>
        </w:tabs>
        <w:spacing w:line="268" w:lineRule="exact" w:before="0" w:after="0"/>
        <w:ind w:left="2498" w:right="0" w:hanging="361"/>
        <w:jc w:val="left"/>
        <w:rPr>
          <w:sz w:val="22"/>
        </w:rPr>
      </w:pPr>
      <w:r>
        <w:rPr>
          <w:sz w:val="22"/>
        </w:rPr>
        <w:t>Notify Financial Services of new</w:t>
      </w:r>
      <w:r>
        <w:rPr>
          <w:spacing w:val="-9"/>
          <w:sz w:val="22"/>
        </w:rPr>
        <w:t> </w:t>
      </w:r>
      <w:r>
        <w:rPr>
          <w:sz w:val="22"/>
        </w:rPr>
        <w:t>placement.</w:t>
      </w:r>
    </w:p>
    <w:p>
      <w:pPr>
        <w:pStyle w:val="BodyText"/>
        <w:spacing w:before="10"/>
        <w:rPr>
          <w:sz w:val="16"/>
        </w:rPr>
      </w:pPr>
      <w:r>
        <w:rPr/>
        <w:pict>
          <v:shape style="position:absolute;margin-left:70.559998pt;margin-top:12.474934pt;width:650.9pt;height:.1pt;mso-position-horizontal-relative:page;mso-position-vertical-relative:paragraph;z-index:-251471872;mso-wrap-distance-left:0;mso-wrap-distance-right:0" coordorigin="1411,249" coordsize="13018,0" path="m1411,249l14429,249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12"/>
        </w:rPr>
      </w:pPr>
    </w:p>
    <w:p>
      <w:pPr>
        <w:pStyle w:val="ListParagraph"/>
        <w:numPr>
          <w:ilvl w:val="3"/>
          <w:numId w:val="3"/>
        </w:numPr>
        <w:tabs>
          <w:tab w:pos="361" w:val="left" w:leader="none"/>
        </w:tabs>
        <w:spacing w:line="240" w:lineRule="auto" w:before="56" w:after="0"/>
        <w:ind w:left="2500" w:right="7840" w:hanging="2501"/>
        <w:jc w:val="right"/>
        <w:rPr>
          <w:sz w:val="22"/>
        </w:rPr>
      </w:pPr>
      <w:r>
        <w:rPr>
          <w:sz w:val="22"/>
        </w:rPr>
        <w:t>Follow-up with the client two weeks after</w:t>
      </w:r>
      <w:r>
        <w:rPr>
          <w:spacing w:val="-16"/>
          <w:sz w:val="22"/>
        </w:rPr>
        <w:t> </w:t>
      </w:r>
      <w:r>
        <w:rPr>
          <w:sz w:val="22"/>
        </w:rPr>
        <w:t>placement.</w:t>
      </w:r>
    </w:p>
    <w:p>
      <w:pPr>
        <w:pStyle w:val="ListParagraph"/>
        <w:numPr>
          <w:ilvl w:val="1"/>
          <w:numId w:val="3"/>
        </w:numPr>
        <w:tabs>
          <w:tab w:pos="360" w:val="left" w:leader="none"/>
          <w:tab w:pos="361" w:val="left" w:leader="none"/>
        </w:tabs>
        <w:spacing w:line="240" w:lineRule="auto" w:before="0" w:after="0"/>
        <w:ind w:left="1780" w:right="7846" w:hanging="1781"/>
        <w:jc w:val="right"/>
        <w:rPr>
          <w:sz w:val="22"/>
        </w:rPr>
      </w:pPr>
      <w:r>
        <w:rPr>
          <w:sz w:val="22"/>
        </w:rPr>
        <w:t>Staff will notify their supervisor as relocations are</w:t>
      </w:r>
      <w:r>
        <w:rPr>
          <w:spacing w:val="-27"/>
          <w:sz w:val="22"/>
        </w:rPr>
        <w:t> </w:t>
      </w:r>
      <w:r>
        <w:rPr>
          <w:sz w:val="22"/>
        </w:rPr>
        <w:t>completed.</w:t>
      </w:r>
    </w:p>
    <w:p>
      <w:pPr>
        <w:pStyle w:val="BodyText"/>
        <w:ind w:left="1420"/>
      </w:pPr>
      <w:r>
        <w:rPr/>
        <w:t>The Program Manager, FSA, or designee will coordinate with RCS as needed.</w:t>
      </w:r>
    </w:p>
    <w:p>
      <w:pPr>
        <w:pStyle w:val="BodyText"/>
      </w:pPr>
    </w:p>
    <w:p>
      <w:pPr>
        <w:pStyle w:val="BodyText"/>
        <w:spacing w:before="4"/>
        <w:rPr>
          <w:sz w:val="32"/>
        </w:rPr>
      </w:pPr>
    </w:p>
    <w:p>
      <w:pPr>
        <w:spacing w:line="276" w:lineRule="auto" w:before="0"/>
        <w:ind w:left="1060" w:right="1974" w:firstLine="0"/>
        <w:jc w:val="left"/>
        <w:rPr>
          <w:b/>
          <w:sz w:val="28"/>
        </w:rPr>
      </w:pPr>
      <w:r>
        <w:rPr>
          <w:b/>
          <w:sz w:val="28"/>
        </w:rPr>
        <w:t>Process for determining whether settings identified for heightened scrutiny fully align with HCB settings requirements:</w:t>
      </w:r>
    </w:p>
    <w:p>
      <w:pPr>
        <w:pStyle w:val="BodyText"/>
        <w:spacing w:before="3"/>
        <w:rPr>
          <w:b/>
          <w:sz w:val="25"/>
        </w:rPr>
      </w:pPr>
    </w:p>
    <w:p>
      <w:pPr>
        <w:pStyle w:val="BodyText"/>
        <w:tabs>
          <w:tab w:pos="3867" w:val="left" w:leader="none"/>
        </w:tabs>
        <w:ind w:left="1060" w:right="1684"/>
      </w:pPr>
      <w:r>
        <w:rPr/>
        <w:t>The process for determining whether a setting is identified for the heightened scrutiny process will be based on the CMS Guidance on the Heightened</w:t>
      </w:r>
      <w:r>
        <w:rPr>
          <w:spacing w:val="-4"/>
        </w:rPr>
        <w:t> </w:t>
      </w:r>
      <w:r>
        <w:rPr/>
        <w:t>Scrutiny</w:t>
      </w:r>
      <w:r>
        <w:rPr>
          <w:spacing w:val="-1"/>
        </w:rPr>
        <w:t> </w:t>
      </w:r>
      <w:r>
        <w:rPr/>
        <w:t>process:</w:t>
        <w:tab/>
      </w:r>
      <w:hyperlink r:id="rId136">
        <w:r>
          <w:rPr>
            <w:color w:val="6B9F24"/>
            <w:u w:val="single" w:color="6B9F24"/>
          </w:rPr>
          <w:t>https://www.medicaid.gov/medicaid/hcbs/downloads/settings-that-isolate.pdf</w:t>
        </w:r>
        <w:r>
          <w:rPr/>
          <w:t>.</w:t>
        </w:r>
      </w:hyperlink>
      <w:r>
        <w:rPr/>
        <w:t> Washington’s Heightened Scrutiny Policy is as</w:t>
      </w:r>
      <w:r>
        <w:rPr>
          <w:spacing w:val="-1"/>
        </w:rPr>
        <w:t> </w:t>
      </w:r>
      <w:r>
        <w:rPr/>
        <w:t>follows:</w:t>
      </w:r>
    </w:p>
    <w:p>
      <w:pPr>
        <w:pStyle w:val="ListParagraph"/>
        <w:numPr>
          <w:ilvl w:val="0"/>
          <w:numId w:val="30"/>
        </w:numPr>
        <w:tabs>
          <w:tab w:pos="1421" w:val="left" w:leader="none"/>
        </w:tabs>
        <w:spacing w:line="267" w:lineRule="exact" w:before="0" w:after="0"/>
        <w:ind w:left="1420" w:right="0" w:hanging="361"/>
        <w:jc w:val="left"/>
        <w:rPr>
          <w:sz w:val="22"/>
        </w:rPr>
      </w:pPr>
      <w:r>
        <w:rPr>
          <w:sz w:val="22"/>
        </w:rPr>
        <w:t>When determining whether to move a setting forward to CMS for heightened scrutiny review, Washington</w:t>
      </w:r>
      <w:r>
        <w:rPr>
          <w:spacing w:val="-20"/>
          <w:sz w:val="22"/>
        </w:rPr>
        <w:t> </w:t>
      </w:r>
      <w:r>
        <w:rPr>
          <w:sz w:val="22"/>
        </w:rPr>
        <w:t>will:</w:t>
      </w:r>
    </w:p>
    <w:p>
      <w:pPr>
        <w:pStyle w:val="ListParagraph"/>
        <w:numPr>
          <w:ilvl w:val="1"/>
          <w:numId w:val="30"/>
        </w:numPr>
        <w:tabs>
          <w:tab w:pos="1781" w:val="left" w:leader="none"/>
        </w:tabs>
        <w:spacing w:line="240" w:lineRule="auto" w:before="0" w:after="0"/>
        <w:ind w:left="1780" w:right="0" w:hanging="361"/>
        <w:jc w:val="left"/>
        <w:rPr>
          <w:sz w:val="22"/>
        </w:rPr>
      </w:pPr>
      <w:r>
        <w:rPr>
          <w:sz w:val="22"/>
        </w:rPr>
        <w:t>Consider information or comments received from residents, families, case management staff, or regulatory</w:t>
      </w:r>
      <w:r>
        <w:rPr>
          <w:spacing w:val="-18"/>
          <w:sz w:val="22"/>
        </w:rPr>
        <w:t> </w:t>
      </w:r>
      <w:r>
        <w:rPr>
          <w:sz w:val="22"/>
        </w:rPr>
        <w:t>staff;</w:t>
      </w:r>
    </w:p>
    <w:p>
      <w:pPr>
        <w:pStyle w:val="ListParagraph"/>
        <w:numPr>
          <w:ilvl w:val="1"/>
          <w:numId w:val="30"/>
        </w:numPr>
        <w:tabs>
          <w:tab w:pos="1781" w:val="left" w:leader="none"/>
        </w:tabs>
        <w:spacing w:line="240" w:lineRule="auto" w:before="0" w:after="0"/>
        <w:ind w:left="1780" w:right="1352" w:hanging="361"/>
        <w:jc w:val="left"/>
        <w:rPr>
          <w:sz w:val="22"/>
        </w:rPr>
      </w:pPr>
      <w:r>
        <w:rPr>
          <w:sz w:val="22"/>
        </w:rPr>
        <w:t>Consider information or comments received from external partners such as the Ombuds office, disability rights organizations, or other advocacy</w:t>
      </w:r>
      <w:r>
        <w:rPr>
          <w:spacing w:val="-1"/>
          <w:sz w:val="22"/>
        </w:rPr>
        <w:t> </w:t>
      </w:r>
      <w:r>
        <w:rPr>
          <w:sz w:val="22"/>
        </w:rPr>
        <w:t>groups;</w:t>
      </w:r>
    </w:p>
    <w:p>
      <w:pPr>
        <w:pStyle w:val="ListParagraph"/>
        <w:numPr>
          <w:ilvl w:val="1"/>
          <w:numId w:val="30"/>
        </w:numPr>
        <w:tabs>
          <w:tab w:pos="1779" w:val="left" w:leader="none"/>
          <w:tab w:pos="1781" w:val="left" w:leader="none"/>
        </w:tabs>
        <w:spacing w:line="240" w:lineRule="auto" w:before="1" w:after="0"/>
        <w:ind w:left="1780" w:right="0" w:hanging="362"/>
        <w:jc w:val="left"/>
        <w:rPr>
          <w:sz w:val="22"/>
        </w:rPr>
      </w:pPr>
      <w:r>
        <w:rPr>
          <w:sz w:val="22"/>
        </w:rPr>
        <w:t>Conduct a site visit at the setting and interview staff and administrators to determine if the setting’s design, policies and</w:t>
      </w:r>
      <w:r>
        <w:rPr>
          <w:spacing w:val="-31"/>
          <w:sz w:val="22"/>
        </w:rPr>
        <w:t> </w:t>
      </w:r>
      <w:r>
        <w:rPr>
          <w:sz w:val="22"/>
        </w:rPr>
        <w:t>practices;</w:t>
      </w:r>
    </w:p>
    <w:p>
      <w:pPr>
        <w:pStyle w:val="ListParagraph"/>
        <w:numPr>
          <w:ilvl w:val="2"/>
          <w:numId w:val="30"/>
        </w:numPr>
        <w:tabs>
          <w:tab w:pos="2499" w:val="left" w:leader="none"/>
          <w:tab w:pos="2500" w:val="left" w:leader="none"/>
        </w:tabs>
        <w:spacing w:line="240" w:lineRule="auto" w:before="0" w:after="0"/>
        <w:ind w:left="2499" w:right="0" w:hanging="466"/>
        <w:jc w:val="left"/>
        <w:rPr>
          <w:sz w:val="22"/>
        </w:rPr>
      </w:pPr>
      <w:r>
        <w:rPr>
          <w:sz w:val="22"/>
        </w:rPr>
        <w:t>Are designed to meet all resident needs within the</w:t>
      </w:r>
      <w:r>
        <w:rPr>
          <w:spacing w:val="-6"/>
          <w:sz w:val="22"/>
        </w:rPr>
        <w:t> </w:t>
      </w:r>
      <w:r>
        <w:rPr>
          <w:sz w:val="22"/>
        </w:rPr>
        <w:t>setting</w:t>
      </w:r>
    </w:p>
    <w:p>
      <w:pPr>
        <w:pStyle w:val="ListParagraph"/>
        <w:numPr>
          <w:ilvl w:val="2"/>
          <w:numId w:val="30"/>
        </w:numPr>
        <w:tabs>
          <w:tab w:pos="2499" w:val="left" w:leader="none"/>
          <w:tab w:pos="2500" w:val="left" w:leader="none"/>
        </w:tabs>
        <w:spacing w:line="268" w:lineRule="exact" w:before="0" w:after="0"/>
        <w:ind w:left="2499" w:right="0" w:hanging="517"/>
        <w:jc w:val="left"/>
        <w:rPr>
          <w:sz w:val="22"/>
        </w:rPr>
      </w:pPr>
      <w:r>
        <w:rPr>
          <w:sz w:val="22"/>
        </w:rPr>
        <w:t>Restrict or pose barriers to accessing the local</w:t>
      </w:r>
      <w:r>
        <w:rPr>
          <w:spacing w:val="-3"/>
          <w:sz w:val="22"/>
        </w:rPr>
        <w:t> </w:t>
      </w:r>
      <w:r>
        <w:rPr>
          <w:sz w:val="22"/>
        </w:rPr>
        <w:t>community;</w:t>
      </w:r>
    </w:p>
    <w:p>
      <w:pPr>
        <w:pStyle w:val="ListParagraph"/>
        <w:numPr>
          <w:ilvl w:val="2"/>
          <w:numId w:val="30"/>
        </w:numPr>
        <w:tabs>
          <w:tab w:pos="2499" w:val="left" w:leader="none"/>
          <w:tab w:pos="2500" w:val="left" w:leader="none"/>
        </w:tabs>
        <w:spacing w:line="268" w:lineRule="exact" w:before="0" w:after="0"/>
        <w:ind w:left="2499" w:right="0" w:hanging="567"/>
        <w:jc w:val="left"/>
        <w:rPr>
          <w:sz w:val="22"/>
        </w:rPr>
      </w:pPr>
      <w:r>
        <w:rPr>
          <w:sz w:val="22"/>
        </w:rPr>
        <w:t>Do not support resident access to the local</w:t>
      </w:r>
      <w:r>
        <w:rPr>
          <w:spacing w:val="-10"/>
          <w:sz w:val="22"/>
        </w:rPr>
        <w:t> </w:t>
      </w:r>
      <w:r>
        <w:rPr>
          <w:sz w:val="22"/>
        </w:rPr>
        <w:t>community</w:t>
      </w:r>
    </w:p>
    <w:p>
      <w:pPr>
        <w:pStyle w:val="ListParagraph"/>
        <w:numPr>
          <w:ilvl w:val="1"/>
          <w:numId w:val="30"/>
        </w:numPr>
        <w:tabs>
          <w:tab w:pos="1780" w:val="left" w:leader="none"/>
        </w:tabs>
        <w:spacing w:line="240" w:lineRule="auto" w:before="0" w:after="0"/>
        <w:ind w:left="1779" w:right="1707" w:hanging="361"/>
        <w:jc w:val="left"/>
        <w:rPr>
          <w:sz w:val="22"/>
        </w:rPr>
      </w:pPr>
      <w:r>
        <w:rPr>
          <w:sz w:val="22"/>
        </w:rPr>
        <w:t>Interview residents to determine if their experience in the setting is isolating and if so whether that isolation is caused by systemic conditions inherent in the setting’s design, policies or</w:t>
      </w:r>
      <w:r>
        <w:rPr>
          <w:spacing w:val="-12"/>
          <w:sz w:val="22"/>
        </w:rPr>
        <w:t> </w:t>
      </w:r>
      <w:r>
        <w:rPr>
          <w:sz w:val="22"/>
        </w:rPr>
        <w:t>practices.</w:t>
      </w:r>
    </w:p>
    <w:p>
      <w:pPr>
        <w:pStyle w:val="BodyText"/>
      </w:pPr>
    </w:p>
    <w:p>
      <w:pPr>
        <w:pStyle w:val="BodyText"/>
      </w:pPr>
    </w:p>
    <w:p>
      <w:pPr>
        <w:pStyle w:val="ListParagraph"/>
        <w:numPr>
          <w:ilvl w:val="0"/>
          <w:numId w:val="30"/>
        </w:numPr>
        <w:tabs>
          <w:tab w:pos="1420" w:val="left" w:leader="none"/>
        </w:tabs>
        <w:spacing w:line="240" w:lineRule="auto" w:before="1" w:after="0"/>
        <w:ind w:left="1419" w:right="0" w:hanging="361"/>
        <w:jc w:val="left"/>
        <w:rPr>
          <w:sz w:val="22"/>
        </w:rPr>
      </w:pPr>
      <w:r>
        <w:rPr>
          <w:sz w:val="22"/>
        </w:rPr>
        <w:t>Washington will move a setting forward to CMS for heightened scrutiny review when the state</w:t>
      </w:r>
      <w:r>
        <w:rPr>
          <w:spacing w:val="-16"/>
          <w:sz w:val="22"/>
        </w:rPr>
        <w:t> </w:t>
      </w:r>
      <w:r>
        <w:rPr>
          <w:sz w:val="22"/>
        </w:rPr>
        <w:t>determines:</w:t>
      </w:r>
    </w:p>
    <w:p>
      <w:pPr>
        <w:pStyle w:val="ListParagraph"/>
        <w:numPr>
          <w:ilvl w:val="1"/>
          <w:numId w:val="30"/>
        </w:numPr>
        <w:tabs>
          <w:tab w:pos="1780" w:val="left" w:leader="none"/>
        </w:tabs>
        <w:spacing w:line="240" w:lineRule="auto" w:before="0" w:after="0"/>
        <w:ind w:left="1779" w:right="0" w:hanging="361"/>
        <w:jc w:val="left"/>
        <w:rPr>
          <w:sz w:val="22"/>
        </w:rPr>
      </w:pPr>
      <w:r>
        <w:rPr>
          <w:sz w:val="22"/>
        </w:rPr>
        <w:t>The setting is located in a building that is also a publically or privately operated facility that provides inpatient institutional treatment;</w:t>
      </w:r>
      <w:r>
        <w:rPr>
          <w:spacing w:val="-29"/>
          <w:sz w:val="22"/>
        </w:rPr>
        <w:t> </w:t>
      </w:r>
      <w:r>
        <w:rPr>
          <w:sz w:val="22"/>
        </w:rPr>
        <w:t>or</w:t>
      </w:r>
    </w:p>
    <w:p>
      <w:pPr>
        <w:pStyle w:val="ListParagraph"/>
        <w:numPr>
          <w:ilvl w:val="1"/>
          <w:numId w:val="30"/>
        </w:numPr>
        <w:tabs>
          <w:tab w:pos="1781" w:val="left" w:leader="none"/>
        </w:tabs>
        <w:spacing w:line="240" w:lineRule="auto" w:before="0" w:after="0"/>
        <w:ind w:left="1780" w:right="0" w:hanging="362"/>
        <w:jc w:val="left"/>
        <w:rPr>
          <w:sz w:val="22"/>
        </w:rPr>
      </w:pPr>
      <w:r>
        <w:rPr>
          <w:sz w:val="22"/>
        </w:rPr>
        <w:t>The setting is located in a building on the grounds of, or immediately adjacent to a public institution;</w:t>
      </w:r>
      <w:r>
        <w:rPr>
          <w:spacing w:val="-16"/>
          <w:sz w:val="22"/>
        </w:rPr>
        <w:t> </w:t>
      </w:r>
      <w:r>
        <w:rPr>
          <w:sz w:val="22"/>
        </w:rPr>
        <w:t>or</w:t>
      </w:r>
    </w:p>
    <w:p>
      <w:pPr>
        <w:pStyle w:val="ListParagraph"/>
        <w:numPr>
          <w:ilvl w:val="1"/>
          <w:numId w:val="30"/>
        </w:numPr>
        <w:tabs>
          <w:tab w:pos="1779" w:val="left" w:leader="none"/>
          <w:tab w:pos="1781" w:val="left" w:leader="none"/>
        </w:tabs>
        <w:spacing w:line="240" w:lineRule="auto" w:before="0" w:after="0"/>
        <w:ind w:left="1780" w:right="0" w:hanging="362"/>
        <w:jc w:val="left"/>
        <w:rPr>
          <w:sz w:val="22"/>
        </w:rPr>
      </w:pPr>
      <w:r>
        <w:rPr>
          <w:sz w:val="22"/>
        </w:rPr>
        <w:t>The setting’s design, policies or practices systemically isolate residents from their greater</w:t>
      </w:r>
      <w:r>
        <w:rPr>
          <w:spacing w:val="-8"/>
          <w:sz w:val="22"/>
        </w:rPr>
        <w:t> </w:t>
      </w:r>
      <w:r>
        <w:rPr>
          <w:sz w:val="22"/>
        </w:rPr>
        <w:t>community;</w:t>
      </w:r>
    </w:p>
    <w:p>
      <w:pPr>
        <w:pStyle w:val="ListParagraph"/>
        <w:numPr>
          <w:ilvl w:val="1"/>
          <w:numId w:val="30"/>
        </w:numPr>
        <w:tabs>
          <w:tab w:pos="1781" w:val="left" w:leader="none"/>
        </w:tabs>
        <w:spacing w:line="237" w:lineRule="auto" w:before="2" w:after="0"/>
        <w:ind w:left="1780" w:right="1189" w:hanging="361"/>
        <w:jc w:val="left"/>
        <w:rPr>
          <w:sz w:val="22"/>
        </w:rPr>
      </w:pPr>
      <w:r>
        <w:rPr>
          <w:sz w:val="22"/>
        </w:rPr>
        <w:t>The</w:t>
      </w:r>
      <w:r>
        <w:rPr>
          <w:spacing w:val="-1"/>
          <w:sz w:val="22"/>
        </w:rPr>
        <w:t> </w:t>
      </w:r>
      <w:r>
        <w:rPr>
          <w:sz w:val="22"/>
        </w:rPr>
        <w:t>setting</w:t>
      </w:r>
      <w:r>
        <w:rPr>
          <w:spacing w:val="-3"/>
          <w:sz w:val="22"/>
        </w:rPr>
        <w:t> </w:t>
      </w:r>
      <w:r>
        <w:rPr>
          <w:sz w:val="22"/>
        </w:rPr>
        <w:t>fully</w:t>
      </w:r>
      <w:r>
        <w:rPr>
          <w:spacing w:val="-3"/>
          <w:sz w:val="22"/>
        </w:rPr>
        <w:t> </w:t>
      </w:r>
      <w:r>
        <w:rPr>
          <w:sz w:val="22"/>
        </w:rPr>
        <w:t>aligns</w:t>
      </w:r>
      <w:r>
        <w:rPr>
          <w:spacing w:val="-2"/>
          <w:sz w:val="22"/>
        </w:rPr>
        <w:t> </w:t>
      </w:r>
      <w:r>
        <w:rPr>
          <w:sz w:val="22"/>
        </w:rPr>
        <w:t>with</w:t>
      </w:r>
      <w:r>
        <w:rPr>
          <w:spacing w:val="-4"/>
          <w:sz w:val="22"/>
        </w:rPr>
        <w:t> </w:t>
      </w:r>
      <w:r>
        <w:rPr>
          <w:sz w:val="22"/>
        </w:rPr>
        <w:t>the</w:t>
      </w:r>
      <w:r>
        <w:rPr>
          <w:spacing w:val="-1"/>
          <w:sz w:val="22"/>
        </w:rPr>
        <w:t> </w:t>
      </w:r>
      <w:r>
        <w:rPr>
          <w:sz w:val="22"/>
        </w:rPr>
        <w:t>HCBS</w:t>
      </w:r>
      <w:r>
        <w:rPr>
          <w:spacing w:val="-4"/>
          <w:sz w:val="22"/>
        </w:rPr>
        <w:t> </w:t>
      </w:r>
      <w:r>
        <w:rPr>
          <w:sz w:val="22"/>
        </w:rPr>
        <w:t>setting</w:t>
      </w:r>
      <w:r>
        <w:rPr>
          <w:spacing w:val="-3"/>
          <w:sz w:val="22"/>
        </w:rPr>
        <w:t> </w:t>
      </w:r>
      <w:r>
        <w:rPr>
          <w:sz w:val="22"/>
        </w:rPr>
        <w:t>requirements</w:t>
      </w:r>
      <w:r>
        <w:rPr>
          <w:spacing w:val="-3"/>
          <w:sz w:val="22"/>
        </w:rPr>
        <w:t> </w:t>
      </w:r>
      <w:r>
        <w:rPr>
          <w:sz w:val="22"/>
        </w:rPr>
        <w:t>or</w:t>
      </w:r>
      <w:r>
        <w:rPr>
          <w:spacing w:val="-2"/>
          <w:sz w:val="22"/>
        </w:rPr>
        <w:t> </w:t>
      </w:r>
      <w:r>
        <w:rPr>
          <w:sz w:val="22"/>
        </w:rPr>
        <w:t>has</w:t>
      </w:r>
      <w:r>
        <w:rPr>
          <w:spacing w:val="-3"/>
          <w:sz w:val="22"/>
        </w:rPr>
        <w:t> </w:t>
      </w:r>
      <w:r>
        <w:rPr>
          <w:sz w:val="22"/>
        </w:rPr>
        <w:t>the</w:t>
      </w:r>
      <w:r>
        <w:rPr>
          <w:spacing w:val="-1"/>
          <w:sz w:val="22"/>
        </w:rPr>
        <w:t> </w:t>
      </w:r>
      <w:r>
        <w:rPr>
          <w:sz w:val="22"/>
        </w:rPr>
        <w:t>capacity</w:t>
      </w:r>
      <w:r>
        <w:rPr>
          <w:spacing w:val="-3"/>
          <w:sz w:val="22"/>
        </w:rPr>
        <w:t> </w:t>
      </w:r>
      <w:r>
        <w:rPr>
          <w:sz w:val="22"/>
        </w:rPr>
        <w:t>to</w:t>
      </w:r>
      <w:r>
        <w:rPr>
          <w:spacing w:val="-2"/>
          <w:sz w:val="22"/>
        </w:rPr>
        <w:t> </w:t>
      </w:r>
      <w:r>
        <w:rPr>
          <w:sz w:val="22"/>
        </w:rPr>
        <w:t>fully</w:t>
      </w:r>
      <w:r>
        <w:rPr>
          <w:spacing w:val="-1"/>
          <w:sz w:val="22"/>
        </w:rPr>
        <w:t> </w:t>
      </w:r>
      <w:r>
        <w:rPr>
          <w:sz w:val="22"/>
        </w:rPr>
        <w:t>align</w:t>
      </w:r>
      <w:r>
        <w:rPr>
          <w:spacing w:val="-2"/>
          <w:sz w:val="22"/>
        </w:rPr>
        <w:t> </w:t>
      </w:r>
      <w:r>
        <w:rPr>
          <w:sz w:val="22"/>
        </w:rPr>
        <w:t>with</w:t>
      </w:r>
      <w:r>
        <w:rPr>
          <w:spacing w:val="-5"/>
          <w:sz w:val="22"/>
        </w:rPr>
        <w:t> </w:t>
      </w:r>
      <w:r>
        <w:rPr>
          <w:sz w:val="22"/>
        </w:rPr>
        <w:t>the HCB</w:t>
      </w:r>
      <w:r>
        <w:rPr>
          <w:spacing w:val="-4"/>
          <w:sz w:val="22"/>
        </w:rPr>
        <w:t> </w:t>
      </w:r>
      <w:r>
        <w:rPr>
          <w:sz w:val="22"/>
        </w:rPr>
        <w:t>settings</w:t>
      </w:r>
      <w:r>
        <w:rPr>
          <w:spacing w:val="-1"/>
          <w:sz w:val="22"/>
        </w:rPr>
        <w:t> </w:t>
      </w:r>
      <w:r>
        <w:rPr>
          <w:sz w:val="22"/>
        </w:rPr>
        <w:t>requirements,</w:t>
      </w:r>
      <w:r>
        <w:rPr>
          <w:spacing w:val="-4"/>
          <w:sz w:val="22"/>
        </w:rPr>
        <w:t> </w:t>
      </w:r>
      <w:r>
        <w:rPr>
          <w:sz w:val="22"/>
        </w:rPr>
        <w:t>no</w:t>
      </w:r>
      <w:r>
        <w:rPr>
          <w:spacing w:val="-1"/>
          <w:sz w:val="22"/>
        </w:rPr>
        <w:t> </w:t>
      </w:r>
      <w:r>
        <w:rPr>
          <w:sz w:val="22"/>
        </w:rPr>
        <w:t>later than December 1, 2021, by successfully achieving the state identified milestones outlined in a plan of correction;</w:t>
      </w:r>
      <w:r>
        <w:rPr>
          <w:spacing w:val="-31"/>
          <w:sz w:val="22"/>
        </w:rPr>
        <w:t> </w:t>
      </w:r>
      <w:r>
        <w:rPr>
          <w:sz w:val="22"/>
        </w:rPr>
        <w:t>and</w:t>
      </w:r>
    </w:p>
    <w:p>
      <w:pPr>
        <w:pStyle w:val="ListParagraph"/>
        <w:numPr>
          <w:ilvl w:val="1"/>
          <w:numId w:val="30"/>
        </w:numPr>
        <w:tabs>
          <w:tab w:pos="1781" w:val="left" w:leader="none"/>
        </w:tabs>
        <w:spacing w:line="240" w:lineRule="auto" w:before="2" w:after="0"/>
        <w:ind w:left="1780" w:right="0" w:hanging="361"/>
        <w:jc w:val="left"/>
        <w:rPr>
          <w:sz w:val="22"/>
        </w:rPr>
      </w:pPr>
      <w:r>
        <w:rPr>
          <w:sz w:val="22"/>
        </w:rPr>
        <w:t>When applicable, the setting agrees to achieve all milestones in the corrective action plan by the date assigned to each</w:t>
      </w:r>
      <w:r>
        <w:rPr>
          <w:spacing w:val="-25"/>
          <w:sz w:val="22"/>
        </w:rPr>
        <w:t> </w:t>
      </w:r>
      <w:r>
        <w:rPr>
          <w:sz w:val="22"/>
        </w:rPr>
        <w:t>milestone.</w:t>
      </w:r>
    </w:p>
    <w:p>
      <w:pPr>
        <w:pStyle w:val="BodyText"/>
      </w:pPr>
    </w:p>
    <w:p>
      <w:pPr>
        <w:pStyle w:val="ListParagraph"/>
        <w:numPr>
          <w:ilvl w:val="0"/>
          <w:numId w:val="30"/>
        </w:numPr>
        <w:tabs>
          <w:tab w:pos="1421" w:val="left" w:leader="none"/>
        </w:tabs>
        <w:spacing w:line="240" w:lineRule="auto" w:before="0" w:after="0"/>
        <w:ind w:left="1420" w:right="0" w:hanging="361"/>
        <w:jc w:val="left"/>
        <w:rPr>
          <w:sz w:val="22"/>
        </w:rPr>
      </w:pPr>
      <w:r>
        <w:rPr>
          <w:sz w:val="22"/>
        </w:rPr>
        <w:t>When the state submits a setting to CMS for heightened scrutiny review, the evidentiary package will</w:t>
      </w:r>
      <w:r>
        <w:rPr>
          <w:spacing w:val="-15"/>
          <w:sz w:val="22"/>
        </w:rPr>
        <w:t> </w:t>
      </w:r>
      <w:r>
        <w:rPr>
          <w:sz w:val="22"/>
        </w:rPr>
        <w:t>include:</w:t>
      </w:r>
    </w:p>
    <w:p>
      <w:pPr>
        <w:pStyle w:val="BodyText"/>
        <w:spacing w:before="10"/>
        <w:rPr>
          <w:sz w:val="14"/>
        </w:rPr>
      </w:pPr>
      <w:r>
        <w:rPr/>
        <w:pict>
          <v:shape style="position:absolute;margin-left:70.559998pt;margin-top:11.291121pt;width:650.9pt;height:.1pt;mso-position-horizontal-relative:page;mso-position-vertical-relative:paragraph;z-index:-251470848;mso-wrap-distance-left:0;mso-wrap-distance-right:0" coordorigin="1411,226" coordsize="13018,0" path="m1411,226l14429,226e" filled="false" stroked="true" strokeweight=".481pt" strokecolor="#d9d9d9">
            <v:path arrowok="t"/>
            <v:stroke dashstyle="solid"/>
            <w10:wrap type="topAndBottom"/>
          </v:shape>
        </w:pict>
      </w:r>
    </w:p>
    <w:p>
      <w:pPr>
        <w:spacing w:after="0"/>
        <w:rPr>
          <w:sz w:val="14"/>
        </w:rPr>
        <w:sectPr>
          <w:footerReference w:type="default" r:id="rId135"/>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12"/>
        </w:rPr>
      </w:pPr>
    </w:p>
    <w:p>
      <w:pPr>
        <w:pStyle w:val="ListParagraph"/>
        <w:numPr>
          <w:ilvl w:val="1"/>
          <w:numId w:val="30"/>
        </w:numPr>
        <w:tabs>
          <w:tab w:pos="2500" w:val="left" w:leader="none"/>
        </w:tabs>
        <w:spacing w:line="240" w:lineRule="auto" w:before="56" w:after="0"/>
        <w:ind w:left="2499" w:right="0" w:hanging="360"/>
        <w:jc w:val="left"/>
        <w:rPr>
          <w:sz w:val="22"/>
        </w:rPr>
      </w:pPr>
      <w:r>
        <w:rPr>
          <w:sz w:val="22"/>
        </w:rPr>
        <w:t>The name and location of the</w:t>
      </w:r>
      <w:r>
        <w:rPr>
          <w:spacing w:val="-2"/>
          <w:sz w:val="22"/>
        </w:rPr>
        <w:t> </w:t>
      </w:r>
      <w:r>
        <w:rPr>
          <w:sz w:val="22"/>
        </w:rPr>
        <w:t>facility;</w:t>
      </w:r>
    </w:p>
    <w:p>
      <w:pPr>
        <w:pStyle w:val="ListParagraph"/>
        <w:numPr>
          <w:ilvl w:val="1"/>
          <w:numId w:val="30"/>
        </w:numPr>
        <w:tabs>
          <w:tab w:pos="2500" w:val="left" w:leader="none"/>
        </w:tabs>
        <w:spacing w:line="240" w:lineRule="auto" w:before="0" w:after="0"/>
        <w:ind w:left="2499" w:right="0" w:hanging="361"/>
        <w:jc w:val="left"/>
        <w:rPr>
          <w:sz w:val="22"/>
        </w:rPr>
      </w:pPr>
      <w:r>
        <w:rPr>
          <w:sz w:val="22"/>
        </w:rPr>
        <w:t>The characteristics of the setting or other reason the setting was identified for heightened</w:t>
      </w:r>
      <w:r>
        <w:rPr>
          <w:spacing w:val="-17"/>
          <w:sz w:val="22"/>
        </w:rPr>
        <w:t> </w:t>
      </w:r>
      <w:r>
        <w:rPr>
          <w:sz w:val="22"/>
        </w:rPr>
        <w:t>scrutiny;</w:t>
      </w:r>
    </w:p>
    <w:p>
      <w:pPr>
        <w:pStyle w:val="ListParagraph"/>
        <w:numPr>
          <w:ilvl w:val="1"/>
          <w:numId w:val="30"/>
        </w:numPr>
        <w:tabs>
          <w:tab w:pos="2500" w:val="left" w:leader="none"/>
          <w:tab w:pos="2501" w:val="left" w:leader="none"/>
        </w:tabs>
        <w:spacing w:line="240" w:lineRule="auto" w:before="0" w:after="0"/>
        <w:ind w:left="2500" w:right="0" w:hanging="362"/>
        <w:jc w:val="left"/>
        <w:rPr>
          <w:sz w:val="22"/>
        </w:rPr>
      </w:pPr>
      <w:r>
        <w:rPr>
          <w:sz w:val="22"/>
        </w:rPr>
        <w:t>How the setting was assessed for having the effect of isolating residents from the broader</w:t>
      </w:r>
      <w:r>
        <w:rPr>
          <w:spacing w:val="-19"/>
          <w:sz w:val="22"/>
        </w:rPr>
        <w:t> </w:t>
      </w:r>
      <w:r>
        <w:rPr>
          <w:sz w:val="22"/>
        </w:rPr>
        <w:t>community;</w:t>
      </w:r>
    </w:p>
    <w:p>
      <w:pPr>
        <w:pStyle w:val="ListParagraph"/>
        <w:numPr>
          <w:ilvl w:val="1"/>
          <w:numId w:val="30"/>
        </w:numPr>
        <w:tabs>
          <w:tab w:pos="2501" w:val="left" w:leader="none"/>
        </w:tabs>
        <w:spacing w:line="268" w:lineRule="exact" w:before="0" w:after="0"/>
        <w:ind w:left="2500" w:right="0" w:hanging="361"/>
        <w:jc w:val="left"/>
        <w:rPr>
          <w:sz w:val="22"/>
        </w:rPr>
      </w:pPr>
      <w:r>
        <w:rPr>
          <w:sz w:val="22"/>
        </w:rPr>
        <w:t>How the state performed the heightened scrutiny</w:t>
      </w:r>
      <w:r>
        <w:rPr>
          <w:spacing w:val="-8"/>
          <w:sz w:val="22"/>
        </w:rPr>
        <w:t> </w:t>
      </w:r>
      <w:r>
        <w:rPr>
          <w:sz w:val="22"/>
        </w:rPr>
        <w:t>review;</w:t>
      </w:r>
    </w:p>
    <w:p>
      <w:pPr>
        <w:pStyle w:val="ListParagraph"/>
        <w:numPr>
          <w:ilvl w:val="1"/>
          <w:numId w:val="30"/>
        </w:numPr>
        <w:tabs>
          <w:tab w:pos="2501" w:val="left" w:leader="none"/>
        </w:tabs>
        <w:spacing w:line="268" w:lineRule="exact" w:before="0" w:after="0"/>
        <w:ind w:left="2500" w:right="0" w:hanging="361"/>
        <w:jc w:val="left"/>
        <w:rPr>
          <w:sz w:val="22"/>
        </w:rPr>
      </w:pPr>
      <w:r>
        <w:rPr>
          <w:sz w:val="22"/>
        </w:rPr>
        <w:t>What information was collected in addition to onsite reviews and</w:t>
      </w:r>
      <w:r>
        <w:rPr>
          <w:spacing w:val="-17"/>
          <w:sz w:val="22"/>
        </w:rPr>
        <w:t> </w:t>
      </w:r>
      <w:r>
        <w:rPr>
          <w:sz w:val="22"/>
        </w:rPr>
        <w:t>interviews;</w:t>
      </w:r>
    </w:p>
    <w:p>
      <w:pPr>
        <w:pStyle w:val="ListParagraph"/>
        <w:numPr>
          <w:ilvl w:val="1"/>
          <w:numId w:val="30"/>
        </w:numPr>
        <w:tabs>
          <w:tab w:pos="2500" w:val="left" w:leader="none"/>
          <w:tab w:pos="2501" w:val="left" w:leader="none"/>
        </w:tabs>
        <w:spacing w:line="240" w:lineRule="auto" w:before="1" w:after="0"/>
        <w:ind w:left="2500" w:right="0" w:hanging="361"/>
        <w:jc w:val="left"/>
        <w:rPr>
          <w:sz w:val="22"/>
        </w:rPr>
      </w:pPr>
      <w:r>
        <w:rPr>
          <w:sz w:val="22"/>
        </w:rPr>
        <w:t>The results of the resident, staff and administrator</w:t>
      </w:r>
      <w:r>
        <w:rPr>
          <w:spacing w:val="-8"/>
          <w:sz w:val="22"/>
        </w:rPr>
        <w:t> </w:t>
      </w:r>
      <w:r>
        <w:rPr>
          <w:sz w:val="22"/>
        </w:rPr>
        <w:t>interviews;</w:t>
      </w:r>
    </w:p>
    <w:p>
      <w:pPr>
        <w:pStyle w:val="ListParagraph"/>
        <w:numPr>
          <w:ilvl w:val="1"/>
          <w:numId w:val="30"/>
        </w:numPr>
        <w:tabs>
          <w:tab w:pos="2500" w:val="left" w:leader="none"/>
          <w:tab w:pos="2501" w:val="left" w:leader="none"/>
        </w:tabs>
        <w:spacing w:line="240" w:lineRule="auto" w:before="0" w:after="0"/>
        <w:ind w:left="2500" w:right="0" w:hanging="361"/>
        <w:jc w:val="left"/>
        <w:rPr>
          <w:sz w:val="22"/>
        </w:rPr>
      </w:pPr>
      <w:r>
        <w:rPr>
          <w:sz w:val="22"/>
        </w:rPr>
        <w:t>The results of observations made during the onsite review</w:t>
      </w:r>
      <w:r>
        <w:rPr>
          <w:spacing w:val="-13"/>
          <w:sz w:val="22"/>
        </w:rPr>
        <w:t> </w:t>
      </w:r>
      <w:r>
        <w:rPr>
          <w:sz w:val="22"/>
        </w:rPr>
        <w:t>including:</w:t>
      </w:r>
    </w:p>
    <w:p>
      <w:pPr>
        <w:pStyle w:val="ListParagraph"/>
        <w:numPr>
          <w:ilvl w:val="2"/>
          <w:numId w:val="30"/>
        </w:numPr>
        <w:tabs>
          <w:tab w:pos="3220" w:val="left" w:leader="none"/>
        </w:tabs>
        <w:spacing w:line="240" w:lineRule="auto" w:before="0" w:after="0"/>
        <w:ind w:left="3219" w:right="0" w:hanging="286"/>
        <w:jc w:val="left"/>
        <w:rPr>
          <w:sz w:val="22"/>
        </w:rPr>
      </w:pPr>
      <w:r>
        <w:rPr>
          <w:sz w:val="22"/>
        </w:rPr>
        <w:t>How the setting is integrated in and considered a part of the local community;</w:t>
      </w:r>
      <w:r>
        <w:rPr>
          <w:spacing w:val="-15"/>
          <w:sz w:val="22"/>
        </w:rPr>
        <w:t> </w:t>
      </w:r>
      <w:r>
        <w:rPr>
          <w:sz w:val="22"/>
        </w:rPr>
        <w:t>and</w:t>
      </w:r>
    </w:p>
    <w:p>
      <w:pPr>
        <w:pStyle w:val="ListParagraph"/>
        <w:numPr>
          <w:ilvl w:val="2"/>
          <w:numId w:val="30"/>
        </w:numPr>
        <w:tabs>
          <w:tab w:pos="3220" w:val="left" w:leader="none"/>
        </w:tabs>
        <w:spacing w:line="240" w:lineRule="auto" w:before="0" w:after="0"/>
        <w:ind w:left="3219" w:right="0" w:hanging="337"/>
        <w:jc w:val="left"/>
        <w:rPr>
          <w:sz w:val="22"/>
        </w:rPr>
      </w:pPr>
      <w:r>
        <w:rPr>
          <w:sz w:val="22"/>
        </w:rPr>
        <w:t>How individuals participate in typical community activities and engage in community</w:t>
      </w:r>
      <w:r>
        <w:rPr>
          <w:spacing w:val="-14"/>
          <w:sz w:val="22"/>
        </w:rPr>
        <w:t> </w:t>
      </w:r>
      <w:r>
        <w:rPr>
          <w:sz w:val="22"/>
        </w:rPr>
        <w:t>life.</w:t>
      </w:r>
    </w:p>
    <w:p>
      <w:pPr>
        <w:pStyle w:val="ListParagraph"/>
        <w:numPr>
          <w:ilvl w:val="2"/>
          <w:numId w:val="30"/>
        </w:numPr>
        <w:tabs>
          <w:tab w:pos="3220" w:val="left" w:leader="none"/>
        </w:tabs>
        <w:spacing w:line="240" w:lineRule="auto" w:before="0" w:after="0"/>
        <w:ind w:left="3219" w:right="1164" w:hanging="387"/>
        <w:jc w:val="left"/>
        <w:rPr>
          <w:sz w:val="22"/>
        </w:rPr>
      </w:pPr>
      <w:r>
        <w:rPr>
          <w:sz w:val="22"/>
        </w:rPr>
        <w:t>In the case of a setting located in a building providing inpatient institutional treatment or in a building on the grounds of or immediately adjacent to a public institution, the state will also provide the following</w:t>
      </w:r>
      <w:r>
        <w:rPr>
          <w:spacing w:val="-16"/>
          <w:sz w:val="22"/>
        </w:rPr>
        <w:t> </w:t>
      </w:r>
      <w:r>
        <w:rPr>
          <w:sz w:val="22"/>
        </w:rPr>
        <w:t>information:</w:t>
      </w:r>
    </w:p>
    <w:p>
      <w:pPr>
        <w:pStyle w:val="ListParagraph"/>
        <w:numPr>
          <w:ilvl w:val="3"/>
          <w:numId w:val="30"/>
        </w:numPr>
        <w:tabs>
          <w:tab w:pos="3941" w:val="left" w:leader="none"/>
        </w:tabs>
        <w:spacing w:line="240" w:lineRule="auto" w:before="0" w:after="0"/>
        <w:ind w:left="3940" w:right="0" w:hanging="361"/>
        <w:jc w:val="left"/>
        <w:rPr>
          <w:sz w:val="22"/>
        </w:rPr>
      </w:pPr>
      <w:r>
        <w:rPr>
          <w:sz w:val="22"/>
        </w:rPr>
        <w:t>The extent to which the programs share direct care</w:t>
      </w:r>
      <w:r>
        <w:rPr>
          <w:spacing w:val="-9"/>
          <w:sz w:val="22"/>
        </w:rPr>
        <w:t> </w:t>
      </w:r>
      <w:r>
        <w:rPr>
          <w:sz w:val="22"/>
        </w:rPr>
        <w:t>staff;</w:t>
      </w:r>
    </w:p>
    <w:p>
      <w:pPr>
        <w:pStyle w:val="ListParagraph"/>
        <w:numPr>
          <w:ilvl w:val="3"/>
          <w:numId w:val="30"/>
        </w:numPr>
        <w:tabs>
          <w:tab w:pos="3941" w:val="left" w:leader="none"/>
        </w:tabs>
        <w:spacing w:line="240" w:lineRule="auto" w:before="1" w:after="0"/>
        <w:ind w:left="3940" w:right="0" w:hanging="361"/>
        <w:jc w:val="left"/>
        <w:rPr>
          <w:sz w:val="22"/>
        </w:rPr>
      </w:pPr>
      <w:r>
        <w:rPr>
          <w:sz w:val="22"/>
        </w:rPr>
        <w:t>The extent to which the programs share administrative staff, meal preparation or other responsibilities;</w:t>
      </w:r>
      <w:r>
        <w:rPr>
          <w:spacing w:val="-18"/>
          <w:sz w:val="22"/>
        </w:rPr>
        <w:t> </w:t>
      </w:r>
      <w:r>
        <w:rPr>
          <w:sz w:val="22"/>
        </w:rPr>
        <w:t>and</w:t>
      </w:r>
    </w:p>
    <w:p>
      <w:pPr>
        <w:pStyle w:val="ListParagraph"/>
        <w:numPr>
          <w:ilvl w:val="3"/>
          <w:numId w:val="30"/>
        </w:numPr>
        <w:tabs>
          <w:tab w:pos="3941" w:val="left" w:leader="none"/>
        </w:tabs>
        <w:spacing w:line="237" w:lineRule="auto" w:before="2" w:after="0"/>
        <w:ind w:left="3940" w:right="1433" w:hanging="361"/>
        <w:jc w:val="left"/>
        <w:rPr>
          <w:sz w:val="22"/>
        </w:rPr>
      </w:pPr>
      <w:r>
        <w:rPr>
          <w:sz w:val="22"/>
        </w:rPr>
        <w:t>How regular and substitute staff are trained on the requirements of the home and community based settings rules.</w:t>
      </w:r>
    </w:p>
    <w:p>
      <w:pPr>
        <w:pStyle w:val="ListParagraph"/>
        <w:numPr>
          <w:ilvl w:val="1"/>
          <w:numId w:val="30"/>
        </w:numPr>
        <w:tabs>
          <w:tab w:pos="2501" w:val="left" w:leader="none"/>
        </w:tabs>
        <w:spacing w:line="240" w:lineRule="auto" w:before="1" w:after="0"/>
        <w:ind w:left="2500" w:right="0" w:hanging="361"/>
        <w:jc w:val="left"/>
        <w:rPr>
          <w:sz w:val="22"/>
        </w:rPr>
      </w:pPr>
      <w:r>
        <w:rPr>
          <w:sz w:val="22"/>
        </w:rPr>
        <w:t>When applicable, a copy of the setting’s corrective action plan,</w:t>
      </w:r>
      <w:r>
        <w:rPr>
          <w:spacing w:val="-12"/>
          <w:sz w:val="22"/>
        </w:rPr>
        <w:t> </w:t>
      </w:r>
      <w:r>
        <w:rPr>
          <w:sz w:val="22"/>
        </w:rPr>
        <w:t>including:</w:t>
      </w:r>
    </w:p>
    <w:p>
      <w:pPr>
        <w:pStyle w:val="ListParagraph"/>
        <w:numPr>
          <w:ilvl w:val="2"/>
          <w:numId w:val="30"/>
        </w:numPr>
        <w:tabs>
          <w:tab w:pos="3221" w:val="left" w:leader="none"/>
        </w:tabs>
        <w:spacing w:line="240" w:lineRule="auto" w:before="0" w:after="0"/>
        <w:ind w:left="3220" w:right="0" w:hanging="287"/>
        <w:jc w:val="left"/>
        <w:rPr>
          <w:sz w:val="22"/>
        </w:rPr>
      </w:pPr>
      <w:r>
        <w:rPr>
          <w:sz w:val="22"/>
        </w:rPr>
        <w:t>Issues and characteristics that are not fully in alignment with the HCB settings</w:t>
      </w:r>
      <w:r>
        <w:rPr>
          <w:spacing w:val="-5"/>
          <w:sz w:val="22"/>
        </w:rPr>
        <w:t> </w:t>
      </w:r>
      <w:r>
        <w:rPr>
          <w:sz w:val="22"/>
        </w:rPr>
        <w:t>rules;</w:t>
      </w:r>
    </w:p>
    <w:p>
      <w:pPr>
        <w:pStyle w:val="ListParagraph"/>
        <w:numPr>
          <w:ilvl w:val="2"/>
          <w:numId w:val="30"/>
        </w:numPr>
        <w:tabs>
          <w:tab w:pos="3221" w:val="left" w:leader="none"/>
        </w:tabs>
        <w:spacing w:line="240" w:lineRule="auto" w:before="1" w:after="0"/>
        <w:ind w:left="3220" w:right="0" w:hanging="337"/>
        <w:jc w:val="left"/>
        <w:rPr>
          <w:sz w:val="22"/>
        </w:rPr>
      </w:pPr>
      <w:r>
        <w:rPr>
          <w:sz w:val="22"/>
        </w:rPr>
        <w:t>The actions the setting will take to address identified</w:t>
      </w:r>
      <w:r>
        <w:rPr>
          <w:spacing w:val="-9"/>
          <w:sz w:val="22"/>
        </w:rPr>
        <w:t> </w:t>
      </w:r>
      <w:r>
        <w:rPr>
          <w:sz w:val="22"/>
        </w:rPr>
        <w:t>issues;</w:t>
      </w:r>
    </w:p>
    <w:p>
      <w:pPr>
        <w:pStyle w:val="ListParagraph"/>
        <w:numPr>
          <w:ilvl w:val="2"/>
          <w:numId w:val="30"/>
        </w:numPr>
        <w:tabs>
          <w:tab w:pos="3221" w:val="left" w:leader="none"/>
        </w:tabs>
        <w:spacing w:line="240" w:lineRule="auto" w:before="0" w:after="0"/>
        <w:ind w:left="3220" w:right="0" w:hanging="388"/>
        <w:jc w:val="left"/>
        <w:rPr>
          <w:sz w:val="22"/>
        </w:rPr>
      </w:pPr>
      <w:r>
        <w:rPr>
          <w:sz w:val="22"/>
        </w:rPr>
        <w:t>The state’s approval of the corrective action plan, milestones, and the proposed date of</w:t>
      </w:r>
      <w:r>
        <w:rPr>
          <w:spacing w:val="-20"/>
          <w:sz w:val="22"/>
        </w:rPr>
        <w:t> </w:t>
      </w:r>
      <w:r>
        <w:rPr>
          <w:sz w:val="22"/>
        </w:rPr>
        <w:t>completion;</w:t>
      </w:r>
    </w:p>
    <w:p>
      <w:pPr>
        <w:pStyle w:val="ListParagraph"/>
        <w:numPr>
          <w:ilvl w:val="2"/>
          <w:numId w:val="30"/>
        </w:numPr>
        <w:tabs>
          <w:tab w:pos="3221" w:val="left" w:leader="none"/>
        </w:tabs>
        <w:spacing w:line="240" w:lineRule="auto" w:before="0" w:after="0"/>
        <w:ind w:left="3220" w:right="0" w:hanging="388"/>
        <w:jc w:val="left"/>
        <w:rPr>
          <w:sz w:val="22"/>
        </w:rPr>
      </w:pPr>
      <w:r>
        <w:rPr>
          <w:sz w:val="22"/>
        </w:rPr>
        <w:t>The state’s plan to</w:t>
      </w:r>
      <w:r>
        <w:rPr>
          <w:spacing w:val="-4"/>
          <w:sz w:val="22"/>
        </w:rPr>
        <w:t> </w:t>
      </w:r>
      <w:r>
        <w:rPr>
          <w:sz w:val="22"/>
        </w:rPr>
        <w:t>monitor:</w:t>
      </w:r>
    </w:p>
    <w:p>
      <w:pPr>
        <w:pStyle w:val="ListParagraph"/>
        <w:numPr>
          <w:ilvl w:val="3"/>
          <w:numId w:val="30"/>
        </w:numPr>
        <w:tabs>
          <w:tab w:pos="3941" w:val="left" w:leader="none"/>
        </w:tabs>
        <w:spacing w:line="240" w:lineRule="auto" w:before="0" w:after="0"/>
        <w:ind w:left="3940" w:right="0" w:hanging="361"/>
        <w:jc w:val="left"/>
        <w:rPr>
          <w:sz w:val="22"/>
        </w:rPr>
      </w:pPr>
      <w:r>
        <w:rPr>
          <w:sz w:val="22"/>
        </w:rPr>
        <w:t>The setting’s achievement of the milestones outlined in the corrective action plan;</w:t>
      </w:r>
      <w:r>
        <w:rPr>
          <w:spacing w:val="-13"/>
          <w:sz w:val="22"/>
        </w:rPr>
        <w:t> </w:t>
      </w:r>
      <w:r>
        <w:rPr>
          <w:sz w:val="22"/>
        </w:rPr>
        <w:t>and</w:t>
      </w:r>
    </w:p>
    <w:p>
      <w:pPr>
        <w:pStyle w:val="ListParagraph"/>
        <w:numPr>
          <w:ilvl w:val="3"/>
          <w:numId w:val="30"/>
        </w:numPr>
        <w:tabs>
          <w:tab w:pos="3990" w:val="left" w:leader="none"/>
          <w:tab w:pos="3991" w:val="left" w:leader="none"/>
        </w:tabs>
        <w:spacing w:line="240" w:lineRule="auto" w:before="0" w:after="0"/>
        <w:ind w:left="3990" w:right="0" w:hanging="411"/>
        <w:jc w:val="left"/>
        <w:rPr>
          <w:sz w:val="22"/>
        </w:rPr>
      </w:pPr>
      <w:r>
        <w:rPr>
          <w:sz w:val="22"/>
        </w:rPr>
        <w:t>Resident experience post implementation of the setting’s corrective action</w:t>
      </w:r>
      <w:r>
        <w:rPr>
          <w:spacing w:val="-10"/>
          <w:sz w:val="22"/>
        </w:rPr>
        <w:t> </w:t>
      </w:r>
      <w:r>
        <w:rPr>
          <w:sz w:val="22"/>
        </w:rPr>
        <w:t>plan.</w:t>
      </w:r>
    </w:p>
    <w:p>
      <w:pPr>
        <w:pStyle w:val="BodyText"/>
      </w:pPr>
    </w:p>
    <w:p>
      <w:pPr>
        <w:pStyle w:val="ListParagraph"/>
        <w:numPr>
          <w:ilvl w:val="0"/>
          <w:numId w:val="30"/>
        </w:numPr>
        <w:tabs>
          <w:tab w:pos="1421" w:val="left" w:leader="none"/>
        </w:tabs>
        <w:spacing w:line="268" w:lineRule="exact" w:before="1" w:after="0"/>
        <w:ind w:left="1420" w:right="0" w:hanging="361"/>
        <w:jc w:val="left"/>
        <w:rPr>
          <w:sz w:val="22"/>
        </w:rPr>
      </w:pPr>
      <w:r>
        <w:rPr>
          <w:sz w:val="22"/>
        </w:rPr>
        <w:t>Washington will </w:t>
      </w:r>
      <w:r>
        <w:rPr>
          <w:i/>
          <w:sz w:val="22"/>
        </w:rPr>
        <w:t>not </w:t>
      </w:r>
      <w:r>
        <w:rPr>
          <w:sz w:val="22"/>
        </w:rPr>
        <w:t>move a setting forward to CMS for heightened scrutiny review when the state</w:t>
      </w:r>
      <w:r>
        <w:rPr>
          <w:spacing w:val="-17"/>
          <w:sz w:val="22"/>
        </w:rPr>
        <w:t> </w:t>
      </w:r>
      <w:r>
        <w:rPr>
          <w:sz w:val="22"/>
        </w:rPr>
        <w:t>determines:</w:t>
      </w:r>
    </w:p>
    <w:p>
      <w:pPr>
        <w:pStyle w:val="ListParagraph"/>
        <w:numPr>
          <w:ilvl w:val="1"/>
          <w:numId w:val="30"/>
        </w:numPr>
        <w:tabs>
          <w:tab w:pos="1781" w:val="left" w:leader="none"/>
        </w:tabs>
        <w:spacing w:line="268" w:lineRule="exact" w:before="0" w:after="0"/>
        <w:ind w:left="1780" w:right="0" w:hanging="361"/>
        <w:jc w:val="left"/>
        <w:rPr>
          <w:sz w:val="22"/>
        </w:rPr>
      </w:pPr>
      <w:r>
        <w:rPr>
          <w:sz w:val="22"/>
        </w:rPr>
        <w:t>The setting setting’s design, policies or practices do </w:t>
      </w:r>
      <w:r>
        <w:rPr>
          <w:spacing w:val="-2"/>
          <w:sz w:val="22"/>
        </w:rPr>
        <w:t>not </w:t>
      </w:r>
      <w:r>
        <w:rPr>
          <w:sz w:val="22"/>
        </w:rPr>
        <w:t>systemically isolate residents from their greater</w:t>
      </w:r>
      <w:r>
        <w:rPr>
          <w:spacing w:val="-8"/>
          <w:sz w:val="22"/>
        </w:rPr>
        <w:t> </w:t>
      </w:r>
      <w:r>
        <w:rPr>
          <w:sz w:val="22"/>
        </w:rPr>
        <w:t>community;</w:t>
      </w:r>
    </w:p>
    <w:p>
      <w:pPr>
        <w:pStyle w:val="ListParagraph"/>
        <w:numPr>
          <w:ilvl w:val="1"/>
          <w:numId w:val="30"/>
        </w:numPr>
        <w:tabs>
          <w:tab w:pos="1781" w:val="left" w:leader="none"/>
        </w:tabs>
        <w:spacing w:line="240" w:lineRule="auto" w:before="0" w:after="0"/>
        <w:ind w:left="1780" w:right="1792" w:hanging="361"/>
        <w:jc w:val="left"/>
        <w:rPr>
          <w:sz w:val="22"/>
        </w:rPr>
      </w:pPr>
      <w:r>
        <w:rPr>
          <w:sz w:val="22"/>
        </w:rPr>
        <w:t>The setting setting’s design, policies or practices do </w:t>
      </w:r>
      <w:r>
        <w:rPr>
          <w:spacing w:val="-2"/>
          <w:sz w:val="22"/>
        </w:rPr>
        <w:t>not </w:t>
      </w:r>
      <w:r>
        <w:rPr>
          <w:sz w:val="22"/>
        </w:rPr>
        <w:t>systemically isolate residents from their greater community but there are individual residents who may experience</w:t>
      </w:r>
      <w:r>
        <w:rPr>
          <w:spacing w:val="-2"/>
          <w:sz w:val="22"/>
        </w:rPr>
        <w:t> </w:t>
      </w:r>
      <w:r>
        <w:rPr>
          <w:sz w:val="22"/>
        </w:rPr>
        <w:t>isolation.</w:t>
      </w:r>
    </w:p>
    <w:p>
      <w:pPr>
        <w:pStyle w:val="ListParagraph"/>
        <w:numPr>
          <w:ilvl w:val="2"/>
          <w:numId w:val="30"/>
        </w:numPr>
        <w:tabs>
          <w:tab w:pos="2500" w:val="left" w:leader="none"/>
          <w:tab w:pos="2501" w:val="left" w:leader="none"/>
        </w:tabs>
        <w:spacing w:line="240" w:lineRule="auto" w:before="0" w:after="0"/>
        <w:ind w:left="2500" w:right="0" w:hanging="467"/>
        <w:jc w:val="left"/>
        <w:rPr>
          <w:sz w:val="22"/>
        </w:rPr>
      </w:pPr>
      <w:r>
        <w:rPr>
          <w:sz w:val="22"/>
        </w:rPr>
        <w:t>These situations will be addressed by case management activities, service planning, or provider enforcement</w:t>
      </w:r>
      <w:r>
        <w:rPr>
          <w:spacing w:val="-14"/>
          <w:sz w:val="22"/>
        </w:rPr>
        <w:t> </w:t>
      </w:r>
      <w:r>
        <w:rPr>
          <w:sz w:val="22"/>
        </w:rPr>
        <w:t>actions.</w:t>
      </w:r>
    </w:p>
    <w:p>
      <w:pPr>
        <w:pStyle w:val="ListParagraph"/>
        <w:numPr>
          <w:ilvl w:val="1"/>
          <w:numId w:val="30"/>
        </w:numPr>
        <w:tabs>
          <w:tab w:pos="1780" w:val="left" w:leader="none"/>
          <w:tab w:pos="1781" w:val="left" w:leader="none"/>
        </w:tabs>
        <w:spacing w:line="240" w:lineRule="auto" w:before="0" w:after="0"/>
        <w:ind w:left="1780" w:right="0" w:hanging="361"/>
        <w:jc w:val="left"/>
        <w:rPr>
          <w:sz w:val="22"/>
        </w:rPr>
      </w:pPr>
      <w:r>
        <w:rPr>
          <w:sz w:val="22"/>
        </w:rPr>
        <w:t>The setting will be unable to come into full alignment with the HCB settings requirements prior to December 1,</w:t>
      </w:r>
      <w:r>
        <w:rPr>
          <w:spacing w:val="-18"/>
          <w:sz w:val="22"/>
        </w:rPr>
        <w:t> </w:t>
      </w:r>
      <w:r>
        <w:rPr>
          <w:sz w:val="22"/>
        </w:rPr>
        <w:t>2021;</w:t>
      </w:r>
    </w:p>
    <w:p>
      <w:pPr>
        <w:pStyle w:val="ListParagraph"/>
        <w:numPr>
          <w:ilvl w:val="2"/>
          <w:numId w:val="30"/>
        </w:numPr>
        <w:tabs>
          <w:tab w:pos="2500" w:val="left" w:leader="none"/>
          <w:tab w:pos="2501" w:val="left" w:leader="none"/>
        </w:tabs>
        <w:spacing w:line="240" w:lineRule="auto" w:before="0" w:after="0"/>
        <w:ind w:left="2500" w:right="0" w:hanging="467"/>
        <w:jc w:val="left"/>
        <w:rPr>
          <w:sz w:val="22"/>
        </w:rPr>
      </w:pPr>
      <w:r>
        <w:rPr>
          <w:sz w:val="22"/>
        </w:rPr>
        <w:t>The state will implement its relocation plan for residents who are funded through Medicaid</w:t>
      </w:r>
      <w:r>
        <w:rPr>
          <w:spacing w:val="-12"/>
          <w:sz w:val="22"/>
        </w:rPr>
        <w:t> </w:t>
      </w:r>
      <w:r>
        <w:rPr>
          <w:sz w:val="22"/>
        </w:rPr>
        <w:t>dollars.</w:t>
      </w:r>
    </w:p>
    <w:p>
      <w:pPr>
        <w:pStyle w:val="ListParagraph"/>
        <w:numPr>
          <w:ilvl w:val="1"/>
          <w:numId w:val="30"/>
        </w:numPr>
        <w:tabs>
          <w:tab w:pos="1781" w:val="left" w:leader="none"/>
        </w:tabs>
        <w:spacing w:line="240" w:lineRule="auto" w:before="0" w:after="0"/>
        <w:ind w:left="1780" w:right="0" w:hanging="361"/>
        <w:jc w:val="left"/>
        <w:rPr>
          <w:sz w:val="22"/>
        </w:rPr>
      </w:pPr>
      <w:r>
        <w:rPr>
          <w:sz w:val="22"/>
        </w:rPr>
        <w:t>The setting is unwilling to come into full alignment with the HCB settings requirements prior to December 1,</w:t>
      </w:r>
      <w:r>
        <w:rPr>
          <w:spacing w:val="-19"/>
          <w:sz w:val="22"/>
        </w:rPr>
        <w:t> </w:t>
      </w:r>
      <w:r>
        <w:rPr>
          <w:sz w:val="22"/>
        </w:rPr>
        <w:t>2021.</w:t>
      </w:r>
    </w:p>
    <w:p>
      <w:pPr>
        <w:pStyle w:val="ListParagraph"/>
        <w:numPr>
          <w:ilvl w:val="2"/>
          <w:numId w:val="30"/>
        </w:numPr>
        <w:tabs>
          <w:tab w:pos="2500" w:val="left" w:leader="none"/>
          <w:tab w:pos="2501" w:val="left" w:leader="none"/>
        </w:tabs>
        <w:spacing w:line="240" w:lineRule="auto" w:before="1" w:after="0"/>
        <w:ind w:left="2500" w:right="0" w:hanging="466"/>
        <w:jc w:val="left"/>
        <w:rPr>
          <w:sz w:val="22"/>
        </w:rPr>
      </w:pPr>
      <w:r>
        <w:rPr>
          <w:sz w:val="22"/>
        </w:rPr>
        <w:t>The state will implement its relocation plan for residents who are funded through Medicaid</w:t>
      </w:r>
      <w:r>
        <w:rPr>
          <w:spacing w:val="-12"/>
          <w:sz w:val="22"/>
        </w:rPr>
        <w:t> </w:t>
      </w:r>
      <w:r>
        <w:rPr>
          <w:sz w:val="22"/>
        </w:rPr>
        <w:t>dollars.</w:t>
      </w:r>
    </w:p>
    <w:p>
      <w:pPr>
        <w:pStyle w:val="BodyText"/>
        <w:rPr>
          <w:sz w:val="20"/>
        </w:rPr>
      </w:pPr>
    </w:p>
    <w:p>
      <w:pPr>
        <w:pStyle w:val="BodyText"/>
        <w:spacing w:before="9"/>
        <w:rPr>
          <w:sz w:val="28"/>
        </w:rPr>
      </w:pPr>
      <w:r>
        <w:rPr/>
        <w:pict>
          <v:shape style="position:absolute;margin-left:70.559998pt;margin-top:19.741013pt;width:650.9pt;height:.1pt;mso-position-horizontal-relative:page;mso-position-vertical-relative:paragraph;z-index:-251469824;mso-wrap-distance-left:0;mso-wrap-distance-right:0" coordorigin="1411,395" coordsize="13018,0" path="m1411,395l14429,395e" filled="false" stroked="true" strokeweight=".481pt" strokecolor="#d9d9d9">
            <v:path arrowok="t"/>
            <v:stroke dashstyle="solid"/>
            <w10:wrap type="topAndBottom"/>
          </v:shape>
        </w:pict>
      </w:r>
    </w:p>
    <w:p>
      <w:pPr>
        <w:spacing w:after="0"/>
        <w:rPr>
          <w:sz w:val="28"/>
        </w:rPr>
        <w:sectPr>
          <w:footerReference w:type="default" r:id="rId137"/>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171"/>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12"/>
        </w:rPr>
      </w:pPr>
    </w:p>
    <w:p>
      <w:pPr>
        <w:pStyle w:val="ListParagraph"/>
        <w:numPr>
          <w:ilvl w:val="0"/>
          <w:numId w:val="30"/>
        </w:numPr>
        <w:tabs>
          <w:tab w:pos="1421" w:val="left" w:leader="none"/>
        </w:tabs>
        <w:spacing w:line="276" w:lineRule="auto" w:before="56" w:after="0"/>
        <w:ind w:left="1420" w:right="1447" w:hanging="361"/>
        <w:jc w:val="left"/>
        <w:rPr>
          <w:sz w:val="22"/>
        </w:rPr>
      </w:pPr>
      <w:r>
        <w:rPr>
          <w:sz w:val="22"/>
        </w:rPr>
        <w:t>When</w:t>
      </w:r>
      <w:r>
        <w:rPr>
          <w:spacing w:val="-2"/>
          <w:sz w:val="22"/>
        </w:rPr>
        <w:t> </w:t>
      </w:r>
      <w:r>
        <w:rPr>
          <w:sz w:val="22"/>
        </w:rPr>
        <w:t>Washington</w:t>
      </w:r>
      <w:r>
        <w:rPr>
          <w:spacing w:val="-2"/>
          <w:sz w:val="22"/>
        </w:rPr>
        <w:t> </w:t>
      </w:r>
      <w:r>
        <w:rPr>
          <w:sz w:val="22"/>
        </w:rPr>
        <w:t>reviews</w:t>
      </w:r>
      <w:r>
        <w:rPr>
          <w:spacing w:val="-3"/>
          <w:sz w:val="22"/>
        </w:rPr>
        <w:t> </w:t>
      </w:r>
      <w:r>
        <w:rPr>
          <w:sz w:val="22"/>
        </w:rPr>
        <w:t>a</w:t>
      </w:r>
      <w:r>
        <w:rPr>
          <w:spacing w:val="-2"/>
          <w:sz w:val="22"/>
        </w:rPr>
        <w:t> </w:t>
      </w:r>
      <w:r>
        <w:rPr>
          <w:sz w:val="22"/>
        </w:rPr>
        <w:t>setting</w:t>
      </w:r>
      <w:r>
        <w:rPr>
          <w:spacing w:val="-2"/>
          <w:sz w:val="22"/>
        </w:rPr>
        <w:t> </w:t>
      </w:r>
      <w:r>
        <w:rPr>
          <w:sz w:val="22"/>
        </w:rPr>
        <w:t>for</w:t>
      </w:r>
      <w:r>
        <w:rPr>
          <w:spacing w:val="-1"/>
          <w:sz w:val="22"/>
        </w:rPr>
        <w:t> </w:t>
      </w:r>
      <w:r>
        <w:rPr>
          <w:sz w:val="22"/>
        </w:rPr>
        <w:t>heightened</w:t>
      </w:r>
      <w:r>
        <w:rPr>
          <w:spacing w:val="-2"/>
          <w:sz w:val="22"/>
        </w:rPr>
        <w:t> </w:t>
      </w:r>
      <w:r>
        <w:rPr>
          <w:sz w:val="22"/>
        </w:rPr>
        <w:t>scrutiny,</w:t>
      </w:r>
      <w:r>
        <w:rPr>
          <w:spacing w:val="-2"/>
          <w:sz w:val="22"/>
        </w:rPr>
        <w:t> </w:t>
      </w:r>
      <w:r>
        <w:rPr>
          <w:sz w:val="22"/>
        </w:rPr>
        <w:t>the</w:t>
      </w:r>
      <w:r>
        <w:rPr>
          <w:spacing w:val="-3"/>
          <w:sz w:val="22"/>
        </w:rPr>
        <w:t> </w:t>
      </w:r>
      <w:r>
        <w:rPr>
          <w:sz w:val="22"/>
        </w:rPr>
        <w:t>state</w:t>
      </w:r>
      <w:r>
        <w:rPr>
          <w:spacing w:val="-3"/>
          <w:sz w:val="22"/>
        </w:rPr>
        <w:t> </w:t>
      </w:r>
      <w:r>
        <w:rPr>
          <w:sz w:val="22"/>
        </w:rPr>
        <w:t>will</w:t>
      </w:r>
      <w:r>
        <w:rPr>
          <w:spacing w:val="-2"/>
          <w:sz w:val="22"/>
        </w:rPr>
        <w:t> </w:t>
      </w:r>
      <w:r>
        <w:rPr>
          <w:sz w:val="22"/>
        </w:rPr>
        <w:t>share</w:t>
      </w:r>
      <w:r>
        <w:rPr>
          <w:spacing w:val="-3"/>
          <w:sz w:val="22"/>
        </w:rPr>
        <w:t> </w:t>
      </w:r>
      <w:r>
        <w:rPr>
          <w:sz w:val="22"/>
        </w:rPr>
        <w:t>the results</w:t>
      </w:r>
      <w:r>
        <w:rPr>
          <w:spacing w:val="-3"/>
          <w:sz w:val="22"/>
        </w:rPr>
        <w:t> </w:t>
      </w:r>
      <w:r>
        <w:rPr>
          <w:sz w:val="22"/>
        </w:rPr>
        <w:t>of</w:t>
      </w:r>
      <w:r>
        <w:rPr>
          <w:spacing w:val="-4"/>
          <w:sz w:val="22"/>
        </w:rPr>
        <w:t> </w:t>
      </w:r>
      <w:r>
        <w:rPr>
          <w:sz w:val="22"/>
        </w:rPr>
        <w:t>its</w:t>
      </w:r>
      <w:r>
        <w:rPr>
          <w:spacing w:val="-1"/>
          <w:sz w:val="22"/>
        </w:rPr>
        <w:t> </w:t>
      </w:r>
      <w:r>
        <w:rPr>
          <w:sz w:val="22"/>
        </w:rPr>
        <w:t>review</w:t>
      </w:r>
      <w:r>
        <w:rPr>
          <w:spacing w:val="-3"/>
          <w:sz w:val="22"/>
        </w:rPr>
        <w:t> </w:t>
      </w:r>
      <w:r>
        <w:rPr>
          <w:sz w:val="22"/>
        </w:rPr>
        <w:t>with</w:t>
      </w:r>
      <w:r>
        <w:rPr>
          <w:spacing w:val="-2"/>
          <w:sz w:val="22"/>
        </w:rPr>
        <w:t> </w:t>
      </w:r>
      <w:r>
        <w:rPr>
          <w:sz w:val="22"/>
        </w:rPr>
        <w:t>the</w:t>
      </w:r>
      <w:r>
        <w:rPr>
          <w:spacing w:val="-1"/>
          <w:sz w:val="22"/>
        </w:rPr>
        <w:t> </w:t>
      </w:r>
      <w:r>
        <w:rPr>
          <w:sz w:val="22"/>
        </w:rPr>
        <w:t>entity</w:t>
      </w:r>
      <w:r>
        <w:rPr>
          <w:spacing w:val="-2"/>
          <w:sz w:val="22"/>
        </w:rPr>
        <w:t> </w:t>
      </w:r>
      <w:r>
        <w:rPr>
          <w:sz w:val="22"/>
        </w:rPr>
        <w:t>who</w:t>
      </w:r>
      <w:r>
        <w:rPr>
          <w:spacing w:val="-4"/>
          <w:sz w:val="22"/>
        </w:rPr>
        <w:t> </w:t>
      </w:r>
      <w:r>
        <w:rPr>
          <w:sz w:val="22"/>
        </w:rPr>
        <w:t>initiated</w:t>
      </w:r>
      <w:r>
        <w:rPr>
          <w:spacing w:val="-4"/>
          <w:sz w:val="22"/>
        </w:rPr>
        <w:t> </w:t>
      </w:r>
      <w:r>
        <w:rPr>
          <w:sz w:val="22"/>
        </w:rPr>
        <w:t>the review while maintaining participant privacy and</w:t>
      </w:r>
      <w:r>
        <w:rPr>
          <w:spacing w:val="-7"/>
          <w:sz w:val="22"/>
        </w:rPr>
        <w:t> </w:t>
      </w:r>
      <w:r>
        <w:rPr>
          <w:sz w:val="22"/>
        </w:rPr>
        <w:t>confidentiality.</w:t>
      </w:r>
    </w:p>
    <w:p>
      <w:pPr>
        <w:pStyle w:val="BodyText"/>
        <w:spacing w:before="7"/>
        <w:rPr>
          <w:sz w:val="19"/>
        </w:rPr>
      </w:pPr>
    </w:p>
    <w:p>
      <w:pPr>
        <w:pStyle w:val="BodyText"/>
        <w:spacing w:line="276" w:lineRule="auto"/>
        <w:ind w:left="1420" w:right="1100"/>
      </w:pPr>
      <w:r>
        <w:rPr/>
        <w:t>Since the initial submissions of the Statewide Transition Plan, the state has identified no additional settings that are located in a building that is also a publicly or privately operated facility that provides inpatient institutional treatment, or in a building on the grounds of, or immediately adjacent to, a public institution.</w:t>
      </w:r>
    </w:p>
    <w:p>
      <w:pPr>
        <w:pStyle w:val="BodyText"/>
      </w:pPr>
    </w:p>
    <w:p>
      <w:pPr>
        <w:pStyle w:val="BodyText"/>
        <w:spacing w:before="10"/>
        <w:rPr>
          <w:sz w:val="21"/>
        </w:rPr>
      </w:pPr>
    </w:p>
    <w:p>
      <w:pPr>
        <w:pStyle w:val="Heading5"/>
        <w:rPr>
          <w:i/>
        </w:rPr>
      </w:pPr>
      <w:r>
        <w:rPr>
          <w:i/>
        </w:rPr>
        <w:t>Site Visit Questions and Observations</w:t>
      </w:r>
    </w:p>
    <w:p>
      <w:pPr>
        <w:pStyle w:val="BodyText"/>
        <w:spacing w:before="7"/>
        <w:rPr>
          <w:i/>
          <w:sz w:val="25"/>
        </w:rPr>
      </w:pPr>
    </w:p>
    <w:p>
      <w:pPr>
        <w:pStyle w:val="BodyText"/>
        <w:ind w:left="1060" w:right="1650"/>
      </w:pPr>
      <w:r>
        <w:rPr/>
        <w:t>In order to evaluate whether the setting has the effect of isolating individuals receiving HCBS from the broader community, DSHS conducts interviews with residents, the facility administrator, and makes observations through an in-person visit to determine whether:</w:t>
      </w:r>
    </w:p>
    <w:p>
      <w:pPr>
        <w:pStyle w:val="ListParagraph"/>
        <w:numPr>
          <w:ilvl w:val="0"/>
          <w:numId w:val="31"/>
        </w:numPr>
        <w:tabs>
          <w:tab w:pos="1781" w:val="left" w:leader="none"/>
        </w:tabs>
        <w:spacing w:line="240" w:lineRule="auto" w:before="0" w:after="0"/>
        <w:ind w:left="1780" w:right="0" w:hanging="362"/>
        <w:jc w:val="left"/>
        <w:rPr>
          <w:sz w:val="22"/>
        </w:rPr>
      </w:pPr>
      <w:r>
        <w:rPr>
          <w:sz w:val="22"/>
        </w:rPr>
        <w:t>The setting is integrated into the</w:t>
      </w:r>
      <w:r>
        <w:rPr>
          <w:spacing w:val="-3"/>
          <w:sz w:val="22"/>
        </w:rPr>
        <w:t> </w:t>
      </w:r>
      <w:r>
        <w:rPr>
          <w:sz w:val="22"/>
        </w:rPr>
        <w:t>community,</w:t>
      </w:r>
    </w:p>
    <w:p>
      <w:pPr>
        <w:pStyle w:val="ListParagraph"/>
        <w:numPr>
          <w:ilvl w:val="0"/>
          <w:numId w:val="31"/>
        </w:numPr>
        <w:tabs>
          <w:tab w:pos="1781" w:val="left" w:leader="none"/>
        </w:tabs>
        <w:spacing w:line="240" w:lineRule="auto" w:before="0" w:after="0"/>
        <w:ind w:left="1780" w:right="0" w:hanging="361"/>
        <w:jc w:val="left"/>
        <w:rPr>
          <w:sz w:val="22"/>
        </w:rPr>
      </w:pPr>
      <w:r>
        <w:rPr>
          <w:sz w:val="22"/>
        </w:rPr>
        <w:t>Participants participate in community activities of their choosing and in their</w:t>
      </w:r>
      <w:r>
        <w:rPr>
          <w:spacing w:val="-12"/>
          <w:sz w:val="22"/>
        </w:rPr>
        <w:t> </w:t>
      </w:r>
      <w:r>
        <w:rPr>
          <w:sz w:val="22"/>
        </w:rPr>
        <w:t>community,</w:t>
      </w:r>
    </w:p>
    <w:p>
      <w:pPr>
        <w:pStyle w:val="ListParagraph"/>
        <w:numPr>
          <w:ilvl w:val="0"/>
          <w:numId w:val="31"/>
        </w:numPr>
        <w:tabs>
          <w:tab w:pos="1781" w:val="left" w:leader="none"/>
        </w:tabs>
        <w:spacing w:line="240" w:lineRule="auto" w:before="1" w:after="0"/>
        <w:ind w:left="1780" w:right="0" w:hanging="361"/>
        <w:jc w:val="left"/>
        <w:rPr>
          <w:sz w:val="22"/>
        </w:rPr>
      </w:pPr>
      <w:r>
        <w:rPr>
          <w:sz w:val="22"/>
        </w:rPr>
        <w:t>Participants use the same community resources as people without</w:t>
      </w:r>
      <w:r>
        <w:rPr>
          <w:spacing w:val="-9"/>
          <w:sz w:val="22"/>
        </w:rPr>
        <w:t> </w:t>
      </w:r>
      <w:r>
        <w:rPr>
          <w:sz w:val="22"/>
        </w:rPr>
        <w:t>disabilities,</w:t>
      </w:r>
    </w:p>
    <w:p>
      <w:pPr>
        <w:pStyle w:val="ListParagraph"/>
        <w:numPr>
          <w:ilvl w:val="0"/>
          <w:numId w:val="31"/>
        </w:numPr>
        <w:tabs>
          <w:tab w:pos="1781" w:val="left" w:leader="none"/>
        </w:tabs>
        <w:spacing w:line="240" w:lineRule="auto" w:before="0" w:after="0"/>
        <w:ind w:left="1780" w:right="1132" w:hanging="361"/>
        <w:jc w:val="left"/>
        <w:rPr>
          <w:sz w:val="22"/>
        </w:rPr>
      </w:pPr>
      <w:r>
        <w:rPr>
          <w:sz w:val="22"/>
        </w:rPr>
        <w:t>Participants</w:t>
      </w:r>
      <w:r>
        <w:rPr>
          <w:spacing w:val="-5"/>
          <w:sz w:val="22"/>
        </w:rPr>
        <w:t> </w:t>
      </w:r>
      <w:r>
        <w:rPr>
          <w:sz w:val="22"/>
        </w:rPr>
        <w:t>see</w:t>
      </w:r>
      <w:r>
        <w:rPr>
          <w:spacing w:val="-2"/>
          <w:sz w:val="22"/>
        </w:rPr>
        <w:t> </w:t>
      </w:r>
      <w:r>
        <w:rPr>
          <w:sz w:val="22"/>
        </w:rPr>
        <w:t>themselves</w:t>
      </w:r>
      <w:r>
        <w:rPr>
          <w:spacing w:val="-2"/>
          <w:sz w:val="22"/>
        </w:rPr>
        <w:t> </w:t>
      </w:r>
      <w:r>
        <w:rPr>
          <w:sz w:val="22"/>
        </w:rPr>
        <w:t>as</w:t>
      </w:r>
      <w:r>
        <w:rPr>
          <w:spacing w:val="-3"/>
          <w:sz w:val="22"/>
        </w:rPr>
        <w:t> </w:t>
      </w:r>
      <w:r>
        <w:rPr>
          <w:sz w:val="22"/>
        </w:rPr>
        <w:t>part</w:t>
      </w:r>
      <w:r>
        <w:rPr>
          <w:spacing w:val="-4"/>
          <w:sz w:val="22"/>
        </w:rPr>
        <w:t> </w:t>
      </w:r>
      <w:r>
        <w:rPr>
          <w:sz w:val="22"/>
        </w:rPr>
        <w:t>of</w:t>
      </w:r>
      <w:r>
        <w:rPr>
          <w:spacing w:val="-5"/>
          <w:sz w:val="22"/>
        </w:rPr>
        <w:t> </w:t>
      </w:r>
      <w:r>
        <w:rPr>
          <w:sz w:val="22"/>
        </w:rPr>
        <w:t>their</w:t>
      </w:r>
      <w:r>
        <w:rPr>
          <w:spacing w:val="-3"/>
          <w:sz w:val="22"/>
        </w:rPr>
        <w:t> </w:t>
      </w:r>
      <w:r>
        <w:rPr>
          <w:sz w:val="22"/>
        </w:rPr>
        <w:t>community</w:t>
      </w:r>
      <w:r>
        <w:rPr>
          <w:spacing w:val="-2"/>
          <w:sz w:val="22"/>
        </w:rPr>
        <w:t> </w:t>
      </w:r>
      <w:r>
        <w:rPr>
          <w:sz w:val="22"/>
        </w:rPr>
        <w:t>and</w:t>
      </w:r>
      <w:r>
        <w:rPr>
          <w:spacing w:val="-3"/>
          <w:sz w:val="22"/>
        </w:rPr>
        <w:t> </w:t>
      </w:r>
      <w:r>
        <w:rPr>
          <w:sz w:val="22"/>
        </w:rPr>
        <w:t>report</w:t>
      </w:r>
      <w:r>
        <w:rPr>
          <w:spacing w:val="-2"/>
          <w:sz w:val="22"/>
        </w:rPr>
        <w:t> </w:t>
      </w:r>
      <w:r>
        <w:rPr>
          <w:sz w:val="22"/>
        </w:rPr>
        <w:t>being</w:t>
      </w:r>
      <w:r>
        <w:rPr>
          <w:spacing w:val="-3"/>
          <w:sz w:val="22"/>
        </w:rPr>
        <w:t> </w:t>
      </w:r>
      <w:r>
        <w:rPr>
          <w:sz w:val="22"/>
        </w:rPr>
        <w:t>included</w:t>
      </w:r>
      <w:r>
        <w:rPr>
          <w:spacing w:val="-4"/>
          <w:sz w:val="22"/>
        </w:rPr>
        <w:t> </w:t>
      </w:r>
      <w:r>
        <w:rPr>
          <w:sz w:val="22"/>
        </w:rPr>
        <w:t>in</w:t>
      </w:r>
      <w:r>
        <w:rPr>
          <w:spacing w:val="-3"/>
          <w:sz w:val="22"/>
        </w:rPr>
        <w:t> </w:t>
      </w:r>
      <w:r>
        <w:rPr>
          <w:sz w:val="22"/>
        </w:rPr>
        <w:t>the</w:t>
      </w:r>
      <w:r>
        <w:rPr>
          <w:spacing w:val="-2"/>
          <w:sz w:val="22"/>
        </w:rPr>
        <w:t> </w:t>
      </w:r>
      <w:r>
        <w:rPr>
          <w:sz w:val="22"/>
        </w:rPr>
        <w:t>broader</w:t>
      </w:r>
      <w:r>
        <w:rPr>
          <w:spacing w:val="-2"/>
          <w:sz w:val="22"/>
        </w:rPr>
        <w:t> </w:t>
      </w:r>
      <w:r>
        <w:rPr>
          <w:sz w:val="22"/>
        </w:rPr>
        <w:t>community,</w:t>
      </w:r>
      <w:r>
        <w:rPr>
          <w:spacing w:val="-3"/>
          <w:sz w:val="22"/>
        </w:rPr>
        <w:t> </w:t>
      </w:r>
      <w:r>
        <w:rPr>
          <w:sz w:val="22"/>
        </w:rPr>
        <w:t>and</w:t>
      </w:r>
      <w:r>
        <w:rPr>
          <w:spacing w:val="-3"/>
          <w:sz w:val="22"/>
        </w:rPr>
        <w:t> </w:t>
      </w:r>
      <w:r>
        <w:rPr>
          <w:sz w:val="22"/>
        </w:rPr>
        <w:t>participants</w:t>
      </w:r>
      <w:r>
        <w:rPr>
          <w:spacing w:val="-3"/>
          <w:sz w:val="22"/>
        </w:rPr>
        <w:t> </w:t>
      </w:r>
      <w:r>
        <w:rPr>
          <w:sz w:val="22"/>
        </w:rPr>
        <w:t>have</w:t>
      </w:r>
      <w:r>
        <w:rPr>
          <w:spacing w:val="-1"/>
          <w:sz w:val="22"/>
        </w:rPr>
        <w:t> </w:t>
      </w:r>
      <w:r>
        <w:rPr>
          <w:sz w:val="22"/>
        </w:rPr>
        <w:t>good access to the</w:t>
      </w:r>
      <w:r>
        <w:rPr>
          <w:spacing w:val="-5"/>
          <w:sz w:val="22"/>
        </w:rPr>
        <w:t> </w:t>
      </w:r>
      <w:r>
        <w:rPr>
          <w:sz w:val="22"/>
        </w:rPr>
        <w:t>community.</w:t>
      </w:r>
    </w:p>
    <w:p>
      <w:pPr>
        <w:pStyle w:val="BodyText"/>
        <w:spacing w:before="4"/>
        <w:rPr>
          <w:sz w:val="25"/>
        </w:rPr>
      </w:pPr>
    </w:p>
    <w:p>
      <w:pPr>
        <w:pStyle w:val="BodyText"/>
        <w:spacing w:before="1"/>
        <w:ind w:left="1060"/>
      </w:pPr>
      <w:r>
        <w:rPr/>
        <w:t>Interview questions posed to residents include:</w:t>
      </w:r>
    </w:p>
    <w:p>
      <w:pPr>
        <w:pStyle w:val="ListParagraph"/>
        <w:numPr>
          <w:ilvl w:val="0"/>
          <w:numId w:val="32"/>
        </w:numPr>
        <w:tabs>
          <w:tab w:pos="1639" w:val="left" w:leader="none"/>
        </w:tabs>
        <w:spacing w:line="240" w:lineRule="auto" w:before="132" w:after="0"/>
        <w:ind w:left="1638" w:right="0" w:hanging="219"/>
        <w:jc w:val="left"/>
        <w:rPr>
          <w:sz w:val="22"/>
        </w:rPr>
      </w:pPr>
      <w:r>
        <w:rPr>
          <w:sz w:val="22"/>
        </w:rPr>
        <w:t>When you moved into this place, did you choose to live</w:t>
      </w:r>
      <w:r>
        <w:rPr>
          <w:spacing w:val="-20"/>
          <w:sz w:val="22"/>
        </w:rPr>
        <w:t> </w:t>
      </w:r>
      <w:r>
        <w:rPr>
          <w:sz w:val="22"/>
        </w:rPr>
        <w:t>here?</w:t>
      </w:r>
    </w:p>
    <w:p>
      <w:pPr>
        <w:pStyle w:val="ListParagraph"/>
        <w:numPr>
          <w:ilvl w:val="0"/>
          <w:numId w:val="32"/>
        </w:numPr>
        <w:tabs>
          <w:tab w:pos="1690" w:val="left" w:leader="none"/>
        </w:tabs>
        <w:spacing w:line="240" w:lineRule="auto" w:before="0" w:after="0"/>
        <w:ind w:left="1689" w:right="0" w:hanging="270"/>
        <w:jc w:val="left"/>
        <w:rPr>
          <w:sz w:val="22"/>
        </w:rPr>
      </w:pPr>
      <w:r>
        <w:rPr>
          <w:sz w:val="22"/>
        </w:rPr>
        <w:t>Can you come and go from this facility when you would</w:t>
      </w:r>
      <w:r>
        <w:rPr>
          <w:spacing w:val="-26"/>
          <w:sz w:val="22"/>
        </w:rPr>
        <w:t> </w:t>
      </w:r>
      <w:r>
        <w:rPr>
          <w:sz w:val="22"/>
        </w:rPr>
        <w:t>like?</w:t>
      </w:r>
    </w:p>
    <w:p>
      <w:pPr>
        <w:pStyle w:val="ListParagraph"/>
        <w:numPr>
          <w:ilvl w:val="0"/>
          <w:numId w:val="32"/>
        </w:numPr>
        <w:tabs>
          <w:tab w:pos="1690" w:val="left" w:leader="none"/>
        </w:tabs>
        <w:spacing w:line="240" w:lineRule="auto" w:before="0" w:after="0"/>
        <w:ind w:left="1689" w:right="0" w:hanging="270"/>
        <w:jc w:val="left"/>
        <w:rPr>
          <w:sz w:val="22"/>
        </w:rPr>
      </w:pPr>
      <w:r>
        <w:rPr>
          <w:sz w:val="22"/>
        </w:rPr>
        <w:t>Are you able to do fun things in the community when you would like</w:t>
      </w:r>
      <w:r>
        <w:rPr>
          <w:spacing w:val="-14"/>
          <w:sz w:val="22"/>
        </w:rPr>
        <w:t> </w:t>
      </w:r>
      <w:r>
        <w:rPr>
          <w:sz w:val="22"/>
        </w:rPr>
        <w:t>to?</w:t>
      </w:r>
    </w:p>
    <w:p>
      <w:pPr>
        <w:pStyle w:val="ListParagraph"/>
        <w:numPr>
          <w:ilvl w:val="0"/>
          <w:numId w:val="32"/>
        </w:numPr>
        <w:tabs>
          <w:tab w:pos="1687" w:val="left" w:leader="none"/>
        </w:tabs>
        <w:spacing w:line="240" w:lineRule="auto" w:before="0" w:after="0"/>
        <w:ind w:left="1686" w:right="0" w:hanging="267"/>
        <w:jc w:val="left"/>
        <w:rPr>
          <w:sz w:val="22"/>
        </w:rPr>
      </w:pPr>
      <w:r>
        <w:rPr>
          <w:sz w:val="22"/>
        </w:rPr>
        <w:t>Do you share your room with anyone? If so, were you given a choice on who you would share a room</w:t>
      </w:r>
      <w:r>
        <w:rPr>
          <w:spacing w:val="-25"/>
          <w:sz w:val="22"/>
        </w:rPr>
        <w:t> </w:t>
      </w:r>
      <w:r>
        <w:rPr>
          <w:sz w:val="22"/>
        </w:rPr>
        <w:t>with?</w:t>
      </w:r>
    </w:p>
    <w:p>
      <w:pPr>
        <w:pStyle w:val="ListParagraph"/>
        <w:numPr>
          <w:ilvl w:val="0"/>
          <w:numId w:val="32"/>
        </w:numPr>
        <w:tabs>
          <w:tab w:pos="1690" w:val="left" w:leader="none"/>
        </w:tabs>
        <w:spacing w:line="240" w:lineRule="auto" w:before="0" w:after="0"/>
        <w:ind w:left="1689" w:right="0" w:hanging="270"/>
        <w:jc w:val="left"/>
        <w:rPr>
          <w:sz w:val="22"/>
        </w:rPr>
      </w:pPr>
      <w:r>
        <w:rPr>
          <w:sz w:val="22"/>
        </w:rPr>
        <w:t>Are you able to set your own</w:t>
      </w:r>
      <w:r>
        <w:rPr>
          <w:spacing w:val="-14"/>
          <w:sz w:val="22"/>
        </w:rPr>
        <w:t> </w:t>
      </w:r>
      <w:r>
        <w:rPr>
          <w:sz w:val="22"/>
        </w:rPr>
        <w:t>schedule?</w:t>
      </w:r>
    </w:p>
    <w:p>
      <w:pPr>
        <w:pStyle w:val="ListParagraph"/>
        <w:numPr>
          <w:ilvl w:val="0"/>
          <w:numId w:val="32"/>
        </w:numPr>
        <w:tabs>
          <w:tab w:pos="1639" w:val="left" w:leader="none"/>
        </w:tabs>
        <w:spacing w:line="240" w:lineRule="auto" w:before="1" w:after="0"/>
        <w:ind w:left="1638" w:right="0" w:hanging="219"/>
        <w:jc w:val="left"/>
        <w:rPr>
          <w:sz w:val="22"/>
        </w:rPr>
      </w:pPr>
      <w:r>
        <w:rPr>
          <w:sz w:val="22"/>
        </w:rPr>
        <w:t>Are you able to eat when you want</w:t>
      </w:r>
      <w:r>
        <w:rPr>
          <w:spacing w:val="-14"/>
          <w:sz w:val="22"/>
        </w:rPr>
        <w:t> </w:t>
      </w:r>
      <w:r>
        <w:rPr>
          <w:sz w:val="22"/>
        </w:rPr>
        <w:t>to?</w:t>
      </w:r>
    </w:p>
    <w:p>
      <w:pPr>
        <w:pStyle w:val="ListParagraph"/>
        <w:numPr>
          <w:ilvl w:val="0"/>
          <w:numId w:val="32"/>
        </w:numPr>
        <w:tabs>
          <w:tab w:pos="1639" w:val="left" w:leader="none"/>
        </w:tabs>
        <w:spacing w:line="240" w:lineRule="auto" w:before="0" w:after="0"/>
        <w:ind w:left="1638" w:right="0" w:hanging="219"/>
        <w:jc w:val="left"/>
        <w:rPr>
          <w:sz w:val="22"/>
        </w:rPr>
      </w:pPr>
      <w:r>
        <w:rPr>
          <w:sz w:val="22"/>
        </w:rPr>
        <w:t>Can you request an alternative meal if you want</w:t>
      </w:r>
      <w:r>
        <w:rPr>
          <w:spacing w:val="-16"/>
          <w:sz w:val="22"/>
        </w:rPr>
        <w:t> </w:t>
      </w:r>
      <w:r>
        <w:rPr>
          <w:sz w:val="22"/>
        </w:rPr>
        <w:t>one?</w:t>
      </w:r>
    </w:p>
    <w:p>
      <w:pPr>
        <w:pStyle w:val="ListParagraph"/>
        <w:numPr>
          <w:ilvl w:val="0"/>
          <w:numId w:val="32"/>
        </w:numPr>
        <w:tabs>
          <w:tab w:pos="1690" w:val="left" w:leader="none"/>
        </w:tabs>
        <w:spacing w:line="268" w:lineRule="exact" w:before="0" w:after="0"/>
        <w:ind w:left="1689" w:right="0" w:hanging="270"/>
        <w:jc w:val="left"/>
        <w:rPr>
          <w:sz w:val="22"/>
        </w:rPr>
      </w:pPr>
      <w:r>
        <w:rPr>
          <w:sz w:val="22"/>
        </w:rPr>
        <w:t>Are you able to choose who you eat your meals</w:t>
      </w:r>
      <w:r>
        <w:rPr>
          <w:spacing w:val="-19"/>
          <w:sz w:val="22"/>
        </w:rPr>
        <w:t> </w:t>
      </w:r>
      <w:r>
        <w:rPr>
          <w:sz w:val="22"/>
        </w:rPr>
        <w:t>with?</w:t>
      </w:r>
    </w:p>
    <w:p>
      <w:pPr>
        <w:pStyle w:val="ListParagraph"/>
        <w:numPr>
          <w:ilvl w:val="0"/>
          <w:numId w:val="32"/>
        </w:numPr>
        <w:tabs>
          <w:tab w:pos="1690" w:val="left" w:leader="none"/>
        </w:tabs>
        <w:spacing w:line="268" w:lineRule="exact" w:before="0" w:after="0"/>
        <w:ind w:left="1689" w:right="0" w:hanging="270"/>
        <w:jc w:val="left"/>
        <w:rPr>
          <w:sz w:val="22"/>
        </w:rPr>
      </w:pPr>
      <w:r>
        <w:rPr>
          <w:sz w:val="22"/>
        </w:rPr>
        <w:t>Are you able to have visitors at any</w:t>
      </w:r>
      <w:r>
        <w:rPr>
          <w:spacing w:val="-6"/>
          <w:sz w:val="22"/>
        </w:rPr>
        <w:t> </w:t>
      </w:r>
      <w:r>
        <w:rPr>
          <w:sz w:val="22"/>
        </w:rPr>
        <w:t>time?</w:t>
      </w:r>
    </w:p>
    <w:p>
      <w:pPr>
        <w:pStyle w:val="BodyText"/>
        <w:spacing w:before="4"/>
        <w:rPr>
          <w:sz w:val="25"/>
        </w:rPr>
      </w:pPr>
    </w:p>
    <w:p>
      <w:pPr>
        <w:pStyle w:val="BodyText"/>
        <w:ind w:left="1060"/>
      </w:pPr>
      <w:r>
        <w:rPr/>
        <w:t>Questions to be considered when making observations of the facility and when speaking with administrators includes:</w:t>
      </w:r>
    </w:p>
    <w:p>
      <w:pPr>
        <w:pStyle w:val="ListParagraph"/>
        <w:numPr>
          <w:ilvl w:val="0"/>
          <w:numId w:val="33"/>
        </w:numPr>
        <w:tabs>
          <w:tab w:pos="1690" w:val="left" w:leader="none"/>
        </w:tabs>
        <w:spacing w:line="240" w:lineRule="auto" w:before="1" w:after="0"/>
        <w:ind w:left="1689" w:right="0" w:hanging="270"/>
        <w:jc w:val="left"/>
        <w:rPr>
          <w:sz w:val="22"/>
        </w:rPr>
      </w:pPr>
      <w:r>
        <w:rPr>
          <w:sz w:val="22"/>
        </w:rPr>
        <w:t>Is the setting in the</w:t>
      </w:r>
      <w:r>
        <w:rPr>
          <w:spacing w:val="-3"/>
          <w:sz w:val="22"/>
        </w:rPr>
        <w:t> </w:t>
      </w:r>
      <w:r>
        <w:rPr>
          <w:sz w:val="22"/>
        </w:rPr>
        <w:t>community?</w:t>
      </w:r>
    </w:p>
    <w:p>
      <w:pPr>
        <w:pStyle w:val="ListParagraph"/>
        <w:numPr>
          <w:ilvl w:val="0"/>
          <w:numId w:val="33"/>
        </w:numPr>
        <w:tabs>
          <w:tab w:pos="1689" w:val="left" w:leader="none"/>
        </w:tabs>
        <w:spacing w:line="240" w:lineRule="auto" w:before="1" w:after="0"/>
        <w:ind w:left="1688" w:right="0" w:hanging="269"/>
        <w:jc w:val="left"/>
        <w:rPr>
          <w:sz w:val="22"/>
        </w:rPr>
      </w:pPr>
      <w:r>
        <w:rPr>
          <w:sz w:val="22"/>
        </w:rPr>
        <w:t>Are schedules</w:t>
      </w:r>
      <w:r>
        <w:rPr>
          <w:spacing w:val="-5"/>
          <w:sz w:val="22"/>
        </w:rPr>
        <w:t> </w:t>
      </w:r>
      <w:r>
        <w:rPr>
          <w:sz w:val="22"/>
        </w:rPr>
        <w:t>regimented?</w:t>
      </w:r>
    </w:p>
    <w:p>
      <w:pPr>
        <w:pStyle w:val="BodyText"/>
        <w:spacing w:before="5"/>
        <w:rPr>
          <w:sz w:val="11"/>
        </w:rPr>
      </w:pPr>
      <w:r>
        <w:rPr/>
        <w:pict>
          <v:shape style="position:absolute;margin-left:70.559998pt;margin-top:9.183779pt;width:650.9pt;height:.1pt;mso-position-horizontal-relative:page;mso-position-vertical-relative:paragraph;z-index:-251468800;mso-wrap-distance-left:0;mso-wrap-distance-right:0" coordorigin="1411,184" coordsize="13018,0" path="m1411,184l14429,184e" filled="false" stroked="true" strokeweight=".481pt" strokecolor="#d9d9d9">
            <v:path arrowok="t"/>
            <v:stroke dashstyle="solid"/>
            <w10:wrap type="topAndBottom"/>
          </v:shape>
        </w:pict>
      </w:r>
    </w:p>
    <w:p>
      <w:pPr>
        <w:spacing w:after="0"/>
        <w:rPr>
          <w:sz w:val="11"/>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12"/>
        </w:rPr>
      </w:pPr>
    </w:p>
    <w:p>
      <w:pPr>
        <w:pStyle w:val="ListParagraph"/>
        <w:numPr>
          <w:ilvl w:val="0"/>
          <w:numId w:val="33"/>
        </w:numPr>
        <w:tabs>
          <w:tab w:pos="1687" w:val="left" w:leader="none"/>
        </w:tabs>
        <w:spacing w:line="240" w:lineRule="auto" w:before="56" w:after="0"/>
        <w:ind w:left="1686" w:right="0" w:hanging="267"/>
        <w:jc w:val="left"/>
        <w:rPr>
          <w:sz w:val="22"/>
        </w:rPr>
      </w:pPr>
      <w:r>
        <w:rPr>
          <w:sz w:val="22"/>
        </w:rPr>
        <w:t>Do residents come and go at</w:t>
      </w:r>
      <w:r>
        <w:rPr>
          <w:spacing w:val="-5"/>
          <w:sz w:val="22"/>
        </w:rPr>
        <w:t> </w:t>
      </w:r>
      <w:r>
        <w:rPr>
          <w:sz w:val="22"/>
        </w:rPr>
        <w:t>will?</w:t>
      </w:r>
    </w:p>
    <w:p>
      <w:pPr>
        <w:pStyle w:val="ListParagraph"/>
        <w:numPr>
          <w:ilvl w:val="0"/>
          <w:numId w:val="33"/>
        </w:numPr>
        <w:tabs>
          <w:tab w:pos="1687" w:val="left" w:leader="none"/>
        </w:tabs>
        <w:spacing w:line="240" w:lineRule="auto" w:before="0" w:after="0"/>
        <w:ind w:left="1686" w:right="0" w:hanging="267"/>
        <w:jc w:val="left"/>
        <w:rPr>
          <w:sz w:val="22"/>
        </w:rPr>
      </w:pPr>
      <w:r>
        <w:rPr>
          <w:sz w:val="22"/>
        </w:rPr>
        <w:t>Do residents have access to public</w:t>
      </w:r>
      <w:r>
        <w:rPr>
          <w:spacing w:val="-2"/>
          <w:sz w:val="22"/>
        </w:rPr>
        <w:t> </w:t>
      </w:r>
      <w:r>
        <w:rPr>
          <w:sz w:val="22"/>
        </w:rPr>
        <w:t>transportation?</w:t>
      </w:r>
    </w:p>
    <w:p>
      <w:pPr>
        <w:pStyle w:val="ListParagraph"/>
        <w:numPr>
          <w:ilvl w:val="1"/>
          <w:numId w:val="33"/>
        </w:numPr>
        <w:tabs>
          <w:tab w:pos="2139" w:val="left" w:leader="none"/>
          <w:tab w:pos="2141" w:val="left" w:leader="none"/>
        </w:tabs>
        <w:spacing w:line="240" w:lineRule="auto" w:before="1" w:after="0"/>
        <w:ind w:left="2140" w:right="0" w:hanging="362"/>
        <w:jc w:val="left"/>
        <w:rPr>
          <w:sz w:val="22"/>
        </w:rPr>
      </w:pPr>
      <w:r>
        <w:rPr>
          <w:sz w:val="22"/>
        </w:rPr>
        <w:t>Where public transportation is limited, are other resources available for the individual to access the</w:t>
      </w:r>
      <w:r>
        <w:rPr>
          <w:spacing w:val="-13"/>
          <w:sz w:val="22"/>
        </w:rPr>
        <w:t> </w:t>
      </w:r>
      <w:r>
        <w:rPr>
          <w:sz w:val="22"/>
        </w:rPr>
        <w:t>community?</w:t>
      </w:r>
    </w:p>
    <w:p>
      <w:pPr>
        <w:pStyle w:val="ListParagraph"/>
        <w:numPr>
          <w:ilvl w:val="0"/>
          <w:numId w:val="33"/>
        </w:numPr>
        <w:tabs>
          <w:tab w:pos="1689" w:val="left" w:leader="none"/>
        </w:tabs>
        <w:spacing w:line="240" w:lineRule="auto" w:before="0" w:after="0"/>
        <w:ind w:left="1688" w:right="0" w:hanging="269"/>
        <w:jc w:val="left"/>
        <w:rPr>
          <w:sz w:val="22"/>
        </w:rPr>
      </w:pPr>
      <w:r>
        <w:rPr>
          <w:sz w:val="22"/>
        </w:rPr>
        <w:t>Can residents close and lock their bedroom door and the bathroom</w:t>
      </w:r>
      <w:r>
        <w:rPr>
          <w:spacing w:val="-9"/>
          <w:sz w:val="22"/>
        </w:rPr>
        <w:t> </w:t>
      </w:r>
      <w:r>
        <w:rPr>
          <w:sz w:val="22"/>
        </w:rPr>
        <w:t>door?</w:t>
      </w:r>
    </w:p>
    <w:p>
      <w:pPr>
        <w:pStyle w:val="BodyText"/>
      </w:pPr>
    </w:p>
    <w:p>
      <w:pPr>
        <w:pStyle w:val="BodyText"/>
      </w:pPr>
    </w:p>
    <w:p>
      <w:pPr>
        <w:pStyle w:val="BodyText"/>
      </w:pPr>
    </w:p>
    <w:p>
      <w:pPr>
        <w:pStyle w:val="BodyText"/>
        <w:spacing w:before="10"/>
        <w:rPr>
          <w:sz w:val="29"/>
        </w:rPr>
      </w:pPr>
    </w:p>
    <w:p>
      <w:pPr>
        <w:spacing w:before="0"/>
        <w:ind w:left="1060" w:right="0" w:firstLine="0"/>
        <w:jc w:val="left"/>
        <w:rPr>
          <w:b/>
          <w:sz w:val="28"/>
        </w:rPr>
      </w:pPr>
      <w:r>
        <w:rPr>
          <w:b/>
          <w:sz w:val="28"/>
        </w:rPr>
        <w:t>Settings Identified for Heightened Scrutiny:</w:t>
      </w:r>
    </w:p>
    <w:p>
      <w:pPr>
        <w:pStyle w:val="BodyText"/>
        <w:spacing w:line="276" w:lineRule="auto" w:before="245"/>
        <w:ind w:left="1060" w:right="1554"/>
      </w:pPr>
      <w:bookmarkStart w:name="The State received stakeholder comments " w:id="91"/>
      <w:bookmarkEnd w:id="91"/>
      <w:r>
        <w:rPr/>
      </w:r>
      <w:r>
        <w:rPr/>
        <w:t>The State received stakeholder comments on a home that potentially isolates residents, Sunridge Ranch I, LLC . Using the process described above, ALTSA and DDA headquarters staff visited and reviewed the facility to assess whether they met the federal definition of home and community-based settings.</w:t>
      </w:r>
    </w:p>
    <w:p>
      <w:pPr>
        <w:pStyle w:val="BodyText"/>
        <w:spacing w:before="5"/>
      </w:pPr>
    </w:p>
    <w:p>
      <w:pPr>
        <w:pStyle w:val="BodyText"/>
        <w:spacing w:line="237" w:lineRule="auto"/>
        <w:ind w:left="1060" w:right="1531"/>
      </w:pPr>
      <w:bookmarkStart w:name="The State has determined that the follow" w:id="92"/>
      <w:bookmarkEnd w:id="92"/>
      <w:r>
        <w:rPr/>
      </w:r>
      <w:r>
        <w:rPr/>
        <w:t>The State has determined that the following settings fully meet the HCBS setting requirements. Through the submission of this revised transition plan, the state is submitting these settings to CMS for heightened scrutiny review:</w:t>
      </w:r>
    </w:p>
    <w:p>
      <w:pPr>
        <w:pStyle w:val="BodyText"/>
        <w:spacing w:before="2"/>
      </w:pPr>
    </w:p>
    <w:p>
      <w:pPr>
        <w:pStyle w:val="ListParagraph"/>
        <w:numPr>
          <w:ilvl w:val="1"/>
          <w:numId w:val="33"/>
        </w:numPr>
        <w:tabs>
          <w:tab w:pos="2140" w:val="left" w:leader="none"/>
          <w:tab w:pos="2141" w:val="left" w:leader="none"/>
        </w:tabs>
        <w:spacing w:line="240" w:lineRule="auto" w:before="0" w:after="0"/>
        <w:ind w:left="2140" w:right="0" w:hanging="361"/>
        <w:jc w:val="left"/>
        <w:rPr>
          <w:sz w:val="22"/>
        </w:rPr>
      </w:pPr>
      <w:r>
        <w:rPr>
          <w:sz w:val="22"/>
        </w:rPr>
        <w:t>Sunridge Ranch, LLC, 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r>
        <w:rPr/>
        <w:pict>
          <v:shape style="position:absolute;margin-left:70.559998pt;margin-top:9.948699pt;width:650.9pt;height:.1pt;mso-position-horizontal-relative:page;mso-position-vertical-relative:paragraph;z-index:-251467776;mso-wrap-distance-left:0;mso-wrap-distance-right:0" coordorigin="1411,199" coordsize="13018,0" path="m1411,199l14429,199e" filled="false" stroked="true" strokeweight=".481pt" strokecolor="#d9d9d9">
            <v:path arrowok="t"/>
            <v:stroke dashstyle="solid"/>
            <w10:wrap type="topAndBottom"/>
          </v:shape>
        </w:pict>
      </w:r>
    </w:p>
    <w:p>
      <w:pPr>
        <w:spacing w:after="0"/>
        <w:rPr>
          <w:sz w:val="1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7"/>
        <w:rPr>
          <w:b/>
          <w:sz w:val="16"/>
        </w:rPr>
      </w:pPr>
    </w:p>
    <w:p>
      <w:pPr>
        <w:spacing w:line="341" w:lineRule="exact" w:before="1"/>
        <w:ind w:left="1060" w:right="0" w:firstLine="0"/>
        <w:jc w:val="left"/>
        <w:rPr>
          <w:b/>
          <w:sz w:val="28"/>
        </w:rPr>
      </w:pPr>
      <w:r>
        <w:rPr>
          <w:b/>
          <w:sz w:val="28"/>
        </w:rPr>
        <w:t>Sunridge Ranch, LLC</w:t>
      </w:r>
    </w:p>
    <w:p>
      <w:pPr>
        <w:pStyle w:val="BodyText"/>
        <w:spacing w:line="276" w:lineRule="auto"/>
        <w:ind w:left="1060" w:right="11380"/>
      </w:pPr>
      <w:r>
        <w:rPr/>
        <w:t>Rural Kittitas County, WA</w:t>
      </w:r>
      <w:hyperlink r:id="rId138">
        <w:r>
          <w:rPr/>
          <w:t> http://Thesunridgeranch.com</w:t>
        </w:r>
      </w:hyperlink>
      <w:r>
        <w:rPr/>
        <w:t> Four resident co-owners</w:t>
      </w:r>
    </w:p>
    <w:p>
      <w:pPr>
        <w:pStyle w:val="BodyText"/>
        <w:spacing w:before="5"/>
        <w:rPr>
          <w:sz w:val="16"/>
        </w:rPr>
      </w:pPr>
    </w:p>
    <w:p>
      <w:pPr>
        <w:pStyle w:val="BodyText"/>
        <w:spacing w:line="273" w:lineRule="auto"/>
        <w:ind w:left="1060" w:right="1494"/>
      </w:pPr>
      <w:r>
        <w:rPr>
          <w:b/>
        </w:rPr>
        <w:t>Assessment: </w:t>
      </w:r>
      <w:r>
        <w:rPr/>
        <w:t>This setting is being presented to CMS for heightened scrutiny review because a commenter identified this setting as a possible farmstead community.</w:t>
      </w:r>
    </w:p>
    <w:p>
      <w:pPr>
        <w:pStyle w:val="BodyText"/>
        <w:spacing w:before="8"/>
        <w:rPr>
          <w:sz w:val="16"/>
        </w:rPr>
      </w:pPr>
    </w:p>
    <w:p>
      <w:pPr>
        <w:pStyle w:val="BodyText"/>
        <w:spacing w:line="276" w:lineRule="auto"/>
        <w:ind w:left="1060" w:right="1330" w:hanging="1"/>
      </w:pPr>
      <w:r>
        <w:rPr>
          <w:b/>
        </w:rPr>
        <w:t>State Results and Justification: </w:t>
      </w:r>
      <w:r>
        <w:rPr/>
        <w:t>Based on the observations made by DDA staff from an on-site visit, information provided by the four residents who were interviewed, information provided by guardians of each resident who were interviewed, information provided by the two individual providers who provide support services to the residents, a review of the limited liability corporation paperwork and other correspondence related to Sunridge Ranch, LLC, DDA has determined this privately co-owned home meets HCBS settings characteristics.</w:t>
      </w:r>
    </w:p>
    <w:p>
      <w:pPr>
        <w:pStyle w:val="BodyText"/>
        <w:spacing w:before="7"/>
        <w:rPr>
          <w:sz w:val="16"/>
        </w:rPr>
      </w:pPr>
    </w:p>
    <w:p>
      <w:pPr>
        <w:pStyle w:val="BodyText"/>
        <w:spacing w:line="273" w:lineRule="auto"/>
        <w:ind w:left="1060" w:right="1201"/>
      </w:pPr>
      <w:r>
        <w:rPr/>
        <w:t>Sunridge Ranch is located in rural Kittitas County, Washington, a few miles from Ellensburg, Washington. Neighboring properties are all working farms, like Sunridge Ranch.</w:t>
      </w:r>
    </w:p>
    <w:p>
      <w:pPr>
        <w:pStyle w:val="BodyText"/>
        <w:spacing w:before="8"/>
        <w:rPr>
          <w:sz w:val="16"/>
        </w:rPr>
      </w:pPr>
    </w:p>
    <w:p>
      <w:pPr>
        <w:pStyle w:val="BodyText"/>
        <w:spacing w:line="276" w:lineRule="auto"/>
        <w:ind w:left="1060" w:right="1144"/>
      </w:pPr>
      <w:r>
        <w:rPr>
          <w:b/>
        </w:rPr>
        <w:t>Client Survey</w:t>
      </w:r>
      <w:r>
        <w:rPr/>
        <w:t>: All four resident co-owners shared their positive opinions of their lives at Sunridge Ranch. All four residents are engaged in self- employment as farmers with their farm business, Terravine Growers. They grow vegetables and herbs which they sell at the Ellensburg Farmers Market and at restaurants in Ellensburg. Each resident expressed his interest in a range of activities that he participated in including visiting Central Washington University with student volunteers, horseback riding, going to movies, shopping in town, visiting with friends and family and trips with their families.</w:t>
      </w:r>
    </w:p>
    <w:p>
      <w:pPr>
        <w:pStyle w:val="BodyText"/>
        <w:spacing w:before="5"/>
        <w:rPr>
          <w:sz w:val="16"/>
        </w:rPr>
      </w:pPr>
    </w:p>
    <w:p>
      <w:pPr>
        <w:pStyle w:val="BodyText"/>
        <w:spacing w:line="276" w:lineRule="auto"/>
        <w:ind w:left="1060" w:right="1296"/>
      </w:pPr>
      <w:r>
        <w:rPr/>
        <w:t>Each resident has their own personal suite (bedroom plus full bathroom) and each room is decorated by the resident in their own taste and reflection of their diverse interests. Each resident picked their suite when they moved in. The residents choose and follow their own schedules for activities outside of work. Meals are prepared by residents to the extent that they can and they eat on their own schedules. Residents have access to food at any time and have visitors when and as they choose.</w:t>
      </w:r>
    </w:p>
    <w:p>
      <w:pPr>
        <w:pStyle w:val="BodyText"/>
        <w:spacing w:before="5"/>
        <w:rPr>
          <w:sz w:val="16"/>
        </w:rPr>
      </w:pPr>
    </w:p>
    <w:p>
      <w:pPr>
        <w:pStyle w:val="BodyText"/>
        <w:spacing w:line="276" w:lineRule="auto"/>
        <w:ind w:left="1059" w:right="1125"/>
      </w:pPr>
      <w:r>
        <w:rPr>
          <w:b/>
        </w:rPr>
        <w:t>Family/Guardian and Personal Caregiver Survey: </w:t>
      </w:r>
      <w:r>
        <w:rPr/>
        <w:t>Family members organized and self-funded Sunridge Ranch as a co-owned home and farm for their adult sons. The property is located adjacent to other owner-operated farm properties in the community. The resident’s farm business, Terravine Growers, is supported by a vocational vendor, Trellis LLC. The residents work schedule is driven by the hours of the Ellensburg Farmers Market where the residents sell their produce in their own stall and by the routine deliveries of vegetables and herbs to local restaurants. The</w:t>
      </w:r>
    </w:p>
    <w:p>
      <w:pPr>
        <w:pStyle w:val="BodyText"/>
        <w:spacing w:before="1"/>
        <w:ind w:left="1031"/>
      </w:pPr>
      <w:r>
        <w:rPr>
          <w:w w:val="100"/>
          <w:u w:val="single" w:color="D9D9D9"/>
        </w:rPr>
        <w:t> </w:t>
      </w:r>
      <w:r>
        <w:rPr>
          <w:u w:val="single" w:color="D9D9D9"/>
        </w:rPr>
        <w:t>residents are able to access the greater community via a ranch owned vehicle, the personal care providers’ vehicle and volunteers’ vehicles and </w:t>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12"/>
        </w:rPr>
      </w:pPr>
    </w:p>
    <w:p>
      <w:pPr>
        <w:pStyle w:val="BodyText"/>
        <w:spacing w:line="276" w:lineRule="auto" w:before="56"/>
        <w:ind w:left="1059" w:right="1131"/>
      </w:pPr>
      <w:r>
        <w:rPr/>
        <w:t>they are out in the community multiple times each week. Residents engage in many activities of interest to them in town, with their families and friends. There is no public transportation that serves their farm. Residents have privacy in their own suites and receive any required personal care with bathing or toileting in their private suites. Additional detailed information was provided to CMS but not released for public review due to HIPPA regulations.</w:t>
      </w:r>
    </w:p>
    <w:p>
      <w:pPr>
        <w:pStyle w:val="BodyText"/>
        <w:spacing w:before="4"/>
        <w:rPr>
          <w:sz w:val="16"/>
        </w:rPr>
      </w:pPr>
    </w:p>
    <w:p>
      <w:pPr>
        <w:pStyle w:val="BodyText"/>
        <w:ind w:left="1059"/>
      </w:pPr>
      <w:r>
        <w:rPr>
          <w:b/>
        </w:rPr>
        <w:t>Conclusion: </w:t>
      </w:r>
      <w:r>
        <w:rPr/>
        <w:t>This setting fully complies with the HCBS characteristics.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3"/>
        </w:rPr>
      </w:pPr>
      <w:r>
        <w:rPr/>
        <w:pict>
          <v:shape style="position:absolute;margin-left:70.559998pt;margin-top:10.190203pt;width:650.9pt;height:.1pt;mso-position-horizontal-relative:page;mso-position-vertical-relative:paragraph;z-index:-251466752;mso-wrap-distance-left:0;mso-wrap-distance-right:0" coordorigin="1411,204" coordsize="13018,0" path="m1411,204l14429,204e" filled="false" stroked="true" strokeweight=".481pt" strokecolor="#d9d9d9">
            <v:path arrowok="t"/>
            <v:stroke dashstyle="solid"/>
            <w10:wrap type="topAndBottom"/>
          </v:shape>
        </w:pict>
      </w:r>
    </w:p>
    <w:p>
      <w:pPr>
        <w:spacing w:after="0"/>
        <w:rPr>
          <w:sz w:val="13"/>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1" w:right="2955" w:firstLine="0"/>
        <w:jc w:val="center"/>
        <w:rPr>
          <w:b/>
          <w:sz w:val="28"/>
        </w:rPr>
      </w:pPr>
      <w:bookmarkStart w:name="Ongoing Identification and Review of Set" w:id="93"/>
      <w:bookmarkEnd w:id="93"/>
      <w:r>
        <w:rPr/>
      </w:r>
      <w:bookmarkStart w:name="_bookmark42" w:id="94"/>
      <w:bookmarkEnd w:id="94"/>
      <w:r>
        <w:rPr/>
      </w:r>
      <w:r>
        <w:rPr>
          <w:b/>
          <w:sz w:val="28"/>
        </w:rPr>
        <w:t>Ongoing Identification and Review of Settings for Heightened Scrutiny</w:t>
      </w:r>
    </w:p>
    <w:p>
      <w:pPr>
        <w:pStyle w:val="BodyText"/>
        <w:spacing w:before="2"/>
        <w:rPr>
          <w:b/>
          <w:sz w:val="26"/>
        </w:rPr>
      </w:pPr>
    </w:p>
    <w:p>
      <w:pPr>
        <w:pStyle w:val="BodyText"/>
        <w:spacing w:line="237" w:lineRule="auto"/>
        <w:ind w:left="1059" w:right="1323"/>
      </w:pPr>
      <w:r>
        <w:rPr/>
        <w:t>The State will continue to use the process outlined on pages 167 through 171 of this document for any setting that is identified as not meeting the HCBS setting characteristics.</w:t>
      </w:r>
    </w:p>
    <w:p>
      <w:pPr>
        <w:pStyle w:val="BodyText"/>
        <w:spacing w:before="2"/>
      </w:pPr>
    </w:p>
    <w:p>
      <w:pPr>
        <w:pStyle w:val="BodyText"/>
        <w:ind w:left="1059" w:right="1232"/>
      </w:pPr>
      <w:r>
        <w:rPr/>
        <w:t>RCS surveyors are required to monitor settings at least every 18 months (including an in-person visit to the facility) for compliance with all rules and regulations. Updates to the monitoring process described in the “Site Specific Assessment” section above have been completed to ensure that HCBS setting requirements and characteristics are included.</w:t>
      </w:r>
    </w:p>
    <w:p>
      <w:pPr>
        <w:pStyle w:val="BodyText"/>
      </w:pPr>
    </w:p>
    <w:p>
      <w:pPr>
        <w:pStyle w:val="BodyText"/>
        <w:ind w:left="1059" w:right="1135"/>
      </w:pPr>
      <w:r>
        <w:rPr/>
        <w:t>Case managers visit residents at least yearly. Case managers have been trained on the HCBS rules and requirements and monitor client care. Case managers will notify the Complaint Resolution Unit (for licensed and certified settings) or the administration (DDA or ALTSA) for non- licensed or certified settings when a setting is not in compliance with the HCBS rules or is isolating to clients.</w:t>
      </w:r>
    </w:p>
    <w:p>
      <w:pPr>
        <w:pStyle w:val="BodyText"/>
        <w:spacing w:before="11"/>
        <w:rPr>
          <w:sz w:val="21"/>
        </w:rPr>
      </w:pPr>
    </w:p>
    <w:p>
      <w:pPr>
        <w:pStyle w:val="BodyText"/>
        <w:ind w:left="1059" w:right="1094"/>
      </w:pPr>
      <w:r>
        <w:rPr/>
        <w:t>Contracted agencies make on-site inspections of each residential site not less than once every eighteen months. Licenser and certifiers are either staff of Residential Care Services (RCS), contractors of RCS or DDA or staff of Children’s Administration (for children’s residential service providers). Licensers and certifiers may cite non-compliance in their inspection reports and require remediation with a stated time frame.</w:t>
      </w:r>
    </w:p>
    <w:p>
      <w:pPr>
        <w:pStyle w:val="BodyText"/>
        <w:spacing w:before="1"/>
      </w:pPr>
    </w:p>
    <w:p>
      <w:pPr>
        <w:pStyle w:val="BodyText"/>
        <w:ind w:left="1059"/>
      </w:pPr>
      <w:r>
        <w:rPr/>
        <w:t>Non-compliance may also be identified by:</w:t>
      </w:r>
    </w:p>
    <w:p>
      <w:pPr>
        <w:pStyle w:val="ListParagraph"/>
        <w:numPr>
          <w:ilvl w:val="0"/>
          <w:numId w:val="34"/>
        </w:numPr>
        <w:tabs>
          <w:tab w:pos="1779" w:val="left" w:leader="none"/>
          <w:tab w:pos="1780" w:val="left" w:leader="none"/>
        </w:tabs>
        <w:spacing w:line="240" w:lineRule="auto" w:before="0" w:after="0"/>
        <w:ind w:left="1779" w:right="0" w:hanging="361"/>
        <w:jc w:val="left"/>
        <w:rPr>
          <w:rFonts w:ascii="Symbol" w:hAnsi="Symbol"/>
          <w:sz w:val="22"/>
        </w:rPr>
      </w:pPr>
      <w:r>
        <w:rPr>
          <w:sz w:val="22"/>
        </w:rPr>
        <w:t>Residents</w:t>
      </w:r>
    </w:p>
    <w:p>
      <w:pPr>
        <w:pStyle w:val="ListParagraph"/>
        <w:numPr>
          <w:ilvl w:val="0"/>
          <w:numId w:val="34"/>
        </w:numPr>
        <w:tabs>
          <w:tab w:pos="1779" w:val="left" w:leader="none"/>
          <w:tab w:pos="1781" w:val="left" w:leader="none"/>
        </w:tabs>
        <w:spacing w:line="279" w:lineRule="exact" w:before="1" w:after="0"/>
        <w:ind w:left="1780" w:right="0" w:hanging="362"/>
        <w:jc w:val="left"/>
        <w:rPr>
          <w:rFonts w:ascii="Symbol" w:hAnsi="Symbol"/>
          <w:sz w:val="22"/>
        </w:rPr>
      </w:pPr>
      <w:r>
        <w:rPr>
          <w:sz w:val="22"/>
        </w:rPr>
        <w:t>Ombuds</w:t>
      </w:r>
    </w:p>
    <w:p>
      <w:pPr>
        <w:pStyle w:val="ListParagraph"/>
        <w:numPr>
          <w:ilvl w:val="0"/>
          <w:numId w:val="34"/>
        </w:numPr>
        <w:tabs>
          <w:tab w:pos="1779" w:val="left" w:leader="none"/>
          <w:tab w:pos="1781" w:val="left" w:leader="none"/>
        </w:tabs>
        <w:spacing w:line="279" w:lineRule="exact" w:before="0" w:after="0"/>
        <w:ind w:left="1780" w:right="0" w:hanging="362"/>
        <w:jc w:val="left"/>
        <w:rPr>
          <w:rFonts w:ascii="Symbol" w:hAnsi="Symbol"/>
          <w:sz w:val="22"/>
        </w:rPr>
      </w:pPr>
      <w:r>
        <w:rPr>
          <w:sz w:val="22"/>
        </w:rPr>
        <w:t>Advocacy groups</w:t>
      </w:r>
    </w:p>
    <w:p>
      <w:pPr>
        <w:pStyle w:val="ListParagraph"/>
        <w:numPr>
          <w:ilvl w:val="0"/>
          <w:numId w:val="34"/>
        </w:numPr>
        <w:tabs>
          <w:tab w:pos="1780" w:val="left" w:leader="none"/>
          <w:tab w:pos="1781" w:val="left" w:leader="none"/>
        </w:tabs>
        <w:spacing w:line="240" w:lineRule="auto" w:before="1" w:after="0"/>
        <w:ind w:left="1780" w:right="0" w:hanging="361"/>
        <w:jc w:val="left"/>
        <w:rPr>
          <w:rFonts w:ascii="Symbol" w:hAnsi="Symbol"/>
          <w:sz w:val="22"/>
        </w:rPr>
      </w:pPr>
      <w:r>
        <w:rPr>
          <w:sz w:val="22"/>
        </w:rPr>
        <w:t>Providers and provider</w:t>
      </w:r>
      <w:r>
        <w:rPr>
          <w:spacing w:val="-6"/>
          <w:sz w:val="22"/>
        </w:rPr>
        <w:t> </w:t>
      </w:r>
      <w:r>
        <w:rPr>
          <w:sz w:val="22"/>
        </w:rPr>
        <w:t>organizations</w:t>
      </w:r>
    </w:p>
    <w:p>
      <w:pPr>
        <w:pStyle w:val="ListParagraph"/>
        <w:numPr>
          <w:ilvl w:val="0"/>
          <w:numId w:val="34"/>
        </w:numPr>
        <w:tabs>
          <w:tab w:pos="1780" w:val="left" w:leader="none"/>
          <w:tab w:pos="1781" w:val="left" w:leader="none"/>
        </w:tabs>
        <w:spacing w:line="240" w:lineRule="auto" w:before="0" w:after="0"/>
        <w:ind w:left="1780" w:right="0" w:hanging="361"/>
        <w:jc w:val="left"/>
        <w:rPr>
          <w:rFonts w:ascii="Symbol" w:hAnsi="Symbol"/>
          <w:sz w:val="22"/>
        </w:rPr>
      </w:pPr>
      <w:r>
        <w:rPr>
          <w:sz w:val="22"/>
        </w:rPr>
        <w:t>Other State employees (such as licensors, QA staff, and complaint</w:t>
      </w:r>
      <w:r>
        <w:rPr>
          <w:spacing w:val="-8"/>
          <w:sz w:val="22"/>
        </w:rPr>
        <w:t> </w:t>
      </w:r>
      <w:r>
        <w:rPr>
          <w:sz w:val="22"/>
        </w:rPr>
        <w:t>investigators)</w:t>
      </w:r>
    </w:p>
    <w:p>
      <w:pPr>
        <w:pStyle w:val="ListParagraph"/>
        <w:numPr>
          <w:ilvl w:val="0"/>
          <w:numId w:val="34"/>
        </w:numPr>
        <w:tabs>
          <w:tab w:pos="1780" w:val="left" w:leader="none"/>
          <w:tab w:pos="1781" w:val="left" w:leader="none"/>
        </w:tabs>
        <w:spacing w:line="279" w:lineRule="exact" w:before="1" w:after="0"/>
        <w:ind w:left="1780" w:right="0" w:hanging="361"/>
        <w:jc w:val="left"/>
        <w:rPr>
          <w:rFonts w:ascii="Symbol" w:hAnsi="Symbol"/>
          <w:sz w:val="22"/>
        </w:rPr>
      </w:pPr>
      <w:r>
        <w:rPr>
          <w:sz w:val="22"/>
        </w:rPr>
        <w:t>Family and friends of</w:t>
      </w:r>
      <w:r>
        <w:rPr>
          <w:spacing w:val="-6"/>
          <w:sz w:val="22"/>
        </w:rPr>
        <w:t> </w:t>
      </w:r>
      <w:r>
        <w:rPr>
          <w:sz w:val="22"/>
        </w:rPr>
        <w:t>participants</w:t>
      </w:r>
    </w:p>
    <w:p>
      <w:pPr>
        <w:pStyle w:val="ListParagraph"/>
        <w:numPr>
          <w:ilvl w:val="0"/>
          <w:numId w:val="34"/>
        </w:numPr>
        <w:tabs>
          <w:tab w:pos="1780" w:val="left" w:leader="none"/>
          <w:tab w:pos="1781" w:val="left" w:leader="none"/>
        </w:tabs>
        <w:spacing w:line="470" w:lineRule="auto" w:before="0" w:after="0"/>
        <w:ind w:left="1060" w:right="5713" w:firstLine="360"/>
        <w:jc w:val="left"/>
        <w:rPr>
          <w:rFonts w:ascii="Symbol" w:hAnsi="Symbol"/>
          <w:sz w:val="22"/>
        </w:rPr>
      </w:pPr>
      <w:r>
        <w:rPr>
          <w:sz w:val="22"/>
        </w:rPr>
        <w:t>Any other individual, group, or source that wishes to provide information to the state Updates to the transition plan will reflect findings from these</w:t>
      </w:r>
      <w:r>
        <w:rPr>
          <w:spacing w:val="-5"/>
          <w:sz w:val="22"/>
        </w:rPr>
        <w:t> </w:t>
      </w:r>
      <w:r>
        <w:rPr>
          <w:sz w:val="22"/>
        </w:rPr>
        <w:t>reviews.</w:t>
      </w:r>
    </w:p>
    <w:p>
      <w:pPr>
        <w:pStyle w:val="BodyText"/>
        <w:spacing w:before="20"/>
        <w:ind w:left="1060" w:right="1118"/>
      </w:pPr>
      <w:r>
        <w:rPr/>
        <w:t>The State will issue a public notice in the Washington State Register, provide notification to Washington Tribes and will post a notice in HCS, AAA and DDA field offices when the transition plan is significantly revised or updated. The notices will list the dates when updates will be posted on the internet for public comment. These notices will provide the link to the web posting along with information about how to obtain a hard copy of the updates.</w:t>
      </w:r>
    </w:p>
    <w:p>
      <w:pPr>
        <w:pStyle w:val="BodyText"/>
        <w:rPr>
          <w:sz w:val="20"/>
        </w:rPr>
      </w:pPr>
    </w:p>
    <w:p>
      <w:pPr>
        <w:pStyle w:val="BodyText"/>
        <w:spacing w:before="10"/>
        <w:rPr>
          <w:sz w:val="11"/>
        </w:rPr>
      </w:pPr>
      <w:r>
        <w:rPr/>
        <w:pict>
          <v:shape style="position:absolute;margin-left:70.559998pt;margin-top:9.418803pt;width:650.9pt;height:.1pt;mso-position-horizontal-relative:page;mso-position-vertical-relative:paragraph;z-index:-251465728;mso-wrap-distance-left:0;mso-wrap-distance-right:0" coordorigin="1411,188" coordsize="13018,0" path="m1411,188l14429,188e" filled="false" stroked="true" strokeweight=".481pt" strokecolor="#d9d9d9">
            <v:path arrowok="t"/>
            <v:stroke dashstyle="solid"/>
            <w10:wrap type="topAndBottom"/>
          </v:shape>
        </w:pict>
      </w:r>
    </w:p>
    <w:p>
      <w:pPr>
        <w:spacing w:after="0"/>
        <w:rPr>
          <w:sz w:val="11"/>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p>
      <w:pPr>
        <w:spacing w:before="0"/>
        <w:ind w:left="2918" w:right="2957" w:firstLine="0"/>
        <w:jc w:val="center"/>
        <w:rPr>
          <w:b/>
          <w:sz w:val="32"/>
        </w:rPr>
      </w:pPr>
      <w:bookmarkStart w:name="Appendix C:  State’s Remedial Work Plan " w:id="95"/>
      <w:bookmarkEnd w:id="95"/>
      <w:r>
        <w:rPr/>
      </w:r>
      <w:bookmarkStart w:name="_bookmark43" w:id="96"/>
      <w:bookmarkEnd w:id="96"/>
      <w:r>
        <w:rPr/>
      </w:r>
      <w:r>
        <w:rPr>
          <w:b/>
          <w:sz w:val="32"/>
        </w:rPr>
        <w:t>Appendix C: State’s Remedial Work Plan and Timelines</w:t>
      </w:r>
    </w:p>
    <w:p>
      <w:pPr>
        <w:pStyle w:val="BodyText"/>
        <w:spacing w:line="276" w:lineRule="auto" w:before="57"/>
        <w:ind w:left="1059" w:right="1086"/>
      </w:pPr>
      <w:r>
        <w:rPr/>
        <w:t>The following are the state’s remedial strategies required to ensure that Washington State complies with, and maintains compliance with, the HCBS rules. This includes changes to Washington Administrative Code, Medicaid contract changes, residential facility survey/inspection changes, training, program transition and stakeholder involvement.</w:t>
      </w:r>
    </w:p>
    <w:p>
      <w:pPr>
        <w:pStyle w:val="BodyText"/>
        <w:spacing w:before="7"/>
        <w:rPr>
          <w:sz w:val="16"/>
        </w:rPr>
      </w:pPr>
    </w:p>
    <w:p>
      <w:pPr>
        <w:spacing w:line="341" w:lineRule="exact" w:before="0"/>
        <w:ind w:left="1060" w:right="0" w:firstLine="0"/>
        <w:jc w:val="left"/>
        <w:rPr>
          <w:i/>
          <w:sz w:val="28"/>
        </w:rPr>
      </w:pPr>
      <w:r>
        <w:rPr>
          <w:i/>
          <w:sz w:val="28"/>
        </w:rPr>
        <w:t>Color Key:</w:t>
      </w:r>
    </w:p>
    <w:p>
      <w:pPr>
        <w:pStyle w:val="Heading4"/>
        <w:tabs>
          <w:tab w:pos="6128" w:val="left" w:leader="none"/>
        </w:tabs>
        <w:spacing w:line="292" w:lineRule="exact"/>
        <w:ind w:left="1031"/>
      </w:pPr>
      <w:r>
        <w:rPr>
          <w:spacing w:val="-26"/>
          <w:shd w:fill="F1CDD1" w:color="auto" w:val="clear"/>
        </w:rPr>
        <w:t> </w:t>
      </w:r>
      <w:r>
        <w:rPr>
          <w:shd w:fill="F1CDD1" w:color="auto" w:val="clear"/>
        </w:rPr>
        <w:t>Signifies that this milestone is currently in</w:t>
      </w:r>
      <w:r>
        <w:rPr>
          <w:spacing w:val="-14"/>
          <w:shd w:fill="F1CDD1" w:color="auto" w:val="clear"/>
        </w:rPr>
        <w:t> </w:t>
      </w:r>
      <w:r>
        <w:rPr>
          <w:shd w:fill="F1CDD1" w:color="auto" w:val="clear"/>
        </w:rPr>
        <w:t>process</w:t>
        <w:tab/>
      </w:r>
    </w:p>
    <w:p>
      <w:pPr>
        <w:pStyle w:val="Heading4"/>
        <w:tabs>
          <w:tab w:pos="6128" w:val="left" w:leader="none"/>
        </w:tabs>
        <w:ind w:left="1031"/>
      </w:pPr>
      <w:r>
        <w:rPr>
          <w:spacing w:val="-26"/>
          <w:shd w:fill="D9EAD4" w:color="auto" w:val="clear"/>
        </w:rPr>
        <w:t> </w:t>
      </w:r>
      <w:r>
        <w:rPr>
          <w:shd w:fill="D9EAD4" w:color="auto" w:val="clear"/>
        </w:rPr>
        <w:t>Signifies that this milestone has been</w:t>
      </w:r>
      <w:r>
        <w:rPr>
          <w:spacing w:val="-14"/>
          <w:shd w:fill="D9EAD4" w:color="auto" w:val="clear"/>
        </w:rPr>
        <w:t> </w:t>
      </w:r>
      <w:r>
        <w:rPr>
          <w:shd w:fill="D9EAD4" w:color="auto" w:val="clear"/>
        </w:rPr>
        <w:t>completed</w:t>
        <w:tab/>
      </w:r>
    </w:p>
    <w:p>
      <w:pPr>
        <w:pStyle w:val="BodyText"/>
        <w:rPr>
          <w:sz w:val="20"/>
        </w:rPr>
      </w:pPr>
    </w:p>
    <w:p>
      <w:pPr>
        <w:pStyle w:val="BodyText"/>
        <w:spacing w:before="11"/>
        <w:rPr>
          <w:sz w:val="21"/>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9"/>
        <w:gridCol w:w="1349"/>
        <w:gridCol w:w="1351"/>
        <w:gridCol w:w="2947"/>
        <w:gridCol w:w="3593"/>
      </w:tblGrid>
      <w:tr>
        <w:trPr>
          <w:trHeight w:val="585" w:hRule="atLeast"/>
        </w:trPr>
        <w:tc>
          <w:tcPr>
            <w:tcW w:w="3799" w:type="dxa"/>
            <w:shd w:val="clear" w:color="auto" w:fill="D5D5D5"/>
          </w:tcPr>
          <w:p>
            <w:pPr>
              <w:pStyle w:val="TableParagraph"/>
              <w:spacing w:line="292" w:lineRule="exact"/>
              <w:ind w:left="1329" w:right="1318"/>
              <w:jc w:val="center"/>
              <w:rPr>
                <w:b/>
                <w:sz w:val="24"/>
              </w:rPr>
            </w:pPr>
            <w:r>
              <w:rPr>
                <w:b/>
                <w:sz w:val="24"/>
              </w:rPr>
              <w:t>Milestones</w:t>
            </w:r>
          </w:p>
        </w:tc>
        <w:tc>
          <w:tcPr>
            <w:tcW w:w="1349" w:type="dxa"/>
            <w:shd w:val="clear" w:color="auto" w:fill="D5D5D5"/>
          </w:tcPr>
          <w:p>
            <w:pPr>
              <w:pStyle w:val="TableParagraph"/>
              <w:spacing w:line="292" w:lineRule="exact"/>
              <w:ind w:left="168"/>
              <w:rPr>
                <w:b/>
                <w:sz w:val="24"/>
              </w:rPr>
            </w:pPr>
            <w:r>
              <w:rPr>
                <w:b/>
                <w:sz w:val="24"/>
              </w:rPr>
              <w:t>Start Date</w:t>
            </w:r>
          </w:p>
        </w:tc>
        <w:tc>
          <w:tcPr>
            <w:tcW w:w="1351" w:type="dxa"/>
            <w:shd w:val="clear" w:color="auto" w:fill="D5D5D5"/>
          </w:tcPr>
          <w:p>
            <w:pPr>
              <w:pStyle w:val="TableParagraph"/>
              <w:spacing w:line="292" w:lineRule="exact"/>
              <w:ind w:left="223"/>
              <w:rPr>
                <w:b/>
                <w:sz w:val="24"/>
              </w:rPr>
            </w:pPr>
            <w:r>
              <w:rPr>
                <w:b/>
                <w:sz w:val="24"/>
              </w:rPr>
              <w:t>End Date</w:t>
            </w:r>
          </w:p>
        </w:tc>
        <w:tc>
          <w:tcPr>
            <w:tcW w:w="2947" w:type="dxa"/>
            <w:shd w:val="clear" w:color="auto" w:fill="D5D5D5"/>
          </w:tcPr>
          <w:p>
            <w:pPr>
              <w:pStyle w:val="TableParagraph"/>
              <w:spacing w:line="292" w:lineRule="exact"/>
              <w:ind w:left="400"/>
              <w:rPr>
                <w:b/>
                <w:sz w:val="24"/>
              </w:rPr>
            </w:pPr>
            <w:r>
              <w:rPr>
                <w:b/>
                <w:sz w:val="24"/>
              </w:rPr>
              <w:t>Status as of 3/1/2017</w:t>
            </w:r>
          </w:p>
        </w:tc>
        <w:tc>
          <w:tcPr>
            <w:tcW w:w="3593" w:type="dxa"/>
            <w:shd w:val="clear" w:color="auto" w:fill="D5D5D5"/>
          </w:tcPr>
          <w:p>
            <w:pPr>
              <w:pStyle w:val="TableParagraph"/>
              <w:spacing w:line="292" w:lineRule="exact"/>
              <w:ind w:left="462" w:right="459"/>
              <w:jc w:val="center"/>
              <w:rPr>
                <w:b/>
                <w:sz w:val="24"/>
              </w:rPr>
            </w:pPr>
            <w:r>
              <w:rPr>
                <w:b/>
                <w:sz w:val="24"/>
              </w:rPr>
              <w:t>Evidence of Completion of</w:t>
            </w:r>
          </w:p>
          <w:p>
            <w:pPr>
              <w:pStyle w:val="TableParagraph"/>
              <w:spacing w:line="273" w:lineRule="exact"/>
              <w:ind w:left="462" w:right="456"/>
              <w:jc w:val="center"/>
              <w:rPr>
                <w:b/>
                <w:sz w:val="24"/>
              </w:rPr>
            </w:pPr>
            <w:r>
              <w:rPr>
                <w:b/>
                <w:sz w:val="24"/>
              </w:rPr>
              <w:t>Milestones</w:t>
            </w:r>
          </w:p>
        </w:tc>
      </w:tr>
      <w:tr>
        <w:trPr>
          <w:trHeight w:val="270" w:hRule="atLeast"/>
        </w:trPr>
        <w:tc>
          <w:tcPr>
            <w:tcW w:w="3799" w:type="dxa"/>
            <w:shd w:val="clear" w:color="auto" w:fill="4DA3D7"/>
          </w:tcPr>
          <w:p>
            <w:pPr>
              <w:pStyle w:val="TableParagraph"/>
              <w:spacing w:line="251" w:lineRule="exact"/>
              <w:ind w:left="107"/>
              <w:rPr>
                <w:b/>
                <w:sz w:val="22"/>
              </w:rPr>
            </w:pPr>
            <w:r>
              <w:rPr>
                <w:b/>
                <w:sz w:val="22"/>
              </w:rPr>
              <w:t>WAC Changes</w:t>
            </w:r>
          </w:p>
        </w:tc>
        <w:tc>
          <w:tcPr>
            <w:tcW w:w="9240" w:type="dxa"/>
            <w:gridSpan w:val="4"/>
            <w:shd w:val="clear" w:color="auto" w:fill="4DA3D7"/>
          </w:tcPr>
          <w:p>
            <w:pPr>
              <w:pStyle w:val="TableParagraph"/>
              <w:rPr>
                <w:rFonts w:ascii="Times New Roman"/>
                <w:sz w:val="20"/>
              </w:rPr>
            </w:pPr>
          </w:p>
        </w:tc>
      </w:tr>
      <w:tr>
        <w:trPr>
          <w:trHeight w:val="5147" w:hRule="atLeast"/>
        </w:trPr>
        <w:tc>
          <w:tcPr>
            <w:tcW w:w="3799" w:type="dxa"/>
            <w:shd w:val="clear" w:color="auto" w:fill="F1CDD1"/>
          </w:tcPr>
          <w:p>
            <w:pPr>
              <w:pStyle w:val="TableParagraph"/>
              <w:ind w:left="107" w:right="98"/>
              <w:rPr>
                <w:sz w:val="22"/>
              </w:rPr>
            </w:pPr>
            <w:r>
              <w:rPr>
                <w:sz w:val="22"/>
              </w:rPr>
              <w:t>Revise chapter 388-71 WAC on Adult Day services to prohibit coercion, the use of restraints, and to require Adult Day services to adhere to all aspects of the federal requirements for non- residential settings. This includes ensuring that individuals receiving HCBS Adult Day Services have the opportunity to receive services in the community with the same degree of access as individuals not receiving Medicaid</w:t>
            </w:r>
            <w:r>
              <w:rPr>
                <w:spacing w:val="-2"/>
                <w:sz w:val="22"/>
              </w:rPr>
              <w:t> </w:t>
            </w:r>
            <w:r>
              <w:rPr>
                <w:sz w:val="22"/>
              </w:rPr>
              <w:t>HCBS.</w:t>
            </w:r>
          </w:p>
          <w:p>
            <w:pPr>
              <w:pStyle w:val="TableParagraph"/>
              <w:spacing w:line="267" w:lineRule="exact"/>
              <w:ind w:left="107"/>
              <w:rPr>
                <w:sz w:val="22"/>
              </w:rPr>
            </w:pPr>
            <w:r>
              <w:rPr>
                <w:sz w:val="22"/>
              </w:rPr>
              <w:t>See </w:t>
            </w:r>
            <w:hyperlink w:history="true" w:anchor="_bookmark43">
              <w:r>
                <w:rPr>
                  <w:color w:val="6B9F24"/>
                  <w:sz w:val="22"/>
                  <w:u w:val="single" w:color="6B9F24"/>
                </w:rPr>
                <w:t>Appendix</w:t>
              </w:r>
              <w:r>
                <w:rPr>
                  <w:color w:val="6B9F24"/>
                  <w:spacing w:val="-2"/>
                  <w:sz w:val="22"/>
                  <w:u w:val="single" w:color="6B9F24"/>
                </w:rPr>
                <w:t> </w:t>
              </w:r>
              <w:r>
                <w:rPr>
                  <w:color w:val="6B9F24"/>
                  <w:sz w:val="22"/>
                  <w:u w:val="single" w:color="6B9F24"/>
                </w:rPr>
                <w:t>C</w:t>
              </w:r>
            </w:hyperlink>
          </w:p>
        </w:tc>
        <w:tc>
          <w:tcPr>
            <w:tcW w:w="1349" w:type="dxa"/>
            <w:shd w:val="clear" w:color="auto" w:fill="F1CDD1"/>
          </w:tcPr>
          <w:p>
            <w:pPr>
              <w:pStyle w:val="TableParagraph"/>
              <w:spacing w:line="268" w:lineRule="exact"/>
              <w:ind w:left="108"/>
              <w:rPr>
                <w:sz w:val="22"/>
              </w:rPr>
            </w:pPr>
            <w:r>
              <w:rPr>
                <w:sz w:val="22"/>
              </w:rPr>
              <w:t>7/15/2016</w:t>
            </w:r>
          </w:p>
        </w:tc>
        <w:tc>
          <w:tcPr>
            <w:tcW w:w="1351" w:type="dxa"/>
            <w:shd w:val="clear" w:color="auto" w:fill="F1CDD1"/>
          </w:tcPr>
          <w:p>
            <w:pPr>
              <w:pStyle w:val="TableParagraph"/>
              <w:spacing w:line="268" w:lineRule="exact"/>
              <w:ind w:left="107"/>
              <w:rPr>
                <w:sz w:val="22"/>
              </w:rPr>
            </w:pPr>
            <w:r>
              <w:rPr>
                <w:sz w:val="22"/>
              </w:rPr>
              <w:t>7/1/2018</w:t>
            </w:r>
          </w:p>
        </w:tc>
        <w:tc>
          <w:tcPr>
            <w:tcW w:w="2947" w:type="dxa"/>
            <w:shd w:val="clear" w:color="auto" w:fill="F1CDD1"/>
          </w:tcPr>
          <w:p>
            <w:pPr>
              <w:pStyle w:val="TableParagraph"/>
              <w:spacing w:line="268" w:lineRule="exact"/>
              <w:ind w:left="108"/>
              <w:rPr>
                <w:sz w:val="22"/>
              </w:rPr>
            </w:pPr>
            <w:r>
              <w:rPr>
                <w:sz w:val="22"/>
              </w:rPr>
              <w:t>In process</w:t>
            </w:r>
          </w:p>
        </w:tc>
        <w:tc>
          <w:tcPr>
            <w:tcW w:w="3593" w:type="dxa"/>
            <w:shd w:val="clear" w:color="auto" w:fill="F1CDD1"/>
          </w:tcPr>
          <w:p>
            <w:pPr>
              <w:pStyle w:val="TableParagraph"/>
              <w:spacing w:line="237" w:lineRule="auto" w:before="1"/>
              <w:ind w:left="105" w:right="231"/>
              <w:rPr>
                <w:sz w:val="22"/>
              </w:rPr>
            </w:pPr>
            <w:r>
              <w:rPr>
                <w:sz w:val="22"/>
              </w:rPr>
              <w:t>Use of coercion and restraints rules: 7/22/16 CR-101 filed</w:t>
            </w:r>
          </w:p>
          <w:p>
            <w:pPr>
              <w:pStyle w:val="TableParagraph"/>
              <w:spacing w:before="1"/>
              <w:ind w:left="105" w:right="526"/>
              <w:rPr>
                <w:sz w:val="22"/>
              </w:rPr>
            </w:pPr>
            <w:r>
              <w:rPr>
                <w:sz w:val="22"/>
              </w:rPr>
              <w:t>10/18/16 CR-101 re-filed 3/15/17 – CR 102 filed with draft language</w:t>
            </w:r>
          </w:p>
          <w:p>
            <w:pPr>
              <w:pStyle w:val="TableParagraph"/>
              <w:spacing w:before="1"/>
              <w:ind w:left="105" w:right="592"/>
              <w:rPr>
                <w:sz w:val="22"/>
              </w:rPr>
            </w:pPr>
            <w:r>
              <w:rPr>
                <w:sz w:val="22"/>
              </w:rPr>
              <w:t>7/25/17 – Public Hearing held Final rule to be published with a</w:t>
            </w:r>
          </w:p>
          <w:p>
            <w:pPr>
              <w:pStyle w:val="TableParagraph"/>
              <w:spacing w:before="1"/>
              <w:ind w:left="105"/>
              <w:rPr>
                <w:sz w:val="22"/>
              </w:rPr>
            </w:pPr>
            <w:r>
              <w:rPr>
                <w:sz w:val="22"/>
              </w:rPr>
              <w:t>projected effective date of 10/2017.</w:t>
            </w:r>
          </w:p>
          <w:p>
            <w:pPr>
              <w:pStyle w:val="TableParagraph"/>
              <w:rPr>
                <w:sz w:val="22"/>
              </w:rPr>
            </w:pPr>
          </w:p>
          <w:p>
            <w:pPr>
              <w:pStyle w:val="TableParagraph"/>
              <w:ind w:left="105" w:right="96"/>
              <w:rPr>
                <w:sz w:val="22"/>
              </w:rPr>
            </w:pPr>
            <w:r>
              <w:rPr>
                <w:sz w:val="22"/>
              </w:rPr>
              <w:t>Community integration rule promulgation will begin 1/18/2018. The projected timeline for this rule is:</w:t>
            </w:r>
          </w:p>
          <w:p>
            <w:pPr>
              <w:pStyle w:val="TableParagraph"/>
              <w:numPr>
                <w:ilvl w:val="0"/>
                <w:numId w:val="35"/>
              </w:numPr>
              <w:tabs>
                <w:tab w:pos="883" w:val="left" w:leader="none"/>
                <w:tab w:pos="884" w:val="left" w:leader="none"/>
              </w:tabs>
              <w:spacing w:line="279" w:lineRule="exact" w:before="0" w:after="0"/>
              <w:ind w:left="883" w:right="0" w:hanging="419"/>
              <w:jc w:val="left"/>
              <w:rPr>
                <w:rFonts w:ascii="Symbol" w:hAnsi="Symbol"/>
                <w:color w:val="1F487C"/>
                <w:sz w:val="22"/>
              </w:rPr>
            </w:pPr>
            <w:r>
              <w:rPr>
                <w:sz w:val="22"/>
              </w:rPr>
              <w:t>File CR-101 in</w:t>
            </w:r>
            <w:r>
              <w:rPr>
                <w:spacing w:val="-1"/>
                <w:sz w:val="22"/>
              </w:rPr>
              <w:t> </w:t>
            </w:r>
            <w:r>
              <w:rPr>
                <w:sz w:val="22"/>
              </w:rPr>
              <w:t>January</w:t>
            </w:r>
          </w:p>
          <w:p>
            <w:pPr>
              <w:pStyle w:val="TableParagraph"/>
              <w:numPr>
                <w:ilvl w:val="0"/>
                <w:numId w:val="35"/>
              </w:numPr>
              <w:tabs>
                <w:tab w:pos="883" w:val="left" w:leader="none"/>
                <w:tab w:pos="884" w:val="left" w:leader="none"/>
              </w:tabs>
              <w:spacing w:line="240" w:lineRule="auto" w:before="1" w:after="0"/>
              <w:ind w:left="825" w:right="761" w:hanging="360"/>
              <w:jc w:val="left"/>
              <w:rPr>
                <w:rFonts w:ascii="Symbol" w:hAnsi="Symbol"/>
                <w:sz w:val="22"/>
              </w:rPr>
            </w:pPr>
            <w:r>
              <w:rPr/>
              <w:tab/>
            </w:r>
            <w:r>
              <w:rPr>
                <w:sz w:val="22"/>
              </w:rPr>
              <w:t>File CR-102 with draft language in</w:t>
            </w:r>
            <w:r>
              <w:rPr>
                <w:spacing w:val="-1"/>
                <w:sz w:val="22"/>
              </w:rPr>
              <w:t> </w:t>
            </w:r>
            <w:r>
              <w:rPr>
                <w:sz w:val="22"/>
              </w:rPr>
              <w:t>June</w:t>
            </w:r>
          </w:p>
          <w:p>
            <w:pPr>
              <w:pStyle w:val="TableParagraph"/>
              <w:numPr>
                <w:ilvl w:val="0"/>
                <w:numId w:val="35"/>
              </w:numPr>
              <w:tabs>
                <w:tab w:pos="883" w:val="left" w:leader="none"/>
                <w:tab w:pos="884" w:val="left" w:leader="none"/>
              </w:tabs>
              <w:spacing w:line="279" w:lineRule="exact" w:before="0" w:after="0"/>
              <w:ind w:left="883" w:right="0" w:hanging="419"/>
              <w:jc w:val="left"/>
              <w:rPr>
                <w:rFonts w:ascii="Symbol" w:hAnsi="Symbol"/>
                <w:sz w:val="22"/>
              </w:rPr>
            </w:pPr>
            <w:r>
              <w:rPr>
                <w:sz w:val="22"/>
              </w:rPr>
              <w:t>Public hearing in</w:t>
            </w:r>
            <w:r>
              <w:rPr>
                <w:spacing w:val="-4"/>
                <w:sz w:val="22"/>
              </w:rPr>
              <w:t> </w:t>
            </w:r>
            <w:r>
              <w:rPr>
                <w:sz w:val="22"/>
              </w:rPr>
              <w:t>July</w:t>
            </w:r>
          </w:p>
          <w:p>
            <w:pPr>
              <w:pStyle w:val="TableParagraph"/>
              <w:numPr>
                <w:ilvl w:val="0"/>
                <w:numId w:val="35"/>
              </w:numPr>
              <w:tabs>
                <w:tab w:pos="847" w:val="left" w:leader="none"/>
                <w:tab w:pos="848" w:val="left" w:leader="none"/>
              </w:tabs>
              <w:spacing w:line="240" w:lineRule="auto" w:before="0" w:after="0"/>
              <w:ind w:left="825" w:right="442" w:hanging="360"/>
              <w:jc w:val="left"/>
              <w:rPr>
                <w:rFonts w:ascii="Symbol" w:hAnsi="Symbol"/>
                <w:sz w:val="22"/>
              </w:rPr>
            </w:pPr>
            <w:r>
              <w:rPr>
                <w:sz w:val="22"/>
              </w:rPr>
              <w:t>Publish final revised rule effective September</w:t>
            </w:r>
            <w:r>
              <w:rPr>
                <w:spacing w:val="-8"/>
                <w:sz w:val="22"/>
              </w:rPr>
              <w:t> </w:t>
            </w:r>
            <w:r>
              <w:rPr>
                <w:sz w:val="22"/>
              </w:rPr>
              <w:t>2018</w:t>
            </w:r>
          </w:p>
        </w:tc>
      </w:tr>
    </w:tbl>
    <w:p>
      <w:pPr>
        <w:pStyle w:val="BodyText"/>
        <w:spacing w:before="6"/>
        <w:rPr>
          <w:sz w:val="10"/>
        </w:rPr>
      </w:pPr>
      <w:r>
        <w:rPr/>
        <w:pict>
          <v:shape style="position:absolute;margin-left:70.559998pt;margin-top:8.6395pt;width:650.9pt;height:.1pt;mso-position-horizontal-relative:page;mso-position-vertical-relative:paragraph;z-index:-251464704;mso-wrap-distance-left:0;mso-wrap-distance-right:0" coordorigin="1411,173" coordsize="13018,0" path="m1411,173l14429,173e" filled="false" stroked="true" strokeweight=".481pt" strokecolor="#d9d9d9">
            <v:path arrowok="t"/>
            <v:stroke dashstyle="solid"/>
            <w10:wrap type="topAndBottom"/>
          </v:shape>
        </w:pict>
      </w:r>
    </w:p>
    <w:p>
      <w:pPr>
        <w:spacing w:after="0"/>
        <w:rPr>
          <w:sz w:val="10"/>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9"/>
        <w:gridCol w:w="1349"/>
        <w:gridCol w:w="1351"/>
        <w:gridCol w:w="2947"/>
        <w:gridCol w:w="3593"/>
      </w:tblGrid>
      <w:tr>
        <w:trPr>
          <w:trHeight w:val="2452" w:hRule="atLeast"/>
        </w:trPr>
        <w:tc>
          <w:tcPr>
            <w:tcW w:w="3799" w:type="dxa"/>
            <w:shd w:val="clear" w:color="auto" w:fill="F1CDD1"/>
          </w:tcPr>
          <w:p>
            <w:pPr>
              <w:pStyle w:val="TableParagraph"/>
              <w:ind w:left="107" w:right="253"/>
              <w:rPr>
                <w:sz w:val="22"/>
              </w:rPr>
            </w:pPr>
            <w:r>
              <w:rPr>
                <w:sz w:val="22"/>
              </w:rPr>
              <w:t>Revision to WAC 388-823-1095 “What are my rights as a DDA client?” to include HCBS setting rights</w:t>
            </w:r>
          </w:p>
        </w:tc>
        <w:tc>
          <w:tcPr>
            <w:tcW w:w="1349" w:type="dxa"/>
            <w:shd w:val="clear" w:color="auto" w:fill="F1CDD1"/>
          </w:tcPr>
          <w:p>
            <w:pPr>
              <w:pStyle w:val="TableParagraph"/>
              <w:spacing w:line="268" w:lineRule="exact"/>
              <w:ind w:left="108"/>
              <w:rPr>
                <w:sz w:val="22"/>
              </w:rPr>
            </w:pPr>
            <w:r>
              <w:rPr>
                <w:sz w:val="22"/>
              </w:rPr>
              <w:t>7/1/2016</w:t>
            </w:r>
          </w:p>
        </w:tc>
        <w:tc>
          <w:tcPr>
            <w:tcW w:w="1351" w:type="dxa"/>
            <w:shd w:val="clear" w:color="auto" w:fill="F1CDD1"/>
          </w:tcPr>
          <w:p>
            <w:pPr>
              <w:pStyle w:val="TableParagraph"/>
              <w:spacing w:line="268" w:lineRule="exact"/>
              <w:ind w:left="107"/>
              <w:rPr>
                <w:sz w:val="22"/>
              </w:rPr>
            </w:pPr>
            <w:r>
              <w:rPr>
                <w:sz w:val="22"/>
              </w:rPr>
              <w:t>3/1/2018</w:t>
            </w:r>
          </w:p>
        </w:tc>
        <w:tc>
          <w:tcPr>
            <w:tcW w:w="2947" w:type="dxa"/>
            <w:shd w:val="clear" w:color="auto" w:fill="F1CDD1"/>
          </w:tcPr>
          <w:p>
            <w:pPr>
              <w:pStyle w:val="TableParagraph"/>
              <w:ind w:left="108" w:right="545"/>
              <w:rPr>
                <w:sz w:val="22"/>
              </w:rPr>
            </w:pPr>
            <w:r>
              <w:rPr>
                <w:sz w:val="22"/>
              </w:rPr>
              <w:t>Rule is drafted and under internal review.</w:t>
            </w:r>
          </w:p>
        </w:tc>
        <w:tc>
          <w:tcPr>
            <w:tcW w:w="3593" w:type="dxa"/>
            <w:shd w:val="clear" w:color="auto" w:fill="F1CDD1"/>
          </w:tcPr>
          <w:p>
            <w:pPr>
              <w:pStyle w:val="TableParagraph"/>
              <w:ind w:left="825" w:right="399"/>
              <w:rPr>
                <w:sz w:val="22"/>
              </w:rPr>
            </w:pPr>
            <w:r>
              <w:rPr>
                <w:sz w:val="22"/>
              </w:rPr>
              <w:t>The projected timeline for this rule is:</w:t>
            </w:r>
          </w:p>
          <w:p>
            <w:pPr>
              <w:pStyle w:val="TableParagraph"/>
              <w:numPr>
                <w:ilvl w:val="0"/>
                <w:numId w:val="36"/>
              </w:numPr>
              <w:tabs>
                <w:tab w:pos="825" w:val="left" w:leader="none"/>
                <w:tab w:pos="826" w:val="left" w:leader="none"/>
              </w:tabs>
              <w:spacing w:line="240" w:lineRule="auto" w:before="0" w:after="0"/>
              <w:ind w:left="825" w:right="345" w:hanging="360"/>
              <w:jc w:val="left"/>
              <w:rPr>
                <w:sz w:val="22"/>
              </w:rPr>
            </w:pPr>
            <w:r>
              <w:rPr>
                <w:sz w:val="22"/>
              </w:rPr>
              <w:t>File revised rule - October 15,</w:t>
            </w:r>
            <w:r>
              <w:rPr>
                <w:spacing w:val="-3"/>
                <w:sz w:val="22"/>
              </w:rPr>
              <w:t> </w:t>
            </w:r>
            <w:r>
              <w:rPr>
                <w:sz w:val="22"/>
              </w:rPr>
              <w:t>2017</w:t>
            </w:r>
          </w:p>
          <w:p>
            <w:pPr>
              <w:pStyle w:val="TableParagraph"/>
              <w:numPr>
                <w:ilvl w:val="0"/>
                <w:numId w:val="36"/>
              </w:numPr>
              <w:tabs>
                <w:tab w:pos="825" w:val="left" w:leader="none"/>
                <w:tab w:pos="826" w:val="left" w:leader="none"/>
              </w:tabs>
              <w:spacing w:line="279" w:lineRule="exact" w:before="0" w:after="0"/>
              <w:ind w:left="825" w:right="0" w:hanging="361"/>
              <w:jc w:val="left"/>
              <w:rPr>
                <w:sz w:val="22"/>
              </w:rPr>
            </w:pPr>
            <w:r>
              <w:rPr>
                <w:sz w:val="22"/>
              </w:rPr>
              <w:t>Public hearing on revised</w:t>
            </w:r>
            <w:r>
              <w:rPr>
                <w:spacing w:val="-9"/>
                <w:sz w:val="22"/>
              </w:rPr>
              <w:t> </w:t>
            </w:r>
            <w:r>
              <w:rPr>
                <w:sz w:val="22"/>
              </w:rPr>
              <w:t>rule</w:t>
            </w:r>
          </w:p>
          <w:p>
            <w:pPr>
              <w:pStyle w:val="TableParagraph"/>
              <w:ind w:left="825"/>
              <w:rPr>
                <w:sz w:val="22"/>
              </w:rPr>
            </w:pPr>
            <w:r>
              <w:rPr>
                <w:sz w:val="22"/>
              </w:rPr>
              <w:t>- November 2017</w:t>
            </w:r>
          </w:p>
          <w:p>
            <w:pPr>
              <w:pStyle w:val="TableParagraph"/>
              <w:numPr>
                <w:ilvl w:val="0"/>
                <w:numId w:val="36"/>
              </w:numPr>
              <w:tabs>
                <w:tab w:pos="825" w:val="left" w:leader="none"/>
                <w:tab w:pos="826" w:val="left" w:leader="none"/>
              </w:tabs>
              <w:spacing w:line="240" w:lineRule="auto" w:before="0" w:after="0"/>
              <w:ind w:left="825" w:right="567" w:hanging="360"/>
              <w:jc w:val="left"/>
              <w:rPr>
                <w:sz w:val="22"/>
              </w:rPr>
            </w:pPr>
            <w:r>
              <w:rPr>
                <w:sz w:val="22"/>
              </w:rPr>
              <w:t>Publish final revised rule effective April</w:t>
            </w:r>
            <w:r>
              <w:rPr>
                <w:spacing w:val="47"/>
                <w:sz w:val="22"/>
              </w:rPr>
              <w:t> </w:t>
            </w:r>
            <w:r>
              <w:rPr>
                <w:sz w:val="22"/>
              </w:rPr>
              <w:t>2018</w:t>
            </w:r>
          </w:p>
        </w:tc>
      </w:tr>
      <w:tr>
        <w:trPr>
          <w:trHeight w:val="2452" w:hRule="atLeast"/>
        </w:trPr>
        <w:tc>
          <w:tcPr>
            <w:tcW w:w="3799" w:type="dxa"/>
            <w:shd w:val="clear" w:color="auto" w:fill="F1CDD1"/>
          </w:tcPr>
          <w:p>
            <w:pPr>
              <w:pStyle w:val="TableParagraph"/>
              <w:ind w:left="107" w:right="125"/>
              <w:jc w:val="both"/>
              <w:rPr>
                <w:sz w:val="22"/>
              </w:rPr>
            </w:pPr>
            <w:r>
              <w:rPr>
                <w:sz w:val="22"/>
              </w:rPr>
              <w:t>Revise residential facility WAC to clarify that any modification to a client’s rights must follow and document the process outlined in 42 CFR 441.725 (b) (13).</w:t>
            </w:r>
          </w:p>
        </w:tc>
        <w:tc>
          <w:tcPr>
            <w:tcW w:w="1349" w:type="dxa"/>
            <w:shd w:val="clear" w:color="auto" w:fill="F1CDD1"/>
          </w:tcPr>
          <w:p>
            <w:pPr>
              <w:pStyle w:val="TableParagraph"/>
              <w:spacing w:line="268" w:lineRule="exact"/>
              <w:ind w:left="108"/>
              <w:rPr>
                <w:sz w:val="22"/>
              </w:rPr>
            </w:pPr>
            <w:r>
              <w:rPr>
                <w:sz w:val="22"/>
              </w:rPr>
              <w:t>7/7/2016</w:t>
            </w:r>
          </w:p>
        </w:tc>
        <w:tc>
          <w:tcPr>
            <w:tcW w:w="1351" w:type="dxa"/>
            <w:shd w:val="clear" w:color="auto" w:fill="F1CDD1"/>
          </w:tcPr>
          <w:p>
            <w:pPr>
              <w:pStyle w:val="TableParagraph"/>
              <w:spacing w:line="268" w:lineRule="exact"/>
              <w:ind w:left="107"/>
              <w:rPr>
                <w:sz w:val="22"/>
              </w:rPr>
            </w:pPr>
            <w:r>
              <w:rPr>
                <w:sz w:val="22"/>
              </w:rPr>
              <w:t>4/1/2018</w:t>
            </w:r>
          </w:p>
        </w:tc>
        <w:tc>
          <w:tcPr>
            <w:tcW w:w="2947" w:type="dxa"/>
            <w:shd w:val="clear" w:color="auto" w:fill="F1CDD1"/>
          </w:tcPr>
          <w:p>
            <w:pPr>
              <w:pStyle w:val="TableParagraph"/>
              <w:ind w:left="108" w:right="248"/>
              <w:rPr>
                <w:sz w:val="22"/>
              </w:rPr>
            </w:pPr>
            <w:r>
              <w:rPr>
                <w:sz w:val="22"/>
              </w:rPr>
              <w:t>Internal meetings to address how changes need to be incorporated into WAC have occurred. Rule promulgation will begin</w:t>
            </w:r>
          </w:p>
        </w:tc>
        <w:tc>
          <w:tcPr>
            <w:tcW w:w="3593" w:type="dxa"/>
            <w:shd w:val="clear" w:color="auto" w:fill="F1CDD1"/>
          </w:tcPr>
          <w:p>
            <w:pPr>
              <w:pStyle w:val="TableParagraph"/>
              <w:ind w:left="825" w:right="383" w:hanging="360"/>
              <w:rPr>
                <w:sz w:val="22"/>
              </w:rPr>
            </w:pPr>
            <w:r>
              <w:rPr>
                <w:sz w:val="22"/>
              </w:rPr>
              <w:t>The projected timeline for this rule is:</w:t>
            </w:r>
          </w:p>
          <w:p>
            <w:pPr>
              <w:pStyle w:val="TableParagraph"/>
              <w:ind w:left="465"/>
              <w:rPr>
                <w:sz w:val="22"/>
              </w:rPr>
            </w:pPr>
            <w:r>
              <w:rPr>
                <w:sz w:val="22"/>
              </w:rPr>
              <w:t>Filed CR-101 in March 2017</w:t>
            </w:r>
          </w:p>
          <w:p>
            <w:pPr>
              <w:pStyle w:val="TableParagraph"/>
              <w:numPr>
                <w:ilvl w:val="0"/>
                <w:numId w:val="37"/>
              </w:numPr>
              <w:tabs>
                <w:tab w:pos="883" w:val="left" w:leader="none"/>
                <w:tab w:pos="884" w:val="left" w:leader="none"/>
              </w:tabs>
              <w:spacing w:line="237" w:lineRule="auto" w:before="2" w:after="0"/>
              <w:ind w:left="825" w:right="761" w:hanging="360"/>
              <w:jc w:val="left"/>
              <w:rPr>
                <w:sz w:val="22"/>
              </w:rPr>
            </w:pPr>
            <w:r>
              <w:rPr/>
              <w:tab/>
            </w:r>
            <w:r>
              <w:rPr>
                <w:sz w:val="22"/>
              </w:rPr>
              <w:t>File CR-102 with draft language in</w:t>
            </w:r>
            <w:r>
              <w:rPr>
                <w:spacing w:val="-2"/>
                <w:sz w:val="22"/>
              </w:rPr>
              <w:t> </w:t>
            </w:r>
            <w:r>
              <w:rPr>
                <w:sz w:val="22"/>
              </w:rPr>
              <w:t>October</w:t>
            </w:r>
          </w:p>
          <w:p>
            <w:pPr>
              <w:pStyle w:val="TableParagraph"/>
              <w:numPr>
                <w:ilvl w:val="0"/>
                <w:numId w:val="37"/>
              </w:numPr>
              <w:tabs>
                <w:tab w:pos="883" w:val="left" w:leader="none"/>
                <w:tab w:pos="884" w:val="left" w:leader="none"/>
              </w:tabs>
              <w:spacing w:line="240" w:lineRule="auto" w:before="2" w:after="0"/>
              <w:ind w:left="883" w:right="0" w:hanging="419"/>
              <w:jc w:val="left"/>
              <w:rPr>
                <w:sz w:val="22"/>
              </w:rPr>
            </w:pPr>
            <w:r>
              <w:rPr>
                <w:sz w:val="22"/>
              </w:rPr>
              <w:t>Public hearing in</w:t>
            </w:r>
            <w:r>
              <w:rPr>
                <w:spacing w:val="-5"/>
                <w:sz w:val="22"/>
              </w:rPr>
              <w:t> </w:t>
            </w:r>
            <w:r>
              <w:rPr>
                <w:sz w:val="22"/>
              </w:rPr>
              <w:t>December</w:t>
            </w:r>
          </w:p>
          <w:p>
            <w:pPr>
              <w:pStyle w:val="TableParagraph"/>
              <w:numPr>
                <w:ilvl w:val="0"/>
                <w:numId w:val="37"/>
              </w:numPr>
              <w:tabs>
                <w:tab w:pos="883" w:val="left" w:leader="none"/>
                <w:tab w:pos="884" w:val="left" w:leader="none"/>
              </w:tabs>
              <w:spacing w:line="240" w:lineRule="auto" w:before="0" w:after="0"/>
              <w:ind w:left="825" w:right="514" w:hanging="360"/>
              <w:jc w:val="left"/>
              <w:rPr>
                <w:sz w:val="22"/>
              </w:rPr>
            </w:pPr>
            <w:r>
              <w:rPr/>
              <w:tab/>
            </w:r>
            <w:r>
              <w:rPr>
                <w:sz w:val="22"/>
              </w:rPr>
              <w:t>Publish final revised</w:t>
            </w:r>
            <w:r>
              <w:rPr>
                <w:spacing w:val="-15"/>
                <w:sz w:val="22"/>
              </w:rPr>
              <w:t> </w:t>
            </w:r>
            <w:r>
              <w:rPr>
                <w:sz w:val="22"/>
              </w:rPr>
              <w:t>rule effective April</w:t>
            </w:r>
            <w:r>
              <w:rPr>
                <w:spacing w:val="-3"/>
                <w:sz w:val="22"/>
              </w:rPr>
              <w:t> </w:t>
            </w:r>
            <w:r>
              <w:rPr>
                <w:sz w:val="22"/>
              </w:rPr>
              <w:t>2018</w:t>
            </w:r>
          </w:p>
        </w:tc>
      </w:tr>
      <w:tr>
        <w:trPr>
          <w:trHeight w:val="4029" w:hRule="atLeast"/>
        </w:trPr>
        <w:tc>
          <w:tcPr>
            <w:tcW w:w="3799" w:type="dxa"/>
            <w:shd w:val="clear" w:color="auto" w:fill="D9EAD4"/>
          </w:tcPr>
          <w:p>
            <w:pPr>
              <w:pStyle w:val="TableParagraph"/>
              <w:ind w:left="107" w:right="192"/>
              <w:rPr>
                <w:sz w:val="22"/>
              </w:rPr>
            </w:pPr>
            <w:r>
              <w:rPr>
                <w:sz w:val="22"/>
              </w:rPr>
              <w:t>Revise Adult Family Home (AFH) Chapter 388-76 WAC and Adult Residential Care (ARC) and Enhanced Adult Residential Care (EARC) Chapter 388-110 WAC regarding lockable doors</w:t>
            </w:r>
          </w:p>
        </w:tc>
        <w:tc>
          <w:tcPr>
            <w:tcW w:w="1349" w:type="dxa"/>
            <w:shd w:val="clear" w:color="auto" w:fill="D9EAD4"/>
          </w:tcPr>
          <w:p>
            <w:pPr>
              <w:pStyle w:val="TableParagraph"/>
              <w:spacing w:line="268" w:lineRule="exact"/>
              <w:ind w:left="108"/>
              <w:rPr>
                <w:sz w:val="22"/>
              </w:rPr>
            </w:pPr>
            <w:r>
              <w:rPr>
                <w:sz w:val="22"/>
              </w:rPr>
              <w:t>11/01/2014</w:t>
            </w:r>
          </w:p>
        </w:tc>
        <w:tc>
          <w:tcPr>
            <w:tcW w:w="1351" w:type="dxa"/>
            <w:shd w:val="clear" w:color="auto" w:fill="D9EAD4"/>
          </w:tcPr>
          <w:p>
            <w:pPr>
              <w:pStyle w:val="TableParagraph"/>
              <w:spacing w:line="268" w:lineRule="exact"/>
              <w:ind w:left="107"/>
              <w:rPr>
                <w:sz w:val="22"/>
              </w:rPr>
            </w:pPr>
            <w:r>
              <w:rPr>
                <w:sz w:val="22"/>
              </w:rPr>
              <w:t>7/1/2015</w:t>
            </w:r>
          </w:p>
        </w:tc>
        <w:tc>
          <w:tcPr>
            <w:tcW w:w="2947" w:type="dxa"/>
            <w:shd w:val="clear" w:color="auto" w:fill="D9EAD4"/>
          </w:tcPr>
          <w:p>
            <w:pPr>
              <w:pStyle w:val="TableParagraph"/>
              <w:ind w:left="108" w:right="556"/>
              <w:rPr>
                <w:sz w:val="22"/>
              </w:rPr>
            </w:pPr>
            <w:r>
              <w:rPr>
                <w:sz w:val="22"/>
              </w:rPr>
              <w:t>Completed—WACs were changed effective 7/1/15</w:t>
            </w:r>
          </w:p>
        </w:tc>
        <w:tc>
          <w:tcPr>
            <w:tcW w:w="3593" w:type="dxa"/>
            <w:shd w:val="clear" w:color="auto" w:fill="D9EAD4"/>
          </w:tcPr>
          <w:p>
            <w:pPr>
              <w:pStyle w:val="TableParagraph"/>
              <w:ind w:left="105" w:right="145"/>
              <w:rPr>
                <w:sz w:val="22"/>
              </w:rPr>
            </w:pPr>
            <w:r>
              <w:rPr>
                <w:sz w:val="22"/>
              </w:rPr>
              <w:t>Revised </w:t>
            </w:r>
            <w:hyperlink r:id="rId52">
              <w:r>
                <w:rPr>
                  <w:color w:val="6B9F24"/>
                  <w:sz w:val="22"/>
                  <w:u w:val="single" w:color="6B9F24"/>
                </w:rPr>
                <w:t>WAC 388-76-10685</w:t>
              </w:r>
              <w:r>
                <w:rPr>
                  <w:color w:val="6B9F24"/>
                  <w:sz w:val="22"/>
                </w:rPr>
                <w:t> </w:t>
              </w:r>
            </w:hyperlink>
            <w:r>
              <w:rPr>
                <w:sz w:val="22"/>
              </w:rPr>
              <w:t>for Adult Family Homes requires “The adult family home must give each resident the opportunity to have a lock on their door if they choose to unless having a locked door would be unsafe for the resident and this is documented in the resident’s negotiated care plan.”</w:t>
            </w:r>
          </w:p>
          <w:p>
            <w:pPr>
              <w:pStyle w:val="TableParagraph"/>
              <w:spacing w:before="11"/>
              <w:rPr>
                <w:b/>
                <w:sz w:val="21"/>
              </w:rPr>
            </w:pPr>
          </w:p>
          <w:p>
            <w:pPr>
              <w:pStyle w:val="TableParagraph"/>
              <w:ind w:left="105" w:right="366"/>
              <w:rPr>
                <w:sz w:val="22"/>
              </w:rPr>
            </w:pPr>
            <w:r>
              <w:rPr>
                <w:sz w:val="22"/>
              </w:rPr>
              <w:t>Revised </w:t>
            </w:r>
            <w:hyperlink r:id="rId139">
              <w:r>
                <w:rPr>
                  <w:color w:val="6B9F24"/>
                  <w:sz w:val="22"/>
                  <w:u w:val="single" w:color="6B9F24"/>
                </w:rPr>
                <w:t>WAC 388-110-242</w:t>
              </w:r>
              <w:r>
                <w:rPr>
                  <w:color w:val="6B9F24"/>
                  <w:sz w:val="22"/>
                </w:rPr>
                <w:t> </w:t>
              </w:r>
            </w:hyperlink>
            <w:r>
              <w:rPr>
                <w:sz w:val="22"/>
              </w:rPr>
              <w:t>for ARC and </w:t>
            </w:r>
            <w:hyperlink r:id="rId140">
              <w:r>
                <w:rPr>
                  <w:color w:val="6B9F24"/>
                  <w:sz w:val="22"/>
                  <w:u w:val="single" w:color="6B9F24"/>
                </w:rPr>
                <w:t>WAC 388-110-222</w:t>
              </w:r>
              <w:r>
                <w:rPr>
                  <w:color w:val="6B9F24"/>
                  <w:sz w:val="22"/>
                </w:rPr>
                <w:t> </w:t>
              </w:r>
            </w:hyperlink>
            <w:r>
              <w:rPr>
                <w:sz w:val="22"/>
              </w:rPr>
              <w:t>for EARC</w:t>
            </w:r>
          </w:p>
          <w:p>
            <w:pPr>
              <w:pStyle w:val="TableParagraph"/>
              <w:spacing w:before="1"/>
              <w:ind w:left="105" w:right="359"/>
              <w:rPr>
                <w:sz w:val="22"/>
              </w:rPr>
            </w:pPr>
            <w:r>
              <w:rPr>
                <w:sz w:val="22"/>
              </w:rPr>
              <w:t>require “Effective July 1, 2015, the contractor must ensure that at the</w:t>
            </w:r>
          </w:p>
          <w:p>
            <w:pPr>
              <w:pStyle w:val="TableParagraph"/>
              <w:spacing w:line="250" w:lineRule="exact"/>
              <w:ind w:left="105"/>
              <w:rPr>
                <w:sz w:val="22"/>
              </w:rPr>
            </w:pPr>
            <w:r>
              <w:rPr>
                <w:sz w:val="22"/>
              </w:rPr>
              <w:t>resident’s choice, each resident has</w:t>
            </w:r>
          </w:p>
        </w:tc>
      </w:tr>
    </w:tbl>
    <w:p>
      <w:pPr>
        <w:pStyle w:val="BodyText"/>
        <w:spacing w:before="5"/>
        <w:rPr>
          <w:b/>
          <w:sz w:val="17"/>
        </w:rPr>
      </w:pPr>
      <w:r>
        <w:rPr/>
        <w:pict>
          <v:shape style="position:absolute;margin-left:70.559998pt;margin-top:12.83950pt;width:650.9pt;height:.1pt;mso-position-horizontal-relative:page;mso-position-vertical-relative:paragraph;z-index:-251463680;mso-wrap-distance-left:0;mso-wrap-distance-right:0" coordorigin="1411,257" coordsize="13018,0" path="m1411,257l14429,257e" filled="false" stroked="true" strokeweight=".481pt" strokecolor="#d9d9d9">
            <v:path arrowok="t"/>
            <v:stroke dashstyle="solid"/>
            <w10:wrap type="topAndBottom"/>
          </v:shape>
        </w:pict>
      </w:r>
    </w:p>
    <w:p>
      <w:pPr>
        <w:spacing w:after="0"/>
        <w:rPr>
          <w:sz w:val="17"/>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9"/>
        <w:gridCol w:w="1349"/>
        <w:gridCol w:w="1351"/>
        <w:gridCol w:w="2947"/>
        <w:gridCol w:w="3617"/>
      </w:tblGrid>
      <w:tr>
        <w:trPr>
          <w:trHeight w:val="1074" w:hRule="atLeast"/>
        </w:trPr>
        <w:tc>
          <w:tcPr>
            <w:tcW w:w="3799" w:type="dxa"/>
            <w:shd w:val="clear" w:color="auto" w:fill="D9EAD4"/>
          </w:tcPr>
          <w:p>
            <w:pPr>
              <w:pStyle w:val="TableParagraph"/>
              <w:rPr>
                <w:rFonts w:ascii="Times New Roman"/>
                <w:sz w:val="22"/>
              </w:rPr>
            </w:pPr>
          </w:p>
        </w:tc>
        <w:tc>
          <w:tcPr>
            <w:tcW w:w="1349" w:type="dxa"/>
            <w:shd w:val="clear" w:color="auto" w:fill="D9EAD4"/>
          </w:tcPr>
          <w:p>
            <w:pPr>
              <w:pStyle w:val="TableParagraph"/>
              <w:rPr>
                <w:rFonts w:ascii="Times New Roman"/>
                <w:sz w:val="22"/>
              </w:rPr>
            </w:pPr>
          </w:p>
        </w:tc>
        <w:tc>
          <w:tcPr>
            <w:tcW w:w="1351" w:type="dxa"/>
            <w:shd w:val="clear" w:color="auto" w:fill="D9EAD4"/>
          </w:tcPr>
          <w:p>
            <w:pPr>
              <w:pStyle w:val="TableParagraph"/>
              <w:rPr>
                <w:rFonts w:ascii="Times New Roman"/>
                <w:sz w:val="22"/>
              </w:rPr>
            </w:pPr>
          </w:p>
        </w:tc>
        <w:tc>
          <w:tcPr>
            <w:tcW w:w="2947" w:type="dxa"/>
            <w:shd w:val="clear" w:color="auto" w:fill="D9EAD4"/>
          </w:tcPr>
          <w:p>
            <w:pPr>
              <w:pStyle w:val="TableParagraph"/>
              <w:rPr>
                <w:rFonts w:ascii="Times New Roman"/>
                <w:sz w:val="22"/>
              </w:rPr>
            </w:pPr>
          </w:p>
        </w:tc>
        <w:tc>
          <w:tcPr>
            <w:tcW w:w="3617" w:type="dxa"/>
            <w:shd w:val="clear" w:color="auto" w:fill="D9EAD4"/>
          </w:tcPr>
          <w:p>
            <w:pPr>
              <w:pStyle w:val="TableParagraph"/>
              <w:ind w:left="105" w:right="364"/>
              <w:jc w:val="both"/>
              <w:rPr>
                <w:sz w:val="22"/>
              </w:rPr>
            </w:pPr>
            <w:r>
              <w:rPr>
                <w:sz w:val="22"/>
              </w:rPr>
              <w:t>the ability to lock his/her bedroom door, unless otherwise indicated in the resident’s negotiated service</w:t>
            </w:r>
          </w:p>
          <w:p>
            <w:pPr>
              <w:pStyle w:val="TableParagraph"/>
              <w:spacing w:line="249" w:lineRule="exact"/>
              <w:ind w:left="105"/>
              <w:rPr>
                <w:sz w:val="22"/>
              </w:rPr>
            </w:pPr>
            <w:r>
              <w:rPr>
                <w:sz w:val="22"/>
              </w:rPr>
              <w:t>agreement.”</w:t>
            </w:r>
          </w:p>
        </w:tc>
      </w:tr>
      <w:tr>
        <w:trPr>
          <w:trHeight w:val="1074" w:hRule="atLeast"/>
        </w:trPr>
        <w:tc>
          <w:tcPr>
            <w:tcW w:w="3799" w:type="dxa"/>
            <w:shd w:val="clear" w:color="auto" w:fill="D9EAD4"/>
          </w:tcPr>
          <w:p>
            <w:pPr>
              <w:pStyle w:val="TableParagraph"/>
              <w:ind w:left="107" w:right="118"/>
              <w:rPr>
                <w:sz w:val="22"/>
              </w:rPr>
            </w:pPr>
            <w:r>
              <w:rPr>
                <w:sz w:val="22"/>
              </w:rPr>
              <w:t>Revise rules related to group supported employment </w:t>
            </w:r>
            <w:hyperlink r:id="rId141">
              <w:r>
                <w:rPr>
                  <w:color w:val="6B9F24"/>
                  <w:sz w:val="22"/>
                  <w:u w:val="single" w:color="6B9F24"/>
                </w:rPr>
                <w:t>Chapter 388-845 WAC</w:t>
              </w:r>
            </w:hyperlink>
            <w:r>
              <w:rPr>
                <w:color w:val="6B9F24"/>
                <w:sz w:val="22"/>
              </w:rPr>
              <w:t> </w:t>
            </w:r>
            <w:r>
              <w:rPr>
                <w:sz w:val="22"/>
              </w:rPr>
              <w:t>(Section 845 starts on page 15 of the</w:t>
            </w:r>
          </w:p>
          <w:p>
            <w:pPr>
              <w:pStyle w:val="TableParagraph"/>
              <w:spacing w:line="249" w:lineRule="exact"/>
              <w:ind w:left="107"/>
              <w:rPr>
                <w:sz w:val="22"/>
              </w:rPr>
            </w:pPr>
            <w:r>
              <w:rPr>
                <w:sz w:val="22"/>
              </w:rPr>
              <w:t>linked document)</w:t>
            </w:r>
          </w:p>
        </w:tc>
        <w:tc>
          <w:tcPr>
            <w:tcW w:w="1349" w:type="dxa"/>
            <w:shd w:val="clear" w:color="auto" w:fill="D9EAD4"/>
          </w:tcPr>
          <w:p>
            <w:pPr>
              <w:pStyle w:val="TableParagraph"/>
              <w:spacing w:line="268" w:lineRule="exact"/>
              <w:ind w:left="108"/>
              <w:rPr>
                <w:sz w:val="22"/>
              </w:rPr>
            </w:pPr>
            <w:r>
              <w:rPr>
                <w:sz w:val="22"/>
              </w:rPr>
              <w:t>07/01/2015</w:t>
            </w:r>
          </w:p>
        </w:tc>
        <w:tc>
          <w:tcPr>
            <w:tcW w:w="1351" w:type="dxa"/>
            <w:shd w:val="clear" w:color="auto" w:fill="D9EAD4"/>
          </w:tcPr>
          <w:p>
            <w:pPr>
              <w:pStyle w:val="TableParagraph"/>
              <w:spacing w:line="268" w:lineRule="exact"/>
              <w:ind w:left="107"/>
              <w:rPr>
                <w:sz w:val="22"/>
              </w:rPr>
            </w:pPr>
            <w:r>
              <w:rPr>
                <w:sz w:val="22"/>
              </w:rPr>
              <w:t>9/4/2016</w:t>
            </w:r>
          </w:p>
        </w:tc>
        <w:tc>
          <w:tcPr>
            <w:tcW w:w="2947" w:type="dxa"/>
            <w:shd w:val="clear" w:color="auto" w:fill="D9EAD4"/>
          </w:tcPr>
          <w:p>
            <w:pPr>
              <w:pStyle w:val="TableParagraph"/>
              <w:spacing w:line="268" w:lineRule="exact"/>
              <w:ind w:left="108"/>
              <w:rPr>
                <w:sz w:val="22"/>
              </w:rPr>
            </w:pPr>
            <w:r>
              <w:rPr>
                <w:sz w:val="22"/>
              </w:rPr>
              <w:t>Completed.</w:t>
            </w:r>
          </w:p>
          <w:p>
            <w:pPr>
              <w:pStyle w:val="TableParagraph"/>
              <w:ind w:left="108" w:right="327"/>
              <w:rPr>
                <w:sz w:val="22"/>
              </w:rPr>
            </w:pPr>
            <w:r>
              <w:rPr>
                <w:sz w:val="22"/>
              </w:rPr>
              <w:t>Rule became permanent on 9/4/2016.</w:t>
            </w:r>
          </w:p>
        </w:tc>
        <w:tc>
          <w:tcPr>
            <w:tcW w:w="3617" w:type="dxa"/>
            <w:shd w:val="clear" w:color="auto" w:fill="D9EAD4"/>
          </w:tcPr>
          <w:p>
            <w:pPr>
              <w:pStyle w:val="TableParagraph"/>
              <w:rPr>
                <w:rFonts w:ascii="Times New Roman"/>
                <w:sz w:val="22"/>
              </w:rPr>
            </w:pPr>
          </w:p>
        </w:tc>
      </w:tr>
      <w:tr>
        <w:trPr>
          <w:trHeight w:val="268" w:hRule="atLeast"/>
        </w:trPr>
        <w:tc>
          <w:tcPr>
            <w:tcW w:w="3799" w:type="dxa"/>
            <w:shd w:val="clear" w:color="auto" w:fill="4DA3D7"/>
          </w:tcPr>
          <w:p>
            <w:pPr>
              <w:pStyle w:val="TableParagraph"/>
              <w:spacing w:line="248" w:lineRule="exact"/>
              <w:ind w:left="107"/>
              <w:rPr>
                <w:b/>
                <w:sz w:val="22"/>
              </w:rPr>
            </w:pPr>
            <w:r>
              <w:rPr>
                <w:b/>
                <w:sz w:val="22"/>
              </w:rPr>
              <w:t>Licensing/Survey/QA</w:t>
            </w:r>
          </w:p>
        </w:tc>
        <w:tc>
          <w:tcPr>
            <w:tcW w:w="9264" w:type="dxa"/>
            <w:gridSpan w:val="4"/>
            <w:shd w:val="clear" w:color="auto" w:fill="4DA3D7"/>
          </w:tcPr>
          <w:p>
            <w:pPr>
              <w:pStyle w:val="TableParagraph"/>
              <w:rPr>
                <w:rFonts w:ascii="Times New Roman"/>
                <w:sz w:val="18"/>
              </w:rPr>
            </w:pPr>
          </w:p>
        </w:tc>
      </w:tr>
      <w:tr>
        <w:trPr>
          <w:trHeight w:val="2416" w:hRule="atLeast"/>
        </w:trPr>
        <w:tc>
          <w:tcPr>
            <w:tcW w:w="3799" w:type="dxa"/>
            <w:shd w:val="clear" w:color="auto" w:fill="F1CDD1"/>
          </w:tcPr>
          <w:p>
            <w:pPr>
              <w:pStyle w:val="TableParagraph"/>
              <w:ind w:left="107" w:right="139"/>
              <w:rPr>
                <w:b/>
                <w:i/>
                <w:sz w:val="22"/>
              </w:rPr>
            </w:pPr>
            <w:r>
              <w:rPr>
                <w:sz w:val="22"/>
              </w:rPr>
              <w:t>DDA will develop a database to track all reported instances of sites that are not in full compliance with HCBS settings requirements, inspections completed, remediation measures taken and follow-up inspections to verify compliance. – </w:t>
            </w:r>
            <w:r>
              <w:rPr>
                <w:b/>
                <w:i/>
                <w:sz w:val="22"/>
              </w:rPr>
              <w:t>Note that this is a new </w:t>
            </w:r>
            <w:r>
              <w:rPr>
                <w:b/>
                <w:i/>
                <w:sz w:val="22"/>
              </w:rPr>
              <w:t>milestone for the 3/15/2017 revised</w:t>
            </w:r>
          </w:p>
          <w:p>
            <w:pPr>
              <w:pStyle w:val="TableParagraph"/>
              <w:spacing w:line="249" w:lineRule="exact"/>
              <w:ind w:left="107"/>
              <w:rPr>
                <w:b/>
                <w:i/>
                <w:sz w:val="22"/>
              </w:rPr>
            </w:pPr>
            <w:r>
              <w:rPr>
                <w:b/>
                <w:i/>
                <w:sz w:val="22"/>
              </w:rPr>
              <w:t>transition plan.</w:t>
            </w:r>
          </w:p>
        </w:tc>
        <w:tc>
          <w:tcPr>
            <w:tcW w:w="1349" w:type="dxa"/>
            <w:shd w:val="clear" w:color="auto" w:fill="F1CDD1"/>
          </w:tcPr>
          <w:p>
            <w:pPr>
              <w:pStyle w:val="TableParagraph"/>
              <w:spacing w:line="268" w:lineRule="exact"/>
              <w:ind w:left="108"/>
              <w:rPr>
                <w:sz w:val="22"/>
              </w:rPr>
            </w:pPr>
            <w:r>
              <w:rPr>
                <w:sz w:val="22"/>
              </w:rPr>
              <w:t>4/1/2017</w:t>
            </w:r>
          </w:p>
        </w:tc>
        <w:tc>
          <w:tcPr>
            <w:tcW w:w="1351" w:type="dxa"/>
            <w:shd w:val="clear" w:color="auto" w:fill="F1CDD1"/>
          </w:tcPr>
          <w:p>
            <w:pPr>
              <w:pStyle w:val="TableParagraph"/>
              <w:spacing w:line="268" w:lineRule="exact"/>
              <w:ind w:left="107"/>
              <w:rPr>
                <w:sz w:val="22"/>
              </w:rPr>
            </w:pPr>
            <w:r>
              <w:rPr>
                <w:sz w:val="22"/>
              </w:rPr>
              <w:t>10/1/2017</w:t>
            </w:r>
          </w:p>
        </w:tc>
        <w:tc>
          <w:tcPr>
            <w:tcW w:w="2947" w:type="dxa"/>
            <w:shd w:val="clear" w:color="auto" w:fill="F1CDD1"/>
          </w:tcPr>
          <w:p>
            <w:pPr>
              <w:pStyle w:val="TableParagraph"/>
              <w:spacing w:line="268" w:lineRule="exact"/>
              <w:ind w:left="108"/>
              <w:rPr>
                <w:sz w:val="22"/>
              </w:rPr>
            </w:pPr>
            <w:r>
              <w:rPr>
                <w:sz w:val="22"/>
              </w:rPr>
              <w:t>In process</w:t>
            </w:r>
          </w:p>
        </w:tc>
        <w:tc>
          <w:tcPr>
            <w:tcW w:w="3617" w:type="dxa"/>
            <w:shd w:val="clear" w:color="auto" w:fill="F1CDD1"/>
          </w:tcPr>
          <w:p>
            <w:pPr>
              <w:pStyle w:val="TableParagraph"/>
              <w:rPr>
                <w:rFonts w:ascii="Times New Roman"/>
                <w:sz w:val="22"/>
              </w:rPr>
            </w:pPr>
          </w:p>
        </w:tc>
      </w:tr>
      <w:tr>
        <w:trPr>
          <w:trHeight w:val="4309" w:hRule="atLeast"/>
        </w:trPr>
        <w:tc>
          <w:tcPr>
            <w:tcW w:w="3799" w:type="dxa"/>
            <w:tcBorders>
              <w:bottom w:val="double" w:sz="1" w:space="0" w:color="000000"/>
            </w:tcBorders>
            <w:shd w:val="clear" w:color="auto" w:fill="F1CDD1"/>
          </w:tcPr>
          <w:p>
            <w:pPr>
              <w:pStyle w:val="TableParagraph"/>
              <w:ind w:left="107" w:right="92"/>
              <w:rPr>
                <w:b/>
                <w:i/>
                <w:sz w:val="22"/>
              </w:rPr>
            </w:pPr>
            <w:r>
              <w:rPr>
                <w:sz w:val="22"/>
              </w:rPr>
              <w:t>DDA has identified several sites with clusters of residences which will require further review. DDA Residential Quality Assurance staff will inspect identified clusters of residences and determine their compliance with HCBS settings requirements. – </w:t>
            </w:r>
            <w:r>
              <w:rPr>
                <w:b/>
                <w:i/>
                <w:sz w:val="22"/>
              </w:rPr>
              <w:t>Note that this is a new </w:t>
            </w:r>
            <w:r>
              <w:rPr>
                <w:b/>
                <w:i/>
                <w:sz w:val="22"/>
              </w:rPr>
              <w:t>milestone for the 3/15/2017 revised transition plan.</w:t>
            </w:r>
          </w:p>
        </w:tc>
        <w:tc>
          <w:tcPr>
            <w:tcW w:w="1349" w:type="dxa"/>
            <w:tcBorders>
              <w:bottom w:val="double" w:sz="1" w:space="0" w:color="000000"/>
            </w:tcBorders>
            <w:shd w:val="clear" w:color="auto" w:fill="F1CDD1"/>
          </w:tcPr>
          <w:p>
            <w:pPr>
              <w:pStyle w:val="TableParagraph"/>
              <w:spacing w:line="268" w:lineRule="exact"/>
              <w:ind w:left="108"/>
              <w:rPr>
                <w:sz w:val="22"/>
              </w:rPr>
            </w:pPr>
            <w:r>
              <w:rPr>
                <w:sz w:val="22"/>
              </w:rPr>
              <w:t>4/1/2017</w:t>
            </w:r>
          </w:p>
        </w:tc>
        <w:tc>
          <w:tcPr>
            <w:tcW w:w="1351" w:type="dxa"/>
            <w:tcBorders>
              <w:bottom w:val="double" w:sz="1" w:space="0" w:color="000000"/>
            </w:tcBorders>
            <w:shd w:val="clear" w:color="auto" w:fill="F1CDD1"/>
          </w:tcPr>
          <w:p>
            <w:pPr>
              <w:pStyle w:val="TableParagraph"/>
              <w:spacing w:line="268" w:lineRule="exact"/>
              <w:ind w:left="107"/>
              <w:rPr>
                <w:sz w:val="22"/>
              </w:rPr>
            </w:pPr>
            <w:r>
              <w:rPr>
                <w:sz w:val="22"/>
              </w:rPr>
              <w:t>4/1/2018</w:t>
            </w:r>
          </w:p>
        </w:tc>
        <w:tc>
          <w:tcPr>
            <w:tcW w:w="2947" w:type="dxa"/>
            <w:tcBorders>
              <w:bottom w:val="double" w:sz="1" w:space="0" w:color="000000"/>
            </w:tcBorders>
            <w:shd w:val="clear" w:color="auto" w:fill="F1CDD1"/>
          </w:tcPr>
          <w:p>
            <w:pPr>
              <w:pStyle w:val="TableParagraph"/>
              <w:rPr>
                <w:rFonts w:ascii="Times New Roman"/>
                <w:sz w:val="22"/>
              </w:rPr>
            </w:pPr>
          </w:p>
        </w:tc>
        <w:tc>
          <w:tcPr>
            <w:tcW w:w="3617" w:type="dxa"/>
            <w:tcBorders>
              <w:bottom w:val="double" w:sz="1" w:space="0" w:color="000000"/>
            </w:tcBorders>
            <w:shd w:val="clear" w:color="auto" w:fill="F1CDD1"/>
          </w:tcPr>
          <w:p>
            <w:pPr>
              <w:pStyle w:val="TableParagraph"/>
              <w:ind w:left="105" w:right="547"/>
              <w:rPr>
                <w:sz w:val="22"/>
              </w:rPr>
            </w:pPr>
            <w:r>
              <w:rPr>
                <w:sz w:val="22"/>
              </w:rPr>
              <w:t>DDA Residential Quality Assurance staff are using a standardized HCBS settings questionnaire to perform on-site inspections of residences to validate compliance.</w:t>
            </w:r>
          </w:p>
          <w:p>
            <w:pPr>
              <w:pStyle w:val="TableParagraph"/>
              <w:spacing w:before="10"/>
              <w:rPr>
                <w:b/>
                <w:sz w:val="21"/>
              </w:rPr>
            </w:pPr>
          </w:p>
          <w:p>
            <w:pPr>
              <w:pStyle w:val="TableParagraph"/>
              <w:ind w:left="105" w:right="484"/>
              <w:rPr>
                <w:sz w:val="22"/>
              </w:rPr>
            </w:pPr>
            <w:r>
              <w:rPr>
                <w:sz w:val="22"/>
              </w:rPr>
              <w:t>DDA estimates that 20 Supported Living residences, or 1.25% of all Supported Living residences, are clustered settings.</w:t>
            </w:r>
          </w:p>
          <w:p>
            <w:pPr>
              <w:pStyle w:val="TableParagraph"/>
              <w:spacing w:before="1"/>
              <w:rPr>
                <w:b/>
                <w:sz w:val="22"/>
              </w:rPr>
            </w:pPr>
          </w:p>
          <w:p>
            <w:pPr>
              <w:pStyle w:val="TableParagraph"/>
              <w:spacing w:before="1"/>
              <w:ind w:left="105" w:right="543"/>
              <w:rPr>
                <w:sz w:val="22"/>
              </w:rPr>
            </w:pPr>
            <w:r>
              <w:rPr>
                <w:sz w:val="22"/>
              </w:rPr>
              <w:t>Initial reviews of these settings occurred during the participant’s annual assessment and a second</w:t>
            </w:r>
          </w:p>
          <w:p>
            <w:pPr>
              <w:pStyle w:val="TableParagraph"/>
              <w:spacing w:line="262" w:lineRule="exact"/>
              <w:ind w:left="105"/>
              <w:rPr>
                <w:sz w:val="22"/>
              </w:rPr>
            </w:pPr>
            <w:r>
              <w:rPr>
                <w:sz w:val="22"/>
              </w:rPr>
              <w:t>review by residential Quality</w:t>
            </w:r>
          </w:p>
        </w:tc>
      </w:tr>
    </w:tbl>
    <w:p>
      <w:pPr>
        <w:spacing w:after="0" w:line="262" w:lineRule="exact"/>
        <w:rPr>
          <w:sz w:val="2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9"/>
        <w:gridCol w:w="1349"/>
        <w:gridCol w:w="1351"/>
        <w:gridCol w:w="2947"/>
        <w:gridCol w:w="3617"/>
      </w:tblGrid>
      <w:tr>
        <w:trPr>
          <w:trHeight w:val="805" w:hRule="atLeast"/>
        </w:trPr>
        <w:tc>
          <w:tcPr>
            <w:tcW w:w="3799" w:type="dxa"/>
            <w:shd w:val="clear" w:color="auto" w:fill="F1CDD1"/>
          </w:tcPr>
          <w:p>
            <w:pPr>
              <w:pStyle w:val="TableParagraph"/>
              <w:rPr>
                <w:rFonts w:ascii="Times New Roman"/>
                <w:sz w:val="22"/>
              </w:rPr>
            </w:pPr>
          </w:p>
        </w:tc>
        <w:tc>
          <w:tcPr>
            <w:tcW w:w="1349" w:type="dxa"/>
            <w:shd w:val="clear" w:color="auto" w:fill="F1CDD1"/>
          </w:tcPr>
          <w:p>
            <w:pPr>
              <w:pStyle w:val="TableParagraph"/>
              <w:rPr>
                <w:rFonts w:ascii="Times New Roman"/>
                <w:sz w:val="22"/>
              </w:rPr>
            </w:pPr>
          </w:p>
        </w:tc>
        <w:tc>
          <w:tcPr>
            <w:tcW w:w="1351" w:type="dxa"/>
            <w:shd w:val="clear" w:color="auto" w:fill="F1CDD1"/>
          </w:tcPr>
          <w:p>
            <w:pPr>
              <w:pStyle w:val="TableParagraph"/>
              <w:rPr>
                <w:rFonts w:ascii="Times New Roman"/>
                <w:sz w:val="22"/>
              </w:rPr>
            </w:pPr>
          </w:p>
        </w:tc>
        <w:tc>
          <w:tcPr>
            <w:tcW w:w="2947" w:type="dxa"/>
            <w:shd w:val="clear" w:color="auto" w:fill="F1CDD1"/>
          </w:tcPr>
          <w:p>
            <w:pPr>
              <w:pStyle w:val="TableParagraph"/>
              <w:rPr>
                <w:rFonts w:ascii="Times New Roman"/>
                <w:sz w:val="22"/>
              </w:rPr>
            </w:pPr>
          </w:p>
        </w:tc>
        <w:tc>
          <w:tcPr>
            <w:tcW w:w="3617" w:type="dxa"/>
            <w:shd w:val="clear" w:color="auto" w:fill="F1CDD1"/>
          </w:tcPr>
          <w:p>
            <w:pPr>
              <w:pStyle w:val="TableParagraph"/>
              <w:ind w:left="105" w:right="712"/>
              <w:rPr>
                <w:sz w:val="22"/>
              </w:rPr>
            </w:pPr>
            <w:r>
              <w:rPr>
                <w:sz w:val="22"/>
              </w:rPr>
              <w:t>Assurance will occur by April 1, 2018.</w:t>
            </w:r>
          </w:p>
        </w:tc>
      </w:tr>
      <w:tr>
        <w:trPr>
          <w:trHeight w:val="1074" w:hRule="atLeast"/>
        </w:trPr>
        <w:tc>
          <w:tcPr>
            <w:tcW w:w="3799" w:type="dxa"/>
            <w:shd w:val="clear" w:color="auto" w:fill="D9EAD4"/>
          </w:tcPr>
          <w:p>
            <w:pPr>
              <w:pStyle w:val="TableParagraph"/>
              <w:ind w:left="107" w:right="461"/>
              <w:rPr>
                <w:sz w:val="22"/>
              </w:rPr>
            </w:pPr>
            <w:r>
              <w:rPr>
                <w:sz w:val="22"/>
              </w:rPr>
              <w:t>Revise Facility Inspection Working Papers (i.e., resident interview tool)</w:t>
            </w:r>
          </w:p>
        </w:tc>
        <w:tc>
          <w:tcPr>
            <w:tcW w:w="1349" w:type="dxa"/>
            <w:shd w:val="clear" w:color="auto" w:fill="D9EAD4"/>
          </w:tcPr>
          <w:p>
            <w:pPr>
              <w:pStyle w:val="TableParagraph"/>
              <w:spacing w:line="268" w:lineRule="exact"/>
              <w:ind w:left="108"/>
              <w:rPr>
                <w:sz w:val="22"/>
              </w:rPr>
            </w:pPr>
            <w:r>
              <w:rPr>
                <w:sz w:val="22"/>
              </w:rPr>
              <w:t>11/01/2014</w:t>
            </w:r>
          </w:p>
        </w:tc>
        <w:tc>
          <w:tcPr>
            <w:tcW w:w="1351" w:type="dxa"/>
            <w:shd w:val="clear" w:color="auto" w:fill="D9EAD4"/>
          </w:tcPr>
          <w:p>
            <w:pPr>
              <w:pStyle w:val="TableParagraph"/>
              <w:spacing w:line="268" w:lineRule="exact"/>
              <w:ind w:left="107"/>
              <w:rPr>
                <w:sz w:val="22"/>
              </w:rPr>
            </w:pPr>
            <w:r>
              <w:rPr>
                <w:sz w:val="22"/>
              </w:rPr>
              <w:t>7/1/2017</w:t>
            </w:r>
          </w:p>
        </w:tc>
        <w:tc>
          <w:tcPr>
            <w:tcW w:w="2947" w:type="dxa"/>
            <w:shd w:val="clear" w:color="auto" w:fill="D9EAD4"/>
          </w:tcPr>
          <w:p>
            <w:pPr>
              <w:pStyle w:val="TableParagraph"/>
              <w:ind w:left="108" w:right="273"/>
              <w:rPr>
                <w:sz w:val="22"/>
              </w:rPr>
            </w:pPr>
            <w:r>
              <w:rPr>
                <w:sz w:val="22"/>
              </w:rPr>
              <w:t>Completed for Supported Living providers and training began in January of 2017.</w:t>
            </w:r>
          </w:p>
        </w:tc>
        <w:tc>
          <w:tcPr>
            <w:tcW w:w="3617" w:type="dxa"/>
            <w:shd w:val="clear" w:color="auto" w:fill="D9EAD4"/>
          </w:tcPr>
          <w:p>
            <w:pPr>
              <w:pStyle w:val="TableParagraph"/>
              <w:rPr>
                <w:rFonts w:ascii="Times New Roman"/>
                <w:sz w:val="22"/>
              </w:rPr>
            </w:pPr>
          </w:p>
        </w:tc>
      </w:tr>
      <w:tr>
        <w:trPr>
          <w:trHeight w:val="282" w:hRule="atLeast"/>
        </w:trPr>
        <w:tc>
          <w:tcPr>
            <w:tcW w:w="3799" w:type="dxa"/>
            <w:tcBorders>
              <w:bottom w:val="nil"/>
            </w:tcBorders>
            <w:shd w:val="clear" w:color="auto" w:fill="D9EAD4"/>
          </w:tcPr>
          <w:p>
            <w:pPr>
              <w:pStyle w:val="TableParagraph"/>
              <w:spacing w:line="263" w:lineRule="exact"/>
              <w:ind w:left="107"/>
              <w:rPr>
                <w:sz w:val="22"/>
              </w:rPr>
            </w:pPr>
            <w:r>
              <w:rPr>
                <w:sz w:val="22"/>
              </w:rPr>
              <w:t>Revise Facility Inspection Working</w:t>
            </w:r>
          </w:p>
        </w:tc>
        <w:tc>
          <w:tcPr>
            <w:tcW w:w="1349" w:type="dxa"/>
            <w:tcBorders>
              <w:bottom w:val="nil"/>
            </w:tcBorders>
            <w:shd w:val="clear" w:color="auto" w:fill="D9EAD4"/>
          </w:tcPr>
          <w:p>
            <w:pPr>
              <w:pStyle w:val="TableParagraph"/>
              <w:spacing w:line="263" w:lineRule="exact"/>
              <w:ind w:left="108"/>
              <w:rPr>
                <w:sz w:val="22"/>
              </w:rPr>
            </w:pPr>
            <w:r>
              <w:rPr>
                <w:sz w:val="22"/>
              </w:rPr>
              <w:t>11/01/2014</w:t>
            </w:r>
          </w:p>
        </w:tc>
        <w:tc>
          <w:tcPr>
            <w:tcW w:w="1351" w:type="dxa"/>
            <w:tcBorders>
              <w:bottom w:val="nil"/>
            </w:tcBorders>
            <w:shd w:val="clear" w:color="auto" w:fill="D9EAD4"/>
          </w:tcPr>
          <w:p>
            <w:pPr>
              <w:pStyle w:val="TableParagraph"/>
              <w:spacing w:line="263" w:lineRule="exact"/>
              <w:ind w:left="107"/>
              <w:rPr>
                <w:sz w:val="22"/>
              </w:rPr>
            </w:pPr>
            <w:r>
              <w:rPr>
                <w:sz w:val="22"/>
              </w:rPr>
              <w:t>Completed</w:t>
            </w:r>
          </w:p>
        </w:tc>
        <w:tc>
          <w:tcPr>
            <w:tcW w:w="2947" w:type="dxa"/>
            <w:tcBorders>
              <w:bottom w:val="nil"/>
            </w:tcBorders>
            <w:shd w:val="clear" w:color="auto" w:fill="D9EAD4"/>
          </w:tcPr>
          <w:p>
            <w:pPr>
              <w:pStyle w:val="TableParagraph"/>
              <w:spacing w:line="263" w:lineRule="exact"/>
              <w:ind w:left="108"/>
              <w:rPr>
                <w:sz w:val="22"/>
              </w:rPr>
            </w:pPr>
            <w:r>
              <w:rPr>
                <w:sz w:val="22"/>
              </w:rPr>
              <w:t>Completed for Adult Family</w:t>
            </w:r>
          </w:p>
        </w:tc>
        <w:tc>
          <w:tcPr>
            <w:tcW w:w="3617" w:type="dxa"/>
            <w:vMerge w:val="restart"/>
            <w:shd w:val="clear" w:color="auto" w:fill="D9EAD4"/>
          </w:tcPr>
          <w:p>
            <w:pPr>
              <w:pStyle w:val="TableParagraph"/>
              <w:ind w:left="105" w:right="522"/>
              <w:rPr>
                <w:sz w:val="22"/>
              </w:rPr>
            </w:pPr>
            <w:r>
              <w:rPr>
                <w:sz w:val="22"/>
              </w:rPr>
              <w:t>Revised working papers for Adult Family Homes—See Appendix E attachments titled:</w:t>
            </w:r>
          </w:p>
          <w:p>
            <w:pPr>
              <w:pStyle w:val="TableParagraph"/>
              <w:numPr>
                <w:ilvl w:val="0"/>
                <w:numId w:val="38"/>
              </w:numPr>
              <w:tabs>
                <w:tab w:pos="450" w:val="left" w:leader="none"/>
              </w:tabs>
              <w:spacing w:line="279" w:lineRule="exact" w:before="0" w:after="0"/>
              <w:ind w:left="449" w:right="0" w:hanging="273"/>
              <w:jc w:val="left"/>
              <w:rPr>
                <w:sz w:val="22"/>
              </w:rPr>
            </w:pPr>
            <w:hyperlink w:history="true" w:anchor="_bookmark60">
              <w:r>
                <w:rPr>
                  <w:color w:val="6B9F24"/>
                  <w:sz w:val="22"/>
                  <w:u w:val="single" w:color="6B9F24"/>
                </w:rPr>
                <w:t>Resident Interview</w:t>
              </w:r>
              <w:r>
                <w:rPr>
                  <w:color w:val="6B9F24"/>
                  <w:spacing w:val="-3"/>
                  <w:sz w:val="22"/>
                  <w:u w:val="single" w:color="6B9F24"/>
                </w:rPr>
                <w:t> </w:t>
              </w:r>
              <w:r>
                <w:rPr>
                  <w:color w:val="6B9F24"/>
                  <w:sz w:val="22"/>
                  <w:u w:val="single" w:color="6B9F24"/>
                </w:rPr>
                <w:t>Questions</w:t>
              </w:r>
            </w:hyperlink>
          </w:p>
        </w:tc>
      </w:tr>
      <w:tr>
        <w:trPr>
          <w:trHeight w:val="257" w:hRule="atLeast"/>
        </w:trPr>
        <w:tc>
          <w:tcPr>
            <w:tcW w:w="3799" w:type="dxa"/>
            <w:tcBorders>
              <w:top w:val="nil"/>
              <w:bottom w:val="nil"/>
            </w:tcBorders>
            <w:shd w:val="clear" w:color="auto" w:fill="D9EAD4"/>
          </w:tcPr>
          <w:p>
            <w:pPr>
              <w:pStyle w:val="TableParagraph"/>
              <w:spacing w:line="238" w:lineRule="exact"/>
              <w:ind w:left="107"/>
              <w:rPr>
                <w:sz w:val="22"/>
              </w:rPr>
            </w:pPr>
            <w:r>
              <w:rPr>
                <w:sz w:val="22"/>
              </w:rPr>
              <w:t>Papers (i.e., resident interview tool) for</w:t>
            </w:r>
          </w:p>
        </w:tc>
        <w:tc>
          <w:tcPr>
            <w:tcW w:w="1349" w:type="dxa"/>
            <w:tcBorders>
              <w:top w:val="nil"/>
              <w:bottom w:val="nil"/>
            </w:tcBorders>
            <w:shd w:val="clear" w:color="auto" w:fill="D9EAD4"/>
          </w:tcPr>
          <w:p>
            <w:pPr>
              <w:pStyle w:val="TableParagraph"/>
              <w:rPr>
                <w:rFonts w:ascii="Times New Roman"/>
                <w:sz w:val="18"/>
              </w:rPr>
            </w:pPr>
          </w:p>
        </w:tc>
        <w:tc>
          <w:tcPr>
            <w:tcW w:w="1351" w:type="dxa"/>
            <w:tcBorders>
              <w:top w:val="nil"/>
              <w:bottom w:val="nil"/>
            </w:tcBorders>
            <w:shd w:val="clear" w:color="auto" w:fill="D9EAD4"/>
          </w:tcPr>
          <w:p>
            <w:pPr>
              <w:pStyle w:val="TableParagraph"/>
              <w:spacing w:line="238" w:lineRule="exact"/>
              <w:ind w:left="107"/>
              <w:rPr>
                <w:sz w:val="22"/>
              </w:rPr>
            </w:pPr>
            <w:r>
              <w:rPr>
                <w:sz w:val="22"/>
              </w:rPr>
              <w:t>for AFH and</w:t>
            </w:r>
          </w:p>
        </w:tc>
        <w:tc>
          <w:tcPr>
            <w:tcW w:w="2947" w:type="dxa"/>
            <w:tcBorders>
              <w:top w:val="nil"/>
              <w:bottom w:val="nil"/>
            </w:tcBorders>
            <w:shd w:val="clear" w:color="auto" w:fill="D9EAD4"/>
          </w:tcPr>
          <w:p>
            <w:pPr>
              <w:pStyle w:val="TableParagraph"/>
              <w:spacing w:line="238" w:lineRule="exact"/>
              <w:ind w:left="108"/>
              <w:rPr>
                <w:sz w:val="22"/>
              </w:rPr>
            </w:pPr>
            <w:r>
              <w:rPr>
                <w:sz w:val="22"/>
              </w:rPr>
              <w:t>Homes as of 7/1/15</w:t>
            </w:r>
          </w:p>
        </w:tc>
        <w:tc>
          <w:tcPr>
            <w:tcW w:w="3617" w:type="dxa"/>
            <w:vMerge/>
            <w:tcBorders>
              <w:top w:val="nil"/>
            </w:tcBorders>
            <w:shd w:val="clear" w:color="auto" w:fill="D9EAD4"/>
          </w:tcPr>
          <w:p>
            <w:pPr>
              <w:rPr>
                <w:sz w:val="2"/>
                <w:szCs w:val="2"/>
              </w:rPr>
            </w:pPr>
          </w:p>
        </w:tc>
      </w:tr>
      <w:tr>
        <w:trPr>
          <w:trHeight w:val="257" w:hRule="atLeast"/>
        </w:trPr>
        <w:tc>
          <w:tcPr>
            <w:tcW w:w="3799" w:type="dxa"/>
            <w:tcBorders>
              <w:top w:val="nil"/>
              <w:bottom w:val="nil"/>
            </w:tcBorders>
            <w:shd w:val="clear" w:color="auto" w:fill="D9EAD4"/>
          </w:tcPr>
          <w:p>
            <w:pPr>
              <w:pStyle w:val="TableParagraph"/>
              <w:spacing w:line="238" w:lineRule="exact"/>
              <w:ind w:left="107"/>
              <w:rPr>
                <w:sz w:val="22"/>
              </w:rPr>
            </w:pPr>
            <w:r>
              <w:rPr>
                <w:sz w:val="22"/>
              </w:rPr>
              <w:t>Adult Family Homes, Assisted Living</w:t>
            </w:r>
          </w:p>
        </w:tc>
        <w:tc>
          <w:tcPr>
            <w:tcW w:w="1349" w:type="dxa"/>
            <w:tcBorders>
              <w:top w:val="nil"/>
              <w:bottom w:val="nil"/>
            </w:tcBorders>
            <w:shd w:val="clear" w:color="auto" w:fill="D9EAD4"/>
          </w:tcPr>
          <w:p>
            <w:pPr>
              <w:pStyle w:val="TableParagraph"/>
              <w:rPr>
                <w:rFonts w:ascii="Times New Roman"/>
                <w:sz w:val="18"/>
              </w:rPr>
            </w:pPr>
          </w:p>
        </w:tc>
        <w:tc>
          <w:tcPr>
            <w:tcW w:w="1351" w:type="dxa"/>
            <w:tcBorders>
              <w:top w:val="nil"/>
              <w:bottom w:val="nil"/>
            </w:tcBorders>
            <w:shd w:val="clear" w:color="auto" w:fill="D9EAD4"/>
          </w:tcPr>
          <w:p>
            <w:pPr>
              <w:pStyle w:val="TableParagraph"/>
              <w:spacing w:line="238" w:lineRule="exact"/>
              <w:ind w:left="107"/>
              <w:rPr>
                <w:sz w:val="22"/>
              </w:rPr>
            </w:pPr>
            <w:r>
              <w:rPr>
                <w:sz w:val="22"/>
              </w:rPr>
              <w:t>ALF</w:t>
            </w:r>
          </w:p>
        </w:tc>
        <w:tc>
          <w:tcPr>
            <w:tcW w:w="2947" w:type="dxa"/>
            <w:tcBorders>
              <w:top w:val="nil"/>
              <w:bottom w:val="nil"/>
            </w:tcBorders>
            <w:shd w:val="clear" w:color="auto" w:fill="D9EAD4"/>
          </w:tcPr>
          <w:p>
            <w:pPr>
              <w:pStyle w:val="TableParagraph"/>
              <w:rPr>
                <w:rFonts w:ascii="Times New Roman"/>
                <w:sz w:val="18"/>
              </w:rPr>
            </w:pPr>
          </w:p>
        </w:tc>
        <w:tc>
          <w:tcPr>
            <w:tcW w:w="3617" w:type="dxa"/>
            <w:vMerge/>
            <w:tcBorders>
              <w:top w:val="nil"/>
            </w:tcBorders>
            <w:shd w:val="clear" w:color="auto" w:fill="D9EAD4"/>
          </w:tcPr>
          <w:p>
            <w:pPr>
              <w:rPr>
                <w:sz w:val="2"/>
                <w:szCs w:val="2"/>
              </w:rPr>
            </w:pPr>
          </w:p>
        </w:tc>
      </w:tr>
      <w:tr>
        <w:trPr>
          <w:trHeight w:val="258" w:hRule="atLeast"/>
        </w:trPr>
        <w:tc>
          <w:tcPr>
            <w:tcW w:w="3799" w:type="dxa"/>
            <w:tcBorders>
              <w:top w:val="nil"/>
              <w:bottom w:val="nil"/>
            </w:tcBorders>
            <w:shd w:val="clear" w:color="auto" w:fill="D9EAD4"/>
          </w:tcPr>
          <w:p>
            <w:pPr>
              <w:pStyle w:val="TableParagraph"/>
              <w:spacing w:line="239" w:lineRule="exact"/>
              <w:ind w:left="107"/>
              <w:rPr>
                <w:sz w:val="22"/>
              </w:rPr>
            </w:pPr>
            <w:r>
              <w:rPr>
                <w:sz w:val="22"/>
              </w:rPr>
              <w:t>Facilities, and Supported Living</w:t>
            </w:r>
          </w:p>
        </w:tc>
        <w:tc>
          <w:tcPr>
            <w:tcW w:w="1349" w:type="dxa"/>
            <w:tcBorders>
              <w:top w:val="nil"/>
              <w:bottom w:val="nil"/>
            </w:tcBorders>
            <w:shd w:val="clear" w:color="auto" w:fill="D9EAD4"/>
          </w:tcPr>
          <w:p>
            <w:pPr>
              <w:pStyle w:val="TableParagraph"/>
              <w:rPr>
                <w:rFonts w:ascii="Times New Roman"/>
                <w:sz w:val="18"/>
              </w:rPr>
            </w:pPr>
          </w:p>
        </w:tc>
        <w:tc>
          <w:tcPr>
            <w:tcW w:w="1351" w:type="dxa"/>
            <w:tcBorders>
              <w:top w:val="nil"/>
              <w:bottom w:val="nil"/>
            </w:tcBorders>
            <w:shd w:val="clear" w:color="auto" w:fill="D9EAD4"/>
          </w:tcPr>
          <w:p>
            <w:pPr>
              <w:pStyle w:val="TableParagraph"/>
              <w:spacing w:line="239" w:lineRule="exact"/>
              <w:ind w:left="107"/>
              <w:rPr>
                <w:sz w:val="22"/>
              </w:rPr>
            </w:pPr>
            <w:r>
              <w:rPr>
                <w:sz w:val="22"/>
              </w:rPr>
              <w:t>providers.</w:t>
            </w:r>
          </w:p>
        </w:tc>
        <w:tc>
          <w:tcPr>
            <w:tcW w:w="2947" w:type="dxa"/>
            <w:tcBorders>
              <w:top w:val="nil"/>
              <w:bottom w:val="nil"/>
            </w:tcBorders>
            <w:shd w:val="clear" w:color="auto" w:fill="D9EAD4"/>
          </w:tcPr>
          <w:p>
            <w:pPr>
              <w:pStyle w:val="TableParagraph"/>
              <w:spacing w:line="239" w:lineRule="exact"/>
              <w:ind w:left="108"/>
              <w:rPr>
                <w:sz w:val="22"/>
              </w:rPr>
            </w:pPr>
            <w:r>
              <w:rPr>
                <w:sz w:val="22"/>
              </w:rPr>
              <w:t>Completed for Assisted Living</w:t>
            </w:r>
          </w:p>
        </w:tc>
        <w:tc>
          <w:tcPr>
            <w:tcW w:w="3617" w:type="dxa"/>
            <w:vMerge/>
            <w:tcBorders>
              <w:top w:val="nil"/>
            </w:tcBorders>
            <w:shd w:val="clear" w:color="auto" w:fill="D9EAD4"/>
          </w:tcPr>
          <w:p>
            <w:pPr>
              <w:rPr>
                <w:sz w:val="2"/>
                <w:szCs w:val="2"/>
              </w:rPr>
            </w:pPr>
          </w:p>
        </w:tc>
      </w:tr>
      <w:tr>
        <w:trPr>
          <w:trHeight w:val="513" w:hRule="atLeast"/>
        </w:trPr>
        <w:tc>
          <w:tcPr>
            <w:tcW w:w="3799" w:type="dxa"/>
            <w:tcBorders>
              <w:top w:val="nil"/>
            </w:tcBorders>
            <w:shd w:val="clear" w:color="auto" w:fill="D9EAD4"/>
          </w:tcPr>
          <w:p>
            <w:pPr>
              <w:pStyle w:val="TableParagraph"/>
              <w:spacing w:line="244" w:lineRule="exact"/>
              <w:ind w:left="107"/>
              <w:rPr>
                <w:sz w:val="22"/>
              </w:rPr>
            </w:pPr>
            <w:r>
              <w:rPr>
                <w:sz w:val="22"/>
              </w:rPr>
              <w:t>providers</w:t>
            </w:r>
          </w:p>
        </w:tc>
        <w:tc>
          <w:tcPr>
            <w:tcW w:w="1349" w:type="dxa"/>
            <w:tcBorders>
              <w:top w:val="nil"/>
            </w:tcBorders>
            <w:shd w:val="clear" w:color="auto" w:fill="D9EAD4"/>
          </w:tcPr>
          <w:p>
            <w:pPr>
              <w:pStyle w:val="TableParagraph"/>
              <w:rPr>
                <w:rFonts w:ascii="Times New Roman"/>
                <w:sz w:val="22"/>
              </w:rPr>
            </w:pPr>
          </w:p>
        </w:tc>
        <w:tc>
          <w:tcPr>
            <w:tcW w:w="1351" w:type="dxa"/>
            <w:tcBorders>
              <w:top w:val="nil"/>
            </w:tcBorders>
            <w:shd w:val="clear" w:color="auto" w:fill="D9EAD4"/>
          </w:tcPr>
          <w:p>
            <w:pPr>
              <w:pStyle w:val="TableParagraph"/>
              <w:rPr>
                <w:rFonts w:ascii="Times New Roman"/>
                <w:sz w:val="22"/>
              </w:rPr>
            </w:pPr>
          </w:p>
        </w:tc>
        <w:tc>
          <w:tcPr>
            <w:tcW w:w="2947" w:type="dxa"/>
            <w:tcBorders>
              <w:top w:val="nil"/>
            </w:tcBorders>
            <w:shd w:val="clear" w:color="auto" w:fill="D9EAD4"/>
          </w:tcPr>
          <w:p>
            <w:pPr>
              <w:pStyle w:val="TableParagraph"/>
              <w:spacing w:line="244" w:lineRule="exact"/>
              <w:ind w:left="108"/>
              <w:rPr>
                <w:sz w:val="22"/>
              </w:rPr>
            </w:pPr>
            <w:r>
              <w:rPr>
                <w:sz w:val="22"/>
              </w:rPr>
              <w:t>Facilities as of 7/1/16</w:t>
            </w:r>
          </w:p>
        </w:tc>
        <w:tc>
          <w:tcPr>
            <w:tcW w:w="3617" w:type="dxa"/>
            <w:vMerge/>
            <w:tcBorders>
              <w:top w:val="nil"/>
            </w:tcBorders>
            <w:shd w:val="clear" w:color="auto" w:fill="D9EAD4"/>
          </w:tcPr>
          <w:p>
            <w:pPr>
              <w:rPr>
                <w:sz w:val="2"/>
                <w:szCs w:val="2"/>
              </w:rPr>
            </w:pPr>
          </w:p>
        </w:tc>
      </w:tr>
      <w:tr>
        <w:trPr>
          <w:trHeight w:val="282" w:hRule="atLeast"/>
        </w:trPr>
        <w:tc>
          <w:tcPr>
            <w:tcW w:w="3799" w:type="dxa"/>
            <w:tcBorders>
              <w:bottom w:val="nil"/>
            </w:tcBorders>
            <w:shd w:val="clear" w:color="auto" w:fill="D9EAD4"/>
          </w:tcPr>
          <w:p>
            <w:pPr>
              <w:pStyle w:val="TableParagraph"/>
              <w:spacing w:line="263" w:lineRule="exact"/>
              <w:ind w:left="107"/>
              <w:rPr>
                <w:sz w:val="22"/>
              </w:rPr>
            </w:pPr>
            <w:r>
              <w:rPr>
                <w:sz w:val="22"/>
              </w:rPr>
              <w:t>Track and trend HCB Setting rule</w:t>
            </w:r>
          </w:p>
        </w:tc>
        <w:tc>
          <w:tcPr>
            <w:tcW w:w="1349" w:type="dxa"/>
            <w:tcBorders>
              <w:bottom w:val="nil"/>
            </w:tcBorders>
            <w:shd w:val="clear" w:color="auto" w:fill="D9EAD4"/>
          </w:tcPr>
          <w:p>
            <w:pPr>
              <w:pStyle w:val="TableParagraph"/>
              <w:spacing w:line="263" w:lineRule="exact"/>
              <w:ind w:left="108"/>
              <w:rPr>
                <w:sz w:val="22"/>
              </w:rPr>
            </w:pPr>
            <w:r>
              <w:rPr>
                <w:sz w:val="22"/>
              </w:rPr>
              <w:t>8/1/2016</w:t>
            </w:r>
          </w:p>
        </w:tc>
        <w:tc>
          <w:tcPr>
            <w:tcW w:w="1351" w:type="dxa"/>
            <w:tcBorders>
              <w:bottom w:val="nil"/>
            </w:tcBorders>
            <w:shd w:val="clear" w:color="auto" w:fill="D9EAD4"/>
          </w:tcPr>
          <w:p>
            <w:pPr>
              <w:pStyle w:val="TableParagraph"/>
              <w:spacing w:line="263" w:lineRule="exact"/>
              <w:ind w:left="107"/>
              <w:rPr>
                <w:sz w:val="22"/>
              </w:rPr>
            </w:pPr>
            <w:r>
              <w:rPr>
                <w:sz w:val="22"/>
              </w:rPr>
              <w:t>1/1/2017</w:t>
            </w:r>
          </w:p>
        </w:tc>
        <w:tc>
          <w:tcPr>
            <w:tcW w:w="2947" w:type="dxa"/>
            <w:tcBorders>
              <w:bottom w:val="nil"/>
            </w:tcBorders>
            <w:shd w:val="clear" w:color="auto" w:fill="D9EAD4"/>
          </w:tcPr>
          <w:p>
            <w:pPr>
              <w:pStyle w:val="TableParagraph"/>
              <w:spacing w:line="263" w:lineRule="exact"/>
              <w:ind w:left="108"/>
              <w:rPr>
                <w:sz w:val="22"/>
              </w:rPr>
            </w:pPr>
            <w:r>
              <w:rPr>
                <w:sz w:val="22"/>
              </w:rPr>
              <w:t>Modified existing report to</w:t>
            </w:r>
          </w:p>
        </w:tc>
        <w:tc>
          <w:tcPr>
            <w:tcW w:w="3617" w:type="dxa"/>
            <w:vMerge w:val="restart"/>
            <w:shd w:val="clear" w:color="auto" w:fill="D9EAD4"/>
          </w:tcPr>
          <w:p>
            <w:pPr>
              <w:pStyle w:val="TableParagraph"/>
              <w:rPr>
                <w:rFonts w:ascii="Times New Roman"/>
                <w:sz w:val="22"/>
              </w:rPr>
            </w:pPr>
          </w:p>
        </w:tc>
      </w:tr>
      <w:tr>
        <w:trPr>
          <w:trHeight w:val="258" w:hRule="atLeast"/>
        </w:trPr>
        <w:tc>
          <w:tcPr>
            <w:tcW w:w="3799" w:type="dxa"/>
            <w:tcBorders>
              <w:top w:val="nil"/>
              <w:bottom w:val="nil"/>
            </w:tcBorders>
            <w:shd w:val="clear" w:color="auto" w:fill="D9EAD4"/>
          </w:tcPr>
          <w:p>
            <w:pPr>
              <w:pStyle w:val="TableParagraph"/>
              <w:spacing w:line="239" w:lineRule="exact"/>
              <w:ind w:left="107"/>
              <w:rPr>
                <w:sz w:val="22"/>
              </w:rPr>
            </w:pPr>
            <w:r>
              <w:rPr>
                <w:sz w:val="22"/>
              </w:rPr>
              <w:t>citations in all provider owned</w:t>
            </w:r>
          </w:p>
        </w:tc>
        <w:tc>
          <w:tcPr>
            <w:tcW w:w="1349" w:type="dxa"/>
            <w:tcBorders>
              <w:top w:val="nil"/>
              <w:bottom w:val="nil"/>
            </w:tcBorders>
            <w:shd w:val="clear" w:color="auto" w:fill="D9EAD4"/>
          </w:tcPr>
          <w:p>
            <w:pPr>
              <w:pStyle w:val="TableParagraph"/>
              <w:rPr>
                <w:rFonts w:ascii="Times New Roman"/>
                <w:sz w:val="18"/>
              </w:rPr>
            </w:pPr>
          </w:p>
        </w:tc>
        <w:tc>
          <w:tcPr>
            <w:tcW w:w="1351" w:type="dxa"/>
            <w:tcBorders>
              <w:top w:val="nil"/>
              <w:bottom w:val="nil"/>
            </w:tcBorders>
            <w:shd w:val="clear" w:color="auto" w:fill="D9EAD4"/>
          </w:tcPr>
          <w:p>
            <w:pPr>
              <w:pStyle w:val="TableParagraph"/>
              <w:rPr>
                <w:rFonts w:ascii="Times New Roman"/>
                <w:sz w:val="18"/>
              </w:rPr>
            </w:pPr>
          </w:p>
        </w:tc>
        <w:tc>
          <w:tcPr>
            <w:tcW w:w="2947" w:type="dxa"/>
            <w:tcBorders>
              <w:top w:val="nil"/>
              <w:bottom w:val="nil"/>
            </w:tcBorders>
            <w:shd w:val="clear" w:color="auto" w:fill="D9EAD4"/>
          </w:tcPr>
          <w:p>
            <w:pPr>
              <w:pStyle w:val="TableParagraph"/>
              <w:spacing w:line="239" w:lineRule="exact"/>
              <w:ind w:left="108"/>
              <w:rPr>
                <w:sz w:val="22"/>
              </w:rPr>
            </w:pPr>
            <w:r>
              <w:rPr>
                <w:sz w:val="22"/>
              </w:rPr>
              <w:t>track and trend citations and</w:t>
            </w:r>
          </w:p>
        </w:tc>
        <w:tc>
          <w:tcPr>
            <w:tcW w:w="3617" w:type="dxa"/>
            <w:vMerge/>
            <w:tcBorders>
              <w:top w:val="nil"/>
            </w:tcBorders>
            <w:shd w:val="clear" w:color="auto" w:fill="D9EAD4"/>
          </w:tcPr>
          <w:p>
            <w:pPr>
              <w:rPr>
                <w:sz w:val="2"/>
                <w:szCs w:val="2"/>
              </w:rPr>
            </w:pPr>
          </w:p>
        </w:tc>
      </w:tr>
      <w:tr>
        <w:trPr>
          <w:trHeight w:val="258" w:hRule="atLeast"/>
        </w:trPr>
        <w:tc>
          <w:tcPr>
            <w:tcW w:w="3799" w:type="dxa"/>
            <w:tcBorders>
              <w:top w:val="nil"/>
              <w:bottom w:val="nil"/>
            </w:tcBorders>
            <w:shd w:val="clear" w:color="auto" w:fill="D9EAD4"/>
          </w:tcPr>
          <w:p>
            <w:pPr>
              <w:pStyle w:val="TableParagraph"/>
              <w:spacing w:line="239" w:lineRule="exact"/>
              <w:ind w:left="107"/>
              <w:rPr>
                <w:sz w:val="22"/>
              </w:rPr>
            </w:pPr>
            <w:r>
              <w:rPr>
                <w:sz w:val="22"/>
              </w:rPr>
              <w:t>residential settings to identify systemic</w:t>
            </w:r>
          </w:p>
        </w:tc>
        <w:tc>
          <w:tcPr>
            <w:tcW w:w="1349" w:type="dxa"/>
            <w:tcBorders>
              <w:top w:val="nil"/>
              <w:bottom w:val="nil"/>
            </w:tcBorders>
            <w:shd w:val="clear" w:color="auto" w:fill="D9EAD4"/>
          </w:tcPr>
          <w:p>
            <w:pPr>
              <w:pStyle w:val="TableParagraph"/>
              <w:rPr>
                <w:rFonts w:ascii="Times New Roman"/>
                <w:sz w:val="18"/>
              </w:rPr>
            </w:pPr>
          </w:p>
        </w:tc>
        <w:tc>
          <w:tcPr>
            <w:tcW w:w="1351" w:type="dxa"/>
            <w:tcBorders>
              <w:top w:val="nil"/>
              <w:bottom w:val="nil"/>
            </w:tcBorders>
            <w:shd w:val="clear" w:color="auto" w:fill="D9EAD4"/>
          </w:tcPr>
          <w:p>
            <w:pPr>
              <w:pStyle w:val="TableParagraph"/>
              <w:rPr>
                <w:rFonts w:ascii="Times New Roman"/>
                <w:sz w:val="18"/>
              </w:rPr>
            </w:pPr>
          </w:p>
        </w:tc>
        <w:tc>
          <w:tcPr>
            <w:tcW w:w="2947" w:type="dxa"/>
            <w:tcBorders>
              <w:top w:val="nil"/>
              <w:bottom w:val="nil"/>
            </w:tcBorders>
            <w:shd w:val="clear" w:color="auto" w:fill="D9EAD4"/>
          </w:tcPr>
          <w:p>
            <w:pPr>
              <w:pStyle w:val="TableParagraph"/>
              <w:spacing w:line="239" w:lineRule="exact"/>
              <w:ind w:left="108"/>
              <w:rPr>
                <w:sz w:val="22"/>
              </w:rPr>
            </w:pPr>
            <w:r>
              <w:rPr>
                <w:sz w:val="22"/>
              </w:rPr>
              <w:t>enforcement actions that are</w:t>
            </w:r>
          </w:p>
        </w:tc>
        <w:tc>
          <w:tcPr>
            <w:tcW w:w="3617" w:type="dxa"/>
            <w:vMerge/>
            <w:tcBorders>
              <w:top w:val="nil"/>
            </w:tcBorders>
            <w:shd w:val="clear" w:color="auto" w:fill="D9EAD4"/>
          </w:tcPr>
          <w:p>
            <w:pPr>
              <w:rPr>
                <w:sz w:val="2"/>
                <w:szCs w:val="2"/>
              </w:rPr>
            </w:pPr>
          </w:p>
        </w:tc>
      </w:tr>
      <w:tr>
        <w:trPr>
          <w:trHeight w:val="258" w:hRule="atLeast"/>
        </w:trPr>
        <w:tc>
          <w:tcPr>
            <w:tcW w:w="3799" w:type="dxa"/>
            <w:tcBorders>
              <w:top w:val="nil"/>
              <w:bottom w:val="nil"/>
            </w:tcBorders>
            <w:shd w:val="clear" w:color="auto" w:fill="D9EAD4"/>
          </w:tcPr>
          <w:p>
            <w:pPr>
              <w:pStyle w:val="TableParagraph"/>
              <w:spacing w:line="239" w:lineRule="exact"/>
              <w:ind w:left="107"/>
              <w:rPr>
                <w:sz w:val="22"/>
              </w:rPr>
            </w:pPr>
            <w:r>
              <w:rPr>
                <w:sz w:val="22"/>
              </w:rPr>
              <w:t>issues for quality improvement</w:t>
            </w:r>
          </w:p>
        </w:tc>
        <w:tc>
          <w:tcPr>
            <w:tcW w:w="1349" w:type="dxa"/>
            <w:tcBorders>
              <w:top w:val="nil"/>
              <w:bottom w:val="nil"/>
            </w:tcBorders>
            <w:shd w:val="clear" w:color="auto" w:fill="D9EAD4"/>
          </w:tcPr>
          <w:p>
            <w:pPr>
              <w:pStyle w:val="TableParagraph"/>
              <w:rPr>
                <w:rFonts w:ascii="Times New Roman"/>
                <w:sz w:val="18"/>
              </w:rPr>
            </w:pPr>
          </w:p>
        </w:tc>
        <w:tc>
          <w:tcPr>
            <w:tcW w:w="1351" w:type="dxa"/>
            <w:tcBorders>
              <w:top w:val="nil"/>
              <w:bottom w:val="nil"/>
            </w:tcBorders>
            <w:shd w:val="clear" w:color="auto" w:fill="D9EAD4"/>
          </w:tcPr>
          <w:p>
            <w:pPr>
              <w:pStyle w:val="TableParagraph"/>
              <w:rPr>
                <w:rFonts w:ascii="Times New Roman"/>
                <w:sz w:val="18"/>
              </w:rPr>
            </w:pPr>
          </w:p>
        </w:tc>
        <w:tc>
          <w:tcPr>
            <w:tcW w:w="2947" w:type="dxa"/>
            <w:tcBorders>
              <w:top w:val="nil"/>
              <w:bottom w:val="nil"/>
            </w:tcBorders>
            <w:shd w:val="clear" w:color="auto" w:fill="D9EAD4"/>
          </w:tcPr>
          <w:p>
            <w:pPr>
              <w:pStyle w:val="TableParagraph"/>
              <w:spacing w:line="239" w:lineRule="exact"/>
              <w:ind w:left="108"/>
              <w:rPr>
                <w:sz w:val="22"/>
              </w:rPr>
            </w:pPr>
            <w:r>
              <w:rPr>
                <w:sz w:val="22"/>
              </w:rPr>
              <w:t>related to HCBS resident</w:t>
            </w:r>
          </w:p>
        </w:tc>
        <w:tc>
          <w:tcPr>
            <w:tcW w:w="3617" w:type="dxa"/>
            <w:vMerge/>
            <w:tcBorders>
              <w:top w:val="nil"/>
            </w:tcBorders>
            <w:shd w:val="clear" w:color="auto" w:fill="D9EAD4"/>
          </w:tcPr>
          <w:p>
            <w:pPr>
              <w:rPr>
                <w:sz w:val="2"/>
                <w:szCs w:val="2"/>
              </w:rPr>
            </w:pPr>
          </w:p>
        </w:tc>
      </w:tr>
      <w:tr>
        <w:trPr>
          <w:trHeight w:val="513" w:hRule="atLeast"/>
        </w:trPr>
        <w:tc>
          <w:tcPr>
            <w:tcW w:w="3799" w:type="dxa"/>
            <w:tcBorders>
              <w:top w:val="nil"/>
            </w:tcBorders>
            <w:shd w:val="clear" w:color="auto" w:fill="D9EAD4"/>
          </w:tcPr>
          <w:p>
            <w:pPr>
              <w:pStyle w:val="TableParagraph"/>
              <w:rPr>
                <w:rFonts w:ascii="Times New Roman"/>
                <w:sz w:val="22"/>
              </w:rPr>
            </w:pPr>
          </w:p>
        </w:tc>
        <w:tc>
          <w:tcPr>
            <w:tcW w:w="1349" w:type="dxa"/>
            <w:tcBorders>
              <w:top w:val="nil"/>
            </w:tcBorders>
            <w:shd w:val="clear" w:color="auto" w:fill="D9EAD4"/>
          </w:tcPr>
          <w:p>
            <w:pPr>
              <w:pStyle w:val="TableParagraph"/>
              <w:rPr>
                <w:rFonts w:ascii="Times New Roman"/>
                <w:sz w:val="22"/>
              </w:rPr>
            </w:pPr>
          </w:p>
        </w:tc>
        <w:tc>
          <w:tcPr>
            <w:tcW w:w="1351" w:type="dxa"/>
            <w:tcBorders>
              <w:top w:val="nil"/>
            </w:tcBorders>
            <w:shd w:val="clear" w:color="auto" w:fill="D9EAD4"/>
          </w:tcPr>
          <w:p>
            <w:pPr>
              <w:pStyle w:val="TableParagraph"/>
              <w:rPr>
                <w:rFonts w:ascii="Times New Roman"/>
                <w:sz w:val="22"/>
              </w:rPr>
            </w:pPr>
          </w:p>
        </w:tc>
        <w:tc>
          <w:tcPr>
            <w:tcW w:w="2947" w:type="dxa"/>
            <w:tcBorders>
              <w:top w:val="nil"/>
            </w:tcBorders>
            <w:shd w:val="clear" w:color="auto" w:fill="D9EAD4"/>
          </w:tcPr>
          <w:p>
            <w:pPr>
              <w:pStyle w:val="TableParagraph"/>
              <w:spacing w:line="244" w:lineRule="exact"/>
              <w:ind w:left="108"/>
              <w:rPr>
                <w:sz w:val="22"/>
              </w:rPr>
            </w:pPr>
            <w:r>
              <w:rPr>
                <w:sz w:val="22"/>
              </w:rPr>
              <w:t>rights.</w:t>
            </w:r>
          </w:p>
        </w:tc>
        <w:tc>
          <w:tcPr>
            <w:tcW w:w="3617" w:type="dxa"/>
            <w:vMerge/>
            <w:tcBorders>
              <w:top w:val="nil"/>
            </w:tcBorders>
            <w:shd w:val="clear" w:color="auto" w:fill="D9EAD4"/>
          </w:tcPr>
          <w:p>
            <w:pPr>
              <w:rPr>
                <w:sz w:val="2"/>
                <w:szCs w:val="2"/>
              </w:rPr>
            </w:pPr>
          </w:p>
        </w:tc>
      </w:tr>
      <w:tr>
        <w:trPr>
          <w:trHeight w:val="1878" w:hRule="atLeast"/>
        </w:trPr>
        <w:tc>
          <w:tcPr>
            <w:tcW w:w="3799" w:type="dxa"/>
            <w:shd w:val="clear" w:color="auto" w:fill="D9EAD4"/>
          </w:tcPr>
          <w:p>
            <w:pPr>
              <w:pStyle w:val="TableParagraph"/>
              <w:ind w:left="107" w:right="1080"/>
              <w:rPr>
                <w:sz w:val="22"/>
              </w:rPr>
            </w:pPr>
            <w:r>
              <w:rPr>
                <w:sz w:val="22"/>
              </w:rPr>
              <w:t>Tracking and trending will be completed yearly</w:t>
            </w:r>
          </w:p>
        </w:tc>
        <w:tc>
          <w:tcPr>
            <w:tcW w:w="1349" w:type="dxa"/>
            <w:shd w:val="clear" w:color="auto" w:fill="D9EAD4"/>
          </w:tcPr>
          <w:p>
            <w:pPr>
              <w:pStyle w:val="TableParagraph"/>
              <w:spacing w:line="268" w:lineRule="exact"/>
              <w:ind w:left="108"/>
              <w:rPr>
                <w:sz w:val="22"/>
              </w:rPr>
            </w:pPr>
            <w:r>
              <w:rPr>
                <w:sz w:val="22"/>
              </w:rPr>
              <w:t>1/1/2017</w:t>
            </w:r>
          </w:p>
        </w:tc>
        <w:tc>
          <w:tcPr>
            <w:tcW w:w="1351" w:type="dxa"/>
            <w:shd w:val="clear" w:color="auto" w:fill="D9EAD4"/>
          </w:tcPr>
          <w:p>
            <w:pPr>
              <w:pStyle w:val="TableParagraph"/>
              <w:spacing w:line="268" w:lineRule="exact"/>
              <w:ind w:left="107"/>
              <w:rPr>
                <w:sz w:val="22"/>
              </w:rPr>
            </w:pPr>
            <w:r>
              <w:rPr>
                <w:sz w:val="22"/>
              </w:rPr>
              <w:t>1/1/2018</w:t>
            </w:r>
          </w:p>
        </w:tc>
        <w:tc>
          <w:tcPr>
            <w:tcW w:w="2947" w:type="dxa"/>
            <w:shd w:val="clear" w:color="auto" w:fill="D9EAD4"/>
          </w:tcPr>
          <w:p>
            <w:pPr>
              <w:pStyle w:val="TableParagraph"/>
              <w:ind w:left="108" w:right="162"/>
              <w:rPr>
                <w:sz w:val="22"/>
              </w:rPr>
            </w:pPr>
            <w:r>
              <w:rPr>
                <w:sz w:val="22"/>
              </w:rPr>
              <w:t>Report developed and work on tracking and trending data is in process. This report has been completed and will be analyzed yearly to determine trends.</w:t>
            </w:r>
          </w:p>
        </w:tc>
        <w:tc>
          <w:tcPr>
            <w:tcW w:w="3617" w:type="dxa"/>
            <w:shd w:val="clear" w:color="auto" w:fill="D9EAD4"/>
          </w:tcPr>
          <w:p>
            <w:pPr>
              <w:pStyle w:val="TableParagraph"/>
              <w:rPr>
                <w:rFonts w:ascii="Times New Roman"/>
                <w:sz w:val="22"/>
              </w:rPr>
            </w:pPr>
          </w:p>
        </w:tc>
      </w:tr>
      <w:tr>
        <w:trPr>
          <w:trHeight w:val="1074" w:hRule="atLeast"/>
        </w:trPr>
        <w:tc>
          <w:tcPr>
            <w:tcW w:w="3799" w:type="dxa"/>
            <w:shd w:val="clear" w:color="auto" w:fill="D9EAD4"/>
          </w:tcPr>
          <w:p>
            <w:pPr>
              <w:pStyle w:val="TableParagraph"/>
              <w:ind w:left="107" w:right="309"/>
              <w:rPr>
                <w:sz w:val="22"/>
              </w:rPr>
            </w:pPr>
            <w:r>
              <w:rPr>
                <w:sz w:val="22"/>
              </w:rPr>
              <w:t>Modifying the current client service verification process to include HCBS related questions for in-home clients.</w:t>
            </w:r>
          </w:p>
        </w:tc>
        <w:tc>
          <w:tcPr>
            <w:tcW w:w="1349" w:type="dxa"/>
            <w:shd w:val="clear" w:color="auto" w:fill="D9EAD4"/>
          </w:tcPr>
          <w:p>
            <w:pPr>
              <w:pStyle w:val="TableParagraph"/>
              <w:spacing w:line="268" w:lineRule="exact"/>
              <w:ind w:left="108"/>
              <w:rPr>
                <w:sz w:val="22"/>
              </w:rPr>
            </w:pPr>
            <w:r>
              <w:rPr>
                <w:sz w:val="22"/>
              </w:rPr>
              <w:t>8/1/2016</w:t>
            </w:r>
          </w:p>
        </w:tc>
        <w:tc>
          <w:tcPr>
            <w:tcW w:w="1351" w:type="dxa"/>
            <w:shd w:val="clear" w:color="auto" w:fill="D9EAD4"/>
          </w:tcPr>
          <w:p>
            <w:pPr>
              <w:pStyle w:val="TableParagraph"/>
              <w:spacing w:line="268" w:lineRule="exact"/>
              <w:ind w:left="107"/>
              <w:rPr>
                <w:sz w:val="22"/>
              </w:rPr>
            </w:pPr>
            <w:r>
              <w:rPr>
                <w:sz w:val="22"/>
              </w:rPr>
              <w:t>1/1/2017</w:t>
            </w:r>
          </w:p>
        </w:tc>
        <w:tc>
          <w:tcPr>
            <w:tcW w:w="2947" w:type="dxa"/>
            <w:shd w:val="clear" w:color="auto" w:fill="D9EAD4"/>
          </w:tcPr>
          <w:p>
            <w:pPr>
              <w:pStyle w:val="TableParagraph"/>
              <w:spacing w:line="268" w:lineRule="exact"/>
              <w:ind w:left="108"/>
              <w:rPr>
                <w:sz w:val="22"/>
              </w:rPr>
            </w:pPr>
            <w:r>
              <w:rPr>
                <w:sz w:val="22"/>
              </w:rPr>
              <w:t>Completed 1/1/2017</w:t>
            </w:r>
          </w:p>
        </w:tc>
        <w:tc>
          <w:tcPr>
            <w:tcW w:w="3617" w:type="dxa"/>
            <w:shd w:val="clear" w:color="auto" w:fill="D9EAD4"/>
          </w:tcPr>
          <w:p>
            <w:pPr>
              <w:pStyle w:val="TableParagraph"/>
              <w:ind w:left="105" w:right="309"/>
              <w:rPr>
                <w:sz w:val="22"/>
              </w:rPr>
            </w:pPr>
            <w:r>
              <w:rPr>
                <w:sz w:val="22"/>
              </w:rPr>
              <w:t>QCC Team annual audits of random sample of waiver participants’ files</w:t>
            </w:r>
          </w:p>
          <w:p>
            <w:pPr>
              <w:pStyle w:val="TableParagraph"/>
              <w:spacing w:line="270" w:lineRule="atLeast"/>
              <w:ind w:left="105" w:right="890"/>
              <w:rPr>
                <w:sz w:val="22"/>
              </w:rPr>
            </w:pPr>
            <w:r>
              <w:rPr>
                <w:sz w:val="22"/>
              </w:rPr>
              <w:t>which includes HCBS settings questions is in process.</w:t>
            </w:r>
          </w:p>
        </w:tc>
      </w:tr>
      <w:tr>
        <w:trPr>
          <w:trHeight w:val="1074" w:hRule="atLeast"/>
        </w:trPr>
        <w:tc>
          <w:tcPr>
            <w:tcW w:w="3799" w:type="dxa"/>
            <w:tcBorders>
              <w:bottom w:val="double" w:sz="1" w:space="0" w:color="000000"/>
            </w:tcBorders>
            <w:shd w:val="clear" w:color="auto" w:fill="D9EAD4"/>
          </w:tcPr>
          <w:p>
            <w:pPr>
              <w:pStyle w:val="TableParagraph"/>
              <w:ind w:left="107" w:right="121"/>
              <w:rPr>
                <w:sz w:val="22"/>
              </w:rPr>
            </w:pPr>
            <w:r>
              <w:rPr>
                <w:sz w:val="22"/>
              </w:rPr>
              <w:t>DDA Residential Quality Assurance staff inspected 19 provider-owned and controlled supported living residents</w:t>
            </w:r>
          </w:p>
          <w:p>
            <w:pPr>
              <w:pStyle w:val="TableParagraph"/>
              <w:spacing w:line="251" w:lineRule="exact"/>
              <w:ind w:left="107"/>
              <w:rPr>
                <w:sz w:val="22"/>
              </w:rPr>
            </w:pPr>
            <w:r>
              <w:rPr>
                <w:sz w:val="22"/>
              </w:rPr>
              <w:t>and all residences were found to be in</w:t>
            </w:r>
          </w:p>
        </w:tc>
        <w:tc>
          <w:tcPr>
            <w:tcW w:w="1349" w:type="dxa"/>
            <w:tcBorders>
              <w:bottom w:val="double" w:sz="1" w:space="0" w:color="000000"/>
            </w:tcBorders>
            <w:shd w:val="clear" w:color="auto" w:fill="D9EAD4"/>
          </w:tcPr>
          <w:p>
            <w:pPr>
              <w:pStyle w:val="TableParagraph"/>
              <w:spacing w:line="265" w:lineRule="exact"/>
              <w:ind w:left="108"/>
              <w:rPr>
                <w:sz w:val="22"/>
              </w:rPr>
            </w:pPr>
            <w:r>
              <w:rPr>
                <w:sz w:val="22"/>
              </w:rPr>
              <w:t>4/1/2017</w:t>
            </w:r>
          </w:p>
        </w:tc>
        <w:tc>
          <w:tcPr>
            <w:tcW w:w="1351" w:type="dxa"/>
            <w:tcBorders>
              <w:bottom w:val="double" w:sz="1" w:space="0" w:color="000000"/>
            </w:tcBorders>
            <w:shd w:val="clear" w:color="auto" w:fill="D9EAD4"/>
          </w:tcPr>
          <w:p>
            <w:pPr>
              <w:pStyle w:val="TableParagraph"/>
              <w:spacing w:line="265" w:lineRule="exact"/>
              <w:ind w:left="107"/>
              <w:rPr>
                <w:sz w:val="22"/>
              </w:rPr>
            </w:pPr>
            <w:r>
              <w:rPr>
                <w:sz w:val="22"/>
              </w:rPr>
              <w:t>7/31/2017</w:t>
            </w:r>
          </w:p>
        </w:tc>
        <w:tc>
          <w:tcPr>
            <w:tcW w:w="2947" w:type="dxa"/>
            <w:tcBorders>
              <w:bottom w:val="double" w:sz="1" w:space="0" w:color="000000"/>
            </w:tcBorders>
            <w:shd w:val="clear" w:color="auto" w:fill="D9EAD4"/>
          </w:tcPr>
          <w:p>
            <w:pPr>
              <w:pStyle w:val="TableParagraph"/>
              <w:spacing w:line="265" w:lineRule="exact"/>
              <w:ind w:left="108"/>
              <w:rPr>
                <w:sz w:val="22"/>
              </w:rPr>
            </w:pPr>
            <w:r>
              <w:rPr>
                <w:sz w:val="22"/>
              </w:rPr>
              <w:t>Completed 7/31/2017</w:t>
            </w:r>
          </w:p>
        </w:tc>
        <w:tc>
          <w:tcPr>
            <w:tcW w:w="3617" w:type="dxa"/>
            <w:tcBorders>
              <w:bottom w:val="double" w:sz="1" w:space="0" w:color="000000"/>
            </w:tcBorders>
            <w:shd w:val="clear" w:color="auto" w:fill="D9EAD4"/>
          </w:tcPr>
          <w:p>
            <w:pPr>
              <w:pStyle w:val="TableParagraph"/>
              <w:rPr>
                <w:rFonts w:ascii="Times New Roman"/>
                <w:sz w:val="22"/>
              </w:rPr>
            </w:pPr>
          </w:p>
        </w:tc>
      </w:tr>
    </w:tbl>
    <w:p>
      <w:pPr>
        <w:spacing w:after="0"/>
        <w:rPr>
          <w:rFonts w:ascii="Times New Roman"/>
          <w:sz w:val="22"/>
        </w:rPr>
        <w:sectPr>
          <w:footerReference w:type="default" r:id="rId142"/>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9"/>
        <w:gridCol w:w="1349"/>
        <w:gridCol w:w="1351"/>
        <w:gridCol w:w="2947"/>
        <w:gridCol w:w="3593"/>
      </w:tblGrid>
      <w:tr>
        <w:trPr>
          <w:trHeight w:val="1074" w:hRule="atLeast"/>
        </w:trPr>
        <w:tc>
          <w:tcPr>
            <w:tcW w:w="3799" w:type="dxa"/>
            <w:shd w:val="clear" w:color="auto" w:fill="D9EAD4"/>
          </w:tcPr>
          <w:p>
            <w:pPr>
              <w:pStyle w:val="TableParagraph"/>
              <w:ind w:left="107" w:right="378"/>
              <w:rPr>
                <w:b/>
                <w:i/>
                <w:sz w:val="22"/>
              </w:rPr>
            </w:pPr>
            <w:r>
              <w:rPr>
                <w:sz w:val="22"/>
              </w:rPr>
              <w:t>compliance with HCBS settings regulations.. </w:t>
            </w:r>
            <w:r>
              <w:rPr>
                <w:b/>
                <w:i/>
                <w:sz w:val="22"/>
              </w:rPr>
              <w:t>Note that this is a new </w:t>
            </w:r>
            <w:r>
              <w:rPr>
                <w:b/>
                <w:i/>
                <w:sz w:val="22"/>
              </w:rPr>
              <w:t>milestone for the 3/15/2017 revised</w:t>
            </w:r>
          </w:p>
          <w:p>
            <w:pPr>
              <w:pStyle w:val="TableParagraph"/>
              <w:spacing w:line="249" w:lineRule="exact"/>
              <w:ind w:left="107"/>
              <w:rPr>
                <w:b/>
                <w:i/>
                <w:sz w:val="22"/>
              </w:rPr>
            </w:pPr>
            <w:r>
              <w:rPr>
                <w:b/>
                <w:i/>
                <w:sz w:val="22"/>
              </w:rPr>
              <w:t>transition plan.</w:t>
            </w:r>
          </w:p>
        </w:tc>
        <w:tc>
          <w:tcPr>
            <w:tcW w:w="1349" w:type="dxa"/>
            <w:shd w:val="clear" w:color="auto" w:fill="D9EAD4"/>
          </w:tcPr>
          <w:p>
            <w:pPr>
              <w:pStyle w:val="TableParagraph"/>
              <w:rPr>
                <w:rFonts w:ascii="Times New Roman"/>
                <w:sz w:val="22"/>
              </w:rPr>
            </w:pPr>
          </w:p>
        </w:tc>
        <w:tc>
          <w:tcPr>
            <w:tcW w:w="1351" w:type="dxa"/>
            <w:shd w:val="clear" w:color="auto" w:fill="D9EAD4"/>
          </w:tcPr>
          <w:p>
            <w:pPr>
              <w:pStyle w:val="TableParagraph"/>
              <w:rPr>
                <w:rFonts w:ascii="Times New Roman"/>
                <w:sz w:val="22"/>
              </w:rPr>
            </w:pPr>
          </w:p>
        </w:tc>
        <w:tc>
          <w:tcPr>
            <w:tcW w:w="2947" w:type="dxa"/>
            <w:shd w:val="clear" w:color="auto" w:fill="D9EAD4"/>
          </w:tcPr>
          <w:p>
            <w:pPr>
              <w:pStyle w:val="TableParagraph"/>
              <w:rPr>
                <w:rFonts w:ascii="Times New Roman"/>
                <w:sz w:val="22"/>
              </w:rPr>
            </w:pPr>
          </w:p>
        </w:tc>
        <w:tc>
          <w:tcPr>
            <w:tcW w:w="3593" w:type="dxa"/>
            <w:shd w:val="clear" w:color="auto" w:fill="D9EAD4"/>
          </w:tcPr>
          <w:p>
            <w:pPr>
              <w:pStyle w:val="TableParagraph"/>
              <w:rPr>
                <w:rFonts w:ascii="Times New Roman"/>
                <w:sz w:val="22"/>
              </w:rPr>
            </w:pPr>
          </w:p>
        </w:tc>
      </w:tr>
      <w:tr>
        <w:trPr>
          <w:trHeight w:val="268" w:hRule="atLeast"/>
        </w:trPr>
        <w:tc>
          <w:tcPr>
            <w:tcW w:w="3799" w:type="dxa"/>
            <w:shd w:val="clear" w:color="auto" w:fill="4DA3D7"/>
          </w:tcPr>
          <w:p>
            <w:pPr>
              <w:pStyle w:val="TableParagraph"/>
              <w:spacing w:line="248" w:lineRule="exact"/>
              <w:ind w:left="107"/>
              <w:rPr>
                <w:b/>
                <w:sz w:val="22"/>
              </w:rPr>
            </w:pPr>
            <w:r>
              <w:rPr>
                <w:b/>
                <w:sz w:val="22"/>
              </w:rPr>
              <w:t>Setting Transitions</w:t>
            </w:r>
          </w:p>
        </w:tc>
        <w:tc>
          <w:tcPr>
            <w:tcW w:w="9240" w:type="dxa"/>
            <w:gridSpan w:val="4"/>
            <w:shd w:val="clear" w:color="auto" w:fill="4DA3D7"/>
          </w:tcPr>
          <w:p>
            <w:pPr>
              <w:pStyle w:val="TableParagraph"/>
              <w:rPr>
                <w:rFonts w:ascii="Times New Roman"/>
                <w:sz w:val="18"/>
              </w:rPr>
            </w:pPr>
          </w:p>
        </w:tc>
      </w:tr>
      <w:tr>
        <w:trPr>
          <w:trHeight w:val="1074" w:hRule="atLeast"/>
        </w:trPr>
        <w:tc>
          <w:tcPr>
            <w:tcW w:w="3799" w:type="dxa"/>
            <w:shd w:val="clear" w:color="auto" w:fill="F1CDD1"/>
          </w:tcPr>
          <w:p>
            <w:pPr>
              <w:pStyle w:val="TableParagraph"/>
              <w:ind w:left="107" w:right="166"/>
              <w:rPr>
                <w:sz w:val="22"/>
              </w:rPr>
            </w:pPr>
            <w:r>
              <w:rPr>
                <w:sz w:val="22"/>
              </w:rPr>
              <w:t>DDA will provide individual notice to all pre-vocational service participants upon CMS approval of this Transition</w:t>
            </w:r>
          </w:p>
          <w:p>
            <w:pPr>
              <w:pStyle w:val="TableParagraph"/>
              <w:spacing w:line="249" w:lineRule="exact"/>
              <w:ind w:left="107"/>
              <w:rPr>
                <w:sz w:val="22"/>
              </w:rPr>
            </w:pPr>
            <w:r>
              <w:rPr>
                <w:sz w:val="22"/>
              </w:rPr>
              <w:t>Plan</w:t>
            </w:r>
          </w:p>
        </w:tc>
        <w:tc>
          <w:tcPr>
            <w:tcW w:w="1349" w:type="dxa"/>
            <w:shd w:val="clear" w:color="auto" w:fill="F1CDD1"/>
          </w:tcPr>
          <w:p>
            <w:pPr>
              <w:pStyle w:val="TableParagraph"/>
              <w:spacing w:line="268" w:lineRule="exact"/>
              <w:ind w:left="108"/>
              <w:rPr>
                <w:sz w:val="22"/>
              </w:rPr>
            </w:pPr>
            <w:r>
              <w:rPr>
                <w:sz w:val="22"/>
              </w:rPr>
              <w:t>07/01/2015</w:t>
            </w:r>
          </w:p>
        </w:tc>
        <w:tc>
          <w:tcPr>
            <w:tcW w:w="1351" w:type="dxa"/>
            <w:shd w:val="clear" w:color="auto" w:fill="F1CDD1"/>
          </w:tcPr>
          <w:p>
            <w:pPr>
              <w:pStyle w:val="TableParagraph"/>
              <w:spacing w:line="268" w:lineRule="exact"/>
              <w:ind w:left="107"/>
              <w:rPr>
                <w:sz w:val="22"/>
              </w:rPr>
            </w:pPr>
            <w:r>
              <w:rPr>
                <w:sz w:val="22"/>
              </w:rPr>
              <w:t>12/31/2017</w:t>
            </w:r>
          </w:p>
        </w:tc>
        <w:tc>
          <w:tcPr>
            <w:tcW w:w="2947" w:type="dxa"/>
            <w:shd w:val="clear" w:color="auto" w:fill="F1CDD1"/>
          </w:tcPr>
          <w:p>
            <w:pPr>
              <w:pStyle w:val="TableParagraph"/>
              <w:ind w:left="108" w:right="441"/>
              <w:rPr>
                <w:sz w:val="22"/>
              </w:rPr>
            </w:pPr>
            <w:r>
              <w:rPr>
                <w:sz w:val="22"/>
              </w:rPr>
              <w:t>Drafting of notice and consultation with counties and providers in progress.</w:t>
            </w:r>
          </w:p>
        </w:tc>
        <w:tc>
          <w:tcPr>
            <w:tcW w:w="3593" w:type="dxa"/>
            <w:shd w:val="clear" w:color="auto" w:fill="F1CDD1"/>
          </w:tcPr>
          <w:p>
            <w:pPr>
              <w:pStyle w:val="TableParagraph"/>
              <w:rPr>
                <w:rFonts w:ascii="Times New Roman"/>
                <w:sz w:val="22"/>
              </w:rPr>
            </w:pPr>
          </w:p>
        </w:tc>
      </w:tr>
      <w:tr>
        <w:trPr>
          <w:trHeight w:val="2685" w:hRule="atLeast"/>
        </w:trPr>
        <w:tc>
          <w:tcPr>
            <w:tcW w:w="3799" w:type="dxa"/>
            <w:shd w:val="clear" w:color="auto" w:fill="F1CDD1"/>
          </w:tcPr>
          <w:p>
            <w:pPr>
              <w:pStyle w:val="TableParagraph"/>
              <w:ind w:left="107" w:right="275"/>
              <w:rPr>
                <w:sz w:val="22"/>
              </w:rPr>
            </w:pPr>
            <w:r>
              <w:rPr>
                <w:sz w:val="22"/>
              </w:rPr>
              <w:t>DDA to report to Legislature by 1/1/2016 on Pre-Vocational Services required by Engrossed Substitute Senate Bill 6052. Report to explore 3 options: 1) Modify the current system to ensure compliance with CMS rules;</w:t>
            </w:r>
          </w:p>
          <w:p>
            <w:pPr>
              <w:pStyle w:val="TableParagraph"/>
              <w:ind w:left="107" w:right="129"/>
              <w:rPr>
                <w:sz w:val="22"/>
              </w:rPr>
            </w:pPr>
            <w:r>
              <w:rPr>
                <w:sz w:val="22"/>
              </w:rPr>
              <w:t>2) Continue the current system without federal matching funds; and 3) Transition clients out of congregate</w:t>
            </w:r>
          </w:p>
          <w:p>
            <w:pPr>
              <w:pStyle w:val="TableParagraph"/>
              <w:spacing w:line="248" w:lineRule="exact"/>
              <w:ind w:left="107"/>
              <w:rPr>
                <w:sz w:val="22"/>
              </w:rPr>
            </w:pPr>
            <w:r>
              <w:rPr>
                <w:sz w:val="22"/>
              </w:rPr>
              <w:t>settings and into integrated settings.</w:t>
            </w:r>
          </w:p>
        </w:tc>
        <w:tc>
          <w:tcPr>
            <w:tcW w:w="1349" w:type="dxa"/>
            <w:shd w:val="clear" w:color="auto" w:fill="F1CDD1"/>
          </w:tcPr>
          <w:p>
            <w:pPr>
              <w:pStyle w:val="TableParagraph"/>
              <w:spacing w:line="268" w:lineRule="exact"/>
              <w:ind w:left="108"/>
              <w:rPr>
                <w:sz w:val="22"/>
              </w:rPr>
            </w:pPr>
            <w:r>
              <w:rPr>
                <w:sz w:val="22"/>
              </w:rPr>
              <w:t>07/01/2015</w:t>
            </w:r>
          </w:p>
        </w:tc>
        <w:tc>
          <w:tcPr>
            <w:tcW w:w="1351" w:type="dxa"/>
            <w:shd w:val="clear" w:color="auto" w:fill="F1CDD1"/>
          </w:tcPr>
          <w:p>
            <w:pPr>
              <w:pStyle w:val="TableParagraph"/>
              <w:spacing w:line="268" w:lineRule="exact"/>
              <w:ind w:left="107"/>
              <w:rPr>
                <w:sz w:val="22"/>
              </w:rPr>
            </w:pPr>
            <w:r>
              <w:rPr>
                <w:sz w:val="22"/>
              </w:rPr>
              <w:t>1/1/2019</w:t>
            </w:r>
          </w:p>
        </w:tc>
        <w:tc>
          <w:tcPr>
            <w:tcW w:w="2947" w:type="dxa"/>
            <w:shd w:val="clear" w:color="auto" w:fill="F1CDD1"/>
          </w:tcPr>
          <w:p>
            <w:pPr>
              <w:pStyle w:val="TableParagraph"/>
              <w:ind w:left="108" w:right="630"/>
              <w:rPr>
                <w:sz w:val="22"/>
              </w:rPr>
            </w:pPr>
            <w:r>
              <w:rPr>
                <w:sz w:val="22"/>
              </w:rPr>
              <w:t>Final Plan written and submitted to Legislature 1/21/2016.</w:t>
            </w:r>
          </w:p>
        </w:tc>
        <w:tc>
          <w:tcPr>
            <w:tcW w:w="3593" w:type="dxa"/>
            <w:shd w:val="clear" w:color="auto" w:fill="F1CDD1"/>
          </w:tcPr>
          <w:p>
            <w:pPr>
              <w:pStyle w:val="TableParagraph"/>
              <w:ind w:left="105" w:right="413"/>
              <w:rPr>
                <w:sz w:val="22"/>
              </w:rPr>
            </w:pPr>
            <w:r>
              <w:rPr>
                <w:sz w:val="22"/>
              </w:rPr>
              <w:t>See Appendix E attachment titled: </w:t>
            </w:r>
            <w:hyperlink w:history="true" w:anchor="_bookmark54">
              <w:r>
                <w:rPr>
                  <w:color w:val="6B9F24"/>
                  <w:sz w:val="22"/>
                  <w:u w:val="single" w:color="6B9F24"/>
                </w:rPr>
                <w:t>Excerpt from ESSB 6052</w:t>
              </w:r>
            </w:hyperlink>
          </w:p>
        </w:tc>
      </w:tr>
      <w:tr>
        <w:trPr>
          <w:trHeight w:val="1881" w:hRule="atLeast"/>
        </w:trPr>
        <w:tc>
          <w:tcPr>
            <w:tcW w:w="3799" w:type="dxa"/>
            <w:shd w:val="clear" w:color="auto" w:fill="F1CDD1"/>
          </w:tcPr>
          <w:p>
            <w:pPr>
              <w:pStyle w:val="TableParagraph"/>
              <w:ind w:left="107" w:right="103"/>
              <w:rPr>
                <w:sz w:val="22"/>
              </w:rPr>
            </w:pPr>
            <w:r>
              <w:rPr>
                <w:sz w:val="22"/>
              </w:rPr>
              <w:t>DDA will provide information and supports necessary for participants to make an informed choice of alternative services available to them in advance of each individual’s transition through a robust person-centered service</w:t>
            </w:r>
          </w:p>
          <w:p>
            <w:pPr>
              <w:pStyle w:val="TableParagraph"/>
              <w:spacing w:line="249" w:lineRule="exact"/>
              <w:ind w:left="107"/>
              <w:rPr>
                <w:sz w:val="22"/>
              </w:rPr>
            </w:pPr>
            <w:r>
              <w:rPr>
                <w:sz w:val="22"/>
              </w:rPr>
              <w:t>planning process.</w:t>
            </w:r>
          </w:p>
        </w:tc>
        <w:tc>
          <w:tcPr>
            <w:tcW w:w="1349" w:type="dxa"/>
            <w:shd w:val="clear" w:color="auto" w:fill="F1CDD1"/>
          </w:tcPr>
          <w:p>
            <w:pPr>
              <w:pStyle w:val="TableParagraph"/>
              <w:spacing w:line="268" w:lineRule="exact"/>
              <w:ind w:left="108"/>
              <w:rPr>
                <w:sz w:val="22"/>
              </w:rPr>
            </w:pPr>
            <w:r>
              <w:rPr>
                <w:sz w:val="22"/>
              </w:rPr>
              <w:t>07/01/2015</w:t>
            </w:r>
          </w:p>
        </w:tc>
        <w:tc>
          <w:tcPr>
            <w:tcW w:w="1351" w:type="dxa"/>
            <w:shd w:val="clear" w:color="auto" w:fill="F1CDD1"/>
          </w:tcPr>
          <w:p>
            <w:pPr>
              <w:pStyle w:val="TableParagraph"/>
              <w:spacing w:line="268" w:lineRule="exact"/>
              <w:ind w:left="107"/>
              <w:rPr>
                <w:sz w:val="22"/>
              </w:rPr>
            </w:pPr>
            <w:r>
              <w:rPr>
                <w:sz w:val="22"/>
              </w:rPr>
              <w:t>1/1/2019</w:t>
            </w:r>
          </w:p>
        </w:tc>
        <w:tc>
          <w:tcPr>
            <w:tcW w:w="2947" w:type="dxa"/>
            <w:shd w:val="clear" w:color="auto" w:fill="F1CDD1"/>
          </w:tcPr>
          <w:p>
            <w:pPr>
              <w:pStyle w:val="TableParagraph"/>
              <w:ind w:left="108" w:right="249"/>
              <w:rPr>
                <w:sz w:val="22"/>
              </w:rPr>
            </w:pPr>
            <w:r>
              <w:rPr>
                <w:sz w:val="22"/>
              </w:rPr>
              <w:t>Of the 148 clients left in pre- vocational services, Washington State is actively working with participants on transitioning them.</w:t>
            </w:r>
          </w:p>
        </w:tc>
        <w:tc>
          <w:tcPr>
            <w:tcW w:w="3593" w:type="dxa"/>
            <w:shd w:val="clear" w:color="auto" w:fill="F1CDD1"/>
          </w:tcPr>
          <w:p>
            <w:pPr>
              <w:pStyle w:val="TableParagraph"/>
              <w:ind w:left="105" w:right="413"/>
              <w:rPr>
                <w:sz w:val="22"/>
              </w:rPr>
            </w:pPr>
            <w:r>
              <w:rPr>
                <w:sz w:val="22"/>
              </w:rPr>
              <w:t>See Appendix E attachment titled: </w:t>
            </w:r>
            <w:hyperlink w:history="true" w:anchor="_bookmark54">
              <w:r>
                <w:rPr>
                  <w:color w:val="6B9F24"/>
                  <w:sz w:val="22"/>
                  <w:u w:val="single" w:color="6B9F24"/>
                </w:rPr>
                <w:t>Excerpt from ESSB 6052</w:t>
              </w:r>
            </w:hyperlink>
          </w:p>
        </w:tc>
      </w:tr>
      <w:tr>
        <w:trPr>
          <w:trHeight w:val="2154" w:hRule="atLeast"/>
        </w:trPr>
        <w:tc>
          <w:tcPr>
            <w:tcW w:w="3799" w:type="dxa"/>
            <w:tcBorders>
              <w:bottom w:val="double" w:sz="1" w:space="0" w:color="000000"/>
            </w:tcBorders>
            <w:shd w:val="clear" w:color="auto" w:fill="F1CDD1"/>
          </w:tcPr>
          <w:p>
            <w:pPr>
              <w:pStyle w:val="TableParagraph"/>
              <w:ind w:left="107" w:right="94"/>
              <w:rPr>
                <w:sz w:val="22"/>
              </w:rPr>
            </w:pPr>
            <w:r>
              <w:rPr>
                <w:sz w:val="22"/>
              </w:rPr>
              <w:t>DDA will provide alternative services that may be selected include: Individual Supported Employment, Group Supported Employment or Community Inclusion. Other existing waiver services to meet the assessed needs of the individual will also be available.</w:t>
            </w:r>
          </w:p>
        </w:tc>
        <w:tc>
          <w:tcPr>
            <w:tcW w:w="1349" w:type="dxa"/>
            <w:tcBorders>
              <w:bottom w:val="double" w:sz="1" w:space="0" w:color="000000"/>
            </w:tcBorders>
            <w:shd w:val="clear" w:color="auto" w:fill="F1CDD1"/>
          </w:tcPr>
          <w:p>
            <w:pPr>
              <w:pStyle w:val="TableParagraph"/>
              <w:spacing w:line="268" w:lineRule="exact"/>
              <w:ind w:left="108"/>
              <w:rPr>
                <w:sz w:val="22"/>
              </w:rPr>
            </w:pPr>
            <w:r>
              <w:rPr>
                <w:sz w:val="22"/>
              </w:rPr>
              <w:t>07/01/2015</w:t>
            </w:r>
          </w:p>
        </w:tc>
        <w:tc>
          <w:tcPr>
            <w:tcW w:w="1351" w:type="dxa"/>
            <w:tcBorders>
              <w:bottom w:val="double" w:sz="1" w:space="0" w:color="000000"/>
            </w:tcBorders>
            <w:shd w:val="clear" w:color="auto" w:fill="F1CDD1"/>
          </w:tcPr>
          <w:p>
            <w:pPr>
              <w:pStyle w:val="TableParagraph"/>
              <w:spacing w:line="268" w:lineRule="exact"/>
              <w:ind w:left="107"/>
              <w:rPr>
                <w:sz w:val="22"/>
              </w:rPr>
            </w:pPr>
            <w:r>
              <w:rPr>
                <w:sz w:val="22"/>
              </w:rPr>
              <w:t>1/1/2019</w:t>
            </w:r>
          </w:p>
        </w:tc>
        <w:tc>
          <w:tcPr>
            <w:tcW w:w="2947" w:type="dxa"/>
            <w:tcBorders>
              <w:bottom w:val="double" w:sz="1" w:space="0" w:color="000000"/>
            </w:tcBorders>
            <w:shd w:val="clear" w:color="auto" w:fill="F1CDD1"/>
          </w:tcPr>
          <w:p>
            <w:pPr>
              <w:pStyle w:val="TableParagraph"/>
              <w:ind w:left="108" w:right="282"/>
              <w:rPr>
                <w:sz w:val="22"/>
              </w:rPr>
            </w:pPr>
            <w:r>
              <w:rPr>
                <w:sz w:val="22"/>
              </w:rPr>
              <w:t>Of the initial 348 Pre- Vocational Services participants who were participating at the time of Washington State’s first Statewide Transition Plan submission to CMS in</w:t>
            </w:r>
            <w:r>
              <w:rPr>
                <w:spacing w:val="-11"/>
                <w:sz w:val="22"/>
              </w:rPr>
              <w:t> </w:t>
            </w:r>
            <w:r>
              <w:rPr>
                <w:sz w:val="22"/>
              </w:rPr>
              <w:t>March</w:t>
            </w:r>
          </w:p>
          <w:p>
            <w:pPr>
              <w:pStyle w:val="TableParagraph"/>
              <w:spacing w:line="255" w:lineRule="exact"/>
              <w:ind w:left="108"/>
              <w:rPr>
                <w:sz w:val="22"/>
              </w:rPr>
            </w:pPr>
            <w:r>
              <w:rPr>
                <w:sz w:val="22"/>
              </w:rPr>
              <w:t>2015, 200 have</w:t>
            </w:r>
            <w:r>
              <w:rPr>
                <w:spacing w:val="-12"/>
                <w:sz w:val="22"/>
              </w:rPr>
              <w:t> </w:t>
            </w:r>
            <w:r>
              <w:rPr>
                <w:sz w:val="22"/>
              </w:rPr>
              <w:t>transitioned</w:t>
            </w:r>
          </w:p>
        </w:tc>
        <w:tc>
          <w:tcPr>
            <w:tcW w:w="3593" w:type="dxa"/>
            <w:tcBorders>
              <w:bottom w:val="double" w:sz="1" w:space="0" w:color="000000"/>
            </w:tcBorders>
            <w:shd w:val="clear" w:color="auto" w:fill="F1CDD1"/>
          </w:tcPr>
          <w:p>
            <w:pPr>
              <w:pStyle w:val="TableParagraph"/>
              <w:ind w:left="105" w:right="413"/>
              <w:rPr>
                <w:sz w:val="22"/>
              </w:rPr>
            </w:pPr>
            <w:r>
              <w:rPr>
                <w:sz w:val="22"/>
              </w:rPr>
              <w:t>See Appendix E attachment titled: </w:t>
            </w:r>
            <w:hyperlink w:history="true" w:anchor="_bookmark54">
              <w:r>
                <w:rPr>
                  <w:color w:val="6B9F24"/>
                  <w:sz w:val="22"/>
                  <w:u w:val="single" w:color="6B9F24"/>
                </w:rPr>
                <w:t>Excerpt from ESSB 6052</w:t>
              </w:r>
            </w:hyperlink>
          </w:p>
        </w:tc>
      </w:tr>
    </w:tbl>
    <w:p>
      <w:pPr>
        <w:spacing w:after="0"/>
        <w:rPr>
          <w:sz w:val="22"/>
        </w:rPr>
        <w:sectPr>
          <w:footerReference w:type="default" r:id="rId143"/>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181"/>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9"/>
        <w:gridCol w:w="1349"/>
        <w:gridCol w:w="1351"/>
        <w:gridCol w:w="2947"/>
        <w:gridCol w:w="3593"/>
      </w:tblGrid>
      <w:tr>
        <w:trPr>
          <w:trHeight w:val="4297" w:hRule="atLeast"/>
        </w:trPr>
        <w:tc>
          <w:tcPr>
            <w:tcW w:w="3799" w:type="dxa"/>
            <w:shd w:val="clear" w:color="auto" w:fill="F1CDD1"/>
          </w:tcPr>
          <w:p>
            <w:pPr>
              <w:pStyle w:val="TableParagraph"/>
              <w:ind w:left="107" w:right="144"/>
              <w:rPr>
                <w:sz w:val="22"/>
              </w:rPr>
            </w:pPr>
            <w:r>
              <w:rPr>
                <w:sz w:val="22"/>
              </w:rPr>
              <w:t>DDA developed State Supplementary Payment option for participants leaving Pre-vocational services that grants eligible participants $300 per month to assist with their transition.</w:t>
            </w:r>
          </w:p>
        </w:tc>
        <w:tc>
          <w:tcPr>
            <w:tcW w:w="1349" w:type="dxa"/>
            <w:shd w:val="clear" w:color="auto" w:fill="F1CDD1"/>
          </w:tcPr>
          <w:p>
            <w:pPr>
              <w:pStyle w:val="TableParagraph"/>
              <w:rPr>
                <w:rFonts w:ascii="Times New Roman"/>
                <w:sz w:val="22"/>
              </w:rPr>
            </w:pPr>
          </w:p>
        </w:tc>
        <w:tc>
          <w:tcPr>
            <w:tcW w:w="1351" w:type="dxa"/>
            <w:shd w:val="clear" w:color="auto" w:fill="F1CDD1"/>
          </w:tcPr>
          <w:p>
            <w:pPr>
              <w:pStyle w:val="TableParagraph"/>
              <w:rPr>
                <w:rFonts w:ascii="Times New Roman"/>
                <w:sz w:val="22"/>
              </w:rPr>
            </w:pPr>
          </w:p>
        </w:tc>
        <w:tc>
          <w:tcPr>
            <w:tcW w:w="2947" w:type="dxa"/>
            <w:shd w:val="clear" w:color="auto" w:fill="F1CDD1"/>
          </w:tcPr>
          <w:p>
            <w:pPr>
              <w:pStyle w:val="TableParagraph"/>
              <w:ind w:left="108" w:right="108"/>
              <w:rPr>
                <w:sz w:val="22"/>
              </w:rPr>
            </w:pPr>
            <w:r>
              <w:rPr>
                <w:sz w:val="22"/>
              </w:rPr>
              <w:t>to other state plan and waiver services including Individual Supported Employment, Group Supported Employment, and Community Inclusion. Of these 200 participants, 46 have enrolled in State Supplementary Payment (SSP) for Pre- Vocational Services and receive funds to acquire additional services of their choice. 148 participants remain in Pre-Vocational Services and are working</w:t>
            </w:r>
          </w:p>
          <w:p>
            <w:pPr>
              <w:pStyle w:val="TableParagraph"/>
              <w:spacing w:line="249" w:lineRule="exact"/>
              <w:ind w:left="108"/>
              <w:rPr>
                <w:sz w:val="22"/>
              </w:rPr>
            </w:pPr>
            <w:r>
              <w:rPr>
                <w:sz w:val="22"/>
              </w:rPr>
              <w:t>toward being transitioned.</w:t>
            </w:r>
          </w:p>
        </w:tc>
        <w:tc>
          <w:tcPr>
            <w:tcW w:w="3593" w:type="dxa"/>
            <w:shd w:val="clear" w:color="auto" w:fill="F1CDD1"/>
          </w:tcPr>
          <w:p>
            <w:pPr>
              <w:pStyle w:val="TableParagraph"/>
              <w:rPr>
                <w:rFonts w:ascii="Times New Roman"/>
                <w:sz w:val="22"/>
              </w:rPr>
            </w:pPr>
          </w:p>
        </w:tc>
      </w:tr>
      <w:tr>
        <w:trPr>
          <w:trHeight w:val="2718" w:hRule="atLeast"/>
        </w:trPr>
        <w:tc>
          <w:tcPr>
            <w:tcW w:w="3799" w:type="dxa"/>
            <w:shd w:val="clear" w:color="auto" w:fill="D9EAD4"/>
          </w:tcPr>
          <w:p>
            <w:pPr>
              <w:pStyle w:val="TableParagraph"/>
              <w:ind w:left="107" w:right="146"/>
              <w:jc w:val="both"/>
              <w:rPr>
                <w:sz w:val="22"/>
              </w:rPr>
            </w:pPr>
            <w:r>
              <w:rPr>
                <w:sz w:val="22"/>
              </w:rPr>
              <w:t>DDA eliminated new admissions to pre- vocational services as currently defined effective September 1, 2015</w:t>
            </w:r>
          </w:p>
        </w:tc>
        <w:tc>
          <w:tcPr>
            <w:tcW w:w="1349" w:type="dxa"/>
            <w:shd w:val="clear" w:color="auto" w:fill="D9EAD4"/>
          </w:tcPr>
          <w:p>
            <w:pPr>
              <w:pStyle w:val="TableParagraph"/>
              <w:spacing w:line="268" w:lineRule="exact"/>
              <w:ind w:left="108"/>
              <w:rPr>
                <w:sz w:val="22"/>
              </w:rPr>
            </w:pPr>
            <w:r>
              <w:rPr>
                <w:sz w:val="22"/>
              </w:rPr>
              <w:t>07/01/2015</w:t>
            </w:r>
          </w:p>
        </w:tc>
        <w:tc>
          <w:tcPr>
            <w:tcW w:w="1351" w:type="dxa"/>
            <w:shd w:val="clear" w:color="auto" w:fill="D9EAD4"/>
          </w:tcPr>
          <w:p>
            <w:pPr>
              <w:pStyle w:val="TableParagraph"/>
              <w:spacing w:line="268" w:lineRule="exact"/>
              <w:ind w:left="107"/>
              <w:rPr>
                <w:sz w:val="22"/>
              </w:rPr>
            </w:pPr>
            <w:r>
              <w:rPr>
                <w:sz w:val="22"/>
              </w:rPr>
              <w:t>09/01/2015</w:t>
            </w:r>
          </w:p>
        </w:tc>
        <w:tc>
          <w:tcPr>
            <w:tcW w:w="2947" w:type="dxa"/>
            <w:shd w:val="clear" w:color="auto" w:fill="D9EAD4"/>
          </w:tcPr>
          <w:p>
            <w:pPr>
              <w:pStyle w:val="TableParagraph"/>
              <w:spacing w:line="268" w:lineRule="exact"/>
              <w:ind w:left="108"/>
              <w:rPr>
                <w:sz w:val="22"/>
              </w:rPr>
            </w:pPr>
            <w:r>
              <w:rPr>
                <w:sz w:val="22"/>
              </w:rPr>
              <w:t>Completed 9/1/15</w:t>
            </w:r>
          </w:p>
        </w:tc>
        <w:tc>
          <w:tcPr>
            <w:tcW w:w="3593" w:type="dxa"/>
            <w:shd w:val="clear" w:color="auto" w:fill="D9EAD4"/>
          </w:tcPr>
          <w:p>
            <w:pPr>
              <w:pStyle w:val="TableParagraph"/>
              <w:ind w:left="105" w:right="129"/>
              <w:rPr>
                <w:sz w:val="22"/>
              </w:rPr>
            </w:pPr>
            <w:r>
              <w:rPr>
                <w:sz w:val="22"/>
              </w:rPr>
              <w:t>DDA amended and received CMS approval for Basic Plus, Core and Community Protection waiver amendments to eliminate new admissions to pre-vocational services. See Appendix H attachment titled:</w:t>
            </w:r>
            <w:r>
              <w:rPr>
                <w:spacing w:val="48"/>
                <w:sz w:val="22"/>
              </w:rPr>
              <w:t> </w:t>
            </w:r>
            <w:r>
              <w:rPr>
                <w:sz w:val="22"/>
              </w:rPr>
              <w:t>:</w:t>
            </w:r>
          </w:p>
          <w:p>
            <w:pPr>
              <w:pStyle w:val="TableParagraph"/>
              <w:numPr>
                <w:ilvl w:val="0"/>
                <w:numId w:val="39"/>
              </w:numPr>
              <w:tabs>
                <w:tab w:pos="825" w:val="left" w:leader="none"/>
                <w:tab w:pos="826" w:val="left" w:leader="none"/>
              </w:tabs>
              <w:spacing w:line="280" w:lineRule="exact" w:before="0" w:after="0"/>
              <w:ind w:left="825" w:right="0" w:hanging="361"/>
              <w:jc w:val="left"/>
              <w:rPr>
                <w:sz w:val="22"/>
              </w:rPr>
            </w:pPr>
            <w:hyperlink w:history="true" w:anchor="_bookmark62">
              <w:r>
                <w:rPr>
                  <w:color w:val="6B9F24"/>
                  <w:sz w:val="22"/>
                  <w:u w:val="single" w:color="6B9F24"/>
                </w:rPr>
                <w:t>WA</w:t>
              </w:r>
              <w:r>
                <w:rPr>
                  <w:color w:val="6B9F24"/>
                  <w:spacing w:val="-4"/>
                  <w:sz w:val="22"/>
                  <w:u w:val="single" w:color="6B9F24"/>
                </w:rPr>
                <w:t> </w:t>
              </w:r>
              <w:r>
                <w:rPr>
                  <w:color w:val="6B9F24"/>
                  <w:sz w:val="22"/>
                  <w:u w:val="single" w:color="6B9F24"/>
                </w:rPr>
                <w:t>0409</w:t>
              </w:r>
            </w:hyperlink>
          </w:p>
          <w:p>
            <w:pPr>
              <w:pStyle w:val="TableParagraph"/>
              <w:numPr>
                <w:ilvl w:val="0"/>
                <w:numId w:val="39"/>
              </w:numPr>
              <w:tabs>
                <w:tab w:pos="825" w:val="left" w:leader="none"/>
                <w:tab w:pos="826" w:val="left" w:leader="none"/>
              </w:tabs>
              <w:spacing w:line="279" w:lineRule="exact" w:before="0" w:after="0"/>
              <w:ind w:left="825" w:right="0" w:hanging="361"/>
              <w:jc w:val="left"/>
              <w:rPr>
                <w:sz w:val="22"/>
              </w:rPr>
            </w:pPr>
            <w:hyperlink w:history="true" w:anchor="_bookmark63">
              <w:r>
                <w:rPr>
                  <w:color w:val="6B9F24"/>
                  <w:sz w:val="22"/>
                  <w:u w:val="single" w:color="6B9F24"/>
                </w:rPr>
                <w:t>WA</w:t>
              </w:r>
              <w:r>
                <w:rPr>
                  <w:color w:val="6B9F24"/>
                  <w:spacing w:val="-4"/>
                  <w:sz w:val="22"/>
                  <w:u w:val="single" w:color="6B9F24"/>
                </w:rPr>
                <w:t> </w:t>
              </w:r>
              <w:r>
                <w:rPr>
                  <w:color w:val="6B9F24"/>
                  <w:sz w:val="22"/>
                  <w:u w:val="single" w:color="6B9F24"/>
                </w:rPr>
                <w:t>0410</w:t>
              </w:r>
            </w:hyperlink>
          </w:p>
          <w:p>
            <w:pPr>
              <w:pStyle w:val="TableParagraph"/>
              <w:numPr>
                <w:ilvl w:val="0"/>
                <w:numId w:val="39"/>
              </w:numPr>
              <w:tabs>
                <w:tab w:pos="825" w:val="left" w:leader="none"/>
                <w:tab w:pos="826" w:val="left" w:leader="none"/>
              </w:tabs>
              <w:spacing w:line="260" w:lineRule="exact" w:before="0" w:after="0"/>
              <w:ind w:left="825" w:right="0" w:hanging="361"/>
              <w:jc w:val="left"/>
              <w:rPr>
                <w:sz w:val="22"/>
              </w:rPr>
            </w:pPr>
            <w:hyperlink w:history="true" w:anchor="_bookmark64">
              <w:r>
                <w:rPr>
                  <w:color w:val="6B9F24"/>
                  <w:sz w:val="22"/>
                  <w:u w:val="single" w:color="6B9F24"/>
                </w:rPr>
                <w:t>WA</w:t>
              </w:r>
              <w:r>
                <w:rPr>
                  <w:color w:val="6B9F24"/>
                  <w:spacing w:val="-4"/>
                  <w:sz w:val="22"/>
                  <w:u w:val="single" w:color="6B9F24"/>
                </w:rPr>
                <w:t> </w:t>
              </w:r>
              <w:r>
                <w:rPr>
                  <w:color w:val="6B9F24"/>
                  <w:sz w:val="22"/>
                  <w:u w:val="single" w:color="6B9F24"/>
                </w:rPr>
                <w:t>0411</w:t>
              </w:r>
            </w:hyperlink>
          </w:p>
        </w:tc>
      </w:tr>
      <w:tr>
        <w:trPr>
          <w:trHeight w:val="1881" w:hRule="atLeast"/>
        </w:trPr>
        <w:tc>
          <w:tcPr>
            <w:tcW w:w="3799" w:type="dxa"/>
            <w:shd w:val="clear" w:color="auto" w:fill="D9EAD4"/>
          </w:tcPr>
          <w:p>
            <w:pPr>
              <w:pStyle w:val="TableParagraph"/>
              <w:ind w:left="107" w:right="746"/>
              <w:rPr>
                <w:sz w:val="22"/>
              </w:rPr>
            </w:pPr>
            <w:r>
              <w:rPr>
                <w:sz w:val="22"/>
              </w:rPr>
              <w:t>State has drafted an overarching relocation plan</w:t>
            </w:r>
          </w:p>
        </w:tc>
        <w:tc>
          <w:tcPr>
            <w:tcW w:w="1349" w:type="dxa"/>
            <w:shd w:val="clear" w:color="auto" w:fill="D9EAD4"/>
          </w:tcPr>
          <w:p>
            <w:pPr>
              <w:pStyle w:val="TableParagraph"/>
              <w:spacing w:line="268" w:lineRule="exact"/>
              <w:ind w:left="108"/>
              <w:rPr>
                <w:sz w:val="22"/>
              </w:rPr>
            </w:pPr>
            <w:r>
              <w:rPr>
                <w:sz w:val="22"/>
              </w:rPr>
              <w:t>7/1/2016</w:t>
            </w:r>
          </w:p>
        </w:tc>
        <w:tc>
          <w:tcPr>
            <w:tcW w:w="1351" w:type="dxa"/>
            <w:shd w:val="clear" w:color="auto" w:fill="D9EAD4"/>
          </w:tcPr>
          <w:p>
            <w:pPr>
              <w:pStyle w:val="TableParagraph"/>
              <w:spacing w:line="268" w:lineRule="exact"/>
              <w:ind w:left="107"/>
              <w:rPr>
                <w:sz w:val="22"/>
              </w:rPr>
            </w:pPr>
            <w:r>
              <w:rPr>
                <w:sz w:val="22"/>
              </w:rPr>
              <w:t>1/1/2017</w:t>
            </w:r>
          </w:p>
        </w:tc>
        <w:tc>
          <w:tcPr>
            <w:tcW w:w="2947" w:type="dxa"/>
            <w:shd w:val="clear" w:color="auto" w:fill="D9EAD4"/>
          </w:tcPr>
          <w:p>
            <w:pPr>
              <w:pStyle w:val="TableParagraph"/>
              <w:spacing w:line="268" w:lineRule="exact"/>
              <w:ind w:left="108"/>
              <w:rPr>
                <w:sz w:val="22"/>
              </w:rPr>
            </w:pPr>
            <w:r>
              <w:rPr>
                <w:sz w:val="22"/>
              </w:rPr>
              <w:t>11/4/2016</w:t>
            </w:r>
          </w:p>
        </w:tc>
        <w:tc>
          <w:tcPr>
            <w:tcW w:w="3593" w:type="dxa"/>
            <w:shd w:val="clear" w:color="auto" w:fill="D9EAD4"/>
          </w:tcPr>
          <w:p>
            <w:pPr>
              <w:pStyle w:val="TableParagraph"/>
              <w:spacing w:line="268" w:lineRule="exact"/>
              <w:ind w:left="105"/>
              <w:rPr>
                <w:i/>
                <w:sz w:val="22"/>
              </w:rPr>
            </w:pPr>
            <w:r>
              <w:rPr>
                <w:i/>
                <w:sz w:val="22"/>
                <w:u w:val="single"/>
              </w:rPr>
              <w:t>Draft relocation plan</w:t>
            </w:r>
          </w:p>
          <w:p>
            <w:pPr>
              <w:pStyle w:val="TableParagraph"/>
              <w:spacing w:line="270" w:lineRule="atLeast"/>
              <w:ind w:left="105" w:right="219"/>
              <w:rPr>
                <w:sz w:val="22"/>
              </w:rPr>
            </w:pPr>
            <w:r>
              <w:rPr>
                <w:sz w:val="22"/>
              </w:rPr>
              <w:t>The State has a draft relocation plan for participants who participate in a site that is found not to be a home and community-based site based upon the heighted scrutiny process. Steps in this plan include:</w:t>
            </w:r>
          </w:p>
        </w:tc>
      </w:tr>
    </w:tbl>
    <w:p>
      <w:pPr>
        <w:pStyle w:val="BodyText"/>
        <w:spacing w:before="4"/>
        <w:rPr>
          <w:b/>
          <w:sz w:val="20"/>
        </w:rPr>
      </w:pPr>
      <w:r>
        <w:rPr/>
        <w:pict>
          <v:shape style="position:absolute;margin-left:70.559998pt;margin-top:14.6395pt;width:650.9pt;height:.1pt;mso-position-horizontal-relative:page;mso-position-vertical-relative:paragraph;z-index:-251462656;mso-wrap-distance-left:0;mso-wrap-distance-right:0" coordorigin="1411,293" coordsize="13018,0" path="m1411,293l14429,293e" filled="false" stroked="true" strokeweight=".481pt" strokecolor="#d9d9d9">
            <v:path arrowok="t"/>
            <v:stroke dashstyle="solid"/>
            <w10:wrap type="topAndBottom"/>
          </v:shape>
        </w:pict>
      </w:r>
    </w:p>
    <w:p>
      <w:pPr>
        <w:spacing w:after="0"/>
        <w:rPr>
          <w:sz w:val="20"/>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9"/>
        <w:gridCol w:w="1349"/>
        <w:gridCol w:w="1351"/>
        <w:gridCol w:w="2947"/>
        <w:gridCol w:w="3593"/>
      </w:tblGrid>
      <w:tr>
        <w:trPr>
          <w:trHeight w:val="6597" w:hRule="atLeast"/>
        </w:trPr>
        <w:tc>
          <w:tcPr>
            <w:tcW w:w="3799" w:type="dxa"/>
            <w:shd w:val="clear" w:color="auto" w:fill="D9EAD4"/>
          </w:tcPr>
          <w:p>
            <w:pPr>
              <w:pStyle w:val="TableParagraph"/>
              <w:rPr>
                <w:rFonts w:ascii="Times New Roman"/>
                <w:sz w:val="22"/>
              </w:rPr>
            </w:pPr>
          </w:p>
        </w:tc>
        <w:tc>
          <w:tcPr>
            <w:tcW w:w="1349" w:type="dxa"/>
            <w:shd w:val="clear" w:color="auto" w:fill="D9EAD4"/>
          </w:tcPr>
          <w:p>
            <w:pPr>
              <w:pStyle w:val="TableParagraph"/>
              <w:rPr>
                <w:rFonts w:ascii="Times New Roman"/>
                <w:sz w:val="22"/>
              </w:rPr>
            </w:pPr>
          </w:p>
        </w:tc>
        <w:tc>
          <w:tcPr>
            <w:tcW w:w="1351" w:type="dxa"/>
            <w:shd w:val="clear" w:color="auto" w:fill="D9EAD4"/>
          </w:tcPr>
          <w:p>
            <w:pPr>
              <w:pStyle w:val="TableParagraph"/>
              <w:rPr>
                <w:rFonts w:ascii="Times New Roman"/>
                <w:sz w:val="22"/>
              </w:rPr>
            </w:pPr>
          </w:p>
        </w:tc>
        <w:tc>
          <w:tcPr>
            <w:tcW w:w="2947" w:type="dxa"/>
            <w:shd w:val="clear" w:color="auto" w:fill="D9EAD4"/>
          </w:tcPr>
          <w:p>
            <w:pPr>
              <w:pStyle w:val="TableParagraph"/>
              <w:rPr>
                <w:rFonts w:ascii="Times New Roman"/>
                <w:sz w:val="22"/>
              </w:rPr>
            </w:pPr>
          </w:p>
        </w:tc>
        <w:tc>
          <w:tcPr>
            <w:tcW w:w="3593" w:type="dxa"/>
            <w:shd w:val="clear" w:color="auto" w:fill="D9EAD4"/>
          </w:tcPr>
          <w:p>
            <w:pPr>
              <w:pStyle w:val="TableParagraph"/>
              <w:numPr>
                <w:ilvl w:val="0"/>
                <w:numId w:val="40"/>
              </w:numPr>
              <w:tabs>
                <w:tab w:pos="449" w:val="left" w:leader="none"/>
              </w:tabs>
              <w:spacing w:line="235" w:lineRule="auto" w:before="4" w:after="0"/>
              <w:ind w:left="449" w:right="99" w:hanging="288"/>
              <w:jc w:val="left"/>
              <w:rPr>
                <w:sz w:val="22"/>
              </w:rPr>
            </w:pPr>
            <w:r>
              <w:rPr>
                <w:sz w:val="22"/>
              </w:rPr>
              <w:t>Completion of a heighted scrutiny process for a specific</w:t>
            </w:r>
            <w:r>
              <w:rPr>
                <w:spacing w:val="-5"/>
                <w:sz w:val="22"/>
              </w:rPr>
              <w:t> </w:t>
            </w:r>
            <w:r>
              <w:rPr>
                <w:sz w:val="22"/>
              </w:rPr>
              <w:t>site;</w:t>
            </w:r>
          </w:p>
          <w:p>
            <w:pPr>
              <w:pStyle w:val="TableParagraph"/>
              <w:numPr>
                <w:ilvl w:val="0"/>
                <w:numId w:val="40"/>
              </w:numPr>
              <w:tabs>
                <w:tab w:pos="449" w:val="left" w:leader="none"/>
              </w:tabs>
              <w:spacing w:line="237" w:lineRule="auto" w:before="4" w:after="0"/>
              <w:ind w:left="449" w:right="440" w:hanging="288"/>
              <w:jc w:val="left"/>
              <w:rPr>
                <w:sz w:val="22"/>
              </w:rPr>
            </w:pPr>
            <w:r>
              <w:rPr>
                <w:sz w:val="22"/>
              </w:rPr>
              <w:t>Finding that the specific site is not a home and community- based</w:t>
            </w:r>
            <w:r>
              <w:rPr>
                <w:spacing w:val="-2"/>
                <w:sz w:val="22"/>
              </w:rPr>
              <w:t> </w:t>
            </w:r>
            <w:r>
              <w:rPr>
                <w:sz w:val="22"/>
              </w:rPr>
              <w:t>site;</w:t>
            </w:r>
          </w:p>
          <w:p>
            <w:pPr>
              <w:pStyle w:val="TableParagraph"/>
              <w:numPr>
                <w:ilvl w:val="0"/>
                <w:numId w:val="40"/>
              </w:numPr>
              <w:tabs>
                <w:tab w:pos="449" w:val="left" w:leader="none"/>
              </w:tabs>
              <w:spacing w:line="240" w:lineRule="auto" w:before="0" w:after="0"/>
              <w:ind w:left="449" w:right="127" w:hanging="288"/>
              <w:jc w:val="left"/>
              <w:rPr>
                <w:sz w:val="22"/>
              </w:rPr>
            </w:pPr>
            <w:r>
              <w:rPr>
                <w:sz w:val="22"/>
              </w:rPr>
              <w:t>Notification to the participant and their NSA that relocation to a home and community-based site or termination of the service at the non-home and community- based site is</w:t>
            </w:r>
            <w:r>
              <w:rPr>
                <w:spacing w:val="-4"/>
                <w:sz w:val="22"/>
              </w:rPr>
              <w:t> </w:t>
            </w:r>
            <w:r>
              <w:rPr>
                <w:sz w:val="22"/>
              </w:rPr>
              <w:t>required;</w:t>
            </w:r>
          </w:p>
          <w:p>
            <w:pPr>
              <w:pStyle w:val="TableParagraph"/>
              <w:numPr>
                <w:ilvl w:val="0"/>
                <w:numId w:val="40"/>
              </w:numPr>
              <w:tabs>
                <w:tab w:pos="449" w:val="left" w:leader="none"/>
              </w:tabs>
              <w:spacing w:line="237" w:lineRule="auto" w:before="0" w:after="0"/>
              <w:ind w:left="449" w:right="184" w:hanging="288"/>
              <w:jc w:val="left"/>
              <w:rPr>
                <w:sz w:val="22"/>
              </w:rPr>
            </w:pPr>
            <w:r>
              <w:rPr>
                <w:sz w:val="22"/>
              </w:rPr>
              <w:t>Relocation assistance is provided to the participant to explore alternatives;</w:t>
            </w:r>
          </w:p>
          <w:p>
            <w:pPr>
              <w:pStyle w:val="TableParagraph"/>
              <w:numPr>
                <w:ilvl w:val="0"/>
                <w:numId w:val="40"/>
              </w:numPr>
              <w:tabs>
                <w:tab w:pos="449" w:val="left" w:leader="none"/>
              </w:tabs>
              <w:spacing w:line="235" w:lineRule="auto" w:before="1" w:after="0"/>
              <w:ind w:left="449" w:right="485" w:hanging="288"/>
              <w:jc w:val="left"/>
              <w:rPr>
                <w:sz w:val="22"/>
              </w:rPr>
            </w:pPr>
            <w:r>
              <w:rPr>
                <w:sz w:val="22"/>
              </w:rPr>
              <w:t>A written plan of relocation is developed and agreed</w:t>
            </w:r>
            <w:r>
              <w:rPr>
                <w:spacing w:val="-7"/>
                <w:sz w:val="22"/>
              </w:rPr>
              <w:t> </w:t>
            </w:r>
            <w:r>
              <w:rPr>
                <w:sz w:val="22"/>
              </w:rPr>
              <w:t>upon;</w:t>
            </w:r>
          </w:p>
          <w:p>
            <w:pPr>
              <w:pStyle w:val="TableParagraph"/>
              <w:numPr>
                <w:ilvl w:val="0"/>
                <w:numId w:val="40"/>
              </w:numPr>
              <w:tabs>
                <w:tab w:pos="449" w:val="left" w:leader="none"/>
              </w:tabs>
              <w:spacing w:line="237" w:lineRule="auto" w:before="4" w:after="0"/>
              <w:ind w:left="449" w:right="345" w:hanging="288"/>
              <w:jc w:val="left"/>
              <w:rPr>
                <w:sz w:val="22"/>
              </w:rPr>
            </w:pPr>
            <w:r>
              <w:rPr>
                <w:sz w:val="22"/>
              </w:rPr>
              <w:t>Person-centered service plan is modified to incorporate the relocation</w:t>
            </w:r>
            <w:r>
              <w:rPr>
                <w:spacing w:val="-2"/>
                <w:sz w:val="22"/>
              </w:rPr>
              <w:t> </w:t>
            </w:r>
            <w:r>
              <w:rPr>
                <w:sz w:val="22"/>
              </w:rPr>
              <w:t>plan;</w:t>
            </w:r>
          </w:p>
          <w:p>
            <w:pPr>
              <w:pStyle w:val="TableParagraph"/>
              <w:numPr>
                <w:ilvl w:val="0"/>
                <w:numId w:val="40"/>
              </w:numPr>
              <w:tabs>
                <w:tab w:pos="449" w:val="left" w:leader="none"/>
              </w:tabs>
              <w:spacing w:line="235" w:lineRule="auto" w:before="6" w:after="0"/>
              <w:ind w:left="449" w:right="307" w:hanging="288"/>
              <w:jc w:val="left"/>
              <w:rPr>
                <w:sz w:val="22"/>
              </w:rPr>
            </w:pPr>
            <w:r>
              <w:rPr>
                <w:sz w:val="22"/>
              </w:rPr>
              <w:t>Relocation plan is implemented as planned; and</w:t>
            </w:r>
          </w:p>
          <w:p>
            <w:pPr>
              <w:pStyle w:val="TableParagraph"/>
              <w:numPr>
                <w:ilvl w:val="0"/>
                <w:numId w:val="40"/>
              </w:numPr>
              <w:tabs>
                <w:tab w:pos="449" w:val="left" w:leader="none"/>
              </w:tabs>
              <w:spacing w:line="268" w:lineRule="exact" w:before="14" w:after="0"/>
              <w:ind w:left="449" w:right="372" w:hanging="288"/>
              <w:jc w:val="left"/>
              <w:rPr>
                <w:sz w:val="22"/>
              </w:rPr>
            </w:pPr>
            <w:r>
              <w:rPr>
                <w:sz w:val="22"/>
              </w:rPr>
              <w:t>Follow-up by quality assurance staff to ensure successful completion of relocation</w:t>
            </w:r>
            <w:r>
              <w:rPr>
                <w:spacing w:val="-9"/>
                <w:sz w:val="22"/>
              </w:rPr>
              <w:t> </w:t>
            </w:r>
            <w:r>
              <w:rPr>
                <w:sz w:val="22"/>
              </w:rPr>
              <w:t>plan.</w:t>
            </w:r>
          </w:p>
        </w:tc>
      </w:tr>
      <w:tr>
        <w:trPr>
          <w:trHeight w:val="2150" w:hRule="atLeast"/>
        </w:trPr>
        <w:tc>
          <w:tcPr>
            <w:tcW w:w="3799" w:type="dxa"/>
            <w:shd w:val="clear" w:color="auto" w:fill="D9EAD4"/>
          </w:tcPr>
          <w:p>
            <w:pPr>
              <w:pStyle w:val="TableParagraph"/>
              <w:ind w:left="107" w:right="221"/>
              <w:rPr>
                <w:sz w:val="22"/>
              </w:rPr>
            </w:pPr>
            <w:r>
              <w:rPr>
                <w:sz w:val="22"/>
              </w:rPr>
              <w:t>DDA will require counties to work with pre-vocational service providers to develop agency transformation plans</w:t>
            </w:r>
          </w:p>
        </w:tc>
        <w:tc>
          <w:tcPr>
            <w:tcW w:w="1349" w:type="dxa"/>
            <w:shd w:val="clear" w:color="auto" w:fill="D9EAD4"/>
          </w:tcPr>
          <w:p>
            <w:pPr>
              <w:pStyle w:val="TableParagraph"/>
              <w:spacing w:line="268" w:lineRule="exact"/>
              <w:ind w:left="108"/>
              <w:rPr>
                <w:sz w:val="22"/>
              </w:rPr>
            </w:pPr>
            <w:r>
              <w:rPr>
                <w:sz w:val="22"/>
              </w:rPr>
              <w:t>7/1/2015</w:t>
            </w:r>
          </w:p>
        </w:tc>
        <w:tc>
          <w:tcPr>
            <w:tcW w:w="1351" w:type="dxa"/>
            <w:shd w:val="clear" w:color="auto" w:fill="D9EAD4"/>
          </w:tcPr>
          <w:p>
            <w:pPr>
              <w:pStyle w:val="TableParagraph"/>
              <w:spacing w:line="268" w:lineRule="exact"/>
              <w:ind w:left="107"/>
              <w:rPr>
                <w:sz w:val="22"/>
              </w:rPr>
            </w:pPr>
            <w:r>
              <w:rPr>
                <w:sz w:val="22"/>
              </w:rPr>
              <w:t>7/1/2017</w:t>
            </w:r>
          </w:p>
        </w:tc>
        <w:tc>
          <w:tcPr>
            <w:tcW w:w="2947" w:type="dxa"/>
            <w:shd w:val="clear" w:color="auto" w:fill="D9EAD4"/>
          </w:tcPr>
          <w:p>
            <w:pPr>
              <w:pStyle w:val="TableParagraph"/>
              <w:ind w:left="108" w:right="273"/>
              <w:rPr>
                <w:sz w:val="22"/>
              </w:rPr>
            </w:pPr>
            <w:r>
              <w:rPr>
                <w:sz w:val="22"/>
              </w:rPr>
              <w:t>Three Pre-vocational service providers are working with their counties to develop agency transformation plans—contracts were completed 7/1/15 and new contracts completed 7/1/17</w:t>
            </w:r>
          </w:p>
        </w:tc>
        <w:tc>
          <w:tcPr>
            <w:tcW w:w="3593" w:type="dxa"/>
            <w:shd w:val="clear" w:color="auto" w:fill="D9EAD4"/>
          </w:tcPr>
          <w:p>
            <w:pPr>
              <w:pStyle w:val="TableParagraph"/>
              <w:ind w:left="105" w:right="193"/>
              <w:rPr>
                <w:sz w:val="22"/>
              </w:rPr>
            </w:pPr>
            <w:r>
              <w:rPr>
                <w:sz w:val="22"/>
              </w:rPr>
              <w:t>DDA has contracted consultant, Washington Initiative, for Supported Employment (WISE) to work with counties and providers to develop agency transformation plan (Statement of Work #5 &amp; #8).</w:t>
            </w:r>
          </w:p>
          <w:p>
            <w:pPr>
              <w:pStyle w:val="TableParagraph"/>
              <w:spacing w:line="270" w:lineRule="atLeast"/>
              <w:ind w:left="105" w:right="363" w:firstLine="50"/>
              <w:rPr>
                <w:sz w:val="22"/>
              </w:rPr>
            </w:pPr>
            <w:r>
              <w:rPr>
                <w:sz w:val="22"/>
              </w:rPr>
              <w:t>See Appendix E attachment titled: </w:t>
            </w:r>
            <w:hyperlink w:history="true" w:anchor="_bookmark56">
              <w:r>
                <w:rPr>
                  <w:color w:val="6B9F24"/>
                  <w:sz w:val="22"/>
                  <w:u w:val="single" w:color="6B9F24"/>
                </w:rPr>
                <w:t>Excerpt from WISE Contract</w:t>
              </w:r>
            </w:hyperlink>
          </w:p>
        </w:tc>
      </w:tr>
    </w:tbl>
    <w:p>
      <w:pPr>
        <w:pStyle w:val="BodyText"/>
        <w:rPr>
          <w:b/>
          <w:sz w:val="20"/>
        </w:rPr>
      </w:pPr>
    </w:p>
    <w:p>
      <w:pPr>
        <w:pStyle w:val="BodyText"/>
        <w:spacing w:before="6"/>
        <w:rPr>
          <w:b/>
          <w:sz w:val="13"/>
        </w:rPr>
      </w:pPr>
      <w:r>
        <w:rPr/>
        <w:pict>
          <v:shape style="position:absolute;margin-left:70.559998pt;margin-top:10.472468pt;width:650.9pt;height:.1pt;mso-position-horizontal-relative:page;mso-position-vertical-relative:paragraph;z-index:-251461632;mso-wrap-distance-left:0;mso-wrap-distance-right:0" coordorigin="1411,209" coordsize="13018,0" path="m1411,209l14429,209e" filled="false" stroked="true" strokeweight=".481pt" strokecolor="#d9d9d9">
            <v:path arrowok="t"/>
            <v:stroke dashstyle="solid"/>
            <w10:wrap type="topAndBottom"/>
          </v:shape>
        </w:pict>
      </w:r>
    </w:p>
    <w:p>
      <w:pPr>
        <w:spacing w:after="0"/>
        <w:rPr>
          <w:sz w:val="13"/>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9"/>
        <w:gridCol w:w="1349"/>
        <w:gridCol w:w="1351"/>
        <w:gridCol w:w="2947"/>
        <w:gridCol w:w="3593"/>
      </w:tblGrid>
      <w:tr>
        <w:trPr>
          <w:trHeight w:val="1878" w:hRule="atLeast"/>
        </w:trPr>
        <w:tc>
          <w:tcPr>
            <w:tcW w:w="3799" w:type="dxa"/>
            <w:shd w:val="clear" w:color="auto" w:fill="D9EAD4"/>
          </w:tcPr>
          <w:p>
            <w:pPr>
              <w:pStyle w:val="TableParagraph"/>
              <w:ind w:left="107" w:right="219"/>
              <w:rPr>
                <w:sz w:val="22"/>
              </w:rPr>
            </w:pPr>
            <w:r>
              <w:rPr>
                <w:sz w:val="22"/>
              </w:rPr>
              <w:t>DDA will require counties to work with pre-vocational service providers to assure each person has a solid person- centered employment plan</w:t>
            </w:r>
          </w:p>
        </w:tc>
        <w:tc>
          <w:tcPr>
            <w:tcW w:w="1349" w:type="dxa"/>
            <w:shd w:val="clear" w:color="auto" w:fill="D9EAD4"/>
          </w:tcPr>
          <w:p>
            <w:pPr>
              <w:pStyle w:val="TableParagraph"/>
              <w:spacing w:line="268" w:lineRule="exact"/>
              <w:ind w:left="108"/>
              <w:rPr>
                <w:sz w:val="22"/>
              </w:rPr>
            </w:pPr>
            <w:r>
              <w:rPr>
                <w:sz w:val="22"/>
              </w:rPr>
              <w:t>7/1/2015</w:t>
            </w:r>
          </w:p>
        </w:tc>
        <w:tc>
          <w:tcPr>
            <w:tcW w:w="1351" w:type="dxa"/>
            <w:shd w:val="clear" w:color="auto" w:fill="D9EAD4"/>
          </w:tcPr>
          <w:p>
            <w:pPr>
              <w:pStyle w:val="TableParagraph"/>
              <w:spacing w:line="268" w:lineRule="exact"/>
              <w:ind w:left="107"/>
              <w:rPr>
                <w:sz w:val="22"/>
              </w:rPr>
            </w:pPr>
            <w:r>
              <w:rPr>
                <w:sz w:val="22"/>
              </w:rPr>
              <w:t>1/1/2017</w:t>
            </w:r>
          </w:p>
        </w:tc>
        <w:tc>
          <w:tcPr>
            <w:tcW w:w="2947" w:type="dxa"/>
            <w:shd w:val="clear" w:color="auto" w:fill="D9EAD4"/>
          </w:tcPr>
          <w:p>
            <w:pPr>
              <w:pStyle w:val="TableParagraph"/>
              <w:ind w:left="108" w:right="144"/>
              <w:rPr>
                <w:sz w:val="22"/>
              </w:rPr>
            </w:pPr>
            <w:r>
              <w:rPr>
                <w:sz w:val="22"/>
              </w:rPr>
              <w:t>DDA’s contracts with counties require providers to assure each person has a solid person-centered employment plan—contracts were completed 7/1/15 and new</w:t>
            </w:r>
          </w:p>
          <w:p>
            <w:pPr>
              <w:pStyle w:val="TableParagraph"/>
              <w:spacing w:line="248" w:lineRule="exact"/>
              <w:ind w:left="108"/>
              <w:rPr>
                <w:sz w:val="22"/>
              </w:rPr>
            </w:pPr>
            <w:r>
              <w:rPr>
                <w:sz w:val="22"/>
              </w:rPr>
              <w:t>contracts completed 7/1/17</w:t>
            </w:r>
          </w:p>
        </w:tc>
        <w:tc>
          <w:tcPr>
            <w:tcW w:w="3593" w:type="dxa"/>
            <w:shd w:val="clear" w:color="auto" w:fill="D9EAD4"/>
          </w:tcPr>
          <w:p>
            <w:pPr>
              <w:pStyle w:val="TableParagraph"/>
              <w:ind w:left="105" w:right="95"/>
              <w:rPr>
                <w:sz w:val="22"/>
              </w:rPr>
            </w:pPr>
            <w:r>
              <w:rPr>
                <w:sz w:val="22"/>
              </w:rPr>
              <w:t>DDA’s County Services Contract for 2015-2017--See Appendix E attachment titled: </w:t>
            </w:r>
            <w:hyperlink w:history="true" w:anchor="_bookmark53">
              <w:r>
                <w:rPr>
                  <w:color w:val="6B9F24"/>
                  <w:sz w:val="22"/>
                  <w:u w:val="single" w:color="6B9F24"/>
                </w:rPr>
                <w:t>Excerpt from DDA</w:t>
              </w:r>
            </w:hyperlink>
            <w:r>
              <w:rPr>
                <w:color w:val="6B9F24"/>
                <w:sz w:val="22"/>
              </w:rPr>
              <w:t> </w:t>
            </w:r>
            <w:hyperlink w:history="true" w:anchor="_bookmark53">
              <w:r>
                <w:rPr>
                  <w:color w:val="6B9F24"/>
                  <w:sz w:val="22"/>
                  <w:u w:val="single" w:color="6B9F24"/>
                </w:rPr>
                <w:t>County Services Contract</w:t>
              </w:r>
            </w:hyperlink>
          </w:p>
        </w:tc>
      </w:tr>
      <w:tr>
        <w:trPr>
          <w:trHeight w:val="2418" w:hRule="atLeast"/>
        </w:trPr>
        <w:tc>
          <w:tcPr>
            <w:tcW w:w="3799" w:type="dxa"/>
            <w:shd w:val="clear" w:color="auto" w:fill="D9EAD4"/>
          </w:tcPr>
          <w:p>
            <w:pPr>
              <w:pStyle w:val="TableParagraph"/>
              <w:spacing w:before="1"/>
              <w:ind w:left="107" w:right="221"/>
              <w:rPr>
                <w:sz w:val="22"/>
              </w:rPr>
            </w:pPr>
            <w:r>
              <w:rPr>
                <w:sz w:val="22"/>
              </w:rPr>
              <w:t>DDA will require counties to work with pre-vocational service providers to utilize Individualized Technical Assistance (ITA) as necessary</w:t>
            </w:r>
          </w:p>
        </w:tc>
        <w:tc>
          <w:tcPr>
            <w:tcW w:w="1349" w:type="dxa"/>
            <w:shd w:val="clear" w:color="auto" w:fill="D9EAD4"/>
          </w:tcPr>
          <w:p>
            <w:pPr>
              <w:pStyle w:val="TableParagraph"/>
              <w:spacing w:before="1"/>
              <w:ind w:left="108"/>
              <w:rPr>
                <w:sz w:val="22"/>
              </w:rPr>
            </w:pPr>
            <w:r>
              <w:rPr>
                <w:sz w:val="22"/>
              </w:rPr>
              <w:t>7/1/2015</w:t>
            </w:r>
          </w:p>
        </w:tc>
        <w:tc>
          <w:tcPr>
            <w:tcW w:w="1351" w:type="dxa"/>
            <w:shd w:val="clear" w:color="auto" w:fill="D9EAD4"/>
          </w:tcPr>
          <w:p>
            <w:pPr>
              <w:pStyle w:val="TableParagraph"/>
              <w:spacing w:before="1"/>
              <w:ind w:left="107"/>
              <w:rPr>
                <w:sz w:val="22"/>
              </w:rPr>
            </w:pPr>
            <w:r>
              <w:rPr>
                <w:sz w:val="22"/>
              </w:rPr>
              <w:t>1/1/2017</w:t>
            </w:r>
          </w:p>
        </w:tc>
        <w:tc>
          <w:tcPr>
            <w:tcW w:w="2947" w:type="dxa"/>
            <w:shd w:val="clear" w:color="auto" w:fill="D9EAD4"/>
          </w:tcPr>
          <w:p>
            <w:pPr>
              <w:pStyle w:val="TableParagraph"/>
              <w:spacing w:before="1"/>
              <w:ind w:left="108" w:right="130"/>
              <w:rPr>
                <w:sz w:val="22"/>
              </w:rPr>
            </w:pPr>
            <w:r>
              <w:rPr>
                <w:sz w:val="22"/>
              </w:rPr>
              <w:t>DDA’s contracts with counties will require counties to work with pre-vocational service providers to utilized Individualized Technical Assistance (ITA) as necessary—contracts were completed 7/1/15 and new</w:t>
            </w:r>
          </w:p>
          <w:p>
            <w:pPr>
              <w:pStyle w:val="TableParagraph"/>
              <w:spacing w:line="249" w:lineRule="exact"/>
              <w:ind w:left="108"/>
              <w:rPr>
                <w:sz w:val="22"/>
              </w:rPr>
            </w:pPr>
            <w:r>
              <w:rPr>
                <w:sz w:val="22"/>
              </w:rPr>
              <w:t>contracts completed 7/1/17</w:t>
            </w:r>
          </w:p>
        </w:tc>
        <w:tc>
          <w:tcPr>
            <w:tcW w:w="3593" w:type="dxa"/>
            <w:shd w:val="clear" w:color="auto" w:fill="D9EAD4"/>
          </w:tcPr>
          <w:p>
            <w:pPr>
              <w:pStyle w:val="TableParagraph"/>
              <w:spacing w:before="1"/>
              <w:ind w:left="105" w:right="95"/>
              <w:rPr>
                <w:sz w:val="22"/>
              </w:rPr>
            </w:pPr>
            <w:r>
              <w:rPr>
                <w:sz w:val="22"/>
              </w:rPr>
              <w:t>DDA’s County Services Contract for 2015-2017—See Appendix E attachment titled: </w:t>
            </w:r>
            <w:hyperlink w:history="true" w:anchor="_bookmark53">
              <w:r>
                <w:rPr>
                  <w:color w:val="6B9F24"/>
                  <w:sz w:val="22"/>
                  <w:u w:val="single" w:color="6B9F24"/>
                </w:rPr>
                <w:t>Excerpt from DDA</w:t>
              </w:r>
            </w:hyperlink>
            <w:r>
              <w:rPr>
                <w:color w:val="6B9F24"/>
                <w:sz w:val="22"/>
              </w:rPr>
              <w:t> </w:t>
            </w:r>
            <w:hyperlink w:history="true" w:anchor="_bookmark53">
              <w:r>
                <w:rPr>
                  <w:color w:val="6B9F24"/>
                  <w:sz w:val="22"/>
                  <w:u w:val="single" w:color="6B9F24"/>
                </w:rPr>
                <w:t>County Services Contract</w:t>
              </w:r>
            </w:hyperlink>
          </w:p>
        </w:tc>
      </w:tr>
      <w:tr>
        <w:trPr>
          <w:trHeight w:val="1878" w:hRule="atLeast"/>
        </w:trPr>
        <w:tc>
          <w:tcPr>
            <w:tcW w:w="3799" w:type="dxa"/>
            <w:shd w:val="clear" w:color="auto" w:fill="D9EAD4"/>
          </w:tcPr>
          <w:p>
            <w:pPr>
              <w:pStyle w:val="TableParagraph"/>
              <w:ind w:left="107" w:right="202"/>
              <w:rPr>
                <w:sz w:val="22"/>
              </w:rPr>
            </w:pPr>
            <w:r>
              <w:rPr>
                <w:sz w:val="22"/>
              </w:rPr>
              <w:t>DDA will require counties to work with pre-vocational service providers to assure accurate outcome data, on the individualized support provided to people to help them move towards their employment goal, is documented</w:t>
            </w:r>
          </w:p>
          <w:p>
            <w:pPr>
              <w:pStyle w:val="TableParagraph"/>
              <w:spacing w:line="248" w:lineRule="exact"/>
              <w:ind w:left="107"/>
              <w:rPr>
                <w:sz w:val="22"/>
              </w:rPr>
            </w:pPr>
            <w:r>
              <w:rPr>
                <w:sz w:val="22"/>
              </w:rPr>
              <w:t>and provided</w:t>
            </w:r>
          </w:p>
        </w:tc>
        <w:tc>
          <w:tcPr>
            <w:tcW w:w="1349" w:type="dxa"/>
            <w:shd w:val="clear" w:color="auto" w:fill="D9EAD4"/>
          </w:tcPr>
          <w:p>
            <w:pPr>
              <w:pStyle w:val="TableParagraph"/>
              <w:spacing w:line="268" w:lineRule="exact"/>
              <w:ind w:left="108"/>
              <w:rPr>
                <w:sz w:val="22"/>
              </w:rPr>
            </w:pPr>
            <w:r>
              <w:rPr>
                <w:sz w:val="22"/>
              </w:rPr>
              <w:t>7/1/2015</w:t>
            </w:r>
          </w:p>
        </w:tc>
        <w:tc>
          <w:tcPr>
            <w:tcW w:w="1351" w:type="dxa"/>
            <w:shd w:val="clear" w:color="auto" w:fill="D9EAD4"/>
          </w:tcPr>
          <w:p>
            <w:pPr>
              <w:pStyle w:val="TableParagraph"/>
              <w:spacing w:line="268" w:lineRule="exact"/>
              <w:ind w:left="107"/>
              <w:rPr>
                <w:sz w:val="22"/>
              </w:rPr>
            </w:pPr>
            <w:r>
              <w:rPr>
                <w:sz w:val="22"/>
              </w:rPr>
              <w:t>1/1/2017</w:t>
            </w:r>
          </w:p>
        </w:tc>
        <w:tc>
          <w:tcPr>
            <w:tcW w:w="2947" w:type="dxa"/>
            <w:shd w:val="clear" w:color="auto" w:fill="D9EAD4"/>
          </w:tcPr>
          <w:p>
            <w:pPr>
              <w:pStyle w:val="TableParagraph"/>
              <w:ind w:left="108" w:right="130"/>
              <w:rPr>
                <w:sz w:val="22"/>
              </w:rPr>
            </w:pPr>
            <w:r>
              <w:rPr>
                <w:sz w:val="22"/>
              </w:rPr>
              <w:t>DDA’s contracts with counties require counties to assure accurate outcome data— contracts were completed 7/1/15 and new contracts completed 7/1/17</w:t>
            </w:r>
          </w:p>
        </w:tc>
        <w:tc>
          <w:tcPr>
            <w:tcW w:w="3593" w:type="dxa"/>
            <w:shd w:val="clear" w:color="auto" w:fill="D9EAD4"/>
          </w:tcPr>
          <w:p>
            <w:pPr>
              <w:pStyle w:val="TableParagraph"/>
              <w:ind w:left="105" w:right="95"/>
              <w:rPr>
                <w:sz w:val="22"/>
              </w:rPr>
            </w:pPr>
            <w:r>
              <w:rPr>
                <w:sz w:val="22"/>
              </w:rPr>
              <w:t>DDA’s County Services Contract for 2015-2017—See Appendix E attachment titled: </w:t>
            </w:r>
            <w:hyperlink w:history="true" w:anchor="_bookmark53">
              <w:r>
                <w:rPr>
                  <w:color w:val="6B9F24"/>
                  <w:sz w:val="22"/>
                  <w:u w:val="single" w:color="6B9F24"/>
                </w:rPr>
                <w:t>Excerpt from DDA</w:t>
              </w:r>
            </w:hyperlink>
            <w:r>
              <w:rPr>
                <w:color w:val="6B9F24"/>
                <w:sz w:val="22"/>
              </w:rPr>
              <w:t> </w:t>
            </w:r>
            <w:hyperlink w:history="true" w:anchor="_bookmark53">
              <w:r>
                <w:rPr>
                  <w:color w:val="6B9F24"/>
                  <w:sz w:val="22"/>
                  <w:u w:val="single" w:color="6B9F24"/>
                </w:rPr>
                <w:t>County Services Contract</w:t>
              </w:r>
            </w:hyperlink>
          </w:p>
        </w:tc>
      </w:tr>
      <w:tr>
        <w:trPr>
          <w:trHeight w:val="2147" w:hRule="atLeast"/>
        </w:trPr>
        <w:tc>
          <w:tcPr>
            <w:tcW w:w="3799" w:type="dxa"/>
            <w:shd w:val="clear" w:color="auto" w:fill="D9EAD4"/>
          </w:tcPr>
          <w:p>
            <w:pPr>
              <w:pStyle w:val="TableParagraph"/>
              <w:ind w:left="107" w:right="389"/>
              <w:rPr>
                <w:sz w:val="22"/>
              </w:rPr>
            </w:pPr>
            <w:r>
              <w:rPr>
                <w:sz w:val="22"/>
              </w:rPr>
              <w:t>DDA will assist Counties with Agency transformation plans</w:t>
            </w:r>
          </w:p>
        </w:tc>
        <w:tc>
          <w:tcPr>
            <w:tcW w:w="1349" w:type="dxa"/>
            <w:shd w:val="clear" w:color="auto" w:fill="D9EAD4"/>
          </w:tcPr>
          <w:p>
            <w:pPr>
              <w:pStyle w:val="TableParagraph"/>
              <w:spacing w:line="268" w:lineRule="exact"/>
              <w:ind w:left="108"/>
              <w:rPr>
                <w:sz w:val="22"/>
              </w:rPr>
            </w:pPr>
            <w:r>
              <w:rPr>
                <w:sz w:val="22"/>
              </w:rPr>
              <w:t>7/1/2015</w:t>
            </w:r>
          </w:p>
        </w:tc>
        <w:tc>
          <w:tcPr>
            <w:tcW w:w="1351" w:type="dxa"/>
            <w:shd w:val="clear" w:color="auto" w:fill="D9EAD4"/>
          </w:tcPr>
          <w:p>
            <w:pPr>
              <w:pStyle w:val="TableParagraph"/>
              <w:spacing w:line="268" w:lineRule="exact"/>
              <w:ind w:left="107"/>
              <w:rPr>
                <w:sz w:val="22"/>
              </w:rPr>
            </w:pPr>
            <w:r>
              <w:rPr>
                <w:sz w:val="22"/>
              </w:rPr>
              <w:t>7/1/2017</w:t>
            </w:r>
          </w:p>
        </w:tc>
        <w:tc>
          <w:tcPr>
            <w:tcW w:w="2947" w:type="dxa"/>
            <w:shd w:val="clear" w:color="auto" w:fill="D9EAD4"/>
          </w:tcPr>
          <w:p>
            <w:pPr>
              <w:pStyle w:val="TableParagraph"/>
              <w:ind w:left="108" w:right="273"/>
              <w:rPr>
                <w:sz w:val="22"/>
              </w:rPr>
            </w:pPr>
            <w:r>
              <w:rPr>
                <w:sz w:val="22"/>
              </w:rPr>
              <w:t>Three Pre-vocational service providers are working with their counties to develop agency transformation plans—contracts were completed 7/1/15 and new contracts completed 7/1/17</w:t>
            </w:r>
          </w:p>
        </w:tc>
        <w:tc>
          <w:tcPr>
            <w:tcW w:w="3593" w:type="dxa"/>
            <w:shd w:val="clear" w:color="auto" w:fill="D9EAD4"/>
          </w:tcPr>
          <w:p>
            <w:pPr>
              <w:pStyle w:val="TableParagraph"/>
              <w:ind w:left="105" w:right="247"/>
              <w:rPr>
                <w:sz w:val="22"/>
              </w:rPr>
            </w:pPr>
            <w:r>
              <w:rPr>
                <w:sz w:val="22"/>
              </w:rPr>
              <w:t>DDA has contracted consultant Washington Initiative for Supported Employment to work with counties and providers to develop agency transformation plan (Statement of Work #5 &amp; #8)--</w:t>
            </w:r>
          </w:p>
          <w:p>
            <w:pPr>
              <w:pStyle w:val="TableParagraph"/>
              <w:spacing w:line="267" w:lineRule="exact"/>
              <w:ind w:left="156"/>
              <w:rPr>
                <w:sz w:val="22"/>
              </w:rPr>
            </w:pPr>
            <w:r>
              <w:rPr>
                <w:sz w:val="22"/>
              </w:rPr>
              <w:t>See Appendix E attachment titled:</w:t>
            </w:r>
          </w:p>
          <w:p>
            <w:pPr>
              <w:pStyle w:val="TableParagraph"/>
              <w:spacing w:line="248" w:lineRule="exact"/>
              <w:ind w:left="105"/>
              <w:rPr>
                <w:sz w:val="22"/>
              </w:rPr>
            </w:pPr>
            <w:hyperlink w:history="true" w:anchor="_bookmark56">
              <w:r>
                <w:rPr>
                  <w:color w:val="6B9F24"/>
                  <w:sz w:val="22"/>
                  <w:u w:val="single" w:color="6B9F24"/>
                </w:rPr>
                <w:t>Excerpt from WISE Contract</w:t>
              </w:r>
            </w:hyperlink>
          </w:p>
        </w:tc>
      </w:tr>
      <w:tr>
        <w:trPr>
          <w:trHeight w:val="819" w:hRule="atLeast"/>
        </w:trPr>
        <w:tc>
          <w:tcPr>
            <w:tcW w:w="3799" w:type="dxa"/>
            <w:tcBorders>
              <w:bottom w:val="double" w:sz="1" w:space="0" w:color="000000"/>
            </w:tcBorders>
            <w:shd w:val="clear" w:color="auto" w:fill="D9EAD4"/>
          </w:tcPr>
          <w:p>
            <w:pPr>
              <w:pStyle w:val="TableParagraph"/>
              <w:spacing w:line="237" w:lineRule="auto" w:before="3"/>
              <w:ind w:left="107" w:right="352"/>
              <w:rPr>
                <w:sz w:val="22"/>
              </w:rPr>
            </w:pPr>
            <w:r>
              <w:rPr>
                <w:sz w:val="22"/>
              </w:rPr>
              <w:t>DDA will assist Counties with Person- centered Plans</w:t>
            </w:r>
          </w:p>
        </w:tc>
        <w:tc>
          <w:tcPr>
            <w:tcW w:w="1349" w:type="dxa"/>
            <w:tcBorders>
              <w:bottom w:val="double" w:sz="1" w:space="0" w:color="000000"/>
            </w:tcBorders>
            <w:shd w:val="clear" w:color="auto" w:fill="D9EAD4"/>
          </w:tcPr>
          <w:p>
            <w:pPr>
              <w:pStyle w:val="TableParagraph"/>
              <w:spacing w:before="1"/>
              <w:ind w:left="108"/>
              <w:rPr>
                <w:sz w:val="22"/>
              </w:rPr>
            </w:pPr>
            <w:r>
              <w:rPr>
                <w:sz w:val="22"/>
              </w:rPr>
              <w:t>7/1/2015</w:t>
            </w:r>
          </w:p>
        </w:tc>
        <w:tc>
          <w:tcPr>
            <w:tcW w:w="1351" w:type="dxa"/>
            <w:tcBorders>
              <w:bottom w:val="double" w:sz="1" w:space="0" w:color="000000"/>
            </w:tcBorders>
            <w:shd w:val="clear" w:color="auto" w:fill="D9EAD4"/>
          </w:tcPr>
          <w:p>
            <w:pPr>
              <w:pStyle w:val="TableParagraph"/>
              <w:spacing w:before="1"/>
              <w:ind w:left="107"/>
              <w:rPr>
                <w:sz w:val="22"/>
              </w:rPr>
            </w:pPr>
            <w:r>
              <w:rPr>
                <w:sz w:val="22"/>
              </w:rPr>
              <w:t>1/1/2017</w:t>
            </w:r>
          </w:p>
        </w:tc>
        <w:tc>
          <w:tcPr>
            <w:tcW w:w="2947" w:type="dxa"/>
            <w:tcBorders>
              <w:bottom w:val="double" w:sz="1" w:space="0" w:color="000000"/>
            </w:tcBorders>
            <w:shd w:val="clear" w:color="auto" w:fill="D9EAD4"/>
          </w:tcPr>
          <w:p>
            <w:pPr>
              <w:pStyle w:val="TableParagraph"/>
              <w:spacing w:line="237" w:lineRule="auto" w:before="3"/>
              <w:ind w:left="108" w:right="130"/>
              <w:rPr>
                <w:sz w:val="22"/>
              </w:rPr>
            </w:pPr>
            <w:r>
              <w:rPr>
                <w:sz w:val="22"/>
              </w:rPr>
              <w:t>DDA’s contracts with counties require counties to assure</w:t>
            </w:r>
          </w:p>
          <w:p>
            <w:pPr>
              <w:pStyle w:val="TableParagraph"/>
              <w:spacing w:line="263" w:lineRule="exact" w:before="2"/>
              <w:ind w:left="108"/>
              <w:rPr>
                <w:sz w:val="22"/>
              </w:rPr>
            </w:pPr>
            <w:r>
              <w:rPr>
                <w:sz w:val="22"/>
              </w:rPr>
              <w:t>accurate outcome data—</w:t>
            </w:r>
          </w:p>
        </w:tc>
        <w:tc>
          <w:tcPr>
            <w:tcW w:w="3593" w:type="dxa"/>
            <w:tcBorders>
              <w:bottom w:val="double" w:sz="1" w:space="0" w:color="000000"/>
            </w:tcBorders>
            <w:shd w:val="clear" w:color="auto" w:fill="D9EAD4"/>
          </w:tcPr>
          <w:p>
            <w:pPr>
              <w:pStyle w:val="TableParagraph"/>
              <w:spacing w:line="237" w:lineRule="auto" w:before="3"/>
              <w:ind w:left="105" w:right="340"/>
              <w:rPr>
                <w:sz w:val="22"/>
              </w:rPr>
            </w:pPr>
            <w:r>
              <w:rPr>
                <w:sz w:val="22"/>
              </w:rPr>
              <w:t>DDA’s County Services Contract for 2015-2017 —See Appendix E</w:t>
            </w:r>
          </w:p>
        </w:tc>
      </w:tr>
    </w:tbl>
    <w:p>
      <w:pPr>
        <w:spacing w:after="0" w:line="237" w:lineRule="auto"/>
        <w:rPr>
          <w:sz w:val="2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9"/>
        <w:gridCol w:w="1349"/>
        <w:gridCol w:w="1351"/>
        <w:gridCol w:w="2947"/>
        <w:gridCol w:w="3593"/>
      </w:tblGrid>
      <w:tr>
        <w:trPr>
          <w:trHeight w:val="805" w:hRule="atLeast"/>
        </w:trPr>
        <w:tc>
          <w:tcPr>
            <w:tcW w:w="3799" w:type="dxa"/>
            <w:shd w:val="clear" w:color="auto" w:fill="D9EAD4"/>
          </w:tcPr>
          <w:p>
            <w:pPr>
              <w:pStyle w:val="TableParagraph"/>
              <w:rPr>
                <w:rFonts w:ascii="Times New Roman"/>
                <w:sz w:val="22"/>
              </w:rPr>
            </w:pPr>
          </w:p>
        </w:tc>
        <w:tc>
          <w:tcPr>
            <w:tcW w:w="1349" w:type="dxa"/>
            <w:shd w:val="clear" w:color="auto" w:fill="D9EAD4"/>
          </w:tcPr>
          <w:p>
            <w:pPr>
              <w:pStyle w:val="TableParagraph"/>
              <w:rPr>
                <w:rFonts w:ascii="Times New Roman"/>
                <w:sz w:val="22"/>
              </w:rPr>
            </w:pPr>
          </w:p>
        </w:tc>
        <w:tc>
          <w:tcPr>
            <w:tcW w:w="1351" w:type="dxa"/>
            <w:shd w:val="clear" w:color="auto" w:fill="D9EAD4"/>
          </w:tcPr>
          <w:p>
            <w:pPr>
              <w:pStyle w:val="TableParagraph"/>
              <w:rPr>
                <w:rFonts w:ascii="Times New Roman"/>
                <w:sz w:val="22"/>
              </w:rPr>
            </w:pPr>
          </w:p>
        </w:tc>
        <w:tc>
          <w:tcPr>
            <w:tcW w:w="2947" w:type="dxa"/>
            <w:shd w:val="clear" w:color="auto" w:fill="D9EAD4"/>
          </w:tcPr>
          <w:p>
            <w:pPr>
              <w:pStyle w:val="TableParagraph"/>
              <w:ind w:left="108" w:right="464"/>
              <w:rPr>
                <w:sz w:val="22"/>
              </w:rPr>
            </w:pPr>
            <w:r>
              <w:rPr>
                <w:sz w:val="22"/>
              </w:rPr>
              <w:t>contracts were completed 7/1/15 and new contracts</w:t>
            </w:r>
          </w:p>
          <w:p>
            <w:pPr>
              <w:pStyle w:val="TableParagraph"/>
              <w:spacing w:line="249" w:lineRule="exact"/>
              <w:ind w:left="108"/>
              <w:rPr>
                <w:sz w:val="22"/>
              </w:rPr>
            </w:pPr>
            <w:r>
              <w:rPr>
                <w:sz w:val="22"/>
              </w:rPr>
              <w:t>completed 7/1/17</w:t>
            </w:r>
          </w:p>
        </w:tc>
        <w:tc>
          <w:tcPr>
            <w:tcW w:w="3593" w:type="dxa"/>
            <w:shd w:val="clear" w:color="auto" w:fill="D9EAD4"/>
          </w:tcPr>
          <w:p>
            <w:pPr>
              <w:pStyle w:val="TableParagraph"/>
              <w:ind w:left="105"/>
              <w:rPr>
                <w:sz w:val="22"/>
              </w:rPr>
            </w:pPr>
            <w:r>
              <w:rPr>
                <w:sz w:val="22"/>
              </w:rPr>
              <w:t>attachment titled: </w:t>
            </w:r>
            <w:hyperlink w:history="true" w:anchor="_bookmark53">
              <w:r>
                <w:rPr>
                  <w:color w:val="6B9F24"/>
                  <w:sz w:val="22"/>
                  <w:u w:val="single" w:color="6B9F24"/>
                </w:rPr>
                <w:t>Excerpt from DDA</w:t>
              </w:r>
            </w:hyperlink>
            <w:r>
              <w:rPr>
                <w:color w:val="6B9F24"/>
                <w:sz w:val="22"/>
              </w:rPr>
              <w:t> </w:t>
            </w:r>
            <w:hyperlink w:history="true" w:anchor="_bookmark53">
              <w:r>
                <w:rPr>
                  <w:color w:val="6B9F24"/>
                  <w:sz w:val="22"/>
                  <w:u w:val="single" w:color="6B9F24"/>
                </w:rPr>
                <w:t>County Services Contract</w:t>
              </w:r>
            </w:hyperlink>
          </w:p>
        </w:tc>
      </w:tr>
      <w:tr>
        <w:trPr>
          <w:trHeight w:val="537" w:hRule="atLeast"/>
        </w:trPr>
        <w:tc>
          <w:tcPr>
            <w:tcW w:w="3799" w:type="dxa"/>
            <w:shd w:val="clear" w:color="auto" w:fill="4DA3D7"/>
          </w:tcPr>
          <w:p>
            <w:pPr>
              <w:pStyle w:val="TableParagraph"/>
              <w:spacing w:line="268" w:lineRule="exact"/>
              <w:ind w:left="107"/>
              <w:rPr>
                <w:b/>
                <w:sz w:val="22"/>
              </w:rPr>
            </w:pPr>
            <w:r>
              <w:rPr>
                <w:b/>
                <w:sz w:val="22"/>
              </w:rPr>
              <w:t>Stakeholder, Clients, and Tribal</w:t>
            </w:r>
          </w:p>
          <w:p>
            <w:pPr>
              <w:pStyle w:val="TableParagraph"/>
              <w:spacing w:line="249" w:lineRule="exact"/>
              <w:ind w:left="107"/>
              <w:rPr>
                <w:b/>
                <w:sz w:val="22"/>
              </w:rPr>
            </w:pPr>
            <w:r>
              <w:rPr>
                <w:b/>
                <w:sz w:val="22"/>
              </w:rPr>
              <w:t>Involvement</w:t>
            </w:r>
          </w:p>
        </w:tc>
        <w:tc>
          <w:tcPr>
            <w:tcW w:w="9240" w:type="dxa"/>
            <w:gridSpan w:val="4"/>
            <w:shd w:val="clear" w:color="auto" w:fill="4DA3D7"/>
          </w:tcPr>
          <w:p>
            <w:pPr>
              <w:pStyle w:val="TableParagraph"/>
              <w:rPr>
                <w:rFonts w:ascii="Times New Roman"/>
                <w:sz w:val="22"/>
              </w:rPr>
            </w:pPr>
          </w:p>
        </w:tc>
      </w:tr>
      <w:tr>
        <w:trPr>
          <w:trHeight w:val="4833" w:hRule="atLeast"/>
        </w:trPr>
        <w:tc>
          <w:tcPr>
            <w:tcW w:w="3799" w:type="dxa"/>
            <w:shd w:val="clear" w:color="auto" w:fill="D9EAD4"/>
          </w:tcPr>
          <w:p>
            <w:pPr>
              <w:pStyle w:val="TableParagraph"/>
              <w:ind w:left="107" w:right="88"/>
              <w:rPr>
                <w:sz w:val="22"/>
              </w:rPr>
            </w:pPr>
            <w:r>
              <w:rPr>
                <w:sz w:val="22"/>
              </w:rPr>
              <w:t>Provide ongoing stakeholder and Tribal notices, education, consultation, and updates occur through various methods including meetings, conferences and webinars.</w:t>
            </w:r>
          </w:p>
        </w:tc>
        <w:tc>
          <w:tcPr>
            <w:tcW w:w="1349" w:type="dxa"/>
            <w:shd w:val="clear" w:color="auto" w:fill="D9EAD4"/>
          </w:tcPr>
          <w:p>
            <w:pPr>
              <w:pStyle w:val="TableParagraph"/>
              <w:spacing w:line="268" w:lineRule="exact"/>
              <w:ind w:left="108"/>
              <w:rPr>
                <w:sz w:val="22"/>
              </w:rPr>
            </w:pPr>
            <w:r>
              <w:rPr>
                <w:sz w:val="22"/>
              </w:rPr>
              <w:t>1/1/2017</w:t>
            </w:r>
          </w:p>
        </w:tc>
        <w:tc>
          <w:tcPr>
            <w:tcW w:w="1351" w:type="dxa"/>
            <w:shd w:val="clear" w:color="auto" w:fill="D9EAD4"/>
          </w:tcPr>
          <w:p>
            <w:pPr>
              <w:pStyle w:val="TableParagraph"/>
              <w:spacing w:line="268" w:lineRule="exact"/>
              <w:ind w:left="107"/>
              <w:rPr>
                <w:sz w:val="22"/>
              </w:rPr>
            </w:pPr>
            <w:r>
              <w:rPr>
                <w:sz w:val="22"/>
              </w:rPr>
              <w:t>1/1/2019</w:t>
            </w:r>
          </w:p>
        </w:tc>
        <w:tc>
          <w:tcPr>
            <w:tcW w:w="2947" w:type="dxa"/>
            <w:shd w:val="clear" w:color="auto" w:fill="D9EAD4"/>
          </w:tcPr>
          <w:p>
            <w:pPr>
              <w:pStyle w:val="TableParagraph"/>
              <w:ind w:left="108" w:right="116"/>
              <w:rPr>
                <w:sz w:val="22"/>
              </w:rPr>
            </w:pPr>
            <w:r>
              <w:rPr>
                <w:sz w:val="22"/>
              </w:rPr>
              <w:t>The State has completed this milestone and will continue to issue a public notice in the Washington State Register, provide notification to Washington Tribes and will post a notice in HCS, AAA and DDA field offices when the transition plan is significantly revised. The notices will list the dates when updates will be posted on the internet for public comment. These notices will provide the link to the web site posting along with information about </w:t>
            </w:r>
            <w:r>
              <w:rPr>
                <w:spacing w:val="-2"/>
                <w:sz w:val="22"/>
              </w:rPr>
              <w:t>how </w:t>
            </w:r>
            <w:r>
              <w:rPr>
                <w:sz w:val="22"/>
              </w:rPr>
              <w:t>to obtain a hard copy of</w:t>
            </w:r>
            <w:r>
              <w:rPr>
                <w:spacing w:val="-8"/>
                <w:sz w:val="22"/>
              </w:rPr>
              <w:t> </w:t>
            </w:r>
            <w:r>
              <w:rPr>
                <w:sz w:val="22"/>
              </w:rPr>
              <w:t>the</w:t>
            </w:r>
          </w:p>
          <w:p>
            <w:pPr>
              <w:pStyle w:val="TableParagraph"/>
              <w:spacing w:line="249" w:lineRule="exact"/>
              <w:ind w:left="108"/>
              <w:rPr>
                <w:sz w:val="22"/>
              </w:rPr>
            </w:pPr>
            <w:r>
              <w:rPr>
                <w:sz w:val="22"/>
              </w:rPr>
              <w:t>updates.</w:t>
            </w:r>
          </w:p>
        </w:tc>
        <w:tc>
          <w:tcPr>
            <w:tcW w:w="3593" w:type="dxa"/>
            <w:shd w:val="clear" w:color="auto" w:fill="D9EAD4"/>
          </w:tcPr>
          <w:p>
            <w:pPr>
              <w:pStyle w:val="TableParagraph"/>
              <w:ind w:left="105" w:right="840"/>
              <w:rPr>
                <w:sz w:val="22"/>
              </w:rPr>
            </w:pPr>
            <w:r>
              <w:rPr>
                <w:sz w:val="22"/>
              </w:rPr>
              <w:t>3/1/17 Public Register Notice 3/1/17 Tribal Notice</w:t>
            </w:r>
          </w:p>
        </w:tc>
      </w:tr>
      <w:tr>
        <w:trPr>
          <w:trHeight w:val="837" w:hRule="atLeast"/>
        </w:trPr>
        <w:tc>
          <w:tcPr>
            <w:tcW w:w="3799" w:type="dxa"/>
            <w:tcBorders>
              <w:bottom w:val="nil"/>
            </w:tcBorders>
            <w:shd w:val="clear" w:color="auto" w:fill="D9EAD4"/>
          </w:tcPr>
          <w:p>
            <w:pPr>
              <w:pStyle w:val="TableParagraph"/>
              <w:spacing w:line="268" w:lineRule="exact"/>
              <w:ind w:left="107"/>
              <w:rPr>
                <w:sz w:val="22"/>
              </w:rPr>
            </w:pPr>
            <w:r>
              <w:rPr>
                <w:sz w:val="22"/>
              </w:rPr>
              <w:t>Provide:</w:t>
            </w:r>
          </w:p>
          <w:p>
            <w:pPr>
              <w:pStyle w:val="TableParagraph"/>
              <w:numPr>
                <w:ilvl w:val="0"/>
                <w:numId w:val="41"/>
              </w:numPr>
              <w:tabs>
                <w:tab w:pos="467" w:val="left" w:leader="none"/>
                <w:tab w:pos="468" w:val="left" w:leader="none"/>
              </w:tabs>
              <w:spacing w:line="240" w:lineRule="auto" w:before="0" w:after="0"/>
              <w:ind w:left="467" w:right="0" w:hanging="361"/>
              <w:jc w:val="left"/>
              <w:rPr>
                <w:sz w:val="22"/>
              </w:rPr>
            </w:pPr>
            <w:r>
              <w:rPr>
                <w:sz w:val="22"/>
              </w:rPr>
              <w:t>Initial stakeholder and Tribal</w:t>
            </w:r>
            <w:r>
              <w:rPr>
                <w:spacing w:val="-11"/>
                <w:sz w:val="22"/>
              </w:rPr>
              <w:t> </w:t>
            </w:r>
            <w:r>
              <w:rPr>
                <w:sz w:val="22"/>
              </w:rPr>
              <w:t>notice,</w:t>
            </w:r>
          </w:p>
          <w:p>
            <w:pPr>
              <w:pStyle w:val="TableParagraph"/>
              <w:numPr>
                <w:ilvl w:val="0"/>
                <w:numId w:val="41"/>
              </w:numPr>
              <w:tabs>
                <w:tab w:pos="467" w:val="left" w:leader="none"/>
                <w:tab w:pos="468" w:val="left" w:leader="none"/>
              </w:tabs>
              <w:spacing w:line="268" w:lineRule="exact" w:before="1" w:after="0"/>
              <w:ind w:left="467" w:right="0" w:hanging="361"/>
              <w:jc w:val="left"/>
              <w:rPr>
                <w:sz w:val="22"/>
              </w:rPr>
            </w:pPr>
            <w:r>
              <w:rPr>
                <w:sz w:val="22"/>
              </w:rPr>
              <w:t>Education and consultation</w:t>
            </w:r>
            <w:r>
              <w:rPr>
                <w:spacing w:val="-9"/>
                <w:sz w:val="22"/>
              </w:rPr>
              <w:t> </w:t>
            </w:r>
            <w:r>
              <w:rPr>
                <w:sz w:val="22"/>
              </w:rPr>
              <w:t>through</w:t>
            </w:r>
          </w:p>
        </w:tc>
        <w:tc>
          <w:tcPr>
            <w:tcW w:w="1349" w:type="dxa"/>
            <w:tcBorders>
              <w:bottom w:val="nil"/>
            </w:tcBorders>
            <w:shd w:val="clear" w:color="auto" w:fill="D9EAD4"/>
          </w:tcPr>
          <w:p>
            <w:pPr>
              <w:pStyle w:val="TableParagraph"/>
              <w:spacing w:line="268" w:lineRule="exact"/>
              <w:ind w:left="108"/>
              <w:rPr>
                <w:sz w:val="22"/>
              </w:rPr>
            </w:pPr>
            <w:r>
              <w:rPr>
                <w:sz w:val="22"/>
              </w:rPr>
              <w:t>12/2014</w:t>
            </w:r>
          </w:p>
        </w:tc>
        <w:tc>
          <w:tcPr>
            <w:tcW w:w="1351" w:type="dxa"/>
            <w:tcBorders>
              <w:bottom w:val="nil"/>
            </w:tcBorders>
            <w:shd w:val="clear" w:color="auto" w:fill="D9EAD4"/>
          </w:tcPr>
          <w:p>
            <w:pPr>
              <w:pStyle w:val="TableParagraph"/>
              <w:spacing w:line="268" w:lineRule="exact"/>
              <w:ind w:left="107"/>
              <w:rPr>
                <w:sz w:val="22"/>
              </w:rPr>
            </w:pPr>
            <w:r>
              <w:rPr>
                <w:sz w:val="22"/>
              </w:rPr>
              <w:t>8/31/15</w:t>
            </w:r>
          </w:p>
        </w:tc>
        <w:tc>
          <w:tcPr>
            <w:tcW w:w="2947" w:type="dxa"/>
            <w:tcBorders>
              <w:bottom w:val="nil"/>
            </w:tcBorders>
            <w:shd w:val="clear" w:color="auto" w:fill="D9EAD4"/>
          </w:tcPr>
          <w:p>
            <w:pPr>
              <w:pStyle w:val="TableParagraph"/>
              <w:spacing w:line="268" w:lineRule="exact"/>
              <w:ind w:left="108"/>
              <w:rPr>
                <w:sz w:val="22"/>
              </w:rPr>
            </w:pPr>
            <w:r>
              <w:rPr>
                <w:sz w:val="22"/>
              </w:rPr>
              <w:t>Completed:</w:t>
            </w:r>
          </w:p>
          <w:p>
            <w:pPr>
              <w:pStyle w:val="TableParagraph"/>
              <w:ind w:left="108" w:right="79"/>
              <w:rPr>
                <w:sz w:val="22"/>
              </w:rPr>
            </w:pPr>
            <w:r>
              <w:rPr>
                <w:sz w:val="22"/>
              </w:rPr>
              <w:t>Initial notices were included in the initial statewide transition</w:t>
            </w:r>
          </w:p>
        </w:tc>
        <w:tc>
          <w:tcPr>
            <w:tcW w:w="3593" w:type="dxa"/>
            <w:tcBorders>
              <w:bottom w:val="nil"/>
            </w:tcBorders>
            <w:shd w:val="clear" w:color="auto" w:fill="D9EAD4"/>
          </w:tcPr>
          <w:p>
            <w:pPr>
              <w:pStyle w:val="TableParagraph"/>
              <w:ind w:left="105" w:right="96"/>
              <w:rPr>
                <w:sz w:val="22"/>
              </w:rPr>
            </w:pPr>
            <w:r>
              <w:rPr>
                <w:sz w:val="22"/>
              </w:rPr>
              <w:t>See public notice section of </w:t>
            </w:r>
            <w:hyperlink r:id="rId144">
              <w:r>
                <w:rPr>
                  <w:color w:val="6B9F24"/>
                  <w:sz w:val="22"/>
                  <w:u w:val="single" w:color="6B9F24"/>
                </w:rPr>
                <w:t>initial</w:t>
              </w:r>
            </w:hyperlink>
            <w:r>
              <w:rPr>
                <w:color w:val="6B9F24"/>
                <w:sz w:val="22"/>
              </w:rPr>
              <w:t> </w:t>
            </w:r>
            <w:hyperlink r:id="rId144">
              <w:r>
                <w:rPr>
                  <w:color w:val="6B9F24"/>
                  <w:sz w:val="22"/>
                  <w:u w:val="single" w:color="6B9F24"/>
                </w:rPr>
                <w:t>statewide transition</w:t>
              </w:r>
              <w:r>
                <w:rPr>
                  <w:color w:val="6B9F24"/>
                  <w:sz w:val="22"/>
                </w:rPr>
                <w:t> </w:t>
              </w:r>
            </w:hyperlink>
            <w:r>
              <w:rPr>
                <w:sz w:val="22"/>
              </w:rPr>
              <w:t>plan sent to CMS on 3/11/15.</w:t>
            </w:r>
          </w:p>
        </w:tc>
      </w:tr>
      <w:tr>
        <w:trPr>
          <w:trHeight w:val="268" w:hRule="atLeast"/>
        </w:trPr>
        <w:tc>
          <w:tcPr>
            <w:tcW w:w="3799" w:type="dxa"/>
            <w:tcBorders>
              <w:top w:val="nil"/>
              <w:bottom w:val="nil"/>
            </w:tcBorders>
            <w:shd w:val="clear" w:color="auto" w:fill="D9EAD4"/>
          </w:tcPr>
          <w:p>
            <w:pPr>
              <w:pStyle w:val="TableParagraph"/>
              <w:spacing w:line="249" w:lineRule="exact"/>
              <w:ind w:left="467"/>
              <w:rPr>
                <w:sz w:val="22"/>
              </w:rPr>
            </w:pPr>
            <w:r>
              <w:rPr>
                <w:sz w:val="22"/>
              </w:rPr>
              <w:t>various methods including public</w:t>
            </w:r>
          </w:p>
        </w:tc>
        <w:tc>
          <w:tcPr>
            <w:tcW w:w="1349" w:type="dxa"/>
            <w:tcBorders>
              <w:top w:val="nil"/>
              <w:bottom w:val="nil"/>
            </w:tcBorders>
            <w:shd w:val="clear" w:color="auto" w:fill="D9EAD4"/>
          </w:tcPr>
          <w:p>
            <w:pPr>
              <w:pStyle w:val="TableParagraph"/>
              <w:rPr>
                <w:rFonts w:ascii="Times New Roman"/>
                <w:sz w:val="18"/>
              </w:rPr>
            </w:pPr>
          </w:p>
        </w:tc>
        <w:tc>
          <w:tcPr>
            <w:tcW w:w="1351" w:type="dxa"/>
            <w:tcBorders>
              <w:top w:val="nil"/>
              <w:bottom w:val="nil"/>
            </w:tcBorders>
            <w:shd w:val="clear" w:color="auto" w:fill="D9EAD4"/>
          </w:tcPr>
          <w:p>
            <w:pPr>
              <w:pStyle w:val="TableParagraph"/>
              <w:rPr>
                <w:rFonts w:ascii="Times New Roman"/>
                <w:sz w:val="18"/>
              </w:rPr>
            </w:pPr>
          </w:p>
        </w:tc>
        <w:tc>
          <w:tcPr>
            <w:tcW w:w="2947" w:type="dxa"/>
            <w:tcBorders>
              <w:top w:val="nil"/>
              <w:bottom w:val="nil"/>
            </w:tcBorders>
            <w:shd w:val="clear" w:color="auto" w:fill="D9EAD4"/>
          </w:tcPr>
          <w:p>
            <w:pPr>
              <w:pStyle w:val="TableParagraph"/>
              <w:spacing w:line="237" w:lineRule="exact"/>
              <w:ind w:left="108"/>
              <w:rPr>
                <w:sz w:val="22"/>
              </w:rPr>
            </w:pPr>
            <w:r>
              <w:rPr>
                <w:sz w:val="22"/>
              </w:rPr>
              <w:t>plan under public notice.</w:t>
            </w:r>
          </w:p>
        </w:tc>
        <w:tc>
          <w:tcPr>
            <w:tcW w:w="3593" w:type="dxa"/>
            <w:tcBorders>
              <w:top w:val="nil"/>
              <w:bottom w:val="nil"/>
            </w:tcBorders>
            <w:shd w:val="clear" w:color="auto" w:fill="D9EAD4"/>
          </w:tcPr>
          <w:p>
            <w:pPr>
              <w:pStyle w:val="TableParagraph"/>
              <w:rPr>
                <w:rFonts w:ascii="Times New Roman"/>
                <w:sz w:val="18"/>
              </w:rPr>
            </w:pPr>
          </w:p>
        </w:tc>
      </w:tr>
      <w:tr>
        <w:trPr>
          <w:trHeight w:val="559" w:hRule="atLeast"/>
        </w:trPr>
        <w:tc>
          <w:tcPr>
            <w:tcW w:w="3799" w:type="dxa"/>
            <w:tcBorders>
              <w:top w:val="nil"/>
              <w:bottom w:val="nil"/>
            </w:tcBorders>
            <w:shd w:val="clear" w:color="auto" w:fill="D9EAD4"/>
          </w:tcPr>
          <w:p>
            <w:pPr>
              <w:pStyle w:val="TableParagraph"/>
              <w:spacing w:line="260" w:lineRule="exact"/>
              <w:ind w:left="467"/>
              <w:rPr>
                <w:sz w:val="22"/>
              </w:rPr>
            </w:pPr>
            <w:r>
              <w:rPr>
                <w:sz w:val="22"/>
              </w:rPr>
              <w:t>notice documents,</w:t>
            </w:r>
          </w:p>
          <w:p>
            <w:pPr>
              <w:pStyle w:val="TableParagraph"/>
              <w:numPr>
                <w:ilvl w:val="0"/>
                <w:numId w:val="42"/>
              </w:numPr>
              <w:tabs>
                <w:tab w:pos="467" w:val="left" w:leader="none"/>
                <w:tab w:pos="468" w:val="left" w:leader="none"/>
              </w:tabs>
              <w:spacing w:line="279" w:lineRule="exact" w:before="0" w:after="0"/>
              <w:ind w:left="467" w:right="0" w:hanging="361"/>
              <w:jc w:val="left"/>
              <w:rPr>
                <w:sz w:val="22"/>
              </w:rPr>
            </w:pPr>
            <w:r>
              <w:rPr>
                <w:sz w:val="22"/>
              </w:rPr>
              <w:t>Notices to participants about</w:t>
            </w:r>
            <w:r>
              <w:rPr>
                <w:spacing w:val="-4"/>
                <w:sz w:val="22"/>
              </w:rPr>
              <w:t> </w:t>
            </w:r>
            <w:r>
              <w:rPr>
                <w:sz w:val="22"/>
              </w:rPr>
              <w:t>their</w:t>
            </w:r>
          </w:p>
        </w:tc>
        <w:tc>
          <w:tcPr>
            <w:tcW w:w="1349" w:type="dxa"/>
            <w:tcBorders>
              <w:top w:val="nil"/>
              <w:bottom w:val="nil"/>
            </w:tcBorders>
            <w:shd w:val="clear" w:color="auto" w:fill="D9EAD4"/>
          </w:tcPr>
          <w:p>
            <w:pPr>
              <w:pStyle w:val="TableParagraph"/>
              <w:rPr>
                <w:rFonts w:ascii="Times New Roman"/>
                <w:sz w:val="22"/>
              </w:rPr>
            </w:pPr>
          </w:p>
        </w:tc>
        <w:tc>
          <w:tcPr>
            <w:tcW w:w="1351" w:type="dxa"/>
            <w:tcBorders>
              <w:top w:val="nil"/>
              <w:bottom w:val="nil"/>
            </w:tcBorders>
            <w:shd w:val="clear" w:color="auto" w:fill="D9EAD4"/>
          </w:tcPr>
          <w:p>
            <w:pPr>
              <w:pStyle w:val="TableParagraph"/>
              <w:rPr>
                <w:rFonts w:ascii="Times New Roman"/>
                <w:sz w:val="22"/>
              </w:rPr>
            </w:pPr>
          </w:p>
        </w:tc>
        <w:tc>
          <w:tcPr>
            <w:tcW w:w="2947" w:type="dxa"/>
            <w:tcBorders>
              <w:top w:val="nil"/>
              <w:bottom w:val="nil"/>
            </w:tcBorders>
            <w:shd w:val="clear" w:color="auto" w:fill="D9EAD4"/>
          </w:tcPr>
          <w:p>
            <w:pPr>
              <w:pStyle w:val="TableParagraph"/>
              <w:spacing w:line="237" w:lineRule="exact"/>
              <w:ind w:left="108"/>
              <w:rPr>
                <w:sz w:val="22"/>
              </w:rPr>
            </w:pPr>
            <w:r>
              <w:rPr>
                <w:sz w:val="22"/>
              </w:rPr>
              <w:t>These were completed by</w:t>
            </w:r>
          </w:p>
          <w:p>
            <w:pPr>
              <w:pStyle w:val="TableParagraph"/>
              <w:ind w:left="108"/>
              <w:rPr>
                <w:sz w:val="22"/>
              </w:rPr>
            </w:pPr>
            <w:r>
              <w:rPr>
                <w:sz w:val="22"/>
              </w:rPr>
              <w:t>8/13/15.</w:t>
            </w:r>
          </w:p>
        </w:tc>
        <w:tc>
          <w:tcPr>
            <w:tcW w:w="3593" w:type="dxa"/>
            <w:tcBorders>
              <w:top w:val="nil"/>
              <w:bottom w:val="nil"/>
            </w:tcBorders>
            <w:shd w:val="clear" w:color="auto" w:fill="D9EAD4"/>
          </w:tcPr>
          <w:p>
            <w:pPr>
              <w:pStyle w:val="TableParagraph"/>
              <w:rPr>
                <w:rFonts w:ascii="Times New Roman"/>
                <w:sz w:val="22"/>
              </w:rPr>
            </w:pPr>
          </w:p>
        </w:tc>
      </w:tr>
      <w:tr>
        <w:trPr>
          <w:trHeight w:val="525" w:hRule="atLeast"/>
        </w:trPr>
        <w:tc>
          <w:tcPr>
            <w:tcW w:w="3799" w:type="dxa"/>
            <w:tcBorders>
              <w:top w:val="nil"/>
              <w:bottom w:val="nil"/>
            </w:tcBorders>
            <w:shd w:val="clear" w:color="auto" w:fill="D9EAD4"/>
          </w:tcPr>
          <w:p>
            <w:pPr>
              <w:pStyle w:val="TableParagraph"/>
              <w:spacing w:line="249" w:lineRule="exact"/>
              <w:ind w:left="467"/>
              <w:rPr>
                <w:sz w:val="22"/>
              </w:rPr>
            </w:pPr>
            <w:r>
              <w:rPr>
                <w:sz w:val="22"/>
              </w:rPr>
              <w:t>HCBS rights,</w:t>
            </w:r>
          </w:p>
          <w:p>
            <w:pPr>
              <w:pStyle w:val="TableParagraph"/>
              <w:numPr>
                <w:ilvl w:val="0"/>
                <w:numId w:val="43"/>
              </w:numPr>
              <w:tabs>
                <w:tab w:pos="467" w:val="left" w:leader="none"/>
                <w:tab w:pos="468" w:val="left" w:leader="none"/>
              </w:tabs>
              <w:spacing w:line="256" w:lineRule="exact" w:before="0" w:after="0"/>
              <w:ind w:left="467" w:right="0" w:hanging="361"/>
              <w:jc w:val="left"/>
              <w:rPr>
                <w:sz w:val="22"/>
              </w:rPr>
            </w:pPr>
            <w:r>
              <w:rPr>
                <w:sz w:val="22"/>
              </w:rPr>
              <w:t>Information through</w:t>
            </w:r>
            <w:r>
              <w:rPr>
                <w:spacing w:val="43"/>
                <w:sz w:val="22"/>
              </w:rPr>
              <w:t> </w:t>
            </w:r>
            <w:r>
              <w:rPr>
                <w:sz w:val="22"/>
              </w:rPr>
              <w:t>meetings,</w:t>
            </w:r>
          </w:p>
        </w:tc>
        <w:tc>
          <w:tcPr>
            <w:tcW w:w="1349" w:type="dxa"/>
            <w:tcBorders>
              <w:top w:val="nil"/>
              <w:bottom w:val="nil"/>
            </w:tcBorders>
            <w:shd w:val="clear" w:color="auto" w:fill="D9EAD4"/>
          </w:tcPr>
          <w:p>
            <w:pPr>
              <w:pStyle w:val="TableParagraph"/>
              <w:rPr>
                <w:rFonts w:ascii="Times New Roman"/>
                <w:sz w:val="22"/>
              </w:rPr>
            </w:pPr>
          </w:p>
        </w:tc>
        <w:tc>
          <w:tcPr>
            <w:tcW w:w="1351" w:type="dxa"/>
            <w:tcBorders>
              <w:top w:val="nil"/>
              <w:bottom w:val="nil"/>
            </w:tcBorders>
            <w:shd w:val="clear" w:color="auto" w:fill="D9EAD4"/>
          </w:tcPr>
          <w:p>
            <w:pPr>
              <w:pStyle w:val="TableParagraph"/>
              <w:rPr>
                <w:rFonts w:ascii="Times New Roman"/>
                <w:sz w:val="22"/>
              </w:rPr>
            </w:pPr>
          </w:p>
        </w:tc>
        <w:tc>
          <w:tcPr>
            <w:tcW w:w="2947" w:type="dxa"/>
            <w:tcBorders>
              <w:top w:val="nil"/>
              <w:bottom w:val="nil"/>
            </w:tcBorders>
            <w:shd w:val="clear" w:color="auto" w:fill="D9EAD4"/>
          </w:tcPr>
          <w:p>
            <w:pPr>
              <w:pStyle w:val="TableParagraph"/>
              <w:spacing w:before="5"/>
              <w:rPr>
                <w:b/>
                <w:sz w:val="17"/>
              </w:rPr>
            </w:pPr>
          </w:p>
          <w:p>
            <w:pPr>
              <w:pStyle w:val="TableParagraph"/>
              <w:ind w:left="108"/>
              <w:rPr>
                <w:sz w:val="22"/>
              </w:rPr>
            </w:pPr>
            <w:r>
              <w:rPr>
                <w:sz w:val="22"/>
              </w:rPr>
              <w:t>Notices were sent to clients</w:t>
            </w:r>
          </w:p>
        </w:tc>
        <w:tc>
          <w:tcPr>
            <w:tcW w:w="3593" w:type="dxa"/>
            <w:tcBorders>
              <w:top w:val="nil"/>
              <w:bottom w:val="nil"/>
            </w:tcBorders>
            <w:shd w:val="clear" w:color="auto" w:fill="D9EAD4"/>
          </w:tcPr>
          <w:p>
            <w:pPr>
              <w:pStyle w:val="TableParagraph"/>
              <w:spacing w:before="5"/>
              <w:rPr>
                <w:b/>
                <w:sz w:val="17"/>
              </w:rPr>
            </w:pPr>
          </w:p>
          <w:p>
            <w:pPr>
              <w:pStyle w:val="TableParagraph"/>
              <w:ind w:left="105"/>
              <w:rPr>
                <w:sz w:val="22"/>
              </w:rPr>
            </w:pPr>
            <w:r>
              <w:rPr>
                <w:sz w:val="22"/>
              </w:rPr>
              <w:t>See Appendix E attachment titled:</w:t>
            </w:r>
          </w:p>
        </w:tc>
      </w:tr>
      <w:tr>
        <w:trPr>
          <w:trHeight w:val="268" w:hRule="atLeast"/>
        </w:trPr>
        <w:tc>
          <w:tcPr>
            <w:tcW w:w="3799" w:type="dxa"/>
            <w:tcBorders>
              <w:top w:val="nil"/>
              <w:bottom w:val="nil"/>
            </w:tcBorders>
            <w:shd w:val="clear" w:color="auto" w:fill="D9EAD4"/>
          </w:tcPr>
          <w:p>
            <w:pPr>
              <w:pStyle w:val="TableParagraph"/>
              <w:spacing w:line="245" w:lineRule="exact" w:before="4"/>
              <w:ind w:left="467"/>
              <w:rPr>
                <w:sz w:val="22"/>
              </w:rPr>
            </w:pPr>
            <w:r>
              <w:rPr>
                <w:sz w:val="22"/>
              </w:rPr>
              <w:t>conferences and webinars</w:t>
            </w:r>
          </w:p>
        </w:tc>
        <w:tc>
          <w:tcPr>
            <w:tcW w:w="1349" w:type="dxa"/>
            <w:tcBorders>
              <w:top w:val="nil"/>
              <w:bottom w:val="nil"/>
            </w:tcBorders>
            <w:shd w:val="clear" w:color="auto" w:fill="D9EAD4"/>
          </w:tcPr>
          <w:p>
            <w:pPr>
              <w:pStyle w:val="TableParagraph"/>
              <w:rPr>
                <w:rFonts w:ascii="Times New Roman"/>
                <w:sz w:val="18"/>
              </w:rPr>
            </w:pPr>
          </w:p>
        </w:tc>
        <w:tc>
          <w:tcPr>
            <w:tcW w:w="1351" w:type="dxa"/>
            <w:tcBorders>
              <w:top w:val="nil"/>
              <w:bottom w:val="nil"/>
            </w:tcBorders>
            <w:shd w:val="clear" w:color="auto" w:fill="D9EAD4"/>
          </w:tcPr>
          <w:p>
            <w:pPr>
              <w:pStyle w:val="TableParagraph"/>
              <w:rPr>
                <w:rFonts w:ascii="Times New Roman"/>
                <w:sz w:val="18"/>
              </w:rPr>
            </w:pPr>
          </w:p>
        </w:tc>
        <w:tc>
          <w:tcPr>
            <w:tcW w:w="2947" w:type="dxa"/>
            <w:tcBorders>
              <w:top w:val="nil"/>
              <w:bottom w:val="nil"/>
            </w:tcBorders>
            <w:shd w:val="clear" w:color="auto" w:fill="D9EAD4"/>
          </w:tcPr>
          <w:p>
            <w:pPr>
              <w:pStyle w:val="TableParagraph"/>
              <w:spacing w:line="225" w:lineRule="exact"/>
              <w:ind w:left="108"/>
              <w:rPr>
                <w:sz w:val="22"/>
              </w:rPr>
            </w:pPr>
            <w:r>
              <w:rPr>
                <w:sz w:val="22"/>
              </w:rPr>
              <w:t>on 7/31/15 about their HCBS</w:t>
            </w:r>
          </w:p>
        </w:tc>
        <w:tc>
          <w:tcPr>
            <w:tcW w:w="3593" w:type="dxa"/>
            <w:tcBorders>
              <w:top w:val="nil"/>
              <w:bottom w:val="nil"/>
            </w:tcBorders>
            <w:shd w:val="clear" w:color="auto" w:fill="D9EAD4"/>
          </w:tcPr>
          <w:p>
            <w:pPr>
              <w:pStyle w:val="TableParagraph"/>
              <w:spacing w:line="225" w:lineRule="exact"/>
              <w:ind w:left="105"/>
              <w:rPr>
                <w:sz w:val="22"/>
              </w:rPr>
            </w:pPr>
            <w:hyperlink w:history="true" w:anchor="_bookmark46">
              <w:r>
                <w:rPr>
                  <w:color w:val="6B9F24"/>
                  <w:sz w:val="22"/>
                  <w:u w:val="single" w:color="6B9F24"/>
                </w:rPr>
                <w:t>Letter to Clients about HCBS Rights</w:t>
              </w:r>
            </w:hyperlink>
          </w:p>
        </w:tc>
      </w:tr>
      <w:tr>
        <w:trPr>
          <w:trHeight w:val="225" w:hRule="atLeast"/>
        </w:trPr>
        <w:tc>
          <w:tcPr>
            <w:tcW w:w="3799" w:type="dxa"/>
            <w:tcBorders>
              <w:top w:val="nil"/>
            </w:tcBorders>
            <w:shd w:val="clear" w:color="auto" w:fill="D9EAD4"/>
          </w:tcPr>
          <w:p>
            <w:pPr>
              <w:pStyle w:val="TableParagraph"/>
              <w:rPr>
                <w:rFonts w:ascii="Times New Roman"/>
                <w:sz w:val="16"/>
              </w:rPr>
            </w:pPr>
          </w:p>
        </w:tc>
        <w:tc>
          <w:tcPr>
            <w:tcW w:w="1349" w:type="dxa"/>
            <w:tcBorders>
              <w:top w:val="nil"/>
            </w:tcBorders>
            <w:shd w:val="clear" w:color="auto" w:fill="D9EAD4"/>
          </w:tcPr>
          <w:p>
            <w:pPr>
              <w:pStyle w:val="TableParagraph"/>
              <w:rPr>
                <w:rFonts w:ascii="Times New Roman"/>
                <w:sz w:val="16"/>
              </w:rPr>
            </w:pPr>
          </w:p>
        </w:tc>
        <w:tc>
          <w:tcPr>
            <w:tcW w:w="1351" w:type="dxa"/>
            <w:tcBorders>
              <w:top w:val="nil"/>
            </w:tcBorders>
            <w:shd w:val="clear" w:color="auto" w:fill="D9EAD4"/>
          </w:tcPr>
          <w:p>
            <w:pPr>
              <w:pStyle w:val="TableParagraph"/>
              <w:rPr>
                <w:rFonts w:ascii="Times New Roman"/>
                <w:sz w:val="16"/>
              </w:rPr>
            </w:pPr>
          </w:p>
        </w:tc>
        <w:tc>
          <w:tcPr>
            <w:tcW w:w="2947" w:type="dxa"/>
            <w:tcBorders>
              <w:top w:val="nil"/>
            </w:tcBorders>
            <w:shd w:val="clear" w:color="auto" w:fill="D9EAD4"/>
          </w:tcPr>
          <w:p>
            <w:pPr>
              <w:pStyle w:val="TableParagraph"/>
              <w:spacing w:line="205" w:lineRule="exact"/>
              <w:ind w:left="108"/>
              <w:rPr>
                <w:sz w:val="22"/>
              </w:rPr>
            </w:pPr>
            <w:r>
              <w:rPr>
                <w:sz w:val="22"/>
              </w:rPr>
              <w:t>rights.</w:t>
            </w:r>
          </w:p>
        </w:tc>
        <w:tc>
          <w:tcPr>
            <w:tcW w:w="3593" w:type="dxa"/>
            <w:tcBorders>
              <w:top w:val="nil"/>
            </w:tcBorders>
            <w:shd w:val="clear" w:color="auto" w:fill="D9EAD4"/>
          </w:tcPr>
          <w:p>
            <w:pPr>
              <w:pStyle w:val="TableParagraph"/>
              <w:rPr>
                <w:rFonts w:ascii="Times New Roman"/>
                <w:sz w:val="16"/>
              </w:rPr>
            </w:pPr>
          </w:p>
        </w:tc>
      </w:tr>
    </w:tbl>
    <w:p>
      <w:pPr>
        <w:pStyle w:val="BodyText"/>
        <w:spacing w:before="6"/>
        <w:rPr>
          <w:b/>
        </w:rPr>
      </w:pPr>
      <w:r>
        <w:rPr/>
        <w:pict>
          <v:shape style="position:absolute;margin-left:70.559998pt;margin-top:15.9595pt;width:650.9pt;height:.1pt;mso-position-horizontal-relative:page;mso-position-vertical-relative:paragraph;z-index:-251460608;mso-wrap-distance-left:0;mso-wrap-distance-right:0" coordorigin="1411,319" coordsize="13018,0" path="m1411,319l14429,319e" filled="false" stroked="true" strokeweight=".481pt" strokecolor="#d9d9d9">
            <v:path arrowok="t"/>
            <v:stroke dashstyle="solid"/>
            <w10:wrap type="topAndBottom"/>
          </v:shape>
        </w:pict>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9"/>
        <w:gridCol w:w="1349"/>
        <w:gridCol w:w="1351"/>
        <w:gridCol w:w="2947"/>
        <w:gridCol w:w="3593"/>
      </w:tblGrid>
      <w:tr>
        <w:trPr>
          <w:trHeight w:val="1074" w:hRule="atLeast"/>
        </w:trPr>
        <w:tc>
          <w:tcPr>
            <w:tcW w:w="3799" w:type="dxa"/>
            <w:shd w:val="clear" w:color="auto" w:fill="D9EAD4"/>
          </w:tcPr>
          <w:p>
            <w:pPr>
              <w:pStyle w:val="TableParagraph"/>
              <w:ind w:left="107" w:right="853"/>
              <w:rPr>
                <w:sz w:val="22"/>
              </w:rPr>
            </w:pPr>
            <w:r>
              <w:rPr>
                <w:sz w:val="22"/>
              </w:rPr>
              <w:t>Add client rights information to residential client care plans.</w:t>
            </w:r>
          </w:p>
        </w:tc>
        <w:tc>
          <w:tcPr>
            <w:tcW w:w="1349" w:type="dxa"/>
            <w:shd w:val="clear" w:color="auto" w:fill="D9EAD4"/>
          </w:tcPr>
          <w:p>
            <w:pPr>
              <w:pStyle w:val="TableParagraph"/>
              <w:spacing w:line="268" w:lineRule="exact"/>
              <w:ind w:left="108"/>
              <w:rPr>
                <w:sz w:val="22"/>
              </w:rPr>
            </w:pPr>
            <w:r>
              <w:rPr>
                <w:sz w:val="22"/>
              </w:rPr>
              <w:t>7/1/15</w:t>
            </w:r>
          </w:p>
        </w:tc>
        <w:tc>
          <w:tcPr>
            <w:tcW w:w="1351" w:type="dxa"/>
            <w:shd w:val="clear" w:color="auto" w:fill="D9EAD4"/>
          </w:tcPr>
          <w:p>
            <w:pPr>
              <w:pStyle w:val="TableParagraph"/>
              <w:spacing w:line="268" w:lineRule="exact"/>
              <w:ind w:left="107"/>
              <w:rPr>
                <w:sz w:val="22"/>
              </w:rPr>
            </w:pPr>
            <w:r>
              <w:rPr>
                <w:sz w:val="22"/>
              </w:rPr>
              <w:t>10/31/15</w:t>
            </w:r>
          </w:p>
        </w:tc>
        <w:tc>
          <w:tcPr>
            <w:tcW w:w="2947" w:type="dxa"/>
            <w:shd w:val="clear" w:color="auto" w:fill="D9EAD4"/>
          </w:tcPr>
          <w:p>
            <w:pPr>
              <w:pStyle w:val="TableParagraph"/>
              <w:ind w:left="108" w:right="398"/>
              <w:jc w:val="both"/>
              <w:rPr>
                <w:sz w:val="22"/>
              </w:rPr>
            </w:pPr>
            <w:r>
              <w:rPr>
                <w:sz w:val="22"/>
              </w:rPr>
              <w:t>Completed 10/30/15—the CARE service summary lists the HCBS client rights for</w:t>
            </w:r>
          </w:p>
          <w:p>
            <w:pPr>
              <w:pStyle w:val="TableParagraph"/>
              <w:spacing w:line="249" w:lineRule="exact"/>
              <w:ind w:left="108"/>
              <w:jc w:val="both"/>
              <w:rPr>
                <w:sz w:val="22"/>
              </w:rPr>
            </w:pPr>
            <w:r>
              <w:rPr>
                <w:sz w:val="22"/>
              </w:rPr>
              <w:t>clients in residential settings</w:t>
            </w:r>
          </w:p>
        </w:tc>
        <w:tc>
          <w:tcPr>
            <w:tcW w:w="3593" w:type="dxa"/>
            <w:shd w:val="clear" w:color="auto" w:fill="D9EAD4"/>
          </w:tcPr>
          <w:p>
            <w:pPr>
              <w:pStyle w:val="TableParagraph"/>
              <w:ind w:left="105" w:right="413"/>
              <w:rPr>
                <w:sz w:val="22"/>
              </w:rPr>
            </w:pPr>
            <w:r>
              <w:rPr>
                <w:sz w:val="22"/>
              </w:rPr>
              <w:t>See Appendix E attachment titled: </w:t>
            </w:r>
            <w:hyperlink w:history="true" w:anchor="_bookmark50">
              <w:r>
                <w:rPr>
                  <w:color w:val="6B9F24"/>
                  <w:sz w:val="22"/>
                  <w:u w:val="single" w:color="6B9F24"/>
                </w:rPr>
                <w:t>Client Service Summary Excerpt</w:t>
              </w:r>
            </w:hyperlink>
          </w:p>
        </w:tc>
      </w:tr>
      <w:tr>
        <w:trPr>
          <w:trHeight w:val="4881" w:hRule="atLeast"/>
        </w:trPr>
        <w:tc>
          <w:tcPr>
            <w:tcW w:w="3799" w:type="dxa"/>
            <w:shd w:val="clear" w:color="auto" w:fill="D9EAD4"/>
          </w:tcPr>
          <w:p>
            <w:pPr>
              <w:pStyle w:val="TableParagraph"/>
              <w:ind w:left="107" w:right="200"/>
              <w:rPr>
                <w:sz w:val="22"/>
              </w:rPr>
            </w:pPr>
            <w:r>
              <w:rPr>
                <w:sz w:val="22"/>
              </w:rPr>
              <w:t>DDA HCBS Waiver Quality Assurance Advisory Committee has accepted additional role as stakeholder advisory committee to DDA for implementation of Transition Plan</w:t>
            </w:r>
          </w:p>
        </w:tc>
        <w:tc>
          <w:tcPr>
            <w:tcW w:w="1349" w:type="dxa"/>
            <w:shd w:val="clear" w:color="auto" w:fill="D9EAD4"/>
          </w:tcPr>
          <w:p>
            <w:pPr>
              <w:pStyle w:val="TableParagraph"/>
              <w:spacing w:line="268" w:lineRule="exact"/>
              <w:ind w:left="108"/>
              <w:rPr>
                <w:sz w:val="22"/>
              </w:rPr>
            </w:pPr>
            <w:r>
              <w:rPr>
                <w:sz w:val="22"/>
              </w:rPr>
              <w:t>02/17/2015</w:t>
            </w:r>
          </w:p>
        </w:tc>
        <w:tc>
          <w:tcPr>
            <w:tcW w:w="1351" w:type="dxa"/>
            <w:shd w:val="clear" w:color="auto" w:fill="D9EAD4"/>
          </w:tcPr>
          <w:p>
            <w:pPr>
              <w:pStyle w:val="TableParagraph"/>
              <w:spacing w:line="268" w:lineRule="exact"/>
              <w:ind w:left="107"/>
              <w:rPr>
                <w:sz w:val="22"/>
              </w:rPr>
            </w:pPr>
            <w:r>
              <w:rPr>
                <w:sz w:val="22"/>
              </w:rPr>
              <w:t>1/1/2019</w:t>
            </w:r>
          </w:p>
        </w:tc>
        <w:tc>
          <w:tcPr>
            <w:tcW w:w="2947" w:type="dxa"/>
            <w:shd w:val="clear" w:color="auto" w:fill="D9EAD4"/>
          </w:tcPr>
          <w:p>
            <w:pPr>
              <w:pStyle w:val="TableParagraph"/>
              <w:ind w:left="108" w:right="119"/>
              <w:rPr>
                <w:sz w:val="22"/>
              </w:rPr>
            </w:pPr>
            <w:r>
              <w:rPr>
                <w:sz w:val="22"/>
              </w:rPr>
              <w:t>DDA HCBS Waiver Quality Assurance Advisory Committee has met 4 times in 2015.</w:t>
            </w:r>
          </w:p>
          <w:p>
            <w:pPr>
              <w:pStyle w:val="TableParagraph"/>
              <w:spacing w:before="10"/>
              <w:rPr>
                <w:b/>
                <w:sz w:val="21"/>
              </w:rPr>
            </w:pPr>
          </w:p>
          <w:p>
            <w:pPr>
              <w:pStyle w:val="TableParagraph"/>
              <w:ind w:left="108" w:right="112"/>
              <w:rPr>
                <w:sz w:val="22"/>
              </w:rPr>
            </w:pPr>
            <w:r>
              <w:rPr>
                <w:sz w:val="22"/>
              </w:rPr>
              <w:t>DDA has scheduled HCBS Waiver Quality Assurance Advisory Committee meetings for 2017:</w:t>
            </w:r>
          </w:p>
          <w:p>
            <w:pPr>
              <w:pStyle w:val="TableParagraph"/>
              <w:numPr>
                <w:ilvl w:val="0"/>
                <w:numId w:val="44"/>
              </w:numPr>
              <w:tabs>
                <w:tab w:pos="468" w:val="left" w:leader="none"/>
                <w:tab w:pos="469" w:val="left" w:leader="none"/>
              </w:tabs>
              <w:spacing w:line="240" w:lineRule="auto" w:before="1" w:after="0"/>
              <w:ind w:left="468" w:right="0" w:hanging="361"/>
              <w:jc w:val="left"/>
              <w:rPr>
                <w:sz w:val="22"/>
              </w:rPr>
            </w:pPr>
            <w:r>
              <w:rPr>
                <w:sz w:val="22"/>
              </w:rPr>
              <w:t>2/7</w:t>
            </w:r>
          </w:p>
          <w:p>
            <w:pPr>
              <w:pStyle w:val="TableParagraph"/>
              <w:numPr>
                <w:ilvl w:val="0"/>
                <w:numId w:val="44"/>
              </w:numPr>
              <w:tabs>
                <w:tab w:pos="468" w:val="left" w:leader="none"/>
                <w:tab w:pos="469" w:val="left" w:leader="none"/>
              </w:tabs>
              <w:spacing w:line="279" w:lineRule="exact" w:before="1" w:after="0"/>
              <w:ind w:left="468" w:right="0" w:hanging="361"/>
              <w:jc w:val="left"/>
              <w:rPr>
                <w:sz w:val="22"/>
              </w:rPr>
            </w:pPr>
            <w:r>
              <w:rPr>
                <w:sz w:val="22"/>
              </w:rPr>
              <w:t>5/4</w:t>
            </w:r>
          </w:p>
          <w:p>
            <w:pPr>
              <w:pStyle w:val="TableParagraph"/>
              <w:numPr>
                <w:ilvl w:val="0"/>
                <w:numId w:val="44"/>
              </w:numPr>
              <w:tabs>
                <w:tab w:pos="468" w:val="left" w:leader="none"/>
                <w:tab w:pos="469" w:val="left" w:leader="none"/>
              </w:tabs>
              <w:spacing w:line="279" w:lineRule="exact" w:before="0" w:after="0"/>
              <w:ind w:left="468" w:right="0" w:hanging="361"/>
              <w:jc w:val="left"/>
              <w:rPr>
                <w:sz w:val="22"/>
              </w:rPr>
            </w:pPr>
            <w:r>
              <w:rPr>
                <w:sz w:val="22"/>
              </w:rPr>
              <w:t>8/3</w:t>
            </w:r>
          </w:p>
          <w:p>
            <w:pPr>
              <w:pStyle w:val="TableParagraph"/>
              <w:numPr>
                <w:ilvl w:val="0"/>
                <w:numId w:val="44"/>
              </w:numPr>
              <w:tabs>
                <w:tab w:pos="468" w:val="left" w:leader="none"/>
                <w:tab w:pos="469" w:val="left" w:leader="none"/>
              </w:tabs>
              <w:spacing w:line="240" w:lineRule="auto" w:before="0" w:after="0"/>
              <w:ind w:left="468" w:right="0" w:hanging="361"/>
              <w:jc w:val="left"/>
              <w:rPr>
                <w:sz w:val="22"/>
              </w:rPr>
            </w:pPr>
            <w:r>
              <w:rPr>
                <w:sz w:val="22"/>
              </w:rPr>
              <w:t>11/3</w:t>
            </w:r>
          </w:p>
          <w:p>
            <w:pPr>
              <w:pStyle w:val="TableParagraph"/>
              <w:spacing w:line="270" w:lineRule="atLeast"/>
              <w:ind w:left="468" w:right="187"/>
              <w:rPr>
                <w:sz w:val="22"/>
              </w:rPr>
            </w:pPr>
            <w:r>
              <w:rPr>
                <w:sz w:val="22"/>
              </w:rPr>
              <w:t>This milestone has been completed and periodic meetings will continue to be held during the implementation.</w:t>
            </w:r>
          </w:p>
        </w:tc>
        <w:tc>
          <w:tcPr>
            <w:tcW w:w="3593" w:type="dxa"/>
            <w:shd w:val="clear" w:color="auto" w:fill="D9EAD4"/>
          </w:tcPr>
          <w:p>
            <w:pPr>
              <w:pStyle w:val="TableParagraph"/>
              <w:spacing w:line="268" w:lineRule="exact"/>
              <w:ind w:left="105"/>
              <w:rPr>
                <w:sz w:val="22"/>
              </w:rPr>
            </w:pPr>
            <w:r>
              <w:rPr>
                <w:sz w:val="22"/>
              </w:rPr>
              <w:t>4 Meetings were held in 2015:</w:t>
            </w:r>
          </w:p>
          <w:p>
            <w:pPr>
              <w:pStyle w:val="TableParagraph"/>
              <w:numPr>
                <w:ilvl w:val="0"/>
                <w:numId w:val="45"/>
              </w:numPr>
              <w:tabs>
                <w:tab w:pos="465" w:val="left" w:leader="none"/>
                <w:tab w:pos="466" w:val="left" w:leader="none"/>
              </w:tabs>
              <w:spacing w:line="279" w:lineRule="exact" w:before="0" w:after="0"/>
              <w:ind w:left="465" w:right="0" w:hanging="361"/>
              <w:jc w:val="left"/>
              <w:rPr>
                <w:sz w:val="22"/>
              </w:rPr>
            </w:pPr>
            <w:r>
              <w:rPr>
                <w:sz w:val="22"/>
              </w:rPr>
              <w:t>2/17</w:t>
            </w:r>
          </w:p>
          <w:p>
            <w:pPr>
              <w:pStyle w:val="TableParagraph"/>
              <w:numPr>
                <w:ilvl w:val="0"/>
                <w:numId w:val="45"/>
              </w:numPr>
              <w:tabs>
                <w:tab w:pos="465" w:val="left" w:leader="none"/>
                <w:tab w:pos="466" w:val="left" w:leader="none"/>
              </w:tabs>
              <w:spacing w:line="279" w:lineRule="exact" w:before="0" w:after="0"/>
              <w:ind w:left="465" w:right="0" w:hanging="361"/>
              <w:jc w:val="left"/>
              <w:rPr>
                <w:sz w:val="22"/>
              </w:rPr>
            </w:pPr>
            <w:r>
              <w:rPr>
                <w:sz w:val="22"/>
              </w:rPr>
              <w:t>4/21</w:t>
            </w:r>
          </w:p>
          <w:p>
            <w:pPr>
              <w:pStyle w:val="TableParagraph"/>
              <w:numPr>
                <w:ilvl w:val="0"/>
                <w:numId w:val="45"/>
              </w:numPr>
              <w:tabs>
                <w:tab w:pos="465" w:val="left" w:leader="none"/>
                <w:tab w:pos="466" w:val="left" w:leader="none"/>
              </w:tabs>
              <w:spacing w:line="240" w:lineRule="auto" w:before="1" w:after="0"/>
              <w:ind w:left="465" w:right="0" w:hanging="361"/>
              <w:jc w:val="left"/>
              <w:rPr>
                <w:sz w:val="22"/>
              </w:rPr>
            </w:pPr>
            <w:r>
              <w:rPr>
                <w:sz w:val="22"/>
              </w:rPr>
              <w:t>7/14</w:t>
            </w:r>
          </w:p>
          <w:p>
            <w:pPr>
              <w:pStyle w:val="TableParagraph"/>
              <w:numPr>
                <w:ilvl w:val="0"/>
                <w:numId w:val="45"/>
              </w:numPr>
              <w:tabs>
                <w:tab w:pos="465" w:val="left" w:leader="none"/>
                <w:tab w:pos="466" w:val="left" w:leader="none"/>
              </w:tabs>
              <w:spacing w:line="240" w:lineRule="auto" w:before="0" w:after="0"/>
              <w:ind w:left="465" w:right="0" w:hanging="361"/>
              <w:jc w:val="left"/>
              <w:rPr>
                <w:sz w:val="22"/>
              </w:rPr>
            </w:pPr>
            <w:r>
              <w:rPr>
                <w:sz w:val="22"/>
              </w:rPr>
              <w:t>10/15</w:t>
            </w:r>
          </w:p>
          <w:p>
            <w:pPr>
              <w:pStyle w:val="TableParagraph"/>
              <w:spacing w:before="1"/>
              <w:ind w:left="105"/>
              <w:rPr>
                <w:sz w:val="22"/>
              </w:rPr>
            </w:pPr>
            <w:r>
              <w:rPr>
                <w:sz w:val="22"/>
              </w:rPr>
              <w:t>3 Meetings were held in 2016:</w:t>
            </w:r>
          </w:p>
          <w:p>
            <w:pPr>
              <w:pStyle w:val="TableParagraph"/>
              <w:numPr>
                <w:ilvl w:val="0"/>
                <w:numId w:val="46"/>
              </w:numPr>
              <w:tabs>
                <w:tab w:pos="465" w:val="left" w:leader="none"/>
                <w:tab w:pos="466" w:val="left" w:leader="none"/>
              </w:tabs>
              <w:spacing w:line="279" w:lineRule="exact" w:before="0" w:after="0"/>
              <w:ind w:left="465" w:right="0" w:hanging="361"/>
              <w:jc w:val="left"/>
              <w:rPr>
                <w:sz w:val="22"/>
              </w:rPr>
            </w:pPr>
            <w:r>
              <w:rPr>
                <w:sz w:val="22"/>
              </w:rPr>
              <w:t>1/28</w:t>
            </w:r>
          </w:p>
          <w:p>
            <w:pPr>
              <w:pStyle w:val="TableParagraph"/>
              <w:numPr>
                <w:ilvl w:val="0"/>
                <w:numId w:val="46"/>
              </w:numPr>
              <w:tabs>
                <w:tab w:pos="465" w:val="left" w:leader="none"/>
                <w:tab w:pos="466" w:val="left" w:leader="none"/>
              </w:tabs>
              <w:spacing w:line="279" w:lineRule="exact" w:before="0" w:after="0"/>
              <w:ind w:left="465" w:right="0" w:hanging="361"/>
              <w:jc w:val="left"/>
              <w:rPr>
                <w:sz w:val="22"/>
              </w:rPr>
            </w:pPr>
            <w:r>
              <w:rPr>
                <w:sz w:val="22"/>
              </w:rPr>
              <w:t>4/21</w:t>
            </w:r>
          </w:p>
          <w:p>
            <w:pPr>
              <w:pStyle w:val="TableParagraph"/>
              <w:numPr>
                <w:ilvl w:val="0"/>
                <w:numId w:val="46"/>
              </w:numPr>
              <w:tabs>
                <w:tab w:pos="465" w:val="left" w:leader="none"/>
                <w:tab w:pos="466" w:val="left" w:leader="none"/>
              </w:tabs>
              <w:spacing w:line="240" w:lineRule="auto" w:before="1" w:after="0"/>
              <w:ind w:left="465" w:right="0" w:hanging="361"/>
              <w:jc w:val="left"/>
              <w:rPr>
                <w:sz w:val="22"/>
              </w:rPr>
            </w:pPr>
            <w:r>
              <w:rPr>
                <w:sz w:val="22"/>
              </w:rPr>
              <w:t>7/21</w:t>
            </w:r>
          </w:p>
        </w:tc>
      </w:tr>
      <w:tr>
        <w:trPr>
          <w:trHeight w:val="263" w:hRule="atLeast"/>
        </w:trPr>
        <w:tc>
          <w:tcPr>
            <w:tcW w:w="3799" w:type="dxa"/>
            <w:shd w:val="clear" w:color="auto" w:fill="4DA3D7"/>
          </w:tcPr>
          <w:p>
            <w:pPr>
              <w:pStyle w:val="TableParagraph"/>
              <w:spacing w:line="244" w:lineRule="exact"/>
              <w:ind w:left="107"/>
              <w:rPr>
                <w:b/>
                <w:sz w:val="22"/>
              </w:rPr>
            </w:pPr>
            <w:r>
              <w:rPr>
                <w:b/>
                <w:sz w:val="22"/>
              </w:rPr>
              <w:t>Staff Training</w:t>
            </w:r>
          </w:p>
        </w:tc>
        <w:tc>
          <w:tcPr>
            <w:tcW w:w="9240" w:type="dxa"/>
            <w:gridSpan w:val="4"/>
            <w:shd w:val="clear" w:color="auto" w:fill="4DA3D7"/>
          </w:tcPr>
          <w:p>
            <w:pPr>
              <w:pStyle w:val="TableParagraph"/>
              <w:rPr>
                <w:rFonts w:ascii="Times New Roman"/>
                <w:sz w:val="18"/>
              </w:rPr>
            </w:pPr>
          </w:p>
        </w:tc>
      </w:tr>
      <w:tr>
        <w:trPr>
          <w:trHeight w:val="1074" w:hRule="atLeast"/>
        </w:trPr>
        <w:tc>
          <w:tcPr>
            <w:tcW w:w="3799" w:type="dxa"/>
            <w:shd w:val="clear" w:color="auto" w:fill="D9EAD4"/>
          </w:tcPr>
          <w:p>
            <w:pPr>
              <w:pStyle w:val="TableParagraph"/>
              <w:ind w:left="107" w:right="121"/>
              <w:rPr>
                <w:b/>
                <w:i/>
                <w:sz w:val="22"/>
              </w:rPr>
            </w:pPr>
            <w:r>
              <w:rPr>
                <w:sz w:val="22"/>
              </w:rPr>
              <w:t>Provide training to staff who survey Supported Living providers. – </w:t>
            </w:r>
            <w:r>
              <w:rPr>
                <w:b/>
                <w:i/>
                <w:sz w:val="22"/>
              </w:rPr>
              <w:t>Note that </w:t>
            </w:r>
            <w:r>
              <w:rPr>
                <w:b/>
                <w:i/>
                <w:sz w:val="22"/>
              </w:rPr>
              <w:t>this is a new milestone for the</w:t>
            </w:r>
          </w:p>
          <w:p>
            <w:pPr>
              <w:pStyle w:val="TableParagraph"/>
              <w:spacing w:line="249" w:lineRule="exact"/>
              <w:ind w:left="107"/>
              <w:rPr>
                <w:b/>
                <w:i/>
                <w:sz w:val="22"/>
              </w:rPr>
            </w:pPr>
            <w:r>
              <w:rPr>
                <w:b/>
                <w:i/>
                <w:sz w:val="22"/>
              </w:rPr>
              <w:t>3/15/2017 revised transition plan</w:t>
            </w:r>
          </w:p>
        </w:tc>
        <w:tc>
          <w:tcPr>
            <w:tcW w:w="1349" w:type="dxa"/>
            <w:shd w:val="clear" w:color="auto" w:fill="D9EAD4"/>
          </w:tcPr>
          <w:p>
            <w:pPr>
              <w:pStyle w:val="TableParagraph"/>
              <w:spacing w:line="268" w:lineRule="exact"/>
              <w:ind w:left="108"/>
              <w:rPr>
                <w:sz w:val="22"/>
              </w:rPr>
            </w:pPr>
            <w:r>
              <w:rPr>
                <w:sz w:val="22"/>
              </w:rPr>
              <w:t>7/1/2017</w:t>
            </w:r>
          </w:p>
        </w:tc>
        <w:tc>
          <w:tcPr>
            <w:tcW w:w="1351" w:type="dxa"/>
            <w:shd w:val="clear" w:color="auto" w:fill="D9EAD4"/>
          </w:tcPr>
          <w:p>
            <w:pPr>
              <w:pStyle w:val="TableParagraph"/>
              <w:spacing w:line="268" w:lineRule="exact"/>
              <w:ind w:left="107"/>
              <w:rPr>
                <w:sz w:val="22"/>
              </w:rPr>
            </w:pPr>
            <w:r>
              <w:rPr>
                <w:sz w:val="22"/>
              </w:rPr>
              <w:t>1/1/2018</w:t>
            </w:r>
          </w:p>
        </w:tc>
        <w:tc>
          <w:tcPr>
            <w:tcW w:w="2947" w:type="dxa"/>
            <w:shd w:val="clear" w:color="auto" w:fill="D9EAD4"/>
          </w:tcPr>
          <w:p>
            <w:pPr>
              <w:pStyle w:val="TableParagraph"/>
              <w:ind w:left="108" w:right="92"/>
              <w:rPr>
                <w:sz w:val="22"/>
              </w:rPr>
            </w:pPr>
            <w:r>
              <w:rPr>
                <w:sz w:val="22"/>
              </w:rPr>
              <w:t>This milestone has been completed and periodic trainings will continue for new</w:t>
            </w:r>
          </w:p>
          <w:p>
            <w:pPr>
              <w:pStyle w:val="TableParagraph"/>
              <w:spacing w:line="249" w:lineRule="exact"/>
              <w:ind w:left="108"/>
              <w:rPr>
                <w:sz w:val="22"/>
              </w:rPr>
            </w:pPr>
            <w:r>
              <w:rPr>
                <w:sz w:val="22"/>
              </w:rPr>
              <w:t>staff.</w:t>
            </w:r>
          </w:p>
        </w:tc>
        <w:tc>
          <w:tcPr>
            <w:tcW w:w="3593" w:type="dxa"/>
            <w:shd w:val="clear" w:color="auto" w:fill="D9EAD4"/>
          </w:tcPr>
          <w:p>
            <w:pPr>
              <w:pStyle w:val="TableParagraph"/>
              <w:rPr>
                <w:rFonts w:ascii="Times New Roman"/>
                <w:sz w:val="22"/>
              </w:rPr>
            </w:pPr>
          </w:p>
        </w:tc>
      </w:tr>
      <w:tr>
        <w:trPr>
          <w:trHeight w:val="1612" w:hRule="atLeast"/>
        </w:trPr>
        <w:tc>
          <w:tcPr>
            <w:tcW w:w="3799" w:type="dxa"/>
            <w:shd w:val="clear" w:color="auto" w:fill="D9EAD4"/>
          </w:tcPr>
          <w:p>
            <w:pPr>
              <w:pStyle w:val="TableParagraph"/>
              <w:ind w:left="107" w:right="573"/>
              <w:rPr>
                <w:sz w:val="22"/>
              </w:rPr>
            </w:pPr>
            <w:r>
              <w:rPr>
                <w:sz w:val="22"/>
              </w:rPr>
              <w:t>Provide training to staff who survey/inspect licensed residential settings</w:t>
            </w:r>
          </w:p>
        </w:tc>
        <w:tc>
          <w:tcPr>
            <w:tcW w:w="1349" w:type="dxa"/>
            <w:shd w:val="clear" w:color="auto" w:fill="D9EAD4"/>
          </w:tcPr>
          <w:p>
            <w:pPr>
              <w:pStyle w:val="TableParagraph"/>
              <w:spacing w:line="268" w:lineRule="exact"/>
              <w:ind w:left="108"/>
              <w:rPr>
                <w:sz w:val="22"/>
              </w:rPr>
            </w:pPr>
            <w:r>
              <w:rPr>
                <w:sz w:val="22"/>
              </w:rPr>
              <w:t>11/01/2014</w:t>
            </w:r>
          </w:p>
        </w:tc>
        <w:tc>
          <w:tcPr>
            <w:tcW w:w="1351" w:type="dxa"/>
            <w:shd w:val="clear" w:color="auto" w:fill="D9EAD4"/>
          </w:tcPr>
          <w:p>
            <w:pPr>
              <w:pStyle w:val="TableParagraph"/>
              <w:spacing w:line="268" w:lineRule="exact"/>
              <w:ind w:left="107"/>
              <w:rPr>
                <w:sz w:val="22"/>
              </w:rPr>
            </w:pPr>
            <w:r>
              <w:rPr>
                <w:sz w:val="22"/>
              </w:rPr>
              <w:t>11/30/2017</w:t>
            </w:r>
          </w:p>
        </w:tc>
        <w:tc>
          <w:tcPr>
            <w:tcW w:w="2947" w:type="dxa"/>
            <w:shd w:val="clear" w:color="auto" w:fill="D9EAD4"/>
          </w:tcPr>
          <w:p>
            <w:pPr>
              <w:pStyle w:val="TableParagraph"/>
              <w:ind w:left="108" w:right="208"/>
              <w:rPr>
                <w:sz w:val="22"/>
              </w:rPr>
            </w:pPr>
            <w:r>
              <w:rPr>
                <w:sz w:val="22"/>
              </w:rPr>
              <w:t>Management Bulletins (MBs) were issued to staff on 6/22/2015 and 7/27/2015 to provide basic training on the new HCBS requirements and</w:t>
            </w:r>
          </w:p>
          <w:p>
            <w:pPr>
              <w:pStyle w:val="TableParagraph"/>
              <w:spacing w:line="249" w:lineRule="exact"/>
              <w:ind w:left="108"/>
              <w:rPr>
                <w:sz w:val="22"/>
              </w:rPr>
            </w:pPr>
            <w:r>
              <w:rPr>
                <w:sz w:val="22"/>
              </w:rPr>
              <w:t>expectations for provider</w:t>
            </w:r>
          </w:p>
        </w:tc>
        <w:tc>
          <w:tcPr>
            <w:tcW w:w="3593" w:type="dxa"/>
            <w:shd w:val="clear" w:color="auto" w:fill="D9EAD4"/>
          </w:tcPr>
          <w:p>
            <w:pPr>
              <w:pStyle w:val="TableParagraph"/>
              <w:ind w:left="105" w:right="427"/>
              <w:rPr>
                <w:sz w:val="22"/>
              </w:rPr>
            </w:pPr>
            <w:r>
              <w:rPr>
                <w:sz w:val="22"/>
              </w:rPr>
              <w:t>See Appendix E attachment titled: </w:t>
            </w:r>
            <w:hyperlink w:history="true" w:anchor="_bookmark59">
              <w:r>
                <w:rPr>
                  <w:color w:val="6B9F24"/>
                  <w:sz w:val="22"/>
                  <w:u w:val="single" w:color="6B9F24"/>
                </w:rPr>
                <w:t>R15-056 – HCBS Webinars</w:t>
              </w:r>
            </w:hyperlink>
          </w:p>
          <w:p>
            <w:pPr>
              <w:pStyle w:val="TableParagraph"/>
              <w:spacing w:before="12"/>
              <w:rPr>
                <w:b/>
                <w:sz w:val="21"/>
              </w:rPr>
            </w:pPr>
          </w:p>
          <w:p>
            <w:pPr>
              <w:pStyle w:val="TableParagraph"/>
              <w:ind w:left="105" w:right="427"/>
              <w:rPr>
                <w:sz w:val="22"/>
              </w:rPr>
            </w:pPr>
            <w:r>
              <w:rPr>
                <w:sz w:val="22"/>
              </w:rPr>
              <w:t>See Appendix E attachment titled: </w:t>
            </w:r>
            <w:hyperlink w:history="true" w:anchor="_bookmark58">
              <w:r>
                <w:rPr>
                  <w:color w:val="6B9F24"/>
                  <w:sz w:val="22"/>
                  <w:u w:val="single" w:color="6B9F24"/>
                </w:rPr>
                <w:t>R15-047 – HCBS Rules &amp; Plans</w:t>
              </w:r>
            </w:hyperlink>
          </w:p>
        </w:tc>
      </w:tr>
    </w:tbl>
    <w:p>
      <w:pPr>
        <w:pStyle w:val="BodyText"/>
        <w:spacing w:before="7"/>
        <w:rPr>
          <w:b/>
          <w:sz w:val="17"/>
        </w:rPr>
      </w:pPr>
      <w:r>
        <w:rPr/>
        <w:pict>
          <v:shape style="position:absolute;margin-left:70.559998pt;margin-top:12.9595pt;width:650.9pt;height:.1pt;mso-position-horizontal-relative:page;mso-position-vertical-relative:paragraph;z-index:-251459584;mso-wrap-distance-left:0;mso-wrap-distance-right:0" coordorigin="1411,259" coordsize="13018,0" path="m1411,259l14429,259e" filled="false" stroked="true" strokeweight=".481pt" strokecolor="#d9d9d9">
            <v:path arrowok="t"/>
            <v:stroke dashstyle="solid"/>
            <w10:wrap type="topAndBottom"/>
          </v:shape>
        </w:pict>
      </w:r>
    </w:p>
    <w:p>
      <w:pPr>
        <w:spacing w:after="0"/>
        <w:rPr>
          <w:sz w:val="17"/>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9"/>
        <w:gridCol w:w="1349"/>
        <w:gridCol w:w="1351"/>
        <w:gridCol w:w="2947"/>
        <w:gridCol w:w="3593"/>
      </w:tblGrid>
      <w:tr>
        <w:trPr>
          <w:trHeight w:val="3784" w:hRule="atLeast"/>
        </w:trPr>
        <w:tc>
          <w:tcPr>
            <w:tcW w:w="3799" w:type="dxa"/>
            <w:shd w:val="clear" w:color="auto" w:fill="D9EAD4"/>
          </w:tcPr>
          <w:p>
            <w:pPr>
              <w:pStyle w:val="TableParagraph"/>
              <w:rPr>
                <w:rFonts w:ascii="Times New Roman"/>
                <w:sz w:val="22"/>
              </w:rPr>
            </w:pPr>
          </w:p>
        </w:tc>
        <w:tc>
          <w:tcPr>
            <w:tcW w:w="1349" w:type="dxa"/>
            <w:shd w:val="clear" w:color="auto" w:fill="D9EAD4"/>
          </w:tcPr>
          <w:p>
            <w:pPr>
              <w:pStyle w:val="TableParagraph"/>
              <w:rPr>
                <w:rFonts w:ascii="Times New Roman"/>
                <w:sz w:val="22"/>
              </w:rPr>
            </w:pPr>
          </w:p>
        </w:tc>
        <w:tc>
          <w:tcPr>
            <w:tcW w:w="1351" w:type="dxa"/>
            <w:shd w:val="clear" w:color="auto" w:fill="D9EAD4"/>
          </w:tcPr>
          <w:p>
            <w:pPr>
              <w:pStyle w:val="TableParagraph"/>
              <w:rPr>
                <w:rFonts w:ascii="Times New Roman"/>
                <w:sz w:val="22"/>
              </w:rPr>
            </w:pPr>
          </w:p>
        </w:tc>
        <w:tc>
          <w:tcPr>
            <w:tcW w:w="2947" w:type="dxa"/>
            <w:shd w:val="clear" w:color="auto" w:fill="D9EAD4"/>
          </w:tcPr>
          <w:p>
            <w:pPr>
              <w:pStyle w:val="TableParagraph"/>
              <w:ind w:left="108" w:right="988"/>
              <w:rPr>
                <w:sz w:val="22"/>
              </w:rPr>
            </w:pPr>
            <w:r>
              <w:rPr>
                <w:sz w:val="22"/>
              </w:rPr>
              <w:t>compliance with the requirements.</w:t>
            </w:r>
          </w:p>
          <w:p>
            <w:pPr>
              <w:pStyle w:val="TableParagraph"/>
              <w:spacing w:before="12"/>
              <w:rPr>
                <w:b/>
                <w:sz w:val="21"/>
              </w:rPr>
            </w:pPr>
          </w:p>
          <w:p>
            <w:pPr>
              <w:pStyle w:val="TableParagraph"/>
              <w:ind w:left="108" w:right="107"/>
              <w:rPr>
                <w:sz w:val="22"/>
              </w:rPr>
            </w:pPr>
            <w:r>
              <w:rPr>
                <w:sz w:val="22"/>
              </w:rPr>
              <w:t>In process- The HCBS requirements were reviewed with RCS licensors and complaint investigators during all field staff meetings beginning in March 2016 through May of 2016. This milestone has been completed and periodic training will continue for new staff.</w:t>
            </w:r>
          </w:p>
        </w:tc>
        <w:tc>
          <w:tcPr>
            <w:tcW w:w="3593" w:type="dxa"/>
            <w:shd w:val="clear" w:color="auto" w:fill="D9EAD4"/>
          </w:tcPr>
          <w:p>
            <w:pPr>
              <w:pStyle w:val="TableParagraph"/>
              <w:ind w:left="105" w:right="211"/>
              <w:rPr>
                <w:sz w:val="24"/>
              </w:rPr>
            </w:pPr>
            <w:r>
              <w:rPr>
                <w:sz w:val="24"/>
              </w:rPr>
              <w:t>HCBS staff trainings were held on the following dates:</w:t>
            </w:r>
          </w:p>
          <w:p>
            <w:pPr>
              <w:pStyle w:val="TableParagraph"/>
              <w:spacing w:line="293" w:lineRule="exact"/>
              <w:ind w:left="105"/>
              <w:rPr>
                <w:sz w:val="24"/>
              </w:rPr>
            </w:pPr>
            <w:r>
              <w:rPr>
                <w:sz w:val="24"/>
              </w:rPr>
              <w:t>2/29/16 – Lakewood staff 2/22/16</w:t>
            </w:r>
          </w:p>
          <w:p>
            <w:pPr>
              <w:pStyle w:val="TableParagraph"/>
              <w:ind w:left="105" w:right="918"/>
              <w:rPr>
                <w:sz w:val="24"/>
              </w:rPr>
            </w:pPr>
            <w:r>
              <w:rPr>
                <w:sz w:val="24"/>
              </w:rPr>
              <w:t>– Kent/Smokey Point staff 2/26/16 – Tumwater staff 1/26/16 – new staff 2/1/16 – Yakima staff 2/2/16 – Spokane staff 2/9/16 – Vancouver staff</w:t>
            </w:r>
          </w:p>
          <w:p>
            <w:pPr>
              <w:pStyle w:val="TableParagraph"/>
              <w:ind w:left="105" w:right="537"/>
              <w:rPr>
                <w:sz w:val="24"/>
              </w:rPr>
            </w:pPr>
            <w:r>
              <w:rPr>
                <w:sz w:val="24"/>
              </w:rPr>
              <w:t>3/7/16 – Make-up training for field staff</w:t>
            </w:r>
          </w:p>
          <w:p>
            <w:pPr>
              <w:pStyle w:val="TableParagraph"/>
              <w:spacing w:line="293" w:lineRule="exact"/>
              <w:ind w:left="105"/>
              <w:rPr>
                <w:sz w:val="24"/>
              </w:rPr>
            </w:pPr>
            <w:r>
              <w:rPr>
                <w:sz w:val="24"/>
              </w:rPr>
              <w:t>5/4/16 – new staff</w:t>
            </w:r>
          </w:p>
        </w:tc>
      </w:tr>
      <w:tr>
        <w:trPr>
          <w:trHeight w:val="4564" w:hRule="atLeast"/>
        </w:trPr>
        <w:tc>
          <w:tcPr>
            <w:tcW w:w="3799" w:type="dxa"/>
            <w:shd w:val="clear" w:color="auto" w:fill="D9EAD4"/>
          </w:tcPr>
          <w:p>
            <w:pPr>
              <w:pStyle w:val="TableParagraph"/>
              <w:spacing w:line="268" w:lineRule="exact"/>
              <w:ind w:left="107"/>
              <w:rPr>
                <w:sz w:val="22"/>
              </w:rPr>
            </w:pPr>
            <w:r>
              <w:rPr>
                <w:sz w:val="22"/>
              </w:rPr>
              <w:t>Provide basic staff training</w:t>
            </w:r>
          </w:p>
        </w:tc>
        <w:tc>
          <w:tcPr>
            <w:tcW w:w="1349" w:type="dxa"/>
            <w:shd w:val="clear" w:color="auto" w:fill="D9EAD4"/>
          </w:tcPr>
          <w:p>
            <w:pPr>
              <w:pStyle w:val="TableParagraph"/>
              <w:spacing w:line="268" w:lineRule="exact"/>
              <w:ind w:left="108"/>
              <w:rPr>
                <w:sz w:val="22"/>
              </w:rPr>
            </w:pPr>
            <w:r>
              <w:rPr>
                <w:sz w:val="22"/>
              </w:rPr>
              <w:t>11/01/2014</w:t>
            </w:r>
          </w:p>
        </w:tc>
        <w:tc>
          <w:tcPr>
            <w:tcW w:w="1351" w:type="dxa"/>
            <w:shd w:val="clear" w:color="auto" w:fill="D9EAD4"/>
          </w:tcPr>
          <w:p>
            <w:pPr>
              <w:pStyle w:val="TableParagraph"/>
              <w:spacing w:line="268" w:lineRule="exact"/>
              <w:ind w:left="107"/>
              <w:rPr>
                <w:sz w:val="22"/>
              </w:rPr>
            </w:pPr>
            <w:r>
              <w:rPr>
                <w:sz w:val="22"/>
              </w:rPr>
              <w:t>12/1/15</w:t>
            </w:r>
          </w:p>
        </w:tc>
        <w:tc>
          <w:tcPr>
            <w:tcW w:w="2947" w:type="dxa"/>
            <w:shd w:val="clear" w:color="auto" w:fill="D9EAD4"/>
          </w:tcPr>
          <w:p>
            <w:pPr>
              <w:pStyle w:val="TableParagraph"/>
              <w:ind w:left="108" w:right="275"/>
              <w:rPr>
                <w:sz w:val="22"/>
              </w:rPr>
            </w:pPr>
            <w:r>
              <w:rPr>
                <w:sz w:val="22"/>
              </w:rPr>
              <w:t>Management Bulletins were issued to staff on 6/22/2015 and 7/27/2015 to provide basic training on the new HCBS requirements and expectations for provider compliance with the requirements.</w:t>
            </w:r>
          </w:p>
          <w:p>
            <w:pPr>
              <w:pStyle w:val="TableParagraph"/>
              <w:spacing w:before="11"/>
              <w:rPr>
                <w:b/>
                <w:sz w:val="21"/>
              </w:rPr>
            </w:pPr>
          </w:p>
          <w:p>
            <w:pPr>
              <w:pStyle w:val="TableParagraph"/>
              <w:ind w:left="108" w:right="175"/>
              <w:rPr>
                <w:sz w:val="22"/>
              </w:rPr>
            </w:pPr>
            <w:r>
              <w:rPr>
                <w:sz w:val="22"/>
              </w:rPr>
              <w:t>HCS provided staff training to HCS and AAA case managers and supervisors on October 8 and November 5, 2015. This milestone has been completed and periodic training will continue for new</w:t>
            </w:r>
          </w:p>
          <w:p>
            <w:pPr>
              <w:pStyle w:val="TableParagraph"/>
              <w:spacing w:line="249" w:lineRule="exact"/>
              <w:ind w:left="108"/>
              <w:rPr>
                <w:sz w:val="22"/>
              </w:rPr>
            </w:pPr>
            <w:r>
              <w:rPr>
                <w:sz w:val="22"/>
              </w:rPr>
              <w:t>staff.</w:t>
            </w:r>
          </w:p>
        </w:tc>
        <w:tc>
          <w:tcPr>
            <w:tcW w:w="3593" w:type="dxa"/>
            <w:shd w:val="clear" w:color="auto" w:fill="D9EAD4"/>
          </w:tcPr>
          <w:p>
            <w:pPr>
              <w:pStyle w:val="TableParagraph"/>
              <w:ind w:left="105" w:right="427"/>
              <w:rPr>
                <w:sz w:val="22"/>
              </w:rPr>
            </w:pPr>
            <w:r>
              <w:rPr>
                <w:sz w:val="22"/>
              </w:rPr>
              <w:t>See Appendix E attachment titled: </w:t>
            </w:r>
            <w:hyperlink w:history="true" w:anchor="_bookmark59">
              <w:r>
                <w:rPr>
                  <w:color w:val="6B9F24"/>
                  <w:sz w:val="22"/>
                  <w:u w:val="single" w:color="6B9F24"/>
                </w:rPr>
                <w:t>R15-056 – HCBS Webinars</w:t>
              </w:r>
            </w:hyperlink>
          </w:p>
          <w:p>
            <w:pPr>
              <w:pStyle w:val="TableParagraph"/>
              <w:spacing w:before="12"/>
              <w:rPr>
                <w:b/>
                <w:sz w:val="21"/>
              </w:rPr>
            </w:pPr>
          </w:p>
          <w:p>
            <w:pPr>
              <w:pStyle w:val="TableParagraph"/>
              <w:ind w:left="105" w:right="427"/>
              <w:rPr>
                <w:sz w:val="22"/>
              </w:rPr>
            </w:pPr>
            <w:r>
              <w:rPr>
                <w:sz w:val="22"/>
              </w:rPr>
              <w:t>See Appendix E attachment titled: </w:t>
            </w:r>
            <w:hyperlink w:history="true" w:anchor="_bookmark58">
              <w:r>
                <w:rPr>
                  <w:color w:val="6B9F24"/>
                  <w:sz w:val="22"/>
                  <w:u w:val="single" w:color="6B9F24"/>
                </w:rPr>
                <w:t>R15-047 – HCBS Rules &amp; Plans</w:t>
              </w:r>
            </w:hyperlink>
          </w:p>
        </w:tc>
      </w:tr>
      <w:tr>
        <w:trPr>
          <w:trHeight w:val="537" w:hRule="atLeast"/>
        </w:trPr>
        <w:tc>
          <w:tcPr>
            <w:tcW w:w="3799" w:type="dxa"/>
            <w:shd w:val="clear" w:color="auto" w:fill="4DA3D7"/>
          </w:tcPr>
          <w:p>
            <w:pPr>
              <w:pStyle w:val="TableParagraph"/>
              <w:spacing w:line="268" w:lineRule="exact"/>
              <w:ind w:left="107"/>
              <w:rPr>
                <w:b/>
                <w:sz w:val="22"/>
              </w:rPr>
            </w:pPr>
            <w:r>
              <w:rPr>
                <w:b/>
                <w:sz w:val="22"/>
              </w:rPr>
              <w:t>Contract Changes – Milestones</w:t>
            </w:r>
          </w:p>
          <w:p>
            <w:pPr>
              <w:pStyle w:val="TableParagraph"/>
              <w:spacing w:line="249" w:lineRule="exact"/>
              <w:ind w:left="107"/>
              <w:rPr>
                <w:b/>
                <w:sz w:val="22"/>
              </w:rPr>
            </w:pPr>
            <w:r>
              <w:rPr>
                <w:b/>
                <w:sz w:val="22"/>
              </w:rPr>
              <w:t>Complete</w:t>
            </w:r>
          </w:p>
        </w:tc>
        <w:tc>
          <w:tcPr>
            <w:tcW w:w="9240" w:type="dxa"/>
            <w:gridSpan w:val="4"/>
            <w:shd w:val="clear" w:color="auto" w:fill="4DA3D7"/>
          </w:tcPr>
          <w:p>
            <w:pPr>
              <w:pStyle w:val="TableParagraph"/>
              <w:rPr>
                <w:rFonts w:ascii="Times New Roman"/>
                <w:sz w:val="22"/>
              </w:rPr>
            </w:pPr>
          </w:p>
        </w:tc>
      </w:tr>
    </w:tbl>
    <w:p>
      <w:pPr>
        <w:pStyle w:val="BodyText"/>
        <w:spacing w:before="4"/>
        <w:rPr>
          <w:b/>
          <w:sz w:val="21"/>
        </w:rPr>
      </w:pPr>
      <w:r>
        <w:rPr/>
        <w:pict>
          <v:shape style="position:absolute;margin-left:70.559998pt;margin-top:15.2395pt;width:650.9pt;height:.1pt;mso-position-horizontal-relative:page;mso-position-vertical-relative:paragraph;z-index:-251458560;mso-wrap-distance-left:0;mso-wrap-distance-right:0" coordorigin="1411,305" coordsize="13018,0" path="m1411,305l14429,305e" filled="false" stroked="true" strokeweight=".481pt" strokecolor="#d9d9d9">
            <v:path arrowok="t"/>
            <v:stroke dashstyle="solid"/>
            <w10:wrap type="topAndBottom"/>
          </v:shape>
        </w:pict>
      </w:r>
    </w:p>
    <w:p>
      <w:pPr>
        <w:spacing w:after="0"/>
        <w:rPr>
          <w:sz w:val="21"/>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9"/>
        <w:gridCol w:w="1349"/>
        <w:gridCol w:w="1351"/>
        <w:gridCol w:w="2947"/>
        <w:gridCol w:w="3593"/>
      </w:tblGrid>
      <w:tr>
        <w:trPr>
          <w:trHeight w:val="1612" w:hRule="atLeast"/>
        </w:trPr>
        <w:tc>
          <w:tcPr>
            <w:tcW w:w="3799" w:type="dxa"/>
            <w:shd w:val="clear" w:color="auto" w:fill="D9EAD4"/>
          </w:tcPr>
          <w:p>
            <w:pPr>
              <w:pStyle w:val="TableParagraph"/>
              <w:ind w:left="107" w:right="192"/>
              <w:rPr>
                <w:sz w:val="22"/>
              </w:rPr>
            </w:pPr>
            <w:r>
              <w:rPr>
                <w:sz w:val="22"/>
              </w:rPr>
              <w:t>Revise DDA Group Training Homes and DDA Companion Homes contracts to include provisions concerning lockable doors and tenant protections from evictions.</w:t>
            </w:r>
          </w:p>
        </w:tc>
        <w:tc>
          <w:tcPr>
            <w:tcW w:w="1349" w:type="dxa"/>
            <w:shd w:val="clear" w:color="auto" w:fill="D9EAD4"/>
          </w:tcPr>
          <w:p>
            <w:pPr>
              <w:pStyle w:val="TableParagraph"/>
              <w:spacing w:line="268" w:lineRule="exact"/>
              <w:ind w:left="108"/>
              <w:rPr>
                <w:sz w:val="22"/>
              </w:rPr>
            </w:pPr>
            <w:r>
              <w:rPr>
                <w:sz w:val="22"/>
              </w:rPr>
              <w:t>07/01/2015</w:t>
            </w:r>
          </w:p>
        </w:tc>
        <w:tc>
          <w:tcPr>
            <w:tcW w:w="1351" w:type="dxa"/>
            <w:shd w:val="clear" w:color="auto" w:fill="D9EAD4"/>
          </w:tcPr>
          <w:p>
            <w:pPr>
              <w:pStyle w:val="TableParagraph"/>
              <w:spacing w:line="268" w:lineRule="exact"/>
              <w:ind w:left="107"/>
              <w:rPr>
                <w:sz w:val="22"/>
              </w:rPr>
            </w:pPr>
            <w:r>
              <w:rPr>
                <w:sz w:val="22"/>
              </w:rPr>
              <w:t>07/1/2015</w:t>
            </w:r>
          </w:p>
        </w:tc>
        <w:tc>
          <w:tcPr>
            <w:tcW w:w="2947" w:type="dxa"/>
            <w:shd w:val="clear" w:color="auto" w:fill="D9EAD4"/>
          </w:tcPr>
          <w:p>
            <w:pPr>
              <w:pStyle w:val="TableParagraph"/>
              <w:spacing w:line="268" w:lineRule="exact"/>
              <w:ind w:left="108"/>
              <w:rPr>
                <w:sz w:val="22"/>
              </w:rPr>
            </w:pPr>
            <w:r>
              <w:rPr>
                <w:sz w:val="22"/>
              </w:rPr>
              <w:t>Completed 7/1/15</w:t>
            </w:r>
          </w:p>
        </w:tc>
        <w:tc>
          <w:tcPr>
            <w:tcW w:w="3593" w:type="dxa"/>
            <w:shd w:val="clear" w:color="auto" w:fill="D9EAD4"/>
          </w:tcPr>
          <w:p>
            <w:pPr>
              <w:pStyle w:val="TableParagraph"/>
              <w:ind w:left="105" w:right="413"/>
              <w:rPr>
                <w:sz w:val="22"/>
              </w:rPr>
            </w:pPr>
            <w:r>
              <w:rPr>
                <w:sz w:val="22"/>
              </w:rPr>
              <w:t>See Appendix E attachment titled: </w:t>
            </w:r>
            <w:hyperlink w:history="true" w:anchor="_bookmark51">
              <w:r>
                <w:rPr>
                  <w:color w:val="6B9F24"/>
                  <w:sz w:val="22"/>
                  <w:u w:val="single" w:color="6B9F24"/>
                </w:rPr>
                <w:t>Excerpt from Companion Home</w:t>
              </w:r>
            </w:hyperlink>
            <w:r>
              <w:rPr>
                <w:color w:val="6B9F24"/>
                <w:sz w:val="22"/>
              </w:rPr>
              <w:t> </w:t>
            </w:r>
            <w:hyperlink w:history="true" w:anchor="_bookmark51">
              <w:r>
                <w:rPr>
                  <w:color w:val="6B9F24"/>
                  <w:sz w:val="22"/>
                  <w:u w:val="single" w:color="6B9F24"/>
                </w:rPr>
                <w:t>Contract</w:t>
              </w:r>
            </w:hyperlink>
          </w:p>
          <w:p>
            <w:pPr>
              <w:pStyle w:val="TableParagraph"/>
              <w:spacing w:before="10"/>
              <w:rPr>
                <w:b/>
                <w:sz w:val="21"/>
              </w:rPr>
            </w:pPr>
          </w:p>
          <w:p>
            <w:pPr>
              <w:pStyle w:val="TableParagraph"/>
              <w:spacing w:line="270" w:lineRule="atLeast" w:before="1"/>
              <w:ind w:left="105" w:right="231"/>
              <w:rPr>
                <w:sz w:val="22"/>
              </w:rPr>
            </w:pPr>
            <w:r>
              <w:rPr>
                <w:sz w:val="22"/>
              </w:rPr>
              <w:t>See attachment titled: </w:t>
            </w:r>
            <w:hyperlink w:history="true" w:anchor="_bookmark55">
              <w:r>
                <w:rPr>
                  <w:color w:val="6B9F24"/>
                  <w:sz w:val="22"/>
                  <w:u w:val="single" w:color="6B9F24"/>
                </w:rPr>
                <w:t>Excerpt from</w:t>
              </w:r>
            </w:hyperlink>
            <w:r>
              <w:rPr>
                <w:color w:val="6B9F24"/>
                <w:sz w:val="22"/>
              </w:rPr>
              <w:t> </w:t>
            </w:r>
            <w:hyperlink w:history="true" w:anchor="_bookmark55">
              <w:r>
                <w:rPr>
                  <w:color w:val="6B9F24"/>
                  <w:sz w:val="22"/>
                  <w:u w:val="single" w:color="6B9F24"/>
                </w:rPr>
                <w:t>Group Training Home Contract</w:t>
              </w:r>
            </w:hyperlink>
          </w:p>
        </w:tc>
      </w:tr>
      <w:tr>
        <w:trPr>
          <w:trHeight w:val="1340" w:hRule="atLeast"/>
        </w:trPr>
        <w:tc>
          <w:tcPr>
            <w:tcW w:w="3799" w:type="dxa"/>
            <w:shd w:val="clear" w:color="auto" w:fill="D9EAD4"/>
          </w:tcPr>
          <w:p>
            <w:pPr>
              <w:pStyle w:val="TableParagraph"/>
              <w:ind w:left="107" w:right="190"/>
              <w:rPr>
                <w:sz w:val="22"/>
              </w:rPr>
            </w:pPr>
            <w:r>
              <w:rPr>
                <w:sz w:val="22"/>
              </w:rPr>
              <w:t>Revise DDA Residential provider contracts to include reference to client rights language in WAC 388-823-1095.</w:t>
            </w:r>
          </w:p>
          <w:p>
            <w:pPr>
              <w:pStyle w:val="TableParagraph"/>
              <w:spacing w:line="267" w:lineRule="exact"/>
              <w:ind w:left="107"/>
              <w:rPr>
                <w:b/>
                <w:i/>
                <w:sz w:val="22"/>
              </w:rPr>
            </w:pPr>
            <w:r>
              <w:rPr>
                <w:sz w:val="22"/>
              </w:rPr>
              <w:t>– </w:t>
            </w:r>
            <w:r>
              <w:rPr>
                <w:b/>
                <w:i/>
                <w:sz w:val="22"/>
              </w:rPr>
              <w:t>Note that this is a new milestone for</w:t>
            </w:r>
          </w:p>
          <w:p>
            <w:pPr>
              <w:pStyle w:val="TableParagraph"/>
              <w:spacing w:line="249" w:lineRule="exact"/>
              <w:ind w:left="107"/>
              <w:rPr>
                <w:b/>
                <w:i/>
                <w:sz w:val="22"/>
              </w:rPr>
            </w:pPr>
            <w:r>
              <w:rPr>
                <w:b/>
                <w:i/>
                <w:sz w:val="22"/>
              </w:rPr>
              <w:t>the 3/15/2017 revised transition plan</w:t>
            </w:r>
          </w:p>
        </w:tc>
        <w:tc>
          <w:tcPr>
            <w:tcW w:w="1349" w:type="dxa"/>
            <w:shd w:val="clear" w:color="auto" w:fill="D9EAD4"/>
          </w:tcPr>
          <w:p>
            <w:pPr>
              <w:pStyle w:val="TableParagraph"/>
              <w:spacing w:line="267" w:lineRule="exact"/>
              <w:ind w:left="108"/>
              <w:rPr>
                <w:sz w:val="22"/>
              </w:rPr>
            </w:pPr>
            <w:r>
              <w:rPr>
                <w:sz w:val="22"/>
              </w:rPr>
              <w:t>5/1/2017</w:t>
            </w:r>
          </w:p>
        </w:tc>
        <w:tc>
          <w:tcPr>
            <w:tcW w:w="1351" w:type="dxa"/>
            <w:shd w:val="clear" w:color="auto" w:fill="D9EAD4"/>
          </w:tcPr>
          <w:p>
            <w:pPr>
              <w:pStyle w:val="TableParagraph"/>
              <w:spacing w:line="267" w:lineRule="exact"/>
              <w:ind w:left="107"/>
              <w:rPr>
                <w:sz w:val="22"/>
              </w:rPr>
            </w:pPr>
            <w:r>
              <w:rPr>
                <w:sz w:val="22"/>
              </w:rPr>
              <w:t>7/1/2017</w:t>
            </w:r>
          </w:p>
        </w:tc>
        <w:tc>
          <w:tcPr>
            <w:tcW w:w="2947" w:type="dxa"/>
            <w:shd w:val="clear" w:color="auto" w:fill="D9EAD4"/>
          </w:tcPr>
          <w:p>
            <w:pPr>
              <w:pStyle w:val="TableParagraph"/>
              <w:spacing w:line="267" w:lineRule="exact"/>
              <w:ind w:left="108"/>
              <w:rPr>
                <w:sz w:val="22"/>
              </w:rPr>
            </w:pPr>
            <w:r>
              <w:rPr>
                <w:sz w:val="22"/>
              </w:rPr>
              <w:t>Completed 7/1/2017</w:t>
            </w:r>
          </w:p>
        </w:tc>
        <w:tc>
          <w:tcPr>
            <w:tcW w:w="3593" w:type="dxa"/>
            <w:shd w:val="clear" w:color="auto" w:fill="D9EAD4"/>
          </w:tcPr>
          <w:p>
            <w:pPr>
              <w:pStyle w:val="TableParagraph"/>
              <w:rPr>
                <w:rFonts w:ascii="Times New Roman"/>
                <w:sz w:val="22"/>
              </w:rPr>
            </w:pPr>
          </w:p>
        </w:tc>
      </w:tr>
      <w:tr>
        <w:trPr>
          <w:trHeight w:val="1881" w:hRule="atLeast"/>
        </w:trPr>
        <w:tc>
          <w:tcPr>
            <w:tcW w:w="3799" w:type="dxa"/>
            <w:shd w:val="clear" w:color="auto" w:fill="D9EAD4"/>
          </w:tcPr>
          <w:p>
            <w:pPr>
              <w:pStyle w:val="TableParagraph"/>
              <w:ind w:left="107" w:right="168"/>
              <w:rPr>
                <w:sz w:val="22"/>
              </w:rPr>
            </w:pPr>
            <w:r>
              <w:rPr>
                <w:sz w:val="22"/>
              </w:rPr>
              <w:t>Supported Living and Community Crisis Stabilization Services contracts modified to include language that providers will assist participants to select housing with private bedrooms or the bedroom configuration of the</w:t>
            </w:r>
          </w:p>
          <w:p>
            <w:pPr>
              <w:pStyle w:val="TableParagraph"/>
              <w:spacing w:line="249" w:lineRule="exact"/>
              <w:ind w:left="107"/>
              <w:rPr>
                <w:sz w:val="22"/>
              </w:rPr>
            </w:pPr>
            <w:r>
              <w:rPr>
                <w:sz w:val="22"/>
              </w:rPr>
              <w:t>participant’s choice.</w:t>
            </w:r>
          </w:p>
        </w:tc>
        <w:tc>
          <w:tcPr>
            <w:tcW w:w="1349" w:type="dxa"/>
            <w:shd w:val="clear" w:color="auto" w:fill="D9EAD4"/>
          </w:tcPr>
          <w:p>
            <w:pPr>
              <w:pStyle w:val="TableParagraph"/>
              <w:spacing w:line="268" w:lineRule="exact"/>
              <w:ind w:left="108"/>
              <w:rPr>
                <w:sz w:val="22"/>
              </w:rPr>
            </w:pPr>
            <w:r>
              <w:rPr>
                <w:sz w:val="22"/>
              </w:rPr>
              <w:t>9/1/2016</w:t>
            </w:r>
          </w:p>
        </w:tc>
        <w:tc>
          <w:tcPr>
            <w:tcW w:w="1351" w:type="dxa"/>
            <w:shd w:val="clear" w:color="auto" w:fill="D9EAD4"/>
          </w:tcPr>
          <w:p>
            <w:pPr>
              <w:pStyle w:val="TableParagraph"/>
              <w:spacing w:line="268" w:lineRule="exact"/>
              <w:ind w:left="107"/>
              <w:rPr>
                <w:sz w:val="22"/>
              </w:rPr>
            </w:pPr>
            <w:r>
              <w:rPr>
                <w:sz w:val="22"/>
              </w:rPr>
              <w:t>1/1/2018</w:t>
            </w:r>
          </w:p>
        </w:tc>
        <w:tc>
          <w:tcPr>
            <w:tcW w:w="2947" w:type="dxa"/>
            <w:shd w:val="clear" w:color="auto" w:fill="D9EAD4"/>
          </w:tcPr>
          <w:p>
            <w:pPr>
              <w:pStyle w:val="TableParagraph"/>
              <w:spacing w:line="268" w:lineRule="exact"/>
              <w:ind w:left="108"/>
              <w:rPr>
                <w:sz w:val="22"/>
              </w:rPr>
            </w:pPr>
            <w:r>
              <w:rPr>
                <w:sz w:val="22"/>
              </w:rPr>
              <w:t>Completed 7/1/2017</w:t>
            </w:r>
          </w:p>
        </w:tc>
        <w:tc>
          <w:tcPr>
            <w:tcW w:w="3593" w:type="dxa"/>
            <w:shd w:val="clear" w:color="auto" w:fill="D9EAD4"/>
          </w:tcPr>
          <w:p>
            <w:pPr>
              <w:pStyle w:val="TableParagraph"/>
              <w:rPr>
                <w:rFonts w:ascii="Times New Roman"/>
                <w:sz w:val="22"/>
              </w:rPr>
            </w:pPr>
          </w:p>
        </w:tc>
      </w:tr>
      <w:tr>
        <w:trPr>
          <w:trHeight w:val="1072" w:hRule="atLeast"/>
        </w:trPr>
        <w:tc>
          <w:tcPr>
            <w:tcW w:w="3799" w:type="dxa"/>
            <w:shd w:val="clear" w:color="auto" w:fill="D9EAD4"/>
          </w:tcPr>
          <w:p>
            <w:pPr>
              <w:pStyle w:val="TableParagraph"/>
              <w:ind w:left="107" w:right="425"/>
              <w:rPr>
                <w:sz w:val="22"/>
              </w:rPr>
            </w:pPr>
            <w:r>
              <w:rPr>
                <w:sz w:val="22"/>
              </w:rPr>
              <w:t>Revise all DDA residential and employment service contracts to require adherence to WAC 388-823-</w:t>
            </w:r>
          </w:p>
          <w:p>
            <w:pPr>
              <w:pStyle w:val="TableParagraph"/>
              <w:spacing w:line="248" w:lineRule="exact"/>
              <w:ind w:left="107"/>
              <w:rPr>
                <w:sz w:val="22"/>
              </w:rPr>
            </w:pPr>
            <w:r>
              <w:rPr>
                <w:sz w:val="22"/>
              </w:rPr>
              <w:t>1095.</w:t>
            </w:r>
          </w:p>
        </w:tc>
        <w:tc>
          <w:tcPr>
            <w:tcW w:w="1349" w:type="dxa"/>
            <w:shd w:val="clear" w:color="auto" w:fill="D9EAD4"/>
          </w:tcPr>
          <w:p>
            <w:pPr>
              <w:pStyle w:val="TableParagraph"/>
              <w:spacing w:line="268" w:lineRule="exact"/>
              <w:ind w:left="108"/>
              <w:rPr>
                <w:sz w:val="22"/>
              </w:rPr>
            </w:pPr>
            <w:r>
              <w:rPr>
                <w:sz w:val="22"/>
              </w:rPr>
              <w:t>10/9/2016</w:t>
            </w:r>
          </w:p>
        </w:tc>
        <w:tc>
          <w:tcPr>
            <w:tcW w:w="1351" w:type="dxa"/>
            <w:shd w:val="clear" w:color="auto" w:fill="D9EAD4"/>
          </w:tcPr>
          <w:p>
            <w:pPr>
              <w:pStyle w:val="TableParagraph"/>
              <w:spacing w:line="268" w:lineRule="exact"/>
              <w:ind w:left="107"/>
              <w:rPr>
                <w:sz w:val="22"/>
              </w:rPr>
            </w:pPr>
            <w:r>
              <w:rPr>
                <w:sz w:val="22"/>
              </w:rPr>
              <w:t>7/1/2017</w:t>
            </w:r>
          </w:p>
        </w:tc>
        <w:tc>
          <w:tcPr>
            <w:tcW w:w="2947" w:type="dxa"/>
            <w:shd w:val="clear" w:color="auto" w:fill="D9EAD4"/>
          </w:tcPr>
          <w:p>
            <w:pPr>
              <w:pStyle w:val="TableParagraph"/>
              <w:spacing w:line="268" w:lineRule="exact"/>
              <w:ind w:left="108"/>
              <w:rPr>
                <w:sz w:val="22"/>
              </w:rPr>
            </w:pPr>
            <w:r>
              <w:rPr>
                <w:sz w:val="22"/>
              </w:rPr>
              <w:t>Completed 7/1/2017</w:t>
            </w:r>
          </w:p>
        </w:tc>
        <w:tc>
          <w:tcPr>
            <w:tcW w:w="3593" w:type="dxa"/>
            <w:shd w:val="clear" w:color="auto" w:fill="D9EAD4"/>
          </w:tcPr>
          <w:p>
            <w:pPr>
              <w:pStyle w:val="TableParagraph"/>
              <w:rPr>
                <w:rFonts w:ascii="Times New Roman"/>
                <w:sz w:val="22"/>
              </w:rPr>
            </w:pPr>
          </w:p>
        </w:tc>
      </w:tr>
      <w:tr>
        <w:trPr>
          <w:trHeight w:val="268" w:hRule="atLeast"/>
        </w:trPr>
        <w:tc>
          <w:tcPr>
            <w:tcW w:w="3799" w:type="dxa"/>
            <w:shd w:val="clear" w:color="auto" w:fill="4DA3D7"/>
          </w:tcPr>
          <w:p>
            <w:pPr>
              <w:pStyle w:val="TableParagraph"/>
              <w:spacing w:line="248" w:lineRule="exact"/>
              <w:ind w:left="107"/>
              <w:rPr>
                <w:b/>
                <w:sz w:val="22"/>
              </w:rPr>
            </w:pPr>
            <w:r>
              <w:rPr>
                <w:b/>
                <w:sz w:val="22"/>
              </w:rPr>
              <w:t>IT Changes – Milestones Complete</w:t>
            </w:r>
          </w:p>
        </w:tc>
        <w:tc>
          <w:tcPr>
            <w:tcW w:w="9240" w:type="dxa"/>
            <w:gridSpan w:val="4"/>
            <w:shd w:val="clear" w:color="auto" w:fill="4DA3D7"/>
          </w:tcPr>
          <w:p>
            <w:pPr>
              <w:pStyle w:val="TableParagraph"/>
              <w:rPr>
                <w:rFonts w:ascii="Times New Roman"/>
                <w:sz w:val="18"/>
              </w:rPr>
            </w:pPr>
          </w:p>
        </w:tc>
      </w:tr>
      <w:tr>
        <w:trPr>
          <w:trHeight w:val="270" w:hRule="atLeast"/>
        </w:trPr>
        <w:tc>
          <w:tcPr>
            <w:tcW w:w="3799" w:type="dxa"/>
            <w:shd w:val="clear" w:color="auto" w:fill="D9EAD4"/>
          </w:tcPr>
          <w:p>
            <w:pPr>
              <w:pStyle w:val="TableParagraph"/>
              <w:spacing w:line="249" w:lineRule="exact" w:before="1"/>
              <w:ind w:left="107"/>
              <w:rPr>
                <w:sz w:val="22"/>
              </w:rPr>
            </w:pPr>
            <w:r>
              <w:rPr>
                <w:sz w:val="22"/>
              </w:rPr>
              <w:t>Update WACs in tools/databases</w:t>
            </w:r>
          </w:p>
        </w:tc>
        <w:tc>
          <w:tcPr>
            <w:tcW w:w="1349" w:type="dxa"/>
            <w:shd w:val="clear" w:color="auto" w:fill="D9EAD4"/>
          </w:tcPr>
          <w:p>
            <w:pPr>
              <w:pStyle w:val="TableParagraph"/>
              <w:spacing w:line="249" w:lineRule="exact" w:before="1"/>
              <w:ind w:left="108"/>
              <w:rPr>
                <w:sz w:val="22"/>
              </w:rPr>
            </w:pPr>
            <w:r>
              <w:rPr>
                <w:sz w:val="22"/>
              </w:rPr>
              <w:t>11/01/2014</w:t>
            </w:r>
          </w:p>
        </w:tc>
        <w:tc>
          <w:tcPr>
            <w:tcW w:w="1351" w:type="dxa"/>
            <w:shd w:val="clear" w:color="auto" w:fill="D9EAD4"/>
          </w:tcPr>
          <w:p>
            <w:pPr>
              <w:pStyle w:val="TableParagraph"/>
              <w:spacing w:line="249" w:lineRule="exact" w:before="1"/>
              <w:ind w:left="107"/>
              <w:rPr>
                <w:sz w:val="22"/>
              </w:rPr>
            </w:pPr>
            <w:r>
              <w:rPr>
                <w:sz w:val="22"/>
              </w:rPr>
              <w:t>7/1/2016</w:t>
            </w:r>
          </w:p>
        </w:tc>
        <w:tc>
          <w:tcPr>
            <w:tcW w:w="2947" w:type="dxa"/>
            <w:shd w:val="clear" w:color="auto" w:fill="D9EAD4"/>
          </w:tcPr>
          <w:p>
            <w:pPr>
              <w:pStyle w:val="TableParagraph"/>
              <w:spacing w:line="249" w:lineRule="exact" w:before="1"/>
              <w:ind w:left="108"/>
              <w:rPr>
                <w:sz w:val="22"/>
              </w:rPr>
            </w:pPr>
            <w:r>
              <w:rPr>
                <w:sz w:val="22"/>
              </w:rPr>
              <w:t>Completed 7/1/15</w:t>
            </w:r>
          </w:p>
        </w:tc>
        <w:tc>
          <w:tcPr>
            <w:tcW w:w="3593" w:type="dxa"/>
            <w:shd w:val="clear" w:color="auto" w:fill="D9EAD4"/>
          </w:tcPr>
          <w:p>
            <w:pPr>
              <w:pStyle w:val="TableParagraph"/>
              <w:rPr>
                <w:rFonts w:ascii="Times New Roman"/>
                <w:sz w:val="20"/>
              </w:rPr>
            </w:pPr>
          </w:p>
        </w:tc>
      </w:tr>
      <w:tr>
        <w:trPr>
          <w:trHeight w:val="537" w:hRule="atLeast"/>
        </w:trPr>
        <w:tc>
          <w:tcPr>
            <w:tcW w:w="3799" w:type="dxa"/>
            <w:shd w:val="clear" w:color="auto" w:fill="4DA3D7"/>
          </w:tcPr>
          <w:p>
            <w:pPr>
              <w:pStyle w:val="TableParagraph"/>
              <w:spacing w:line="268" w:lineRule="exact"/>
              <w:ind w:left="107"/>
              <w:rPr>
                <w:b/>
                <w:sz w:val="22"/>
              </w:rPr>
            </w:pPr>
            <w:r>
              <w:rPr>
                <w:b/>
                <w:sz w:val="22"/>
              </w:rPr>
              <w:t>Provider Training – Milestones</w:t>
            </w:r>
          </w:p>
          <w:p>
            <w:pPr>
              <w:pStyle w:val="TableParagraph"/>
              <w:spacing w:line="249" w:lineRule="exact"/>
              <w:ind w:left="107"/>
              <w:rPr>
                <w:b/>
                <w:sz w:val="22"/>
              </w:rPr>
            </w:pPr>
            <w:r>
              <w:rPr>
                <w:b/>
                <w:sz w:val="22"/>
              </w:rPr>
              <w:t>Complete</w:t>
            </w:r>
          </w:p>
        </w:tc>
        <w:tc>
          <w:tcPr>
            <w:tcW w:w="9240" w:type="dxa"/>
            <w:gridSpan w:val="4"/>
            <w:shd w:val="clear" w:color="auto" w:fill="4DA3D7"/>
          </w:tcPr>
          <w:p>
            <w:pPr>
              <w:pStyle w:val="TableParagraph"/>
              <w:rPr>
                <w:rFonts w:ascii="Times New Roman"/>
                <w:sz w:val="22"/>
              </w:rPr>
            </w:pPr>
          </w:p>
        </w:tc>
      </w:tr>
      <w:tr>
        <w:trPr>
          <w:trHeight w:val="1881" w:hRule="atLeast"/>
        </w:trPr>
        <w:tc>
          <w:tcPr>
            <w:tcW w:w="3799" w:type="dxa"/>
            <w:shd w:val="clear" w:color="auto" w:fill="D9EAD4"/>
          </w:tcPr>
          <w:p>
            <w:pPr>
              <w:pStyle w:val="TableParagraph"/>
              <w:ind w:left="107" w:right="677"/>
              <w:rPr>
                <w:sz w:val="22"/>
              </w:rPr>
            </w:pPr>
            <w:r>
              <w:rPr>
                <w:sz w:val="22"/>
              </w:rPr>
              <w:t>Provide supported living provider training</w:t>
            </w:r>
          </w:p>
        </w:tc>
        <w:tc>
          <w:tcPr>
            <w:tcW w:w="1349" w:type="dxa"/>
            <w:shd w:val="clear" w:color="auto" w:fill="D9EAD4"/>
          </w:tcPr>
          <w:p>
            <w:pPr>
              <w:pStyle w:val="TableParagraph"/>
              <w:spacing w:line="268" w:lineRule="exact"/>
              <w:ind w:left="108"/>
              <w:rPr>
                <w:sz w:val="22"/>
              </w:rPr>
            </w:pPr>
            <w:r>
              <w:rPr>
                <w:sz w:val="22"/>
              </w:rPr>
              <w:t>11/01/2014</w:t>
            </w:r>
          </w:p>
        </w:tc>
        <w:tc>
          <w:tcPr>
            <w:tcW w:w="1351" w:type="dxa"/>
            <w:shd w:val="clear" w:color="auto" w:fill="D9EAD4"/>
          </w:tcPr>
          <w:p>
            <w:pPr>
              <w:pStyle w:val="TableParagraph"/>
              <w:spacing w:line="268" w:lineRule="exact"/>
              <w:ind w:left="107"/>
              <w:rPr>
                <w:sz w:val="22"/>
              </w:rPr>
            </w:pPr>
            <w:r>
              <w:rPr>
                <w:sz w:val="22"/>
              </w:rPr>
              <w:t>1/31/16</w:t>
            </w:r>
          </w:p>
        </w:tc>
        <w:tc>
          <w:tcPr>
            <w:tcW w:w="2947" w:type="dxa"/>
            <w:shd w:val="clear" w:color="auto" w:fill="D9EAD4"/>
          </w:tcPr>
          <w:p>
            <w:pPr>
              <w:pStyle w:val="TableParagraph"/>
              <w:spacing w:line="268" w:lineRule="exact"/>
              <w:ind w:left="108"/>
              <w:rPr>
                <w:sz w:val="22"/>
              </w:rPr>
            </w:pPr>
            <w:r>
              <w:rPr>
                <w:sz w:val="22"/>
              </w:rPr>
              <w:t>Completed:</w:t>
            </w:r>
          </w:p>
          <w:p>
            <w:pPr>
              <w:pStyle w:val="TableParagraph"/>
              <w:ind w:left="108" w:right="224"/>
              <w:rPr>
                <w:sz w:val="22"/>
              </w:rPr>
            </w:pPr>
            <w:r>
              <w:rPr>
                <w:sz w:val="22"/>
              </w:rPr>
              <w:t>Curriculum development has been completed</w:t>
            </w:r>
          </w:p>
          <w:p>
            <w:pPr>
              <w:pStyle w:val="TableParagraph"/>
              <w:rPr>
                <w:b/>
                <w:sz w:val="22"/>
              </w:rPr>
            </w:pPr>
          </w:p>
          <w:p>
            <w:pPr>
              <w:pStyle w:val="TableParagraph"/>
              <w:spacing w:before="1"/>
              <w:ind w:left="108" w:right="531"/>
              <w:rPr>
                <w:sz w:val="22"/>
              </w:rPr>
            </w:pPr>
            <w:r>
              <w:rPr>
                <w:sz w:val="22"/>
              </w:rPr>
              <w:t>264 supported living staff have been trained</w:t>
            </w:r>
          </w:p>
        </w:tc>
        <w:tc>
          <w:tcPr>
            <w:tcW w:w="3593" w:type="dxa"/>
            <w:shd w:val="clear" w:color="auto" w:fill="D9EAD4"/>
          </w:tcPr>
          <w:p>
            <w:pPr>
              <w:pStyle w:val="TableParagraph"/>
              <w:spacing w:line="268" w:lineRule="exact"/>
              <w:ind w:left="105"/>
              <w:rPr>
                <w:sz w:val="22"/>
              </w:rPr>
            </w:pPr>
            <w:r>
              <w:rPr>
                <w:sz w:val="22"/>
              </w:rPr>
              <w:t>See Appendix E:</w:t>
            </w:r>
          </w:p>
          <w:p>
            <w:pPr>
              <w:pStyle w:val="TableParagraph"/>
              <w:numPr>
                <w:ilvl w:val="0"/>
                <w:numId w:val="47"/>
              </w:numPr>
              <w:tabs>
                <w:tab w:pos="825" w:val="left" w:leader="none"/>
                <w:tab w:pos="826" w:val="left" w:leader="none"/>
              </w:tabs>
              <w:spacing w:line="240" w:lineRule="auto" w:before="0" w:after="0"/>
              <w:ind w:left="825" w:right="0" w:hanging="361"/>
              <w:jc w:val="left"/>
              <w:rPr>
                <w:sz w:val="22"/>
              </w:rPr>
            </w:pPr>
            <w:hyperlink w:history="true" w:anchor="_bookmark49">
              <w:r>
                <w:rPr>
                  <w:color w:val="6B9F24"/>
                  <w:sz w:val="22"/>
                  <w:u w:val="single" w:color="6B9F24"/>
                </w:rPr>
                <w:t>Policy 4.02</w:t>
              </w:r>
              <w:r>
                <w:rPr>
                  <w:color w:val="6B9F24"/>
                  <w:spacing w:val="-3"/>
                  <w:sz w:val="22"/>
                </w:rPr>
                <w:t> </w:t>
              </w:r>
            </w:hyperlink>
            <w:r>
              <w:rPr>
                <w:sz w:val="22"/>
              </w:rPr>
              <w:t>PowerPoint</w:t>
            </w:r>
          </w:p>
          <w:p>
            <w:pPr>
              <w:pStyle w:val="TableParagraph"/>
              <w:numPr>
                <w:ilvl w:val="0"/>
                <w:numId w:val="47"/>
              </w:numPr>
              <w:tabs>
                <w:tab w:pos="825" w:val="left" w:leader="none"/>
                <w:tab w:pos="826" w:val="left" w:leader="none"/>
              </w:tabs>
              <w:spacing w:line="240" w:lineRule="auto" w:before="1" w:after="0"/>
              <w:ind w:left="825" w:right="511" w:hanging="360"/>
              <w:jc w:val="left"/>
              <w:rPr>
                <w:sz w:val="22"/>
              </w:rPr>
            </w:pPr>
            <w:hyperlink w:history="true" w:anchor="_bookmark65">
              <w:r>
                <w:rPr>
                  <w:color w:val="6B9F24"/>
                  <w:sz w:val="22"/>
                  <w:u w:val="single" w:color="6B9F24"/>
                </w:rPr>
                <w:t>DDA Residential Provider</w:t>
              </w:r>
            </w:hyperlink>
            <w:hyperlink w:history="true" w:anchor="_bookmark65">
              <w:r>
                <w:rPr>
                  <w:color w:val="6B9F24"/>
                  <w:sz w:val="22"/>
                  <w:u w:val="single" w:color="6B9F24"/>
                </w:rPr>
                <w:t> Training</w:t>
              </w:r>
            </w:hyperlink>
          </w:p>
        </w:tc>
      </w:tr>
    </w:tbl>
    <w:p>
      <w:pPr>
        <w:pStyle w:val="BodyText"/>
        <w:rPr>
          <w:b/>
          <w:sz w:val="19"/>
        </w:rPr>
      </w:pPr>
      <w:r>
        <w:rPr/>
        <w:pict>
          <v:shape style="position:absolute;margin-left:70.559998pt;margin-top:13.7995pt;width:650.9pt;height:.1pt;mso-position-horizontal-relative:page;mso-position-vertical-relative:paragraph;z-index:-251457536;mso-wrap-distance-left:0;mso-wrap-distance-right:0" coordorigin="1411,276" coordsize="13018,0" path="m1411,276l14429,276e" filled="false" stroked="true" strokeweight=".481pt" strokecolor="#d9d9d9">
            <v:path arrowok="t"/>
            <v:stroke dashstyle="solid"/>
            <w10:wrap type="topAndBottom"/>
          </v:shape>
        </w:pict>
      </w:r>
    </w:p>
    <w:p>
      <w:pPr>
        <w:spacing w:after="0"/>
        <w:rPr>
          <w:sz w:val="1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9"/>
        <w:gridCol w:w="1349"/>
        <w:gridCol w:w="1351"/>
        <w:gridCol w:w="2947"/>
        <w:gridCol w:w="3593"/>
      </w:tblGrid>
      <w:tr>
        <w:trPr>
          <w:trHeight w:val="4564" w:hRule="atLeast"/>
        </w:trPr>
        <w:tc>
          <w:tcPr>
            <w:tcW w:w="3799" w:type="dxa"/>
            <w:shd w:val="clear" w:color="auto" w:fill="D9EAD4"/>
          </w:tcPr>
          <w:p>
            <w:pPr>
              <w:pStyle w:val="TableParagraph"/>
              <w:rPr>
                <w:rFonts w:ascii="Times New Roman"/>
                <w:sz w:val="22"/>
              </w:rPr>
            </w:pPr>
          </w:p>
        </w:tc>
        <w:tc>
          <w:tcPr>
            <w:tcW w:w="1349" w:type="dxa"/>
            <w:shd w:val="clear" w:color="auto" w:fill="D9EAD4"/>
          </w:tcPr>
          <w:p>
            <w:pPr>
              <w:pStyle w:val="TableParagraph"/>
              <w:rPr>
                <w:rFonts w:ascii="Times New Roman"/>
                <w:sz w:val="22"/>
              </w:rPr>
            </w:pPr>
          </w:p>
        </w:tc>
        <w:tc>
          <w:tcPr>
            <w:tcW w:w="1351" w:type="dxa"/>
            <w:shd w:val="clear" w:color="auto" w:fill="D9EAD4"/>
          </w:tcPr>
          <w:p>
            <w:pPr>
              <w:pStyle w:val="TableParagraph"/>
              <w:rPr>
                <w:rFonts w:ascii="Times New Roman"/>
                <w:sz w:val="22"/>
              </w:rPr>
            </w:pPr>
          </w:p>
        </w:tc>
        <w:tc>
          <w:tcPr>
            <w:tcW w:w="2947" w:type="dxa"/>
            <w:shd w:val="clear" w:color="auto" w:fill="D9EAD4"/>
          </w:tcPr>
          <w:p>
            <w:pPr>
              <w:pStyle w:val="TableParagraph"/>
              <w:ind w:left="108" w:right="580"/>
              <w:rPr>
                <w:sz w:val="22"/>
              </w:rPr>
            </w:pPr>
            <w:r>
              <w:rPr>
                <w:sz w:val="22"/>
              </w:rPr>
              <w:t>157 staff are enrolled for future training</w:t>
            </w:r>
          </w:p>
          <w:p>
            <w:pPr>
              <w:pStyle w:val="TableParagraph"/>
              <w:spacing w:before="12"/>
              <w:rPr>
                <w:b/>
                <w:sz w:val="21"/>
              </w:rPr>
            </w:pPr>
          </w:p>
          <w:p>
            <w:pPr>
              <w:pStyle w:val="TableParagraph"/>
              <w:ind w:left="108" w:right="531"/>
              <w:rPr>
                <w:sz w:val="22"/>
              </w:rPr>
            </w:pPr>
            <w:r>
              <w:rPr>
                <w:sz w:val="22"/>
              </w:rPr>
              <w:t>800 supported living staff have been trained</w:t>
            </w:r>
          </w:p>
          <w:p>
            <w:pPr>
              <w:pStyle w:val="TableParagraph"/>
              <w:spacing w:before="10"/>
              <w:rPr>
                <w:b/>
                <w:sz w:val="21"/>
              </w:rPr>
            </w:pPr>
          </w:p>
          <w:p>
            <w:pPr>
              <w:pStyle w:val="TableParagraph"/>
              <w:ind w:left="108" w:right="142"/>
              <w:rPr>
                <w:sz w:val="22"/>
              </w:rPr>
            </w:pPr>
            <w:r>
              <w:rPr>
                <w:sz w:val="22"/>
              </w:rPr>
              <w:t>DDA HQ staff provided training on CMS guidelines on choice and housing to all supported living providers via webinars on 8/14/15 and 8/26/15.</w:t>
            </w:r>
          </w:p>
          <w:p>
            <w:pPr>
              <w:pStyle w:val="TableParagraph"/>
              <w:spacing w:before="2"/>
              <w:rPr>
                <w:b/>
                <w:sz w:val="22"/>
              </w:rPr>
            </w:pPr>
          </w:p>
          <w:p>
            <w:pPr>
              <w:pStyle w:val="TableParagraph"/>
              <w:ind w:left="108" w:right="245"/>
              <w:rPr>
                <w:sz w:val="22"/>
              </w:rPr>
            </w:pPr>
            <w:r>
              <w:rPr>
                <w:sz w:val="22"/>
              </w:rPr>
              <w:t>In person trainings for supported living providers were conducted on 9/21/15,</w:t>
            </w:r>
          </w:p>
          <w:p>
            <w:pPr>
              <w:pStyle w:val="TableParagraph"/>
              <w:spacing w:line="248" w:lineRule="exact"/>
              <w:ind w:left="108"/>
              <w:rPr>
                <w:sz w:val="22"/>
              </w:rPr>
            </w:pPr>
            <w:r>
              <w:rPr>
                <w:sz w:val="22"/>
              </w:rPr>
              <w:t>9/24/15, 9/25/15 &amp; 10/13/15.</w:t>
            </w:r>
          </w:p>
        </w:tc>
        <w:tc>
          <w:tcPr>
            <w:tcW w:w="3593" w:type="dxa"/>
            <w:shd w:val="clear" w:color="auto" w:fill="D9EAD4"/>
          </w:tcPr>
          <w:p>
            <w:pPr>
              <w:pStyle w:val="TableParagraph"/>
              <w:rPr>
                <w:rFonts w:ascii="Times New Roman"/>
                <w:sz w:val="22"/>
              </w:rPr>
            </w:pPr>
          </w:p>
        </w:tc>
      </w:tr>
      <w:tr>
        <w:trPr>
          <w:trHeight w:val="1343" w:hRule="atLeast"/>
        </w:trPr>
        <w:tc>
          <w:tcPr>
            <w:tcW w:w="3799" w:type="dxa"/>
            <w:shd w:val="clear" w:color="auto" w:fill="D9EAD4"/>
          </w:tcPr>
          <w:p>
            <w:pPr>
              <w:pStyle w:val="TableParagraph"/>
              <w:ind w:left="107" w:right="104"/>
              <w:rPr>
                <w:b/>
                <w:i/>
                <w:sz w:val="22"/>
              </w:rPr>
            </w:pPr>
            <w:r>
              <w:rPr>
                <w:sz w:val="22"/>
              </w:rPr>
              <w:t>Provide training to ADC providers on the HCBS rules and regulations for non- residential settings. – </w:t>
            </w:r>
            <w:r>
              <w:rPr>
                <w:b/>
                <w:i/>
                <w:sz w:val="22"/>
              </w:rPr>
              <w:t>Note that this is a </w:t>
            </w:r>
            <w:r>
              <w:rPr>
                <w:b/>
                <w:i/>
                <w:sz w:val="22"/>
              </w:rPr>
              <w:t>new milestone for the</w:t>
            </w:r>
            <w:r>
              <w:rPr>
                <w:b/>
                <w:i/>
                <w:spacing w:val="-10"/>
                <w:sz w:val="22"/>
              </w:rPr>
              <w:t> </w:t>
            </w:r>
            <w:r>
              <w:rPr>
                <w:b/>
                <w:i/>
                <w:sz w:val="22"/>
              </w:rPr>
              <w:t>3/15/2017</w:t>
            </w:r>
          </w:p>
          <w:p>
            <w:pPr>
              <w:pStyle w:val="TableParagraph"/>
              <w:spacing w:line="249" w:lineRule="exact"/>
              <w:ind w:left="107"/>
              <w:rPr>
                <w:b/>
                <w:i/>
                <w:sz w:val="22"/>
              </w:rPr>
            </w:pPr>
            <w:r>
              <w:rPr>
                <w:b/>
                <w:i/>
                <w:sz w:val="22"/>
              </w:rPr>
              <w:t>revised transition plan</w:t>
            </w:r>
          </w:p>
        </w:tc>
        <w:tc>
          <w:tcPr>
            <w:tcW w:w="1349" w:type="dxa"/>
            <w:shd w:val="clear" w:color="auto" w:fill="D9EAD4"/>
          </w:tcPr>
          <w:p>
            <w:pPr>
              <w:pStyle w:val="TableParagraph"/>
              <w:spacing w:line="268" w:lineRule="exact"/>
              <w:ind w:left="108"/>
              <w:rPr>
                <w:sz w:val="22"/>
              </w:rPr>
            </w:pPr>
            <w:r>
              <w:rPr>
                <w:sz w:val="22"/>
              </w:rPr>
              <w:t>1/12/2017</w:t>
            </w:r>
          </w:p>
        </w:tc>
        <w:tc>
          <w:tcPr>
            <w:tcW w:w="1351" w:type="dxa"/>
            <w:shd w:val="clear" w:color="auto" w:fill="D9EAD4"/>
          </w:tcPr>
          <w:p>
            <w:pPr>
              <w:pStyle w:val="TableParagraph"/>
              <w:spacing w:line="268" w:lineRule="exact"/>
              <w:ind w:left="107"/>
              <w:rPr>
                <w:sz w:val="22"/>
              </w:rPr>
            </w:pPr>
            <w:r>
              <w:rPr>
                <w:sz w:val="22"/>
              </w:rPr>
              <w:t>1/12/2017</w:t>
            </w:r>
          </w:p>
        </w:tc>
        <w:tc>
          <w:tcPr>
            <w:tcW w:w="2947" w:type="dxa"/>
            <w:shd w:val="clear" w:color="auto" w:fill="D9EAD4"/>
          </w:tcPr>
          <w:p>
            <w:pPr>
              <w:pStyle w:val="TableParagraph"/>
              <w:spacing w:line="268" w:lineRule="exact"/>
              <w:ind w:left="108"/>
              <w:rPr>
                <w:sz w:val="22"/>
              </w:rPr>
            </w:pPr>
            <w:r>
              <w:rPr>
                <w:sz w:val="22"/>
              </w:rPr>
              <w:t>Completed 1/12/2017</w:t>
            </w:r>
          </w:p>
        </w:tc>
        <w:tc>
          <w:tcPr>
            <w:tcW w:w="3593" w:type="dxa"/>
            <w:shd w:val="clear" w:color="auto" w:fill="D9EAD4"/>
          </w:tcPr>
          <w:p>
            <w:pPr>
              <w:pStyle w:val="TableParagraph"/>
              <w:rPr>
                <w:rFonts w:ascii="Times New Roman"/>
                <w:sz w:val="22"/>
              </w:rPr>
            </w:pPr>
          </w:p>
        </w:tc>
      </w:tr>
      <w:tr>
        <w:trPr>
          <w:trHeight w:val="1074" w:hRule="atLeast"/>
        </w:trPr>
        <w:tc>
          <w:tcPr>
            <w:tcW w:w="3799" w:type="dxa"/>
            <w:shd w:val="clear" w:color="auto" w:fill="D9EAD4"/>
          </w:tcPr>
          <w:p>
            <w:pPr>
              <w:pStyle w:val="TableParagraph"/>
              <w:ind w:left="107"/>
              <w:rPr>
                <w:sz w:val="22"/>
              </w:rPr>
            </w:pPr>
            <w:r>
              <w:rPr>
                <w:sz w:val="22"/>
              </w:rPr>
              <w:t>Provide potential and newly certified supported living providers training on</w:t>
            </w:r>
          </w:p>
          <w:p>
            <w:pPr>
              <w:pStyle w:val="TableParagraph"/>
              <w:spacing w:line="270" w:lineRule="atLeast"/>
              <w:ind w:left="107" w:right="118"/>
              <w:rPr>
                <w:sz w:val="22"/>
              </w:rPr>
            </w:pPr>
            <w:r>
              <w:rPr>
                <w:sz w:val="22"/>
              </w:rPr>
              <w:t>the new expectations incorporated into the survey tools.</w:t>
            </w:r>
          </w:p>
        </w:tc>
        <w:tc>
          <w:tcPr>
            <w:tcW w:w="1349" w:type="dxa"/>
            <w:shd w:val="clear" w:color="auto" w:fill="D9EAD4"/>
          </w:tcPr>
          <w:p>
            <w:pPr>
              <w:pStyle w:val="TableParagraph"/>
              <w:spacing w:line="268" w:lineRule="exact"/>
              <w:ind w:left="108"/>
              <w:rPr>
                <w:sz w:val="22"/>
              </w:rPr>
            </w:pPr>
            <w:r>
              <w:rPr>
                <w:sz w:val="22"/>
              </w:rPr>
              <w:t>7/1/2016</w:t>
            </w:r>
          </w:p>
        </w:tc>
        <w:tc>
          <w:tcPr>
            <w:tcW w:w="1351" w:type="dxa"/>
            <w:shd w:val="clear" w:color="auto" w:fill="D9EAD4"/>
          </w:tcPr>
          <w:p>
            <w:pPr>
              <w:pStyle w:val="TableParagraph"/>
              <w:spacing w:line="268" w:lineRule="exact"/>
              <w:ind w:left="107"/>
              <w:rPr>
                <w:sz w:val="22"/>
              </w:rPr>
            </w:pPr>
            <w:r>
              <w:rPr>
                <w:sz w:val="22"/>
              </w:rPr>
              <w:t>7/1/2017</w:t>
            </w:r>
          </w:p>
        </w:tc>
        <w:tc>
          <w:tcPr>
            <w:tcW w:w="2947" w:type="dxa"/>
            <w:shd w:val="clear" w:color="auto" w:fill="D9EAD4"/>
          </w:tcPr>
          <w:p>
            <w:pPr>
              <w:pStyle w:val="TableParagraph"/>
              <w:rPr>
                <w:rFonts w:ascii="Times New Roman"/>
                <w:sz w:val="22"/>
              </w:rPr>
            </w:pPr>
          </w:p>
        </w:tc>
        <w:tc>
          <w:tcPr>
            <w:tcW w:w="3593" w:type="dxa"/>
            <w:shd w:val="clear" w:color="auto" w:fill="D9EAD4"/>
          </w:tcPr>
          <w:p>
            <w:pPr>
              <w:pStyle w:val="TableParagraph"/>
              <w:rPr>
                <w:rFonts w:ascii="Times New Roman"/>
                <w:sz w:val="22"/>
              </w:rPr>
            </w:pPr>
          </w:p>
        </w:tc>
      </w:tr>
      <w:tr>
        <w:trPr>
          <w:trHeight w:val="535" w:hRule="atLeast"/>
        </w:trPr>
        <w:tc>
          <w:tcPr>
            <w:tcW w:w="3799" w:type="dxa"/>
            <w:shd w:val="clear" w:color="auto" w:fill="4DA3D7"/>
          </w:tcPr>
          <w:p>
            <w:pPr>
              <w:pStyle w:val="TableParagraph"/>
              <w:spacing w:line="265" w:lineRule="exact"/>
              <w:ind w:left="107"/>
              <w:rPr>
                <w:b/>
                <w:sz w:val="22"/>
              </w:rPr>
            </w:pPr>
            <w:r>
              <w:rPr>
                <w:b/>
                <w:sz w:val="22"/>
              </w:rPr>
              <w:t>Participant Outreach – Milestones</w:t>
            </w:r>
          </w:p>
          <w:p>
            <w:pPr>
              <w:pStyle w:val="TableParagraph"/>
              <w:spacing w:line="249" w:lineRule="exact"/>
              <w:ind w:left="107"/>
              <w:rPr>
                <w:b/>
                <w:sz w:val="22"/>
              </w:rPr>
            </w:pPr>
            <w:r>
              <w:rPr>
                <w:b/>
                <w:sz w:val="22"/>
              </w:rPr>
              <w:t>Complete</w:t>
            </w:r>
          </w:p>
        </w:tc>
        <w:tc>
          <w:tcPr>
            <w:tcW w:w="9240" w:type="dxa"/>
            <w:gridSpan w:val="4"/>
            <w:shd w:val="clear" w:color="auto" w:fill="4DA3D7"/>
          </w:tcPr>
          <w:p>
            <w:pPr>
              <w:pStyle w:val="TableParagraph"/>
              <w:rPr>
                <w:rFonts w:ascii="Times New Roman"/>
                <w:sz w:val="22"/>
              </w:rPr>
            </w:pPr>
          </w:p>
        </w:tc>
      </w:tr>
      <w:tr>
        <w:trPr>
          <w:trHeight w:val="1623" w:hRule="atLeast"/>
        </w:trPr>
        <w:tc>
          <w:tcPr>
            <w:tcW w:w="3799" w:type="dxa"/>
            <w:tcBorders>
              <w:bottom w:val="double" w:sz="1" w:space="0" w:color="000000"/>
            </w:tcBorders>
            <w:shd w:val="clear" w:color="auto" w:fill="D9EAD4"/>
          </w:tcPr>
          <w:p>
            <w:pPr>
              <w:pStyle w:val="TableParagraph"/>
              <w:ind w:left="107" w:right="517"/>
              <w:rPr>
                <w:sz w:val="22"/>
              </w:rPr>
            </w:pPr>
            <w:r>
              <w:rPr>
                <w:sz w:val="22"/>
              </w:rPr>
              <w:t>Outreach directly to participants to inform them of the new rules and requirements.</w:t>
            </w:r>
          </w:p>
        </w:tc>
        <w:tc>
          <w:tcPr>
            <w:tcW w:w="1349" w:type="dxa"/>
            <w:tcBorders>
              <w:bottom w:val="double" w:sz="1" w:space="0" w:color="000000"/>
            </w:tcBorders>
            <w:shd w:val="clear" w:color="auto" w:fill="D9EAD4"/>
          </w:tcPr>
          <w:p>
            <w:pPr>
              <w:pStyle w:val="TableParagraph"/>
              <w:spacing w:line="268" w:lineRule="exact"/>
              <w:ind w:left="108"/>
              <w:rPr>
                <w:sz w:val="22"/>
              </w:rPr>
            </w:pPr>
            <w:r>
              <w:rPr>
                <w:sz w:val="22"/>
              </w:rPr>
              <w:t>7/1/2015</w:t>
            </w:r>
          </w:p>
        </w:tc>
        <w:tc>
          <w:tcPr>
            <w:tcW w:w="1351" w:type="dxa"/>
            <w:tcBorders>
              <w:bottom w:val="double" w:sz="1" w:space="0" w:color="000000"/>
            </w:tcBorders>
            <w:shd w:val="clear" w:color="auto" w:fill="D9EAD4"/>
          </w:tcPr>
          <w:p>
            <w:pPr>
              <w:pStyle w:val="TableParagraph"/>
              <w:spacing w:line="268" w:lineRule="exact"/>
              <w:ind w:left="107"/>
              <w:rPr>
                <w:sz w:val="22"/>
              </w:rPr>
            </w:pPr>
            <w:r>
              <w:rPr>
                <w:sz w:val="22"/>
              </w:rPr>
              <w:t>7/1/16</w:t>
            </w:r>
          </w:p>
        </w:tc>
        <w:tc>
          <w:tcPr>
            <w:tcW w:w="2947" w:type="dxa"/>
            <w:tcBorders>
              <w:bottom w:val="double" w:sz="1" w:space="0" w:color="000000"/>
            </w:tcBorders>
            <w:shd w:val="clear" w:color="auto" w:fill="D9EAD4"/>
          </w:tcPr>
          <w:p>
            <w:pPr>
              <w:pStyle w:val="TableParagraph"/>
              <w:spacing w:line="268" w:lineRule="exact"/>
              <w:ind w:left="108"/>
              <w:rPr>
                <w:sz w:val="22"/>
              </w:rPr>
            </w:pPr>
            <w:r>
              <w:rPr>
                <w:sz w:val="22"/>
              </w:rPr>
              <w:t>Implemented</w:t>
            </w:r>
          </w:p>
        </w:tc>
        <w:tc>
          <w:tcPr>
            <w:tcW w:w="3593" w:type="dxa"/>
            <w:tcBorders>
              <w:bottom w:val="double" w:sz="1" w:space="0" w:color="000000"/>
            </w:tcBorders>
            <w:shd w:val="clear" w:color="auto" w:fill="D9EAD4"/>
          </w:tcPr>
          <w:p>
            <w:pPr>
              <w:pStyle w:val="TableParagraph"/>
              <w:ind w:left="105" w:right="151"/>
              <w:rPr>
                <w:sz w:val="22"/>
              </w:rPr>
            </w:pPr>
            <w:r>
              <w:rPr>
                <w:sz w:val="22"/>
              </w:rPr>
              <w:t>On July 1, 2015, the state added a new client training service called “Wellness Education” to many of our waivers. This service provides participants health information and</w:t>
            </w:r>
          </w:p>
          <w:p>
            <w:pPr>
              <w:pStyle w:val="TableParagraph"/>
              <w:spacing w:line="262" w:lineRule="exact"/>
              <w:ind w:left="105"/>
              <w:rPr>
                <w:sz w:val="22"/>
              </w:rPr>
            </w:pPr>
            <w:r>
              <w:rPr>
                <w:sz w:val="22"/>
              </w:rPr>
              <w:t>updates on important updates</w:t>
            </w:r>
          </w:p>
        </w:tc>
      </w:tr>
    </w:tbl>
    <w:p>
      <w:pPr>
        <w:spacing w:after="0" w:line="262" w:lineRule="exact"/>
        <w:rPr>
          <w:sz w:val="2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9"/>
        <w:gridCol w:w="1349"/>
        <w:gridCol w:w="1351"/>
        <w:gridCol w:w="2947"/>
        <w:gridCol w:w="3593"/>
      </w:tblGrid>
      <w:tr>
        <w:trPr>
          <w:trHeight w:val="6446" w:hRule="atLeast"/>
        </w:trPr>
        <w:tc>
          <w:tcPr>
            <w:tcW w:w="3799" w:type="dxa"/>
            <w:shd w:val="clear" w:color="auto" w:fill="D9EAD4"/>
          </w:tcPr>
          <w:p>
            <w:pPr>
              <w:pStyle w:val="TableParagraph"/>
              <w:rPr>
                <w:rFonts w:ascii="Times New Roman"/>
                <w:sz w:val="22"/>
              </w:rPr>
            </w:pPr>
          </w:p>
        </w:tc>
        <w:tc>
          <w:tcPr>
            <w:tcW w:w="1349" w:type="dxa"/>
            <w:shd w:val="clear" w:color="auto" w:fill="D9EAD4"/>
          </w:tcPr>
          <w:p>
            <w:pPr>
              <w:pStyle w:val="TableParagraph"/>
              <w:rPr>
                <w:rFonts w:ascii="Times New Roman"/>
                <w:sz w:val="22"/>
              </w:rPr>
            </w:pPr>
          </w:p>
        </w:tc>
        <w:tc>
          <w:tcPr>
            <w:tcW w:w="1351" w:type="dxa"/>
            <w:shd w:val="clear" w:color="auto" w:fill="D9EAD4"/>
          </w:tcPr>
          <w:p>
            <w:pPr>
              <w:pStyle w:val="TableParagraph"/>
              <w:rPr>
                <w:rFonts w:ascii="Times New Roman"/>
                <w:sz w:val="22"/>
              </w:rPr>
            </w:pPr>
          </w:p>
        </w:tc>
        <w:tc>
          <w:tcPr>
            <w:tcW w:w="2947" w:type="dxa"/>
            <w:shd w:val="clear" w:color="auto" w:fill="D9EAD4"/>
          </w:tcPr>
          <w:p>
            <w:pPr>
              <w:pStyle w:val="TableParagraph"/>
              <w:rPr>
                <w:rFonts w:ascii="Times New Roman"/>
                <w:sz w:val="22"/>
              </w:rPr>
            </w:pPr>
          </w:p>
        </w:tc>
        <w:tc>
          <w:tcPr>
            <w:tcW w:w="3593" w:type="dxa"/>
            <w:shd w:val="clear" w:color="auto" w:fill="D9EAD4"/>
          </w:tcPr>
          <w:p>
            <w:pPr>
              <w:pStyle w:val="TableParagraph"/>
              <w:ind w:left="105" w:right="96"/>
              <w:rPr>
                <w:sz w:val="22"/>
              </w:rPr>
            </w:pPr>
            <w:r>
              <w:rPr>
                <w:sz w:val="22"/>
              </w:rPr>
              <w:t>regarding their services. This client training service will be used to inform clients of the rights contained in the federal HCBS rules. This information will be targeted to clients based on whether they are living in a residential setting vs. in their own home.</w:t>
            </w:r>
          </w:p>
          <w:p>
            <w:pPr>
              <w:pStyle w:val="TableParagraph"/>
              <w:spacing w:before="11"/>
              <w:rPr>
                <w:b/>
                <w:sz w:val="21"/>
              </w:rPr>
            </w:pPr>
          </w:p>
          <w:p>
            <w:pPr>
              <w:pStyle w:val="TableParagraph"/>
              <w:ind w:left="105" w:right="86"/>
              <w:rPr>
                <w:sz w:val="22"/>
              </w:rPr>
            </w:pPr>
            <w:r>
              <w:rPr>
                <w:sz w:val="22"/>
              </w:rPr>
              <w:t>All ALTSA and DDA clients are provided a “Rights &amp; Responsibilities” document that outlines client rights. These are provided to every client at the time of initial assessment and document changes. The most recent change to that document occurred 7/1/15 to incorporate HCB Setting rule changes. Each client received the new version of that document by 7/1/16.</w:t>
            </w:r>
          </w:p>
          <w:p>
            <w:pPr>
              <w:pStyle w:val="TableParagraph"/>
              <w:spacing w:before="11"/>
              <w:rPr>
                <w:b/>
                <w:sz w:val="21"/>
              </w:rPr>
            </w:pPr>
          </w:p>
          <w:p>
            <w:pPr>
              <w:pStyle w:val="TableParagraph"/>
              <w:spacing w:line="270" w:lineRule="atLeast"/>
              <w:ind w:left="105" w:right="106"/>
              <w:jc w:val="both"/>
              <w:rPr>
                <w:sz w:val="22"/>
              </w:rPr>
            </w:pPr>
            <w:r>
              <w:rPr>
                <w:sz w:val="22"/>
              </w:rPr>
              <w:t>Client CARE Plans inform the client of their rights when they live in provider owned residential settings.</w:t>
            </w:r>
          </w:p>
        </w:tc>
      </w:tr>
      <w:tr>
        <w:trPr>
          <w:trHeight w:val="1609" w:hRule="atLeast"/>
        </w:trPr>
        <w:tc>
          <w:tcPr>
            <w:tcW w:w="3799" w:type="dxa"/>
            <w:shd w:val="clear" w:color="auto" w:fill="D9EAD4"/>
          </w:tcPr>
          <w:p>
            <w:pPr>
              <w:pStyle w:val="TableParagraph"/>
              <w:ind w:left="107" w:right="185"/>
              <w:jc w:val="both"/>
              <w:rPr>
                <w:sz w:val="22"/>
              </w:rPr>
            </w:pPr>
            <w:r>
              <w:rPr>
                <w:sz w:val="22"/>
              </w:rPr>
              <w:t>Factsheet on HCBS settings rule will be developed and posted on the internet site &amp; requests for links to factsheet by local, regional and statewide advocacy organization for posting on their sites</w:t>
            </w:r>
          </w:p>
        </w:tc>
        <w:tc>
          <w:tcPr>
            <w:tcW w:w="1349" w:type="dxa"/>
            <w:shd w:val="clear" w:color="auto" w:fill="D9EAD4"/>
          </w:tcPr>
          <w:p>
            <w:pPr>
              <w:pStyle w:val="TableParagraph"/>
              <w:spacing w:line="266" w:lineRule="exact"/>
              <w:ind w:left="108"/>
              <w:rPr>
                <w:sz w:val="22"/>
              </w:rPr>
            </w:pPr>
            <w:r>
              <w:rPr>
                <w:sz w:val="22"/>
              </w:rPr>
              <w:t>9/1/2016</w:t>
            </w:r>
          </w:p>
        </w:tc>
        <w:tc>
          <w:tcPr>
            <w:tcW w:w="1351" w:type="dxa"/>
            <w:shd w:val="clear" w:color="auto" w:fill="D9EAD4"/>
          </w:tcPr>
          <w:p>
            <w:pPr>
              <w:pStyle w:val="TableParagraph"/>
              <w:spacing w:line="266" w:lineRule="exact"/>
              <w:ind w:left="107"/>
              <w:rPr>
                <w:sz w:val="22"/>
              </w:rPr>
            </w:pPr>
            <w:r>
              <w:rPr>
                <w:sz w:val="22"/>
              </w:rPr>
              <w:t>12/31/2016</w:t>
            </w:r>
          </w:p>
        </w:tc>
        <w:tc>
          <w:tcPr>
            <w:tcW w:w="2947" w:type="dxa"/>
            <w:shd w:val="clear" w:color="auto" w:fill="D9EAD4"/>
          </w:tcPr>
          <w:p>
            <w:pPr>
              <w:pStyle w:val="TableParagraph"/>
              <w:spacing w:line="266" w:lineRule="exact"/>
              <w:ind w:left="108"/>
              <w:rPr>
                <w:sz w:val="22"/>
              </w:rPr>
            </w:pPr>
            <w:r>
              <w:rPr>
                <w:sz w:val="22"/>
              </w:rPr>
              <w:t>Completed 12/31/2016</w:t>
            </w:r>
          </w:p>
        </w:tc>
        <w:tc>
          <w:tcPr>
            <w:tcW w:w="3593" w:type="dxa"/>
            <w:shd w:val="clear" w:color="auto" w:fill="D9EAD4"/>
          </w:tcPr>
          <w:p>
            <w:pPr>
              <w:pStyle w:val="TableParagraph"/>
              <w:ind w:left="105" w:right="410"/>
              <w:rPr>
                <w:sz w:val="22"/>
              </w:rPr>
            </w:pPr>
            <w:hyperlink r:id="rId146">
              <w:r>
                <w:rPr>
                  <w:color w:val="6B9F24"/>
                  <w:sz w:val="22"/>
                  <w:u w:val="single" w:color="6B9F24"/>
                </w:rPr>
                <w:t>2017 Fact Sheet, Home and</w:t>
              </w:r>
            </w:hyperlink>
            <w:r>
              <w:rPr>
                <w:color w:val="6B9F24"/>
                <w:sz w:val="22"/>
              </w:rPr>
              <w:t> </w:t>
            </w:r>
            <w:hyperlink r:id="rId146">
              <w:r>
                <w:rPr>
                  <w:color w:val="6B9F24"/>
                  <w:sz w:val="22"/>
                  <w:u w:val="single" w:color="6B9F24"/>
                </w:rPr>
                <w:t>Community Based Settings (HCBS)</w:t>
              </w:r>
            </w:hyperlink>
            <w:r>
              <w:rPr>
                <w:color w:val="6B9F24"/>
                <w:sz w:val="22"/>
              </w:rPr>
              <w:t> </w:t>
            </w:r>
            <w:hyperlink r:id="rId146">
              <w:r>
                <w:rPr>
                  <w:color w:val="6B9F24"/>
                  <w:sz w:val="22"/>
                  <w:u w:val="single" w:color="6B9F24"/>
                </w:rPr>
                <w:t>Rules</w:t>
              </w:r>
            </w:hyperlink>
          </w:p>
          <w:p>
            <w:pPr>
              <w:pStyle w:val="TableParagraph"/>
              <w:spacing w:before="8"/>
              <w:rPr>
                <w:b/>
                <w:sz w:val="21"/>
              </w:rPr>
            </w:pPr>
          </w:p>
          <w:p>
            <w:pPr>
              <w:pStyle w:val="TableParagraph"/>
              <w:ind w:left="105"/>
              <w:rPr>
                <w:sz w:val="22"/>
              </w:rPr>
            </w:pPr>
            <w:hyperlink r:id="rId147">
              <w:r>
                <w:rPr>
                  <w:color w:val="6B9F24"/>
                  <w:sz w:val="22"/>
                  <w:u w:val="single" w:color="6B9F24"/>
                </w:rPr>
                <w:t>Fact Sheet Internet Location</w:t>
              </w:r>
            </w:hyperlink>
          </w:p>
        </w:tc>
      </w:tr>
      <w:tr>
        <w:trPr>
          <w:trHeight w:val="270" w:hRule="atLeast"/>
        </w:trPr>
        <w:tc>
          <w:tcPr>
            <w:tcW w:w="3799" w:type="dxa"/>
            <w:shd w:val="clear" w:color="auto" w:fill="4DA3D7"/>
          </w:tcPr>
          <w:p>
            <w:pPr>
              <w:pStyle w:val="TableParagraph"/>
              <w:spacing w:line="251" w:lineRule="exact"/>
              <w:ind w:left="107"/>
              <w:rPr>
                <w:b/>
                <w:sz w:val="22"/>
              </w:rPr>
            </w:pPr>
            <w:r>
              <w:rPr>
                <w:b/>
                <w:sz w:val="22"/>
              </w:rPr>
              <w:t>Legislation – Milestones Complete</w:t>
            </w:r>
          </w:p>
        </w:tc>
        <w:tc>
          <w:tcPr>
            <w:tcW w:w="9240" w:type="dxa"/>
            <w:gridSpan w:val="4"/>
            <w:shd w:val="clear" w:color="auto" w:fill="4DA3D7"/>
          </w:tcPr>
          <w:p>
            <w:pPr>
              <w:pStyle w:val="TableParagraph"/>
              <w:rPr>
                <w:rFonts w:ascii="Times New Roman"/>
                <w:sz w:val="20"/>
              </w:rPr>
            </w:pPr>
          </w:p>
        </w:tc>
      </w:tr>
      <w:tr>
        <w:trPr>
          <w:trHeight w:val="822" w:hRule="atLeast"/>
        </w:trPr>
        <w:tc>
          <w:tcPr>
            <w:tcW w:w="3799" w:type="dxa"/>
            <w:tcBorders>
              <w:bottom w:val="double" w:sz="1" w:space="0" w:color="000000"/>
            </w:tcBorders>
            <w:shd w:val="clear" w:color="auto" w:fill="D9EAD4"/>
          </w:tcPr>
          <w:p>
            <w:pPr>
              <w:pStyle w:val="TableParagraph"/>
              <w:ind w:left="107" w:right="487"/>
              <w:rPr>
                <w:sz w:val="22"/>
              </w:rPr>
            </w:pPr>
            <w:r>
              <w:rPr>
                <w:sz w:val="22"/>
              </w:rPr>
              <w:t>The State has enacted legislation to implement a new DDA Ombuds</w:t>
            </w:r>
          </w:p>
          <w:p>
            <w:pPr>
              <w:pStyle w:val="TableParagraph"/>
              <w:spacing w:line="266" w:lineRule="exact"/>
              <w:ind w:left="107"/>
              <w:rPr>
                <w:sz w:val="22"/>
              </w:rPr>
            </w:pPr>
            <w:r>
              <w:rPr>
                <w:sz w:val="22"/>
              </w:rPr>
              <w:t>program and a High Risk caseloads</w:t>
            </w:r>
          </w:p>
        </w:tc>
        <w:tc>
          <w:tcPr>
            <w:tcW w:w="1349" w:type="dxa"/>
            <w:tcBorders>
              <w:bottom w:val="double" w:sz="1" w:space="0" w:color="000000"/>
            </w:tcBorders>
            <w:shd w:val="clear" w:color="auto" w:fill="D9EAD4"/>
          </w:tcPr>
          <w:p>
            <w:pPr>
              <w:pStyle w:val="TableParagraph"/>
              <w:spacing w:line="268" w:lineRule="exact"/>
              <w:ind w:left="108"/>
              <w:rPr>
                <w:sz w:val="22"/>
              </w:rPr>
            </w:pPr>
            <w:r>
              <w:rPr>
                <w:sz w:val="22"/>
              </w:rPr>
              <w:t>2/9/2016</w:t>
            </w:r>
          </w:p>
          <w:p>
            <w:pPr>
              <w:pStyle w:val="TableParagraph"/>
              <w:ind w:left="108"/>
              <w:rPr>
                <w:sz w:val="22"/>
              </w:rPr>
            </w:pPr>
            <w:r>
              <w:rPr>
                <w:sz w:val="22"/>
              </w:rPr>
              <w:t>(first</w:t>
            </w:r>
          </w:p>
        </w:tc>
        <w:tc>
          <w:tcPr>
            <w:tcW w:w="1351" w:type="dxa"/>
            <w:tcBorders>
              <w:bottom w:val="double" w:sz="1" w:space="0" w:color="000000"/>
            </w:tcBorders>
            <w:shd w:val="clear" w:color="auto" w:fill="D9EAD4"/>
          </w:tcPr>
          <w:p>
            <w:pPr>
              <w:pStyle w:val="TableParagraph"/>
              <w:spacing w:line="268" w:lineRule="exact"/>
              <w:ind w:left="107"/>
              <w:rPr>
                <w:sz w:val="22"/>
              </w:rPr>
            </w:pPr>
            <w:r>
              <w:rPr>
                <w:sz w:val="22"/>
              </w:rPr>
              <w:t>6/9/2016</w:t>
            </w:r>
          </w:p>
        </w:tc>
        <w:tc>
          <w:tcPr>
            <w:tcW w:w="2947" w:type="dxa"/>
            <w:tcBorders>
              <w:bottom w:val="double" w:sz="1" w:space="0" w:color="000000"/>
            </w:tcBorders>
            <w:shd w:val="clear" w:color="auto" w:fill="D9EAD4"/>
          </w:tcPr>
          <w:p>
            <w:pPr>
              <w:pStyle w:val="TableParagraph"/>
              <w:ind w:left="108" w:right="862"/>
              <w:rPr>
                <w:sz w:val="22"/>
              </w:rPr>
            </w:pPr>
            <w:r>
              <w:rPr>
                <w:sz w:val="22"/>
              </w:rPr>
              <w:t>3/3/16 Passed House 3/8/16 Passed Senate</w:t>
            </w:r>
          </w:p>
        </w:tc>
        <w:tc>
          <w:tcPr>
            <w:tcW w:w="3593" w:type="dxa"/>
            <w:tcBorders>
              <w:bottom w:val="double" w:sz="1" w:space="0" w:color="000000"/>
            </w:tcBorders>
            <w:shd w:val="clear" w:color="auto" w:fill="D9EAD4"/>
          </w:tcPr>
          <w:p>
            <w:pPr>
              <w:pStyle w:val="TableParagraph"/>
              <w:ind w:left="105" w:right="212"/>
              <w:rPr>
                <w:sz w:val="22"/>
              </w:rPr>
            </w:pPr>
            <w:hyperlink r:id="rId148">
              <w:r>
                <w:rPr>
                  <w:color w:val="6B9F24"/>
                  <w:sz w:val="22"/>
                  <w:u w:val="single" w:color="6B9F24"/>
                </w:rPr>
                <w:t>Engrossed Second Substitute Senate</w:t>
              </w:r>
            </w:hyperlink>
            <w:r>
              <w:rPr>
                <w:color w:val="6B9F24"/>
                <w:sz w:val="22"/>
              </w:rPr>
              <w:t> </w:t>
            </w:r>
            <w:hyperlink r:id="rId148">
              <w:r>
                <w:rPr>
                  <w:color w:val="6B9F24"/>
                  <w:sz w:val="22"/>
                  <w:u w:val="single" w:color="6B9F24"/>
                </w:rPr>
                <w:t>Bill 6564</w:t>
              </w:r>
              <w:r>
                <w:rPr>
                  <w:sz w:val="22"/>
                </w:rPr>
                <w:t>.</w:t>
              </w:r>
            </w:hyperlink>
          </w:p>
        </w:tc>
      </w:tr>
    </w:tbl>
    <w:p>
      <w:pPr>
        <w:spacing w:after="0"/>
        <w:rPr>
          <w:sz w:val="22"/>
        </w:rPr>
        <w:sectPr>
          <w:footerReference w:type="default" r:id="rId145"/>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9"/>
        <w:gridCol w:w="1349"/>
        <w:gridCol w:w="1351"/>
        <w:gridCol w:w="2947"/>
        <w:gridCol w:w="3593"/>
      </w:tblGrid>
      <w:tr>
        <w:trPr>
          <w:trHeight w:val="537" w:hRule="atLeast"/>
        </w:trPr>
        <w:tc>
          <w:tcPr>
            <w:tcW w:w="3799" w:type="dxa"/>
            <w:shd w:val="clear" w:color="auto" w:fill="D9EAD4"/>
          </w:tcPr>
          <w:p>
            <w:pPr>
              <w:pStyle w:val="TableParagraph"/>
              <w:spacing w:line="268" w:lineRule="exact"/>
              <w:ind w:left="107"/>
              <w:rPr>
                <w:sz w:val="22"/>
              </w:rPr>
            </w:pPr>
            <w:r>
              <w:rPr>
                <w:sz w:val="22"/>
              </w:rPr>
              <w:t>program to ensure that the rights of</w:t>
            </w:r>
          </w:p>
          <w:p>
            <w:pPr>
              <w:pStyle w:val="TableParagraph"/>
              <w:spacing w:line="249" w:lineRule="exact"/>
              <w:ind w:left="107"/>
              <w:rPr>
                <w:sz w:val="22"/>
              </w:rPr>
            </w:pPr>
            <w:r>
              <w:rPr>
                <w:sz w:val="22"/>
              </w:rPr>
              <w:t>vulnerable participants are protected.</w:t>
            </w:r>
          </w:p>
        </w:tc>
        <w:tc>
          <w:tcPr>
            <w:tcW w:w="1349" w:type="dxa"/>
            <w:shd w:val="clear" w:color="auto" w:fill="D9EAD4"/>
          </w:tcPr>
          <w:p>
            <w:pPr>
              <w:pStyle w:val="TableParagraph"/>
              <w:spacing w:line="268" w:lineRule="exact"/>
              <w:ind w:left="108"/>
              <w:rPr>
                <w:sz w:val="22"/>
              </w:rPr>
            </w:pPr>
            <w:r>
              <w:rPr>
                <w:sz w:val="22"/>
              </w:rPr>
              <w:t>legislative</w:t>
            </w:r>
          </w:p>
          <w:p>
            <w:pPr>
              <w:pStyle w:val="TableParagraph"/>
              <w:spacing w:line="249" w:lineRule="exact"/>
              <w:ind w:left="108"/>
              <w:rPr>
                <w:sz w:val="22"/>
              </w:rPr>
            </w:pPr>
            <w:r>
              <w:rPr>
                <w:sz w:val="22"/>
              </w:rPr>
              <w:t>reading)</w:t>
            </w:r>
          </w:p>
        </w:tc>
        <w:tc>
          <w:tcPr>
            <w:tcW w:w="1351" w:type="dxa"/>
            <w:shd w:val="clear" w:color="auto" w:fill="D9EAD4"/>
          </w:tcPr>
          <w:p>
            <w:pPr>
              <w:pStyle w:val="TableParagraph"/>
              <w:rPr>
                <w:rFonts w:ascii="Times New Roman"/>
                <w:sz w:val="22"/>
              </w:rPr>
            </w:pPr>
          </w:p>
        </w:tc>
        <w:tc>
          <w:tcPr>
            <w:tcW w:w="2947" w:type="dxa"/>
            <w:shd w:val="clear" w:color="auto" w:fill="D9EAD4"/>
          </w:tcPr>
          <w:p>
            <w:pPr>
              <w:pStyle w:val="TableParagraph"/>
              <w:rPr>
                <w:rFonts w:ascii="Times New Roman"/>
                <w:sz w:val="22"/>
              </w:rPr>
            </w:pPr>
          </w:p>
        </w:tc>
        <w:tc>
          <w:tcPr>
            <w:tcW w:w="3593" w:type="dxa"/>
            <w:shd w:val="clear" w:color="auto" w:fill="D9EAD4"/>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6"/>
        </w:rPr>
      </w:pPr>
      <w:r>
        <w:rPr/>
        <w:pict>
          <v:shape style="position:absolute;margin-left:70.559998pt;margin-top:18.640438pt;width:650.9pt;height:.1pt;mso-position-horizontal-relative:page;mso-position-vertical-relative:paragraph;z-index:-251456512;mso-wrap-distance-left:0;mso-wrap-distance-right:0" coordorigin="1411,373" coordsize="13018,0" path="m1411,373l14429,373e" filled="false" stroked="true" strokeweight=".481pt" strokecolor="#d9d9d9">
            <v:path arrowok="t"/>
            <v:stroke dashstyle="solid"/>
            <w10:wrap type="topAndBottom"/>
          </v:shape>
        </w:pict>
      </w:r>
    </w:p>
    <w:p>
      <w:pPr>
        <w:spacing w:after="0"/>
        <w:rPr>
          <w:sz w:val="26"/>
        </w:rPr>
        <w:sectPr>
          <w:footerReference w:type="default" r:id="rId149"/>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191"/>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p>
      <w:pPr>
        <w:spacing w:before="0"/>
        <w:ind w:left="2917" w:right="2957" w:firstLine="0"/>
        <w:jc w:val="center"/>
        <w:rPr>
          <w:b/>
          <w:sz w:val="32"/>
        </w:rPr>
      </w:pPr>
      <w:bookmarkStart w:name="APPENDIX D:  Comments Received by ALTSA " w:id="97"/>
      <w:bookmarkEnd w:id="97"/>
      <w:r>
        <w:rPr/>
      </w:r>
      <w:bookmarkStart w:name="_bookmark44" w:id="98"/>
      <w:bookmarkEnd w:id="98"/>
      <w:r>
        <w:rPr/>
      </w:r>
      <w:r>
        <w:rPr>
          <w:b/>
          <w:sz w:val="32"/>
        </w:rPr>
        <w:t>APPENDIX D: Comments Received by ALTSA and DDA</w:t>
      </w:r>
    </w:p>
    <w:p>
      <w:pPr>
        <w:pStyle w:val="BodyText"/>
        <w:spacing w:before="4"/>
        <w:rPr>
          <w:b/>
          <w:sz w:val="46"/>
        </w:rPr>
      </w:pPr>
    </w:p>
    <w:p>
      <w:pPr>
        <w:pStyle w:val="BodyText"/>
        <w:spacing w:line="276" w:lineRule="auto" w:before="1"/>
        <w:ind w:left="1060" w:right="1407"/>
      </w:pPr>
      <w:r>
        <w:rPr>
          <w:u w:val="single"/>
        </w:rPr>
        <w:t>Comments received to prior versions of the Statewide Transition Plan may be viewed in the historical documents. Comments included on this</w:t>
      </w:r>
      <w:r>
        <w:rPr/>
        <w:t> </w:t>
      </w:r>
      <w:r>
        <w:rPr>
          <w:u w:val="single"/>
        </w:rPr>
        <w:t>page were received after the March 15, 2017 posting of this document.</w:t>
      </w:r>
    </w:p>
    <w:p>
      <w:pPr>
        <w:pStyle w:val="BodyText"/>
        <w:rPr>
          <w:sz w:val="20"/>
        </w:rPr>
      </w:pPr>
    </w:p>
    <w:p>
      <w:pPr>
        <w:pStyle w:val="BodyText"/>
        <w:rPr>
          <w:sz w:val="20"/>
        </w:rPr>
      </w:pPr>
    </w:p>
    <w:p>
      <w:pPr>
        <w:pStyle w:val="BodyText"/>
        <w:spacing w:before="1" w:after="1"/>
        <w:rPr>
          <w:sz w:val="18"/>
        </w:rPr>
      </w:pPr>
    </w:p>
    <w:tbl>
      <w:tblPr>
        <w:tblW w:w="0" w:type="auto"/>
        <w:jc w:val="left"/>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0"/>
        <w:gridCol w:w="2069"/>
        <w:gridCol w:w="5220"/>
        <w:gridCol w:w="3151"/>
        <w:gridCol w:w="2160"/>
      </w:tblGrid>
      <w:tr>
        <w:trPr>
          <w:trHeight w:val="806" w:hRule="atLeast"/>
        </w:trPr>
        <w:tc>
          <w:tcPr>
            <w:tcW w:w="1620" w:type="dxa"/>
          </w:tcPr>
          <w:p>
            <w:pPr>
              <w:pStyle w:val="TableParagraph"/>
              <w:rPr>
                <w:sz w:val="22"/>
              </w:rPr>
            </w:pPr>
          </w:p>
          <w:p>
            <w:pPr>
              <w:pStyle w:val="TableParagraph"/>
              <w:spacing w:before="11"/>
              <w:rPr>
                <w:sz w:val="21"/>
              </w:rPr>
            </w:pPr>
          </w:p>
          <w:p>
            <w:pPr>
              <w:pStyle w:val="TableParagraph"/>
              <w:spacing w:line="249" w:lineRule="exact" w:before="1"/>
              <w:ind w:left="107"/>
              <w:rPr>
                <w:b/>
                <w:sz w:val="22"/>
              </w:rPr>
            </w:pPr>
            <w:r>
              <w:rPr>
                <w:b/>
                <w:sz w:val="22"/>
              </w:rPr>
              <w:t>Topic</w:t>
            </w:r>
          </w:p>
        </w:tc>
        <w:tc>
          <w:tcPr>
            <w:tcW w:w="2069" w:type="dxa"/>
          </w:tcPr>
          <w:p>
            <w:pPr>
              <w:pStyle w:val="TableParagraph"/>
              <w:rPr>
                <w:sz w:val="22"/>
              </w:rPr>
            </w:pPr>
          </w:p>
          <w:p>
            <w:pPr>
              <w:pStyle w:val="TableParagraph"/>
              <w:spacing w:before="11"/>
              <w:rPr>
                <w:sz w:val="21"/>
              </w:rPr>
            </w:pPr>
          </w:p>
          <w:p>
            <w:pPr>
              <w:pStyle w:val="TableParagraph"/>
              <w:spacing w:line="249" w:lineRule="exact" w:before="1"/>
              <w:ind w:left="107"/>
              <w:rPr>
                <w:b/>
                <w:sz w:val="22"/>
              </w:rPr>
            </w:pPr>
            <w:r>
              <w:rPr>
                <w:b/>
                <w:sz w:val="22"/>
              </w:rPr>
              <w:t>From</w:t>
            </w:r>
          </w:p>
        </w:tc>
        <w:tc>
          <w:tcPr>
            <w:tcW w:w="5220" w:type="dxa"/>
          </w:tcPr>
          <w:p>
            <w:pPr>
              <w:pStyle w:val="TableParagraph"/>
              <w:rPr>
                <w:sz w:val="22"/>
              </w:rPr>
            </w:pPr>
          </w:p>
          <w:p>
            <w:pPr>
              <w:pStyle w:val="TableParagraph"/>
              <w:spacing w:before="11"/>
              <w:rPr>
                <w:sz w:val="21"/>
              </w:rPr>
            </w:pPr>
          </w:p>
          <w:p>
            <w:pPr>
              <w:pStyle w:val="TableParagraph"/>
              <w:spacing w:line="249" w:lineRule="exact" w:before="1"/>
              <w:ind w:left="107"/>
              <w:rPr>
                <w:b/>
                <w:sz w:val="22"/>
              </w:rPr>
            </w:pPr>
            <w:r>
              <w:rPr>
                <w:b/>
                <w:sz w:val="22"/>
              </w:rPr>
              <w:t>Comment Received</w:t>
            </w:r>
          </w:p>
        </w:tc>
        <w:tc>
          <w:tcPr>
            <w:tcW w:w="3151" w:type="dxa"/>
          </w:tcPr>
          <w:p>
            <w:pPr>
              <w:pStyle w:val="TableParagraph"/>
              <w:rPr>
                <w:sz w:val="22"/>
              </w:rPr>
            </w:pPr>
          </w:p>
          <w:p>
            <w:pPr>
              <w:pStyle w:val="TableParagraph"/>
              <w:spacing w:before="11"/>
              <w:rPr>
                <w:sz w:val="21"/>
              </w:rPr>
            </w:pPr>
          </w:p>
          <w:p>
            <w:pPr>
              <w:pStyle w:val="TableParagraph"/>
              <w:spacing w:line="249" w:lineRule="exact" w:before="1"/>
              <w:ind w:left="107"/>
              <w:rPr>
                <w:b/>
                <w:sz w:val="22"/>
              </w:rPr>
            </w:pPr>
            <w:r>
              <w:rPr>
                <w:b/>
                <w:sz w:val="22"/>
              </w:rPr>
              <w:t>State’s Response</w:t>
            </w:r>
          </w:p>
        </w:tc>
        <w:tc>
          <w:tcPr>
            <w:tcW w:w="2160" w:type="dxa"/>
          </w:tcPr>
          <w:p>
            <w:pPr>
              <w:pStyle w:val="TableParagraph"/>
              <w:ind w:left="107" w:right="161"/>
              <w:rPr>
                <w:b/>
                <w:sz w:val="22"/>
              </w:rPr>
            </w:pPr>
            <w:r>
              <w:rPr>
                <w:b/>
                <w:sz w:val="22"/>
              </w:rPr>
              <w:t>Modification(s) made in response to</w:t>
            </w:r>
          </w:p>
          <w:p>
            <w:pPr>
              <w:pStyle w:val="TableParagraph"/>
              <w:spacing w:line="249" w:lineRule="exact"/>
              <w:ind w:left="107"/>
              <w:rPr>
                <w:b/>
                <w:sz w:val="22"/>
              </w:rPr>
            </w:pPr>
            <w:r>
              <w:rPr>
                <w:b/>
                <w:sz w:val="22"/>
              </w:rPr>
              <w:t>this comment</w:t>
            </w:r>
          </w:p>
        </w:tc>
      </w:tr>
      <w:tr>
        <w:trPr>
          <w:trHeight w:val="2685" w:hRule="atLeast"/>
        </w:trPr>
        <w:tc>
          <w:tcPr>
            <w:tcW w:w="1620" w:type="dxa"/>
          </w:tcPr>
          <w:p>
            <w:pPr>
              <w:pStyle w:val="TableParagraph"/>
              <w:ind w:left="107" w:right="548"/>
              <w:rPr>
                <w:sz w:val="22"/>
              </w:rPr>
            </w:pPr>
            <w:r>
              <w:rPr>
                <w:sz w:val="22"/>
                <w:u w:val="single"/>
              </w:rPr>
              <w:t>Document</w:t>
            </w:r>
            <w:r>
              <w:rPr>
                <w:sz w:val="22"/>
              </w:rPr>
              <w:t> </w:t>
            </w:r>
            <w:r>
              <w:rPr>
                <w:sz w:val="22"/>
                <w:u w:val="single"/>
              </w:rPr>
              <w:t>Request</w:t>
            </w:r>
          </w:p>
        </w:tc>
        <w:tc>
          <w:tcPr>
            <w:tcW w:w="2069" w:type="dxa"/>
          </w:tcPr>
          <w:p>
            <w:pPr>
              <w:pStyle w:val="TableParagraph"/>
              <w:ind w:left="107" w:right="842"/>
              <w:rPr>
                <w:sz w:val="22"/>
              </w:rPr>
            </w:pPr>
            <w:r>
              <w:rPr>
                <w:sz w:val="22"/>
                <w:u w:val="single"/>
              </w:rPr>
              <w:t>Community</w:t>
            </w:r>
            <w:r>
              <w:rPr>
                <w:sz w:val="22"/>
              </w:rPr>
              <w:t> </w:t>
            </w:r>
            <w:r>
              <w:rPr>
                <w:sz w:val="22"/>
                <w:u w:val="single"/>
              </w:rPr>
              <w:t>Member,</w:t>
            </w:r>
            <w:r>
              <w:rPr>
                <w:sz w:val="22"/>
              </w:rPr>
              <w:t> </w:t>
            </w:r>
            <w:r>
              <w:rPr>
                <w:sz w:val="22"/>
                <w:u w:val="single"/>
              </w:rPr>
              <w:t>unidentified</w:t>
            </w:r>
            <w:r>
              <w:rPr>
                <w:sz w:val="22"/>
              </w:rPr>
              <w:t> </w:t>
            </w:r>
            <w:r>
              <w:rPr>
                <w:sz w:val="22"/>
                <w:u w:val="single"/>
              </w:rPr>
              <w:t>affiliation</w:t>
            </w:r>
          </w:p>
        </w:tc>
        <w:tc>
          <w:tcPr>
            <w:tcW w:w="5220" w:type="dxa"/>
          </w:tcPr>
          <w:p>
            <w:pPr>
              <w:pStyle w:val="TableParagraph"/>
              <w:ind w:left="107" w:right="343"/>
              <w:rPr>
                <w:sz w:val="22"/>
              </w:rPr>
            </w:pPr>
            <w:r>
              <w:rPr>
                <w:sz w:val="22"/>
              </w:rPr>
              <w:t>I have been reviewing the revised Washington State Revised Transition Plan for New HCBS Rules that is to be submitted to CMS in May 2017 that has recently been posted for public comment on March 15, 2017.</w:t>
            </w:r>
          </w:p>
          <w:p>
            <w:pPr>
              <w:pStyle w:val="TableParagraph"/>
              <w:spacing w:before="10"/>
              <w:rPr>
                <w:sz w:val="21"/>
              </w:rPr>
            </w:pPr>
          </w:p>
          <w:p>
            <w:pPr>
              <w:pStyle w:val="TableParagraph"/>
              <w:ind w:left="107" w:right="145"/>
              <w:rPr>
                <w:sz w:val="22"/>
              </w:rPr>
            </w:pPr>
            <w:r>
              <w:rPr>
                <w:sz w:val="22"/>
              </w:rPr>
              <w:t>In the plan under appendix E, there are RCS documents that are a sample of the new documents that have been developed as part of the RCS facility inspection packet. Can I get a copy of the documents being</w:t>
            </w:r>
          </w:p>
          <w:p>
            <w:pPr>
              <w:pStyle w:val="TableParagraph"/>
              <w:spacing w:line="249" w:lineRule="exact" w:before="1"/>
              <w:ind w:left="107"/>
              <w:rPr>
                <w:sz w:val="22"/>
              </w:rPr>
            </w:pPr>
            <w:r>
              <w:rPr>
                <w:sz w:val="22"/>
              </w:rPr>
              <w:t>referenced?</w:t>
            </w:r>
          </w:p>
        </w:tc>
        <w:tc>
          <w:tcPr>
            <w:tcW w:w="3151" w:type="dxa"/>
          </w:tcPr>
          <w:p>
            <w:pPr>
              <w:pStyle w:val="TableParagraph"/>
              <w:ind w:left="107" w:right="357"/>
              <w:rPr>
                <w:sz w:val="22"/>
              </w:rPr>
            </w:pPr>
            <w:r>
              <w:rPr>
                <w:sz w:val="22"/>
                <w:u w:val="single"/>
              </w:rPr>
              <w:t>The document requested was</w:t>
            </w:r>
            <w:r>
              <w:rPr>
                <w:sz w:val="22"/>
              </w:rPr>
              <w:t> </w:t>
            </w:r>
            <w:r>
              <w:rPr>
                <w:sz w:val="22"/>
                <w:u w:val="single"/>
              </w:rPr>
              <w:t>sent to the requestor.</w:t>
            </w:r>
          </w:p>
        </w:tc>
        <w:tc>
          <w:tcPr>
            <w:tcW w:w="2160" w:type="dxa"/>
          </w:tcPr>
          <w:p>
            <w:pPr>
              <w:pStyle w:val="TableParagraph"/>
              <w:ind w:left="107" w:right="462"/>
              <w:rPr>
                <w:sz w:val="22"/>
              </w:rPr>
            </w:pPr>
            <w:r>
              <w:rPr>
                <w:sz w:val="22"/>
                <w:u w:val="single"/>
              </w:rPr>
              <w:t>The STP has been</w:t>
            </w:r>
            <w:r>
              <w:rPr>
                <w:sz w:val="22"/>
              </w:rPr>
              <w:t> </w:t>
            </w:r>
            <w:r>
              <w:rPr>
                <w:sz w:val="22"/>
                <w:u w:val="single"/>
              </w:rPr>
              <w:t>updated with the</w:t>
            </w:r>
            <w:r>
              <w:rPr>
                <w:sz w:val="22"/>
              </w:rPr>
              <w:t> </w:t>
            </w:r>
            <w:r>
              <w:rPr>
                <w:sz w:val="22"/>
                <w:u w:val="single"/>
              </w:rPr>
              <w:t>most recent</w:t>
            </w:r>
            <w:r>
              <w:rPr>
                <w:sz w:val="22"/>
              </w:rPr>
              <w:t> </w:t>
            </w:r>
            <w:r>
              <w:rPr>
                <w:sz w:val="22"/>
                <w:u w:val="single"/>
              </w:rPr>
              <w:t>documents.</w:t>
            </w:r>
          </w:p>
        </w:tc>
      </w:tr>
      <w:tr>
        <w:trPr>
          <w:trHeight w:val="1612" w:hRule="atLeast"/>
        </w:trPr>
        <w:tc>
          <w:tcPr>
            <w:tcW w:w="1620" w:type="dxa"/>
          </w:tcPr>
          <w:p>
            <w:pPr>
              <w:pStyle w:val="TableParagraph"/>
              <w:spacing w:line="268" w:lineRule="exact"/>
              <w:ind w:left="107"/>
              <w:rPr>
                <w:sz w:val="22"/>
              </w:rPr>
            </w:pPr>
            <w:r>
              <w:rPr>
                <w:sz w:val="22"/>
                <w:u w:val="single"/>
              </w:rPr>
              <w:t>Waiver Service</w:t>
            </w:r>
          </w:p>
        </w:tc>
        <w:tc>
          <w:tcPr>
            <w:tcW w:w="2069" w:type="dxa"/>
          </w:tcPr>
          <w:p>
            <w:pPr>
              <w:pStyle w:val="TableParagraph"/>
              <w:ind w:left="107" w:right="415"/>
              <w:rPr>
                <w:sz w:val="22"/>
              </w:rPr>
            </w:pPr>
            <w:r>
              <w:rPr>
                <w:sz w:val="22"/>
                <w:u w:val="single"/>
              </w:rPr>
              <w:t>Parent of Service</w:t>
            </w:r>
            <w:r>
              <w:rPr>
                <w:sz w:val="22"/>
              </w:rPr>
              <w:t> </w:t>
            </w:r>
            <w:r>
              <w:rPr>
                <w:sz w:val="22"/>
                <w:u w:val="single"/>
              </w:rPr>
              <w:t>Recipient</w:t>
            </w:r>
          </w:p>
        </w:tc>
        <w:tc>
          <w:tcPr>
            <w:tcW w:w="5220" w:type="dxa"/>
          </w:tcPr>
          <w:p>
            <w:pPr>
              <w:pStyle w:val="TableParagraph"/>
              <w:ind w:left="107" w:right="86"/>
              <w:rPr>
                <w:sz w:val="22"/>
              </w:rPr>
            </w:pPr>
            <w:r>
              <w:rPr>
                <w:sz w:val="22"/>
              </w:rPr>
              <w:t>One commenter made a statement in opposition to DDA’s proposal to eliminate the waiver service Specialized Nutrition in an amendment to the Individual and Family Services waiver.</w:t>
            </w:r>
          </w:p>
        </w:tc>
        <w:tc>
          <w:tcPr>
            <w:tcW w:w="3151" w:type="dxa"/>
          </w:tcPr>
          <w:p>
            <w:pPr>
              <w:pStyle w:val="TableParagraph"/>
              <w:ind w:left="107" w:right="100"/>
              <w:rPr>
                <w:sz w:val="22"/>
              </w:rPr>
            </w:pPr>
            <w:r>
              <w:rPr>
                <w:sz w:val="22"/>
              </w:rPr>
              <w:t>This comment is not relevant to the Statewide Transition Plan but will be addressed in the proposed waiver amendment to the Individual and Family</w:t>
            </w:r>
            <w:r>
              <w:rPr>
                <w:spacing w:val="-12"/>
                <w:sz w:val="22"/>
              </w:rPr>
              <w:t> </w:t>
            </w:r>
            <w:r>
              <w:rPr>
                <w:sz w:val="22"/>
              </w:rPr>
              <w:t>Service</w:t>
            </w:r>
          </w:p>
          <w:p>
            <w:pPr>
              <w:pStyle w:val="TableParagraph"/>
              <w:spacing w:line="250" w:lineRule="exact"/>
              <w:ind w:left="107"/>
              <w:rPr>
                <w:sz w:val="22"/>
              </w:rPr>
            </w:pPr>
            <w:r>
              <w:rPr>
                <w:sz w:val="22"/>
              </w:rPr>
              <w:t>waiver.</w:t>
            </w:r>
          </w:p>
        </w:tc>
        <w:tc>
          <w:tcPr>
            <w:tcW w:w="2160" w:type="dxa"/>
          </w:tcPr>
          <w:p>
            <w:pPr>
              <w:pStyle w:val="TableParagraph"/>
              <w:spacing w:line="268" w:lineRule="exact"/>
              <w:ind w:left="107"/>
              <w:rPr>
                <w:sz w:val="22"/>
              </w:rPr>
            </w:pPr>
            <w:r>
              <w:rPr>
                <w:sz w:val="22"/>
                <w:u w:val="single"/>
              </w:rPr>
              <w:t>None</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r>
        <w:rPr/>
        <w:pict>
          <v:shape style="position:absolute;margin-left:70.559998pt;margin-top:16.877312pt;width:650.9pt;height:.1pt;mso-position-horizontal-relative:page;mso-position-vertical-relative:paragraph;z-index:-251455488;mso-wrap-distance-left:0;mso-wrap-distance-right:0" coordorigin="1411,338" coordsize="13018,0" path="m1411,338l14429,338e" filled="false" stroked="true" strokeweight=".481pt" strokecolor="#d9d9d9">
            <v:path arrowok="t"/>
            <v:stroke dashstyle="solid"/>
            <w10:wrap type="topAndBottom"/>
          </v:shape>
        </w:pict>
      </w:r>
    </w:p>
    <w:p>
      <w:pPr>
        <w:spacing w:after="0"/>
        <w:rPr>
          <w:sz w:val="2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p>
      <w:pPr>
        <w:spacing w:before="0"/>
        <w:ind w:left="2917" w:right="2957" w:firstLine="0"/>
        <w:jc w:val="center"/>
        <w:rPr>
          <w:b/>
          <w:sz w:val="32"/>
        </w:rPr>
      </w:pPr>
      <w:bookmarkStart w:name="APPENDIX E:  ATTACHMENTS" w:id="99"/>
      <w:bookmarkEnd w:id="99"/>
      <w:r>
        <w:rPr/>
      </w:r>
      <w:bookmarkStart w:name="_bookmark45" w:id="100"/>
      <w:bookmarkEnd w:id="100"/>
      <w:r>
        <w:rPr/>
      </w:r>
      <w:r>
        <w:rPr>
          <w:b/>
          <w:sz w:val="32"/>
        </w:rPr>
        <w:t>APPENDIX E:</w:t>
      </w:r>
      <w:r>
        <w:rPr>
          <w:b/>
          <w:spacing w:val="70"/>
          <w:sz w:val="32"/>
        </w:rPr>
        <w:t> </w:t>
      </w:r>
      <w:r>
        <w:rPr>
          <w:b/>
          <w:sz w:val="32"/>
        </w:rPr>
        <w:t>ATTACHMENTS</w:t>
      </w:r>
    </w:p>
    <w:p>
      <w:pPr>
        <w:spacing w:before="259"/>
        <w:ind w:left="1060" w:right="0" w:firstLine="0"/>
        <w:jc w:val="left"/>
        <w:rPr>
          <w:sz w:val="24"/>
        </w:rPr>
      </w:pPr>
      <w:bookmarkStart w:name="Letter Sent to Participants Regarding th" w:id="101"/>
      <w:bookmarkEnd w:id="101"/>
      <w:r>
        <w:rPr/>
      </w:r>
      <w:bookmarkStart w:name="_bookmark46" w:id="102"/>
      <w:bookmarkEnd w:id="102"/>
      <w:r>
        <w:rPr/>
      </w:r>
      <w:r>
        <w:rPr>
          <w:b/>
          <w:sz w:val="28"/>
        </w:rPr>
        <w:t>Letter Sent to Participants Regarding their Rights </w:t>
      </w:r>
      <w:r>
        <w:rPr>
          <w:sz w:val="24"/>
        </w:rPr>
        <w:t>(Updated 1/15/16)</w:t>
      </w:r>
    </w:p>
    <w:p>
      <w:pPr>
        <w:pStyle w:val="Heading5"/>
        <w:spacing w:before="251"/>
        <w:rPr>
          <w:i/>
        </w:rPr>
      </w:pPr>
      <w:bookmarkStart w:name="The following is the letter that DSHS se" w:id="103"/>
      <w:bookmarkEnd w:id="103"/>
      <w:r>
        <w:rPr>
          <w:i w:val="0"/>
        </w:rPr>
      </w:r>
      <w:r>
        <w:rPr>
          <w:i/>
        </w:rPr>
        <w:t>The following is the letter that DSHS sent to participants on July 31, 2015, to notify them about their rights under the HCBS rules.</w:t>
      </w:r>
    </w:p>
    <w:p>
      <w:pPr>
        <w:pStyle w:val="BodyText"/>
        <w:spacing w:before="6"/>
        <w:rPr>
          <w:i/>
          <w:sz w:val="27"/>
        </w:rPr>
      </w:pPr>
    </w:p>
    <w:p>
      <w:pPr>
        <w:pStyle w:val="Heading4"/>
        <w:ind w:left="1059" w:right="1087"/>
      </w:pPr>
      <w:bookmarkStart w:name="You are receiving this notice to tell yo" w:id="104"/>
      <w:bookmarkEnd w:id="104"/>
      <w:r>
        <w:rPr/>
      </w:r>
      <w:r>
        <w:rPr/>
        <w:t>You are receiving this notice to tell you about important federal rules because you live in a home and community setting. The federal Home and Community Based Services rules are similar to Washington state laws related to your rights when receiving services.</w:t>
      </w:r>
    </w:p>
    <w:p>
      <w:pPr>
        <w:pStyle w:val="BodyText"/>
        <w:rPr>
          <w:sz w:val="24"/>
        </w:rPr>
      </w:pPr>
    </w:p>
    <w:p>
      <w:pPr>
        <w:pStyle w:val="Heading4"/>
        <w:ind w:left="1059" w:right="1372"/>
      </w:pPr>
      <w:bookmarkStart w:name="These rules are intended to ensure that " w:id="105"/>
      <w:bookmarkEnd w:id="105"/>
      <w:r>
        <w:rPr/>
      </w:r>
      <w:r>
        <w:rPr/>
        <w:t>These rules are intended to ensure that you enjoy full access to the benefits of living in the community. The rules also ensure your right to privacy, to be treated with dignity and respect, and to make your own decisions.</w:t>
      </w:r>
    </w:p>
    <w:p>
      <w:pPr>
        <w:pStyle w:val="BodyText"/>
        <w:spacing w:before="11"/>
        <w:rPr>
          <w:sz w:val="23"/>
        </w:rPr>
      </w:pPr>
    </w:p>
    <w:p>
      <w:pPr>
        <w:pStyle w:val="Heading4"/>
        <w:ind w:left="1059"/>
      </w:pPr>
      <w:bookmarkStart w:name="You have the right to:" w:id="106"/>
      <w:bookmarkEnd w:id="106"/>
      <w:r>
        <w:rPr/>
      </w:r>
      <w:r>
        <w:rPr/>
        <w:t>You have the right to:</w:t>
      </w:r>
    </w:p>
    <w:p>
      <w:pPr>
        <w:pStyle w:val="Heading4"/>
        <w:numPr>
          <w:ilvl w:val="0"/>
          <w:numId w:val="34"/>
        </w:numPr>
        <w:tabs>
          <w:tab w:pos="1779" w:val="left" w:leader="none"/>
          <w:tab w:pos="1780" w:val="left" w:leader="none"/>
        </w:tabs>
        <w:spacing w:line="305" w:lineRule="exact" w:before="2" w:after="0"/>
        <w:ind w:left="1780" w:right="0" w:hanging="361"/>
        <w:jc w:val="left"/>
        <w:rPr>
          <w:rFonts w:ascii="Symbol" w:hAnsi="Symbol"/>
        </w:rPr>
      </w:pPr>
      <w:bookmarkStart w:name=" Lead your service planning process by:" w:id="107"/>
      <w:bookmarkEnd w:id="107"/>
      <w:r>
        <w:rPr/>
      </w:r>
      <w:bookmarkStart w:name=" Lead your service planning process by:" w:id="108"/>
      <w:bookmarkEnd w:id="108"/>
      <w:r>
        <w:rPr/>
        <w:t>L</w:t>
      </w:r>
      <w:r>
        <w:rPr/>
        <w:t>ead your service planning process by:</w:t>
      </w:r>
    </w:p>
    <w:p>
      <w:pPr>
        <w:pStyle w:val="Heading4"/>
        <w:numPr>
          <w:ilvl w:val="0"/>
          <w:numId w:val="34"/>
        </w:numPr>
        <w:tabs>
          <w:tab w:pos="1779" w:val="left" w:leader="none"/>
          <w:tab w:pos="1780" w:val="left" w:leader="none"/>
        </w:tabs>
        <w:spacing w:line="305" w:lineRule="exact" w:before="0" w:after="0"/>
        <w:ind w:left="1780" w:right="0" w:hanging="361"/>
        <w:jc w:val="left"/>
        <w:rPr>
          <w:rFonts w:ascii="Symbol" w:hAnsi="Symbol"/>
        </w:rPr>
      </w:pPr>
      <w:bookmarkStart w:name=" Inviting who you want to come to your " w:id="109"/>
      <w:bookmarkEnd w:id="109"/>
      <w:r>
        <w:rPr/>
      </w:r>
      <w:bookmarkStart w:name=" Inviting who you want to come to your " w:id="110"/>
      <w:bookmarkEnd w:id="110"/>
      <w:r>
        <w:rPr/>
        <w:t>I</w:t>
      </w:r>
      <w:r>
        <w:rPr/>
        <w:t>nviting who you want to come to your assessment;</w:t>
      </w:r>
    </w:p>
    <w:p>
      <w:pPr>
        <w:pStyle w:val="Heading4"/>
        <w:numPr>
          <w:ilvl w:val="0"/>
          <w:numId w:val="34"/>
        </w:numPr>
        <w:tabs>
          <w:tab w:pos="1779" w:val="left" w:leader="none"/>
          <w:tab w:pos="1780" w:val="left" w:leader="none"/>
        </w:tabs>
        <w:spacing w:line="305" w:lineRule="exact" w:before="0" w:after="0"/>
        <w:ind w:left="1780" w:right="0" w:hanging="361"/>
        <w:jc w:val="left"/>
        <w:rPr>
          <w:rFonts w:ascii="Symbol" w:hAnsi="Symbol"/>
        </w:rPr>
      </w:pPr>
      <w:bookmarkStart w:name=" Having the assessment and service plan" w:id="111"/>
      <w:bookmarkEnd w:id="111"/>
      <w:r>
        <w:rPr/>
      </w:r>
      <w:bookmarkStart w:name=" Getting the information you need to ma" w:id="112"/>
      <w:bookmarkEnd w:id="112"/>
      <w:r>
        <w:rPr/>
      </w:r>
      <w:bookmarkStart w:name=" Getting the information you need to ma" w:id="113"/>
      <w:bookmarkEnd w:id="113"/>
      <w:r>
        <w:rPr/>
        <w:t>H</w:t>
      </w:r>
      <w:r>
        <w:rPr/>
        <w:t>aving the assessment and service planning process take place in your home or a place that is convenient for you;</w:t>
      </w:r>
      <w:r>
        <w:rPr>
          <w:spacing w:val="-12"/>
        </w:rPr>
        <w:t> </w:t>
      </w:r>
      <w:r>
        <w:rPr/>
        <w:t>and</w:t>
      </w:r>
    </w:p>
    <w:p>
      <w:pPr>
        <w:pStyle w:val="Heading4"/>
        <w:numPr>
          <w:ilvl w:val="0"/>
          <w:numId w:val="34"/>
        </w:numPr>
        <w:tabs>
          <w:tab w:pos="1779" w:val="left" w:leader="none"/>
          <w:tab w:pos="1780" w:val="left" w:leader="none"/>
        </w:tabs>
        <w:spacing w:line="305" w:lineRule="exact" w:before="1" w:after="0"/>
        <w:ind w:left="1780" w:right="0" w:hanging="361"/>
        <w:jc w:val="left"/>
        <w:rPr>
          <w:rFonts w:ascii="Symbol" w:hAnsi="Symbol"/>
        </w:rPr>
      </w:pPr>
      <w:r>
        <w:rPr/>
        <w:t>Getting the information you need to make choices about all the services and supports available to</w:t>
      </w:r>
      <w:r>
        <w:rPr>
          <w:spacing w:val="-17"/>
        </w:rPr>
        <w:t> </w:t>
      </w:r>
      <w:r>
        <w:rPr/>
        <w:t>you.</w:t>
      </w:r>
    </w:p>
    <w:p>
      <w:pPr>
        <w:pStyle w:val="Heading4"/>
        <w:numPr>
          <w:ilvl w:val="0"/>
          <w:numId w:val="34"/>
        </w:numPr>
        <w:tabs>
          <w:tab w:pos="1779" w:val="left" w:leader="none"/>
          <w:tab w:pos="1780" w:val="left" w:leader="none"/>
        </w:tabs>
        <w:spacing w:line="305" w:lineRule="exact" w:before="0" w:after="0"/>
        <w:ind w:left="1780" w:right="0" w:hanging="361"/>
        <w:jc w:val="left"/>
        <w:rPr>
          <w:rFonts w:ascii="Symbol" w:hAnsi="Symbol"/>
        </w:rPr>
      </w:pPr>
      <w:bookmarkStart w:name=" Be involved in your community, includi" w:id="114"/>
      <w:bookmarkEnd w:id="114"/>
      <w:r>
        <w:rPr/>
      </w:r>
      <w:bookmarkStart w:name=" Be involved in your community, includi" w:id="115"/>
      <w:bookmarkEnd w:id="115"/>
      <w:r>
        <w:rPr/>
        <w:t>B</w:t>
      </w:r>
      <w:r>
        <w:rPr/>
        <w:t>e involved in your community, including the right</w:t>
      </w:r>
      <w:r>
        <w:rPr>
          <w:spacing w:val="-5"/>
        </w:rPr>
        <w:t> </w:t>
      </w:r>
      <w:r>
        <w:rPr/>
        <w:t>to:</w:t>
      </w:r>
    </w:p>
    <w:p>
      <w:pPr>
        <w:pStyle w:val="Heading4"/>
        <w:numPr>
          <w:ilvl w:val="0"/>
          <w:numId w:val="34"/>
        </w:numPr>
        <w:tabs>
          <w:tab w:pos="1779" w:val="left" w:leader="none"/>
          <w:tab w:pos="1780" w:val="left" w:leader="none"/>
        </w:tabs>
        <w:spacing w:line="305" w:lineRule="exact" w:before="2" w:after="0"/>
        <w:ind w:left="1780" w:right="0" w:hanging="361"/>
        <w:jc w:val="left"/>
        <w:rPr>
          <w:rFonts w:ascii="Symbol" w:hAnsi="Symbol"/>
        </w:rPr>
      </w:pPr>
      <w:bookmarkStart w:name=" Work;" w:id="116"/>
      <w:bookmarkEnd w:id="116"/>
      <w:r>
        <w:rPr/>
      </w:r>
      <w:bookmarkStart w:name=" Participate in activities with other m" w:id="117"/>
      <w:bookmarkEnd w:id="117"/>
      <w:r>
        <w:rPr/>
      </w:r>
      <w:bookmarkStart w:name=" Participate in activities with other m" w:id="118"/>
      <w:bookmarkEnd w:id="118"/>
      <w:r>
        <w:rPr/>
        <w:t>Wor</w:t>
      </w:r>
      <w:r>
        <w:rPr/>
        <w:t>k;</w:t>
      </w:r>
    </w:p>
    <w:p>
      <w:pPr>
        <w:pStyle w:val="Heading4"/>
        <w:numPr>
          <w:ilvl w:val="0"/>
          <w:numId w:val="34"/>
        </w:numPr>
        <w:tabs>
          <w:tab w:pos="1779" w:val="left" w:leader="none"/>
          <w:tab w:pos="1780" w:val="left" w:leader="none"/>
        </w:tabs>
        <w:spacing w:line="305" w:lineRule="exact" w:before="0" w:after="0"/>
        <w:ind w:left="1780" w:right="0" w:hanging="361"/>
        <w:jc w:val="left"/>
        <w:rPr>
          <w:rFonts w:ascii="Symbol" w:hAnsi="Symbol"/>
        </w:rPr>
      </w:pPr>
      <w:r>
        <w:rPr/>
        <w:t>Participate in activities with other members of your</w:t>
      </w:r>
      <w:r>
        <w:rPr>
          <w:spacing w:val="-2"/>
        </w:rPr>
        <w:t> </w:t>
      </w:r>
      <w:r>
        <w:rPr/>
        <w:t>community;</w:t>
      </w:r>
    </w:p>
    <w:p>
      <w:pPr>
        <w:pStyle w:val="Heading4"/>
        <w:numPr>
          <w:ilvl w:val="0"/>
          <w:numId w:val="34"/>
        </w:numPr>
        <w:tabs>
          <w:tab w:pos="1779" w:val="left" w:leader="none"/>
          <w:tab w:pos="1780" w:val="left" w:leader="none"/>
        </w:tabs>
        <w:spacing w:line="305" w:lineRule="exact" w:before="0" w:after="0"/>
        <w:ind w:left="1780" w:right="0" w:hanging="361"/>
        <w:jc w:val="left"/>
        <w:rPr>
          <w:rFonts w:ascii="Symbol" w:hAnsi="Symbol"/>
        </w:rPr>
      </w:pPr>
      <w:bookmarkStart w:name=" Control your own money and resources; " w:id="119"/>
      <w:bookmarkEnd w:id="119"/>
      <w:r>
        <w:rPr/>
      </w:r>
      <w:bookmarkStart w:name=" Control your own money and resources; " w:id="120"/>
      <w:bookmarkEnd w:id="120"/>
      <w:r>
        <w:rPr/>
        <w:t>C</w:t>
      </w:r>
      <w:r>
        <w:rPr/>
        <w:t>ontrol your own money and resources;</w:t>
      </w:r>
      <w:r>
        <w:rPr>
          <w:spacing w:val="-7"/>
        </w:rPr>
        <w:t> </w:t>
      </w:r>
      <w:r>
        <w:rPr/>
        <w:t>and</w:t>
      </w:r>
    </w:p>
    <w:p>
      <w:pPr>
        <w:pStyle w:val="Heading4"/>
        <w:numPr>
          <w:ilvl w:val="0"/>
          <w:numId w:val="34"/>
        </w:numPr>
        <w:tabs>
          <w:tab w:pos="1779" w:val="left" w:leader="none"/>
          <w:tab w:pos="1780" w:val="left" w:leader="none"/>
        </w:tabs>
        <w:spacing w:line="305" w:lineRule="exact" w:before="1" w:after="0"/>
        <w:ind w:left="1780" w:right="0" w:hanging="361"/>
        <w:jc w:val="left"/>
        <w:rPr>
          <w:rFonts w:ascii="Symbol" w:hAnsi="Symbol"/>
        </w:rPr>
      </w:pPr>
      <w:bookmarkStart w:name=" Receive services in the community" w:id="121"/>
      <w:bookmarkEnd w:id="121"/>
      <w:r>
        <w:rPr/>
      </w:r>
      <w:bookmarkStart w:name=" Receive services in the community" w:id="122"/>
      <w:bookmarkEnd w:id="122"/>
      <w:r>
        <w:rPr/>
        <w:t>R</w:t>
      </w:r>
      <w:r>
        <w:rPr/>
        <w:t>eceive services in the community</w:t>
      </w:r>
    </w:p>
    <w:p>
      <w:pPr>
        <w:pStyle w:val="Heading4"/>
        <w:numPr>
          <w:ilvl w:val="0"/>
          <w:numId w:val="34"/>
        </w:numPr>
        <w:tabs>
          <w:tab w:pos="1779" w:val="left" w:leader="none"/>
          <w:tab w:pos="1780" w:val="left" w:leader="none"/>
        </w:tabs>
        <w:spacing w:line="305" w:lineRule="exact" w:before="0" w:after="0"/>
        <w:ind w:left="1780" w:right="0" w:hanging="361"/>
        <w:jc w:val="left"/>
        <w:rPr>
          <w:rFonts w:ascii="Symbol" w:hAnsi="Symbol"/>
        </w:rPr>
      </w:pPr>
      <w:bookmarkStart w:name=" Have privacy and be treated with digni" w:id="123"/>
      <w:bookmarkEnd w:id="123"/>
      <w:r>
        <w:rPr/>
      </w:r>
      <w:bookmarkStart w:name=" Make your own life choices, including," w:id="124"/>
      <w:bookmarkEnd w:id="124"/>
      <w:r>
        <w:rPr/>
      </w:r>
      <w:bookmarkStart w:name=" Make your own life choices, including," w:id="125"/>
      <w:bookmarkEnd w:id="125"/>
      <w:r>
        <w:rPr/>
        <w:t>H</w:t>
      </w:r>
      <w:r>
        <w:rPr/>
        <w:t>ave privacy and be treated with dignity and</w:t>
      </w:r>
      <w:r>
        <w:rPr>
          <w:spacing w:val="-5"/>
        </w:rPr>
        <w:t> </w:t>
      </w:r>
      <w:r>
        <w:rPr/>
        <w:t>respect</w:t>
      </w:r>
    </w:p>
    <w:p>
      <w:pPr>
        <w:pStyle w:val="Heading4"/>
        <w:numPr>
          <w:ilvl w:val="0"/>
          <w:numId w:val="34"/>
        </w:numPr>
        <w:tabs>
          <w:tab w:pos="1779" w:val="left" w:leader="none"/>
          <w:tab w:pos="1780" w:val="left" w:leader="none"/>
        </w:tabs>
        <w:spacing w:line="305" w:lineRule="exact" w:before="0" w:after="0"/>
        <w:ind w:left="1780" w:right="0" w:hanging="361"/>
        <w:jc w:val="left"/>
        <w:rPr>
          <w:rFonts w:ascii="Symbol" w:hAnsi="Symbol"/>
        </w:rPr>
      </w:pPr>
      <w:r>
        <w:rPr/>
        <w:t>Make your own life choices, including, the freedom to</w:t>
      </w:r>
      <w:r>
        <w:rPr>
          <w:spacing w:val="-6"/>
        </w:rPr>
        <w:t> </w:t>
      </w:r>
      <w:r>
        <w:rPr/>
        <w:t>decide:</w:t>
      </w:r>
    </w:p>
    <w:p>
      <w:pPr>
        <w:pStyle w:val="Heading4"/>
        <w:numPr>
          <w:ilvl w:val="0"/>
          <w:numId w:val="34"/>
        </w:numPr>
        <w:tabs>
          <w:tab w:pos="1779" w:val="left" w:leader="none"/>
          <w:tab w:pos="1780" w:val="left" w:leader="none"/>
        </w:tabs>
        <w:spacing w:line="305" w:lineRule="exact" w:before="2" w:after="0"/>
        <w:ind w:left="1780" w:right="0" w:hanging="361"/>
        <w:jc w:val="left"/>
        <w:rPr>
          <w:rFonts w:ascii="Symbol" w:hAnsi="Symbol"/>
        </w:rPr>
      </w:pPr>
      <w:bookmarkStart w:name=" Which services you will receive;" w:id="126"/>
      <w:bookmarkEnd w:id="126"/>
      <w:r>
        <w:rPr/>
      </w:r>
      <w:bookmarkStart w:name=" Which services you will receive;" w:id="127"/>
      <w:bookmarkEnd w:id="127"/>
      <w:r>
        <w:rPr/>
        <w:t>W</w:t>
      </w:r>
      <w:r>
        <w:rPr/>
        <w:t>hich services you will</w:t>
      </w:r>
      <w:r>
        <w:rPr>
          <w:spacing w:val="-9"/>
        </w:rPr>
        <w:t> </w:t>
      </w:r>
      <w:r>
        <w:rPr/>
        <w:t>receive;</w:t>
      </w:r>
    </w:p>
    <w:p>
      <w:pPr>
        <w:pStyle w:val="Heading4"/>
        <w:numPr>
          <w:ilvl w:val="0"/>
          <w:numId w:val="34"/>
        </w:numPr>
        <w:tabs>
          <w:tab w:pos="1779" w:val="left" w:leader="none"/>
          <w:tab w:pos="1780" w:val="left" w:leader="none"/>
        </w:tabs>
        <w:spacing w:line="305" w:lineRule="exact" w:before="0" w:after="0"/>
        <w:ind w:left="1780" w:right="0" w:hanging="361"/>
        <w:jc w:val="left"/>
        <w:rPr>
          <w:rFonts w:ascii="Symbol" w:hAnsi="Symbol"/>
        </w:rPr>
      </w:pPr>
      <w:bookmarkStart w:name=" Who will provide your services;" w:id="128"/>
      <w:bookmarkEnd w:id="128"/>
      <w:r>
        <w:rPr/>
      </w:r>
      <w:bookmarkStart w:name=" Who will provide your services;" w:id="129"/>
      <w:bookmarkEnd w:id="129"/>
      <w:r>
        <w:rPr/>
        <w:t>W</w:t>
      </w:r>
      <w:r>
        <w:rPr/>
        <w:t>ho will provide your</w:t>
      </w:r>
      <w:r>
        <w:rPr>
          <w:spacing w:val="-11"/>
        </w:rPr>
        <w:t> </w:t>
      </w:r>
      <w:r>
        <w:rPr/>
        <w:t>services;</w:t>
      </w:r>
    </w:p>
    <w:p>
      <w:pPr>
        <w:pStyle w:val="Heading4"/>
        <w:numPr>
          <w:ilvl w:val="0"/>
          <w:numId w:val="34"/>
        </w:numPr>
        <w:tabs>
          <w:tab w:pos="1779" w:val="left" w:leader="none"/>
          <w:tab w:pos="1780" w:val="left" w:leader="none"/>
        </w:tabs>
        <w:spacing w:line="305" w:lineRule="exact" w:before="1" w:after="0"/>
        <w:ind w:left="1780" w:right="0" w:hanging="361"/>
        <w:jc w:val="left"/>
        <w:rPr>
          <w:rFonts w:ascii="Symbol" w:hAnsi="Symbol"/>
        </w:rPr>
      </w:pPr>
      <w:bookmarkStart w:name=" Where you live;" w:id="130"/>
      <w:bookmarkEnd w:id="130"/>
      <w:r>
        <w:rPr/>
      </w:r>
      <w:bookmarkStart w:name=" Where you live;" w:id="131"/>
      <w:bookmarkEnd w:id="131"/>
      <w:r>
        <w:rPr/>
        <w:t>W</w:t>
      </w:r>
      <w:r>
        <w:rPr/>
        <w:t>here you</w:t>
      </w:r>
      <w:r>
        <w:rPr>
          <w:spacing w:val="2"/>
        </w:rPr>
        <w:t> </w:t>
      </w:r>
      <w:r>
        <w:rPr/>
        <w:t>live;</w:t>
      </w:r>
    </w:p>
    <w:p>
      <w:pPr>
        <w:pStyle w:val="Heading4"/>
        <w:numPr>
          <w:ilvl w:val="0"/>
          <w:numId w:val="34"/>
        </w:numPr>
        <w:tabs>
          <w:tab w:pos="1779" w:val="left" w:leader="none"/>
          <w:tab w:pos="1780" w:val="left" w:leader="none"/>
        </w:tabs>
        <w:spacing w:line="305" w:lineRule="exact" w:before="0" w:after="0"/>
        <w:ind w:left="1780" w:right="0" w:hanging="361"/>
        <w:jc w:val="left"/>
        <w:rPr>
          <w:rFonts w:ascii="Symbol" w:hAnsi="Symbol"/>
        </w:rPr>
      </w:pPr>
      <w:bookmarkStart w:name=" What activities you want to do;" w:id="132"/>
      <w:bookmarkEnd w:id="132"/>
      <w:r>
        <w:rPr/>
      </w:r>
      <w:bookmarkStart w:name=" What activities you want to do;" w:id="133"/>
      <w:bookmarkEnd w:id="133"/>
      <w:r>
        <w:rPr/>
        <w:t>W</w:t>
      </w:r>
      <w:r>
        <w:rPr/>
        <w:t>hat activities you want to</w:t>
      </w:r>
      <w:r>
        <w:rPr>
          <w:spacing w:val="-5"/>
        </w:rPr>
        <w:t> </w:t>
      </w:r>
      <w:r>
        <w:rPr/>
        <w:t>do;</w:t>
      </w:r>
    </w:p>
    <w:p>
      <w:pPr>
        <w:pStyle w:val="Heading4"/>
        <w:numPr>
          <w:ilvl w:val="0"/>
          <w:numId w:val="34"/>
        </w:numPr>
        <w:tabs>
          <w:tab w:pos="1779" w:val="left" w:leader="none"/>
          <w:tab w:pos="1780" w:val="left" w:leader="none"/>
        </w:tabs>
        <w:spacing w:line="305" w:lineRule="exact" w:before="0" w:after="0"/>
        <w:ind w:left="1780" w:right="0" w:hanging="361"/>
        <w:jc w:val="left"/>
        <w:rPr>
          <w:rFonts w:ascii="Symbol" w:hAnsi="Symbol"/>
        </w:rPr>
      </w:pPr>
      <w:bookmarkStart w:name=" Who you want to spend time with; and" w:id="134"/>
      <w:bookmarkEnd w:id="134"/>
      <w:r>
        <w:rPr/>
      </w:r>
      <w:bookmarkStart w:name=" Who you want to spend time with; and" w:id="135"/>
      <w:bookmarkEnd w:id="135"/>
      <w:r>
        <w:rPr/>
        <w:t>W</w:t>
      </w:r>
      <w:r>
        <w:rPr/>
        <w:t>ho you want to spend time with;</w:t>
      </w:r>
      <w:r>
        <w:rPr>
          <w:spacing w:val="4"/>
        </w:rPr>
        <w:t> </w:t>
      </w:r>
      <w:r>
        <w:rPr/>
        <w:t>and</w:t>
      </w:r>
    </w:p>
    <w:p>
      <w:pPr>
        <w:pStyle w:val="Heading4"/>
        <w:numPr>
          <w:ilvl w:val="0"/>
          <w:numId w:val="34"/>
        </w:numPr>
        <w:tabs>
          <w:tab w:pos="1779" w:val="left" w:leader="none"/>
          <w:tab w:pos="1780" w:val="left" w:leader="none"/>
        </w:tabs>
        <w:spacing w:line="240" w:lineRule="auto" w:before="2" w:after="0"/>
        <w:ind w:left="1780" w:right="0" w:hanging="360"/>
        <w:jc w:val="left"/>
        <w:rPr>
          <w:rFonts w:ascii="Symbol" w:hAnsi="Symbol"/>
        </w:rPr>
      </w:pPr>
      <w:r>
        <w:rPr/>
        <w:pict>
          <v:shape style="position:absolute;margin-left:70.559998pt;margin-top:20.923950pt;width:650.9pt;height:.1pt;mso-position-horizontal-relative:page;mso-position-vertical-relative:paragraph;z-index:-251454464;mso-wrap-distance-left:0;mso-wrap-distance-right:0" coordorigin="1411,418" coordsize="13018,0" path="m1411,418l14429,418e" filled="false" stroked="true" strokeweight=".481pt" strokecolor="#d9d9d9">
            <v:path arrowok="t"/>
            <v:stroke dashstyle="solid"/>
            <w10:wrap type="topAndBottom"/>
          </v:shape>
        </w:pict>
      </w:r>
      <w:bookmarkStart w:name=" Not to accept services you do not want" w:id="136"/>
      <w:bookmarkEnd w:id="136"/>
      <w:r>
        <w:rPr/>
      </w:r>
      <w:bookmarkStart w:name=" Not to accept services you do not want" w:id="137"/>
      <w:bookmarkEnd w:id="137"/>
      <w:r>
        <w:rPr/>
        <w:t>N</w:t>
      </w:r>
      <w:r>
        <w:rPr/>
        <w:t>ot to accept services you do not</w:t>
      </w:r>
      <w:r>
        <w:rPr>
          <w:spacing w:val="-2"/>
        </w:rPr>
        <w:t> </w:t>
      </w:r>
      <w:r>
        <w:rPr/>
        <w:t>want.</w:t>
      </w:r>
    </w:p>
    <w:p>
      <w:pPr>
        <w:spacing w:after="0" w:line="240" w:lineRule="auto"/>
        <w:jc w:val="left"/>
        <w:rPr>
          <w:rFonts w:ascii="Symbol" w:hAnsi="Symbol"/>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6"/>
        <w:rPr>
          <w:b/>
          <w:sz w:val="16"/>
        </w:rPr>
      </w:pPr>
    </w:p>
    <w:p>
      <w:pPr>
        <w:pStyle w:val="Heading4"/>
        <w:numPr>
          <w:ilvl w:val="0"/>
          <w:numId w:val="34"/>
        </w:numPr>
        <w:tabs>
          <w:tab w:pos="1779" w:val="left" w:leader="none"/>
          <w:tab w:pos="1780" w:val="left" w:leader="none"/>
        </w:tabs>
        <w:spacing w:line="240" w:lineRule="auto" w:before="0" w:after="0"/>
        <w:ind w:left="1780" w:right="0" w:hanging="360"/>
        <w:jc w:val="left"/>
        <w:rPr>
          <w:rFonts w:ascii="Symbol" w:hAnsi="Symbol"/>
        </w:rPr>
      </w:pPr>
      <w:bookmarkStart w:name=" Be free from restraints, abuse, exploi" w:id="138"/>
      <w:bookmarkEnd w:id="138"/>
      <w:r>
        <w:rPr/>
      </w:r>
      <w:bookmarkStart w:name=" Be free from restraints, abuse, exploi" w:id="139"/>
      <w:bookmarkEnd w:id="139"/>
      <w:r>
        <w:rPr/>
        <w:t>B</w:t>
      </w:r>
      <w:r>
        <w:rPr/>
        <w:t>e free from restraints, abuse, exploitation or</w:t>
      </w:r>
      <w:r>
        <w:rPr>
          <w:spacing w:val="-21"/>
        </w:rPr>
        <w:t> </w:t>
      </w:r>
      <w:r>
        <w:rPr/>
        <w:t>neglect</w:t>
      </w:r>
    </w:p>
    <w:p>
      <w:pPr>
        <w:pStyle w:val="BodyText"/>
        <w:rPr>
          <w:sz w:val="24"/>
        </w:rPr>
      </w:pPr>
    </w:p>
    <w:p>
      <w:pPr>
        <w:pStyle w:val="Heading4"/>
        <w:ind w:left="1060"/>
      </w:pPr>
      <w:bookmarkStart w:name="In addition, if you live in a residentia" w:id="140"/>
      <w:bookmarkEnd w:id="140"/>
      <w:r>
        <w:rPr/>
      </w:r>
      <w:r>
        <w:rPr/>
        <w:t>In addition, if you live in a residential setting, you also have the right</w:t>
      </w:r>
      <w:r>
        <w:rPr>
          <w:spacing w:val="-21"/>
        </w:rPr>
        <w:t> </w:t>
      </w:r>
      <w:r>
        <w:rPr/>
        <w:t>to:</w:t>
      </w:r>
    </w:p>
    <w:p>
      <w:pPr>
        <w:pStyle w:val="Heading4"/>
        <w:numPr>
          <w:ilvl w:val="0"/>
          <w:numId w:val="34"/>
        </w:numPr>
        <w:tabs>
          <w:tab w:pos="1779" w:val="left" w:leader="none"/>
          <w:tab w:pos="1780" w:val="left" w:leader="none"/>
        </w:tabs>
        <w:spacing w:line="305" w:lineRule="exact" w:before="2" w:after="0"/>
        <w:ind w:left="1780" w:right="0" w:hanging="360"/>
        <w:jc w:val="left"/>
        <w:rPr>
          <w:rFonts w:ascii="Symbol" w:hAnsi="Symbol"/>
        </w:rPr>
      </w:pPr>
      <w:bookmarkStart w:name=" Have a lockable entry door;" w:id="141"/>
      <w:bookmarkEnd w:id="141"/>
      <w:r>
        <w:rPr/>
      </w:r>
      <w:bookmarkStart w:name=" Choose your roommate from among others" w:id="142"/>
      <w:bookmarkEnd w:id="142"/>
      <w:r>
        <w:rPr/>
      </w:r>
      <w:bookmarkStart w:name=" Choose your roommate from among others" w:id="143"/>
      <w:bookmarkEnd w:id="143"/>
      <w:r>
        <w:rPr/>
        <w:t>H</w:t>
      </w:r>
      <w:r>
        <w:rPr/>
        <w:t>ave a lockable entry</w:t>
      </w:r>
      <w:r>
        <w:rPr>
          <w:spacing w:val="-1"/>
        </w:rPr>
        <w:t> </w:t>
      </w:r>
      <w:r>
        <w:rPr/>
        <w:t>door;</w:t>
      </w:r>
    </w:p>
    <w:p>
      <w:pPr>
        <w:pStyle w:val="Heading4"/>
        <w:numPr>
          <w:ilvl w:val="0"/>
          <w:numId w:val="34"/>
        </w:numPr>
        <w:tabs>
          <w:tab w:pos="1779" w:val="left" w:leader="none"/>
          <w:tab w:pos="1780" w:val="left" w:leader="none"/>
        </w:tabs>
        <w:spacing w:line="305" w:lineRule="exact" w:before="0" w:after="0"/>
        <w:ind w:left="1780" w:right="0" w:hanging="360"/>
        <w:jc w:val="left"/>
        <w:rPr>
          <w:rFonts w:ascii="Symbol" w:hAnsi="Symbol"/>
        </w:rPr>
      </w:pPr>
      <w:r>
        <w:rPr/>
        <w:t>Choose your roommate from among others who live there;</w:t>
      </w:r>
    </w:p>
    <w:p>
      <w:pPr>
        <w:pStyle w:val="Heading4"/>
        <w:numPr>
          <w:ilvl w:val="0"/>
          <w:numId w:val="34"/>
        </w:numPr>
        <w:tabs>
          <w:tab w:pos="1779" w:val="left" w:leader="none"/>
          <w:tab w:pos="1780" w:val="left" w:leader="none"/>
        </w:tabs>
        <w:spacing w:line="305" w:lineRule="exact" w:before="0" w:after="0"/>
        <w:ind w:left="1780" w:right="0" w:hanging="360"/>
        <w:jc w:val="left"/>
        <w:rPr>
          <w:rFonts w:ascii="Symbol" w:hAnsi="Symbol"/>
        </w:rPr>
      </w:pPr>
      <w:bookmarkStart w:name=" Decorate your bedroom or unit;" w:id="144"/>
      <w:bookmarkEnd w:id="144"/>
      <w:r>
        <w:rPr/>
      </w:r>
      <w:bookmarkStart w:name=" Decorate your bedroom or unit;" w:id="145"/>
      <w:bookmarkEnd w:id="145"/>
      <w:r>
        <w:rPr/>
        <w:t>D</w:t>
      </w:r>
      <w:r>
        <w:rPr/>
        <w:t>ecorate your bedroom or unit;</w:t>
      </w:r>
    </w:p>
    <w:p>
      <w:pPr>
        <w:pStyle w:val="Heading4"/>
        <w:numPr>
          <w:ilvl w:val="0"/>
          <w:numId w:val="34"/>
        </w:numPr>
        <w:tabs>
          <w:tab w:pos="1779" w:val="left" w:leader="none"/>
          <w:tab w:pos="1780" w:val="left" w:leader="none"/>
        </w:tabs>
        <w:spacing w:line="305" w:lineRule="exact" w:before="1" w:after="0"/>
        <w:ind w:left="1780" w:right="0" w:hanging="360"/>
        <w:jc w:val="left"/>
        <w:rPr>
          <w:rFonts w:ascii="Symbol" w:hAnsi="Symbol"/>
        </w:rPr>
      </w:pPr>
      <w:bookmarkStart w:name=" Make your own schedule and choose what" w:id="146"/>
      <w:bookmarkEnd w:id="146"/>
      <w:r>
        <w:rPr/>
      </w:r>
      <w:bookmarkStart w:name=" Make your own schedule and choose what" w:id="147"/>
      <w:bookmarkEnd w:id="147"/>
      <w:r>
        <w:rPr/>
        <w:t>M</w:t>
      </w:r>
      <w:r>
        <w:rPr/>
        <w:t>ake your own schedule and choose what activities you want to</w:t>
      </w:r>
      <w:r>
        <w:rPr>
          <w:spacing w:val="-2"/>
        </w:rPr>
        <w:t> </w:t>
      </w:r>
      <w:r>
        <w:rPr/>
        <w:t>do;</w:t>
      </w:r>
    </w:p>
    <w:p>
      <w:pPr>
        <w:pStyle w:val="Heading4"/>
        <w:numPr>
          <w:ilvl w:val="0"/>
          <w:numId w:val="34"/>
        </w:numPr>
        <w:tabs>
          <w:tab w:pos="1779" w:val="left" w:leader="none"/>
          <w:tab w:pos="1780" w:val="left" w:leader="none"/>
        </w:tabs>
        <w:spacing w:line="305" w:lineRule="exact" w:before="0" w:after="0"/>
        <w:ind w:left="1780" w:right="0" w:hanging="360"/>
        <w:jc w:val="left"/>
        <w:rPr>
          <w:rFonts w:ascii="Symbol" w:hAnsi="Symbol"/>
        </w:rPr>
      </w:pPr>
      <w:bookmarkStart w:name=" Have access to food at any time; and" w:id="148"/>
      <w:bookmarkEnd w:id="148"/>
      <w:r>
        <w:rPr/>
      </w:r>
      <w:bookmarkStart w:name=" Have visitors at times that are conven" w:id="149"/>
      <w:bookmarkEnd w:id="149"/>
      <w:r>
        <w:rPr/>
      </w:r>
      <w:bookmarkStart w:name=" Have visitors at times that are conven" w:id="150"/>
      <w:bookmarkEnd w:id="150"/>
      <w:r>
        <w:rPr/>
        <w:t>H</w:t>
      </w:r>
      <w:r>
        <w:rPr/>
        <w:t>ave access to food at any time;</w:t>
      </w:r>
      <w:r>
        <w:rPr>
          <w:spacing w:val="3"/>
        </w:rPr>
        <w:t> </w:t>
      </w:r>
      <w:r>
        <w:rPr/>
        <w:t>and</w:t>
      </w:r>
    </w:p>
    <w:p>
      <w:pPr>
        <w:pStyle w:val="Heading4"/>
        <w:numPr>
          <w:ilvl w:val="0"/>
          <w:numId w:val="34"/>
        </w:numPr>
        <w:tabs>
          <w:tab w:pos="1779" w:val="left" w:leader="none"/>
          <w:tab w:pos="1780" w:val="left" w:leader="none"/>
        </w:tabs>
        <w:spacing w:line="305" w:lineRule="exact" w:before="0" w:after="0"/>
        <w:ind w:left="1780" w:right="0" w:hanging="361"/>
        <w:jc w:val="left"/>
        <w:rPr>
          <w:rFonts w:ascii="Symbol" w:hAnsi="Symbol"/>
        </w:rPr>
      </w:pPr>
      <w:r>
        <w:rPr/>
        <w:t>Have visitors at times that are convenient to</w:t>
      </w:r>
      <w:r>
        <w:rPr>
          <w:spacing w:val="-4"/>
        </w:rPr>
        <w:t> </w:t>
      </w:r>
      <w:r>
        <w:rPr/>
        <w:t>you.</w:t>
      </w:r>
    </w:p>
    <w:p>
      <w:pPr>
        <w:pStyle w:val="BodyText"/>
        <w:spacing w:before="2"/>
        <w:rPr>
          <w:sz w:val="24"/>
        </w:rPr>
      </w:pPr>
    </w:p>
    <w:p>
      <w:pPr>
        <w:pStyle w:val="Heading4"/>
        <w:ind w:left="1059" w:right="1158"/>
      </w:pPr>
      <w:bookmarkStart w:name="If you live in a residential setting and" w:id="151"/>
      <w:bookmarkEnd w:id="151"/>
      <w:r>
        <w:rPr/>
      </w:r>
      <w:r>
        <w:rPr/>
        <w:t>If you live in a residential setting and any of these rights cause your health and safety to be in danger, that right may be modified with your consent. Changes can only be made based upon your needs, and only after other things have been tried and did not work.</w:t>
      </w:r>
    </w:p>
    <w:p>
      <w:pPr>
        <w:pStyle w:val="BodyText"/>
        <w:spacing w:before="12"/>
        <w:rPr>
          <w:sz w:val="23"/>
        </w:rPr>
      </w:pPr>
    </w:p>
    <w:p>
      <w:pPr>
        <w:pStyle w:val="Heading4"/>
        <w:spacing w:line="480" w:lineRule="auto"/>
        <w:ind w:left="1060" w:right="1192"/>
      </w:pPr>
      <w:bookmarkStart w:name="If you live in an adult family home or a" w:id="152"/>
      <w:bookmarkEnd w:id="152"/>
      <w:r>
        <w:rPr/>
      </w:r>
      <w:r>
        <w:rPr/>
        <w:t>If you live in an adult family home or assisted living facility, the Admissions Agreement tells you the rules and policies in that facility.</w:t>
      </w:r>
      <w:bookmarkStart w:name="These rules must protect your rights. Ad" w:id="153"/>
      <w:bookmarkEnd w:id="153"/>
      <w:r>
        <w:rPr/>
      </w:r>
      <w:r>
        <w:rPr/>
        <w:t> These rules must protect your rights. Admissions Agreements must be provided before you move in and every 2 years after that.</w:t>
      </w:r>
    </w:p>
    <w:p>
      <w:pPr>
        <w:pStyle w:val="Heading4"/>
        <w:ind w:left="1060" w:right="1177"/>
      </w:pPr>
      <w:bookmarkStart w:name="If you live in a residential facility, y" w:id="154"/>
      <w:bookmarkEnd w:id="154"/>
      <w:r>
        <w:rPr/>
      </w:r>
      <w:r>
        <w:rPr/>
        <w:t>If you live in a residential facility, you have an additional written plan that is an agreement between you and your residential provider. The plan outlines the care and services that the provider has agreed to provide you. The plans include your preferences and choices about the services you receive. Among other things, your plan includes your preferences about your daily routine, food, grooming, and activities as well as how your preferences will be met. The plans have different names depending on what type of residential setting you live in:</w:t>
      </w:r>
    </w:p>
    <w:p>
      <w:pPr>
        <w:pStyle w:val="Heading4"/>
        <w:numPr>
          <w:ilvl w:val="0"/>
          <w:numId w:val="34"/>
        </w:numPr>
        <w:tabs>
          <w:tab w:pos="1779" w:val="left" w:leader="none"/>
          <w:tab w:pos="1780" w:val="left" w:leader="none"/>
        </w:tabs>
        <w:spacing w:line="305" w:lineRule="exact" w:before="0" w:after="0"/>
        <w:ind w:left="1780" w:right="0" w:hanging="360"/>
        <w:jc w:val="left"/>
        <w:rPr>
          <w:rFonts w:ascii="Symbol" w:hAnsi="Symbol"/>
        </w:rPr>
      </w:pPr>
      <w:bookmarkStart w:name=" Adult Family Homes have Negotiated Car" w:id="155"/>
      <w:bookmarkEnd w:id="155"/>
      <w:r>
        <w:rPr/>
      </w:r>
      <w:bookmarkStart w:name=" Assisted Living Facilities have Negoti" w:id="156"/>
      <w:bookmarkEnd w:id="156"/>
      <w:r>
        <w:rPr/>
      </w:r>
      <w:bookmarkStart w:name=" Assisted Living Facilities have Negoti" w:id="157"/>
      <w:bookmarkEnd w:id="157"/>
      <w:r>
        <w:rPr/>
        <w:t>A</w:t>
      </w:r>
      <w:r>
        <w:rPr/>
        <w:t>dult Family Homes have Negotiated Care</w:t>
      </w:r>
      <w:r>
        <w:rPr>
          <w:spacing w:val="-2"/>
        </w:rPr>
        <w:t> </w:t>
      </w:r>
      <w:r>
        <w:rPr/>
        <w:t>Plans</w:t>
      </w:r>
    </w:p>
    <w:p>
      <w:pPr>
        <w:pStyle w:val="Heading4"/>
        <w:numPr>
          <w:ilvl w:val="0"/>
          <w:numId w:val="34"/>
        </w:numPr>
        <w:tabs>
          <w:tab w:pos="1779" w:val="left" w:leader="none"/>
          <w:tab w:pos="1780" w:val="left" w:leader="none"/>
        </w:tabs>
        <w:spacing w:line="305" w:lineRule="exact" w:before="0" w:after="0"/>
        <w:ind w:left="1780" w:right="0" w:hanging="360"/>
        <w:jc w:val="left"/>
        <w:rPr>
          <w:rFonts w:ascii="Symbol" w:hAnsi="Symbol"/>
        </w:rPr>
      </w:pPr>
      <w:r>
        <w:rPr/>
        <w:t>Assisted Living Facilities have Negotiated Service</w:t>
      </w:r>
      <w:r>
        <w:rPr>
          <w:spacing w:val="1"/>
        </w:rPr>
        <w:t> </w:t>
      </w:r>
      <w:r>
        <w:rPr/>
        <w:t>Agreements</w:t>
      </w:r>
    </w:p>
    <w:p>
      <w:pPr>
        <w:pStyle w:val="Heading4"/>
        <w:numPr>
          <w:ilvl w:val="0"/>
          <w:numId w:val="34"/>
        </w:numPr>
        <w:tabs>
          <w:tab w:pos="1779" w:val="left" w:leader="none"/>
          <w:tab w:pos="1780" w:val="left" w:leader="none"/>
        </w:tabs>
        <w:spacing w:line="305" w:lineRule="exact" w:before="1" w:after="0"/>
        <w:ind w:left="1780" w:right="0" w:hanging="360"/>
        <w:jc w:val="left"/>
        <w:rPr>
          <w:rFonts w:ascii="Symbol" w:hAnsi="Symbol"/>
        </w:rPr>
      </w:pPr>
      <w:bookmarkStart w:name=" Group Homes and Supported Living servi" w:id="158"/>
      <w:bookmarkEnd w:id="158"/>
      <w:r>
        <w:rPr/>
      </w:r>
      <w:bookmarkStart w:name=" Group Homes and Supported Living servi" w:id="159"/>
      <w:bookmarkEnd w:id="159"/>
      <w:r>
        <w:rPr/>
        <w:t>G</w:t>
      </w:r>
      <w:r>
        <w:rPr/>
        <w:t>roup Homes and Supported Living services have Individual Instruction and Support</w:t>
      </w:r>
      <w:r>
        <w:rPr>
          <w:spacing w:val="-9"/>
        </w:rPr>
        <w:t> </w:t>
      </w:r>
      <w:r>
        <w:rPr/>
        <w:t>Plans</w:t>
      </w:r>
    </w:p>
    <w:p>
      <w:pPr>
        <w:pStyle w:val="Heading4"/>
        <w:numPr>
          <w:ilvl w:val="0"/>
          <w:numId w:val="34"/>
        </w:numPr>
        <w:tabs>
          <w:tab w:pos="1779" w:val="left" w:leader="none"/>
          <w:tab w:pos="1780" w:val="left" w:leader="none"/>
        </w:tabs>
        <w:spacing w:line="305" w:lineRule="exact" w:before="0" w:after="0"/>
        <w:ind w:left="1780" w:right="0" w:hanging="360"/>
        <w:jc w:val="left"/>
        <w:rPr>
          <w:rFonts w:ascii="Symbol" w:hAnsi="Symbol"/>
        </w:rPr>
      </w:pPr>
      <w:bookmarkStart w:name=" Alternative Living has Alternative Liv" w:id="160"/>
      <w:bookmarkEnd w:id="160"/>
      <w:r>
        <w:rPr/>
      </w:r>
      <w:bookmarkStart w:name=" Alternative Living has Alternative Liv" w:id="161"/>
      <w:bookmarkEnd w:id="161"/>
      <w:r>
        <w:rPr/>
        <w:t>Al</w:t>
      </w:r>
      <w:r>
        <w:rPr/>
        <w:t>ternative Living has Alternative Living Services</w:t>
      </w:r>
      <w:r>
        <w:rPr>
          <w:spacing w:val="-5"/>
        </w:rPr>
        <w:t> </w:t>
      </w:r>
      <w:r>
        <w:rPr/>
        <w:t>Plans</w:t>
      </w:r>
    </w:p>
    <w:p>
      <w:pPr>
        <w:pStyle w:val="BodyText"/>
        <w:rPr>
          <w:sz w:val="24"/>
        </w:rPr>
      </w:pPr>
    </w:p>
    <w:p>
      <w:pPr>
        <w:pStyle w:val="Heading4"/>
        <w:spacing w:line="482" w:lineRule="auto"/>
        <w:ind w:left="1060" w:right="1378"/>
      </w:pPr>
      <w:bookmarkStart w:name="DSHS is committed to making sure your ri" w:id="162"/>
      <w:bookmarkEnd w:id="162"/>
      <w:r>
        <w:rPr/>
      </w:r>
      <w:r>
        <w:rPr/>
        <w:t>DSHS is committed to making sure your rights are protected. Please reach out if you feel any of your rights are not being honored.</w:t>
      </w:r>
      <w:bookmarkStart w:name="Contact your case manager to discuss you" w:id="163"/>
      <w:bookmarkEnd w:id="163"/>
      <w:r>
        <w:rPr/>
      </w:r>
      <w:r>
        <w:rPr/>
        <w:t> Contact your case manager to discuss your rights, ask questions or ask for help.</w:t>
      </w: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4"/>
        <w:rPr>
          <w:b/>
          <w:sz w:val="12"/>
        </w:rPr>
      </w:pPr>
    </w:p>
    <w:p>
      <w:pPr>
        <w:pStyle w:val="Heading4"/>
        <w:spacing w:before="52"/>
        <w:ind w:left="1060"/>
      </w:pPr>
      <w:bookmarkStart w:name="If you feel that you have been abused, e" w:id="164"/>
      <w:bookmarkEnd w:id="164"/>
      <w:r>
        <w:rPr/>
      </w:r>
      <w:r>
        <w:rPr/>
        <w:t>If you feel that you have been abused, exploited or neglected, please call End Harm at 1-866-363-4276</w:t>
      </w:r>
    </w:p>
    <w:p>
      <w:pPr>
        <w:pStyle w:val="BodyText"/>
        <w:spacing w:before="12"/>
        <w:rPr>
          <w:sz w:val="23"/>
        </w:rPr>
      </w:pPr>
    </w:p>
    <w:p>
      <w:pPr>
        <w:pStyle w:val="Heading4"/>
        <w:ind w:left="1060" w:right="1483"/>
      </w:pPr>
      <w:bookmarkStart w:name="If you live in a residential setting, an" w:id="165"/>
      <w:bookmarkEnd w:id="165"/>
      <w:r>
        <w:rPr/>
      </w:r>
      <w:r>
        <w:rPr/>
        <w:t>If you live in a residential setting, and you feel that any of your rights are being violated, please contact the Complaint Resolution Unit at: 1-800-562-6078.</w:t>
      </w:r>
    </w:p>
    <w:p>
      <w:pPr>
        <w:pStyle w:val="BodyText"/>
        <w:rPr>
          <w:sz w:val="24"/>
        </w:rPr>
      </w:pPr>
    </w:p>
    <w:p>
      <w:pPr>
        <w:pStyle w:val="Heading4"/>
        <w:spacing w:before="215"/>
        <w:ind w:left="1060" w:right="1252"/>
      </w:pPr>
      <w:bookmarkStart w:name="If you live in an adult family home or a" w:id="166"/>
      <w:bookmarkEnd w:id="166"/>
      <w:r>
        <w:rPr/>
      </w:r>
      <w:r>
        <w:rPr/>
        <w:t>If you live in an adult family home or an assisted living facility and would like to talk to an advocate or make a complaint, please call the Washington state Ombuds office 1-800-562-6028.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r>
        <w:rPr/>
        <w:pict>
          <v:shape style="position:absolute;margin-left:70.559998pt;margin-top:18.693523pt;width:650.9pt;height:.1pt;mso-position-horizontal-relative:page;mso-position-vertical-relative:paragraph;z-index:-251452416;mso-wrap-distance-left:0;mso-wrap-distance-right:0" coordorigin="1411,374" coordsize="13018,0" path="m1411,374l14429,374e" filled="false" stroked="true" strokeweight=".481pt" strokecolor="#d9d9d9">
            <v:path arrowok="t"/>
            <v:stroke dashstyle="solid"/>
            <w10:wrap type="topAndBottom"/>
          </v:shape>
        </w:pict>
      </w:r>
    </w:p>
    <w:p>
      <w:pPr>
        <w:spacing w:after="0"/>
        <w:rPr>
          <w:sz w:val="27"/>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3808" w:right="0" w:firstLine="0"/>
        <w:jc w:val="left"/>
        <w:rPr>
          <w:b/>
          <w:sz w:val="28"/>
        </w:rPr>
      </w:pPr>
      <w:bookmarkStart w:name="Long-Term Care Worker Orientation Traini" w:id="167"/>
      <w:bookmarkEnd w:id="167"/>
      <w:r>
        <w:rPr/>
      </w:r>
      <w:bookmarkStart w:name="_bookmark47" w:id="168"/>
      <w:bookmarkEnd w:id="168"/>
      <w:r>
        <w:rPr/>
      </w:r>
      <w:r>
        <w:rPr>
          <w:b/>
          <w:sz w:val="28"/>
        </w:rPr>
        <w:t>Long-Term Care Worker Orientation Training (Updated 1/15/16)</w:t>
      </w:r>
    </w:p>
    <w:p>
      <w:pPr>
        <w:pStyle w:val="Heading3"/>
        <w:rPr>
          <w:i/>
        </w:rPr>
      </w:pPr>
      <w:bookmarkStart w:name="Excerpt of the resident rights module of" w:id="169"/>
      <w:bookmarkEnd w:id="169"/>
      <w:r>
        <w:rPr>
          <w:b w:val="0"/>
          <w:i w:val="0"/>
        </w:rPr>
      </w:r>
      <w:r>
        <w:rPr>
          <w:i/>
        </w:rPr>
        <w:t>Excerpt of the resident rights module of this training:</w:t>
      </w:r>
    </w:p>
    <w:p>
      <w:pPr>
        <w:pStyle w:val="Heading4"/>
        <w:spacing w:before="43"/>
        <w:ind w:left="1059"/>
      </w:pPr>
      <w:bookmarkStart w:name="Client Rights" w:id="170"/>
      <w:bookmarkEnd w:id="170"/>
      <w:r>
        <w:rPr/>
      </w:r>
      <w:r>
        <w:rPr/>
        <w:t>Client Rights</w:t>
      </w:r>
    </w:p>
    <w:p>
      <w:pPr>
        <w:pStyle w:val="Heading4"/>
        <w:spacing w:line="276" w:lineRule="auto" w:before="45"/>
        <w:ind w:left="1059" w:right="5851"/>
      </w:pPr>
      <w:r>
        <w:rPr/>
        <w:pict>
          <v:shape style="position:absolute;margin-left:500.799988pt;margin-top:2.474769pt;width:239.45pt;height:219pt;mso-position-horizontal-relative:page;mso-position-vertical-relative:paragraph;z-index:251866112" type="#_x0000_t202" filled="false" stroked="true" strokeweight=".75pt" strokecolor="#00afef">
            <v:textbox inset="0,0,0,0">
              <w:txbxContent>
                <w:p>
                  <w:pPr>
                    <w:spacing w:before="72"/>
                    <w:ind w:left="296" w:right="0" w:firstLine="0"/>
                    <w:jc w:val="left"/>
                    <w:rPr>
                      <w:b/>
                      <w:sz w:val="24"/>
                    </w:rPr>
                  </w:pPr>
                  <w:r>
                    <w:rPr>
                      <w:b/>
                      <w:sz w:val="24"/>
                    </w:rPr>
                    <w:t>A client needs and has the right to privacy</w:t>
                  </w:r>
                </w:p>
                <w:p>
                  <w:pPr>
                    <w:pStyle w:val="BodyText"/>
                    <w:spacing w:before="11"/>
                    <w:rPr>
                      <w:b/>
                      <w:sz w:val="23"/>
                    </w:rPr>
                  </w:pPr>
                </w:p>
                <w:p>
                  <w:pPr>
                    <w:numPr>
                      <w:ilvl w:val="0"/>
                      <w:numId w:val="48"/>
                    </w:numPr>
                    <w:tabs>
                      <w:tab w:pos="502" w:val="left" w:leader="none"/>
                      <w:tab w:pos="503" w:val="left" w:leader="none"/>
                    </w:tabs>
                    <w:spacing w:before="1"/>
                    <w:ind w:left="502" w:right="0" w:hanging="361"/>
                    <w:jc w:val="left"/>
                    <w:rPr>
                      <w:sz w:val="24"/>
                    </w:rPr>
                  </w:pPr>
                  <w:r>
                    <w:rPr>
                      <w:sz w:val="24"/>
                    </w:rPr>
                    <w:t>When performing personal</w:t>
                  </w:r>
                  <w:r>
                    <w:rPr>
                      <w:spacing w:val="-3"/>
                      <w:sz w:val="24"/>
                    </w:rPr>
                    <w:t> </w:t>
                  </w:r>
                  <w:r>
                    <w:rPr>
                      <w:sz w:val="24"/>
                    </w:rPr>
                    <w:t>care:</w:t>
                  </w:r>
                </w:p>
                <w:p>
                  <w:pPr>
                    <w:numPr>
                      <w:ilvl w:val="1"/>
                      <w:numId w:val="48"/>
                    </w:numPr>
                    <w:tabs>
                      <w:tab w:pos="863" w:val="left" w:leader="none"/>
                    </w:tabs>
                    <w:spacing w:before="59"/>
                    <w:ind w:left="862" w:right="0" w:hanging="361"/>
                    <w:jc w:val="left"/>
                    <w:rPr>
                      <w:sz w:val="24"/>
                    </w:rPr>
                  </w:pPr>
                  <w:r>
                    <w:rPr>
                      <w:sz w:val="24"/>
                    </w:rPr>
                    <w:t>Screen or cover a</w:t>
                  </w:r>
                  <w:r>
                    <w:rPr>
                      <w:spacing w:val="1"/>
                      <w:sz w:val="24"/>
                    </w:rPr>
                    <w:t> </w:t>
                  </w:r>
                  <w:r>
                    <w:rPr>
                      <w:sz w:val="24"/>
                    </w:rPr>
                    <w:t>client.</w:t>
                  </w:r>
                </w:p>
                <w:p>
                  <w:pPr>
                    <w:numPr>
                      <w:ilvl w:val="1"/>
                      <w:numId w:val="48"/>
                    </w:numPr>
                    <w:tabs>
                      <w:tab w:pos="863" w:val="left" w:leader="none"/>
                    </w:tabs>
                    <w:spacing w:line="232" w:lineRule="auto" w:before="59"/>
                    <w:ind w:left="862" w:right="178" w:hanging="360"/>
                    <w:jc w:val="left"/>
                    <w:rPr>
                      <w:sz w:val="24"/>
                    </w:rPr>
                  </w:pPr>
                  <w:r>
                    <w:rPr>
                      <w:sz w:val="24"/>
                    </w:rPr>
                    <w:t>Make sure doors and window curtains are closed.</w:t>
                  </w:r>
                </w:p>
                <w:p>
                  <w:pPr>
                    <w:numPr>
                      <w:ilvl w:val="0"/>
                      <w:numId w:val="48"/>
                    </w:numPr>
                    <w:tabs>
                      <w:tab w:pos="502" w:val="left" w:leader="none"/>
                      <w:tab w:pos="503" w:val="left" w:leader="none"/>
                    </w:tabs>
                    <w:spacing w:before="63"/>
                    <w:ind w:left="502" w:right="331" w:hanging="360"/>
                    <w:jc w:val="left"/>
                    <w:rPr>
                      <w:sz w:val="24"/>
                    </w:rPr>
                  </w:pPr>
                  <w:r>
                    <w:rPr>
                      <w:sz w:val="24"/>
                    </w:rPr>
                    <w:t>Only share medical, financial or other personal information about a client with appropriate care team</w:t>
                  </w:r>
                  <w:r>
                    <w:rPr>
                      <w:spacing w:val="-2"/>
                      <w:sz w:val="24"/>
                    </w:rPr>
                    <w:t> </w:t>
                  </w:r>
                  <w:r>
                    <w:rPr>
                      <w:sz w:val="24"/>
                    </w:rPr>
                    <w:t>members.</w:t>
                  </w:r>
                </w:p>
                <w:p>
                  <w:pPr>
                    <w:numPr>
                      <w:ilvl w:val="0"/>
                      <w:numId w:val="48"/>
                    </w:numPr>
                    <w:tabs>
                      <w:tab w:pos="502" w:val="left" w:leader="none"/>
                      <w:tab w:pos="503" w:val="left" w:leader="none"/>
                    </w:tabs>
                    <w:spacing w:before="60"/>
                    <w:ind w:left="502" w:right="197" w:hanging="360"/>
                    <w:jc w:val="left"/>
                    <w:rPr>
                      <w:sz w:val="24"/>
                    </w:rPr>
                  </w:pPr>
                  <w:r>
                    <w:rPr>
                      <w:sz w:val="24"/>
                    </w:rPr>
                    <w:t>Give the client privacy for phone calls and visits.</w:t>
                  </w:r>
                </w:p>
                <w:p>
                  <w:pPr>
                    <w:numPr>
                      <w:ilvl w:val="0"/>
                      <w:numId w:val="48"/>
                    </w:numPr>
                    <w:tabs>
                      <w:tab w:pos="502" w:val="left" w:leader="none"/>
                      <w:tab w:pos="503" w:val="left" w:leader="none"/>
                    </w:tabs>
                    <w:spacing w:before="59"/>
                    <w:ind w:left="502" w:right="0" w:hanging="361"/>
                    <w:jc w:val="left"/>
                    <w:rPr>
                      <w:sz w:val="24"/>
                    </w:rPr>
                  </w:pPr>
                  <w:r>
                    <w:rPr>
                      <w:sz w:val="24"/>
                    </w:rPr>
                    <w:t>Let a client open mail in</w:t>
                  </w:r>
                  <w:r>
                    <w:rPr>
                      <w:spacing w:val="-3"/>
                      <w:sz w:val="24"/>
                    </w:rPr>
                    <w:t> </w:t>
                  </w:r>
                  <w:r>
                    <w:rPr>
                      <w:sz w:val="24"/>
                    </w:rPr>
                    <w:t>private.</w:t>
                  </w:r>
                </w:p>
                <w:p>
                  <w:pPr>
                    <w:spacing w:before="58"/>
                    <w:ind w:left="1575" w:right="0" w:firstLine="0"/>
                    <w:jc w:val="left"/>
                    <w:rPr>
                      <w:b/>
                      <w:sz w:val="24"/>
                    </w:rPr>
                  </w:pPr>
                  <w:r>
                    <w:rPr>
                      <w:b/>
                      <w:sz w:val="24"/>
                    </w:rPr>
                    <w:t>Respect privacy.</w:t>
                  </w:r>
                </w:p>
              </w:txbxContent>
            </v:textbox>
            <v:stroke dashstyle="solid"/>
            <w10:wrap type="none"/>
          </v:shape>
        </w:pict>
      </w:r>
      <w:bookmarkStart w:name="A client receiving care has certain righ" w:id="171"/>
      <w:bookmarkEnd w:id="171"/>
      <w:r>
        <w:rPr/>
      </w:r>
      <w:r>
        <w:rPr/>
        <w:t>A client receiving care has certain rights protected by federal and state laws. It is a part of your job to understand and protect a client’s rights.</w:t>
      </w:r>
    </w:p>
    <w:p>
      <w:pPr>
        <w:pStyle w:val="Heading4"/>
        <w:spacing w:line="278" w:lineRule="auto"/>
        <w:ind w:left="1059" w:right="5851"/>
      </w:pPr>
      <w:bookmarkStart w:name="The state law regarding client rights ca" w:id="172"/>
      <w:bookmarkEnd w:id="172"/>
      <w:r>
        <w:rPr/>
      </w:r>
      <w:r>
        <w:rPr/>
        <w:t>The state law regarding client rights can be found in </w:t>
      </w:r>
      <w:hyperlink r:id="rId150">
        <w:r>
          <w:rPr>
            <w:color w:val="EF7E08"/>
          </w:rPr>
          <w:t>RCW 70.129 </w:t>
        </w:r>
      </w:hyperlink>
      <w:r>
        <w:rPr/>
        <w:t>and in Washington Administrative Code (WAC) </w:t>
      </w:r>
      <w:hyperlink r:id="rId151">
        <w:r>
          <w:rPr>
            <w:color w:val="EF7E08"/>
          </w:rPr>
          <w:t>388-106-1300</w:t>
        </w:r>
      </w:hyperlink>
      <w:r>
        <w:rPr/>
        <w:t>.</w:t>
      </w:r>
    </w:p>
    <w:p>
      <w:pPr>
        <w:pStyle w:val="Heading4"/>
        <w:spacing w:line="288" w:lineRule="exact"/>
        <w:ind w:left="1059"/>
      </w:pPr>
      <w:bookmarkStart w:name="You must:" w:id="173"/>
      <w:bookmarkEnd w:id="173"/>
      <w:r>
        <w:rPr/>
      </w:r>
      <w:r>
        <w:rPr/>
        <w:t>You must:</w:t>
      </w:r>
    </w:p>
    <w:p>
      <w:pPr>
        <w:pStyle w:val="Heading4"/>
        <w:numPr>
          <w:ilvl w:val="0"/>
          <w:numId w:val="34"/>
        </w:numPr>
        <w:tabs>
          <w:tab w:pos="1779" w:val="left" w:leader="none"/>
          <w:tab w:pos="1780" w:val="left" w:leader="none"/>
        </w:tabs>
        <w:spacing w:line="240" w:lineRule="auto" w:before="43" w:after="0"/>
        <w:ind w:left="1780" w:right="0" w:hanging="361"/>
        <w:jc w:val="left"/>
        <w:rPr>
          <w:rFonts w:ascii="Symbol" w:hAnsi="Symbol"/>
        </w:rPr>
      </w:pPr>
      <w:bookmarkStart w:name=" Treat clients with respect." w:id="174"/>
      <w:bookmarkEnd w:id="174"/>
      <w:r>
        <w:rPr/>
      </w:r>
      <w:bookmarkStart w:name=" Treat clients with respect." w:id="175"/>
      <w:bookmarkEnd w:id="175"/>
      <w:r>
        <w:rPr/>
        <w:t>Treat</w:t>
      </w:r>
      <w:r>
        <w:rPr/>
        <w:t> clients with</w:t>
      </w:r>
      <w:r>
        <w:rPr>
          <w:spacing w:val="-3"/>
        </w:rPr>
        <w:t> </w:t>
      </w:r>
      <w:r>
        <w:rPr/>
        <w:t>respect.</w:t>
      </w:r>
    </w:p>
    <w:p>
      <w:pPr>
        <w:pStyle w:val="Heading4"/>
        <w:numPr>
          <w:ilvl w:val="0"/>
          <w:numId w:val="34"/>
        </w:numPr>
        <w:tabs>
          <w:tab w:pos="1779" w:val="left" w:leader="none"/>
          <w:tab w:pos="1780" w:val="left" w:leader="none"/>
        </w:tabs>
        <w:spacing w:line="240" w:lineRule="auto" w:before="45" w:after="0"/>
        <w:ind w:left="1780" w:right="0" w:hanging="361"/>
        <w:jc w:val="left"/>
        <w:rPr>
          <w:rFonts w:ascii="Symbol" w:hAnsi="Symbol"/>
        </w:rPr>
      </w:pPr>
      <w:bookmarkStart w:name=" Support a client’s choices and indepen" w:id="176"/>
      <w:bookmarkEnd w:id="176"/>
      <w:r>
        <w:rPr/>
      </w:r>
      <w:bookmarkStart w:name=" Support a client’s choices and indepen" w:id="177"/>
      <w:bookmarkEnd w:id="177"/>
      <w:r>
        <w:rPr/>
        <w:t>S</w:t>
      </w:r>
      <w:r>
        <w:rPr/>
        <w:t>upport a client’s choices and</w:t>
      </w:r>
      <w:r>
        <w:rPr>
          <w:spacing w:val="-4"/>
        </w:rPr>
        <w:t> </w:t>
      </w:r>
      <w:r>
        <w:rPr/>
        <w:t>independence.</w:t>
      </w:r>
    </w:p>
    <w:p>
      <w:pPr>
        <w:pStyle w:val="Heading4"/>
        <w:numPr>
          <w:ilvl w:val="0"/>
          <w:numId w:val="34"/>
        </w:numPr>
        <w:tabs>
          <w:tab w:pos="1779" w:val="left" w:leader="none"/>
          <w:tab w:pos="1780" w:val="left" w:leader="none"/>
        </w:tabs>
        <w:spacing w:line="240" w:lineRule="auto" w:before="45" w:after="0"/>
        <w:ind w:left="1780" w:right="0" w:hanging="361"/>
        <w:jc w:val="left"/>
        <w:rPr>
          <w:rFonts w:ascii="Symbol" w:hAnsi="Symbol"/>
        </w:rPr>
      </w:pPr>
      <w:bookmarkStart w:name=" Protect a client’s privacy and confide" w:id="178"/>
      <w:bookmarkEnd w:id="178"/>
      <w:r>
        <w:rPr/>
      </w:r>
      <w:bookmarkStart w:name=" Protect a client’s privacy and confide" w:id="179"/>
      <w:bookmarkEnd w:id="179"/>
      <w:r>
        <w:rPr/>
        <w:t>Pro</w:t>
      </w:r>
      <w:r>
        <w:rPr/>
        <w:t>tect a client’s privacy and confidential</w:t>
      </w:r>
      <w:r>
        <w:rPr>
          <w:spacing w:val="-2"/>
        </w:rPr>
        <w:t> </w:t>
      </w:r>
      <w:r>
        <w:rPr/>
        <w:t>information.</w:t>
      </w:r>
    </w:p>
    <w:p>
      <w:pPr>
        <w:pStyle w:val="Heading4"/>
        <w:numPr>
          <w:ilvl w:val="0"/>
          <w:numId w:val="34"/>
        </w:numPr>
        <w:tabs>
          <w:tab w:pos="1779" w:val="left" w:leader="none"/>
          <w:tab w:pos="1780" w:val="left" w:leader="none"/>
        </w:tabs>
        <w:spacing w:line="240" w:lineRule="auto" w:before="44" w:after="0"/>
        <w:ind w:left="1780" w:right="0" w:hanging="361"/>
        <w:jc w:val="left"/>
        <w:rPr>
          <w:rFonts w:ascii="Symbol" w:hAnsi="Symbol"/>
        </w:rPr>
      </w:pPr>
      <w:bookmarkStart w:name=" Keep client’s safe." w:id="180"/>
      <w:bookmarkEnd w:id="180"/>
      <w:r>
        <w:rPr/>
      </w:r>
      <w:bookmarkStart w:name=" Keep client’s safe." w:id="181"/>
      <w:bookmarkEnd w:id="181"/>
      <w:r>
        <w:rPr/>
        <w:t>Keep</w:t>
      </w:r>
      <w:r>
        <w:rPr/>
        <w:t> client’s</w:t>
      </w:r>
      <w:r>
        <w:rPr>
          <w:spacing w:val="-1"/>
        </w:rPr>
        <w:t> </w:t>
      </w:r>
      <w:r>
        <w:rPr/>
        <w:t>safe.</w:t>
      </w:r>
    </w:p>
    <w:p>
      <w:pPr>
        <w:pStyle w:val="Heading4"/>
        <w:spacing w:before="41"/>
        <w:ind w:left="1059"/>
      </w:pPr>
      <w:bookmarkStart w:name="Below are some of the client rights prot" w:id="182"/>
      <w:bookmarkEnd w:id="182"/>
      <w:r>
        <w:rPr/>
      </w:r>
      <w:r>
        <w:rPr/>
        <w:t>Below are some of the client rights protected by law in our state.</w:t>
      </w:r>
    </w:p>
    <w:p>
      <w:pPr>
        <w:pStyle w:val="Heading4"/>
        <w:numPr>
          <w:ilvl w:val="0"/>
          <w:numId w:val="34"/>
        </w:numPr>
        <w:tabs>
          <w:tab w:pos="1779" w:val="left" w:leader="none"/>
          <w:tab w:pos="1780" w:val="left" w:leader="none"/>
        </w:tabs>
        <w:spacing w:line="240" w:lineRule="auto" w:before="47" w:after="0"/>
        <w:ind w:left="1780" w:right="0" w:hanging="361"/>
        <w:jc w:val="left"/>
        <w:rPr>
          <w:rFonts w:ascii="Symbol" w:hAnsi="Symbol"/>
        </w:rPr>
      </w:pPr>
      <w:bookmarkStart w:name=" Choice &amp; Freedom" w:id="183"/>
      <w:bookmarkEnd w:id="183"/>
      <w:r>
        <w:rPr/>
      </w:r>
      <w:bookmarkStart w:name=" Choice &amp; Freedom" w:id="184"/>
      <w:bookmarkEnd w:id="184"/>
      <w:r>
        <w:rPr/>
        <w:t>C</w:t>
      </w:r>
      <w:r>
        <w:rPr/>
        <w:t>hoice &amp; Freedom</w:t>
      </w:r>
    </w:p>
    <w:p>
      <w:pPr>
        <w:pStyle w:val="Heading4"/>
        <w:numPr>
          <w:ilvl w:val="0"/>
          <w:numId w:val="34"/>
        </w:numPr>
        <w:tabs>
          <w:tab w:pos="1779" w:val="left" w:leader="none"/>
          <w:tab w:pos="1780" w:val="left" w:leader="none"/>
        </w:tabs>
        <w:spacing w:line="240" w:lineRule="auto" w:before="42" w:after="0"/>
        <w:ind w:left="1780" w:right="0" w:hanging="361"/>
        <w:jc w:val="left"/>
        <w:rPr>
          <w:rFonts w:ascii="Symbol" w:hAnsi="Symbol"/>
        </w:rPr>
      </w:pPr>
      <w:bookmarkStart w:name=" Clients have the right to:" w:id="185"/>
      <w:bookmarkEnd w:id="185"/>
      <w:r>
        <w:rPr/>
      </w:r>
      <w:bookmarkStart w:name=" Clients have the right to:" w:id="186"/>
      <w:bookmarkEnd w:id="186"/>
      <w:r>
        <w:rPr/>
        <w:t>C</w:t>
      </w:r>
      <w:r>
        <w:rPr/>
        <w:t>lients have the right</w:t>
      </w:r>
      <w:r>
        <w:rPr>
          <w:spacing w:val="-5"/>
        </w:rPr>
        <w:t> </w:t>
      </w:r>
      <w:r>
        <w:rPr/>
        <w:t>to:</w:t>
      </w:r>
    </w:p>
    <w:p>
      <w:pPr>
        <w:pStyle w:val="Heading4"/>
        <w:numPr>
          <w:ilvl w:val="0"/>
          <w:numId w:val="34"/>
        </w:numPr>
        <w:tabs>
          <w:tab w:pos="1779" w:val="left" w:leader="none"/>
          <w:tab w:pos="1780" w:val="left" w:leader="none"/>
        </w:tabs>
        <w:spacing w:line="240" w:lineRule="auto" w:before="45" w:after="0"/>
        <w:ind w:left="1780" w:right="0" w:hanging="361"/>
        <w:jc w:val="left"/>
        <w:rPr>
          <w:rFonts w:ascii="Symbol" w:hAnsi="Symbol"/>
        </w:rPr>
      </w:pPr>
      <w:bookmarkStart w:name=" Take an active role in making or chang" w:id="187"/>
      <w:bookmarkEnd w:id="187"/>
      <w:r>
        <w:rPr/>
      </w:r>
      <w:bookmarkStart w:name=" Take an active role in making or chang" w:id="188"/>
      <w:bookmarkEnd w:id="188"/>
      <w:r>
        <w:rPr/>
        <w:t>Ta</w:t>
      </w:r>
      <w:r>
        <w:rPr/>
        <w:t>ke an active role in making or changing their care</w:t>
      </w:r>
      <w:r>
        <w:rPr>
          <w:spacing w:val="2"/>
        </w:rPr>
        <w:t> </w:t>
      </w:r>
      <w:r>
        <w:rPr/>
        <w:t>plan.</w:t>
      </w:r>
    </w:p>
    <w:p>
      <w:pPr>
        <w:pStyle w:val="Heading4"/>
        <w:numPr>
          <w:ilvl w:val="0"/>
          <w:numId w:val="34"/>
        </w:numPr>
        <w:tabs>
          <w:tab w:pos="1779" w:val="left" w:leader="none"/>
          <w:tab w:pos="1780" w:val="left" w:leader="none"/>
        </w:tabs>
        <w:spacing w:line="240" w:lineRule="auto" w:before="45" w:after="0"/>
        <w:ind w:left="1780" w:right="0" w:hanging="361"/>
        <w:jc w:val="left"/>
        <w:rPr>
          <w:rFonts w:ascii="Symbol" w:hAnsi="Symbol"/>
        </w:rPr>
      </w:pPr>
      <w:bookmarkStart w:name=" Refuse care, medications, or treatment" w:id="189"/>
      <w:bookmarkEnd w:id="189"/>
      <w:r>
        <w:rPr/>
      </w:r>
      <w:bookmarkStart w:name=" Refuse care, medications, or treatment" w:id="190"/>
      <w:bookmarkEnd w:id="190"/>
      <w:r>
        <w:rPr/>
        <w:t>R</w:t>
      </w:r>
      <w:r>
        <w:rPr/>
        <w:t>efuse care, medications, or treatment.</w:t>
      </w:r>
    </w:p>
    <w:p>
      <w:pPr>
        <w:pStyle w:val="Heading4"/>
        <w:numPr>
          <w:ilvl w:val="0"/>
          <w:numId w:val="34"/>
        </w:numPr>
        <w:tabs>
          <w:tab w:pos="1779" w:val="left" w:leader="none"/>
          <w:tab w:pos="1780" w:val="left" w:leader="none"/>
        </w:tabs>
        <w:spacing w:line="240" w:lineRule="auto" w:before="42" w:after="0"/>
        <w:ind w:left="1780" w:right="0" w:hanging="361"/>
        <w:jc w:val="left"/>
        <w:rPr>
          <w:rFonts w:ascii="Symbol" w:hAnsi="Symbol"/>
        </w:rPr>
      </w:pPr>
      <w:bookmarkStart w:name=" Choose their activities, schedules (in" w:id="191"/>
      <w:bookmarkEnd w:id="191"/>
      <w:r>
        <w:rPr/>
      </w:r>
      <w:bookmarkStart w:name=" Choose their activities, schedules (in" w:id="192"/>
      <w:bookmarkEnd w:id="192"/>
      <w:r>
        <w:rPr/>
        <w:t>C</w:t>
      </w:r>
      <w:r>
        <w:rPr/>
        <w:t>hoose their activities, schedules (including meal times and when care is given), health care, clothing, and</w:t>
      </w:r>
      <w:r>
        <w:rPr>
          <w:spacing w:val="-10"/>
        </w:rPr>
        <w:t> </w:t>
      </w:r>
      <w:r>
        <w:rPr/>
        <w:t>hairstyle.</w:t>
      </w:r>
    </w:p>
    <w:p>
      <w:pPr>
        <w:pStyle w:val="Heading4"/>
        <w:numPr>
          <w:ilvl w:val="0"/>
          <w:numId w:val="34"/>
        </w:numPr>
        <w:tabs>
          <w:tab w:pos="1779" w:val="left" w:leader="none"/>
          <w:tab w:pos="1780" w:val="left" w:leader="none"/>
        </w:tabs>
        <w:spacing w:line="240" w:lineRule="auto" w:before="44" w:after="0"/>
        <w:ind w:left="1780" w:right="0" w:hanging="360"/>
        <w:jc w:val="left"/>
        <w:rPr>
          <w:rFonts w:ascii="Symbol" w:hAnsi="Symbol"/>
        </w:rPr>
      </w:pPr>
      <w:bookmarkStart w:name=" Join in social, religious, and communi" w:id="193"/>
      <w:bookmarkEnd w:id="193"/>
      <w:r>
        <w:rPr/>
      </w:r>
      <w:bookmarkStart w:name=" Join in social, religious, and communi" w:id="194"/>
      <w:bookmarkEnd w:id="194"/>
      <w:r>
        <w:rPr/>
        <w:t>Join</w:t>
      </w:r>
      <w:r>
        <w:rPr/>
        <w:t> in social, religious, and community</w:t>
      </w:r>
      <w:r>
        <w:rPr>
          <w:spacing w:val="4"/>
        </w:rPr>
        <w:t> </w:t>
      </w:r>
      <w:r>
        <w:rPr/>
        <w:t>activities.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r>
        <w:rPr/>
        <w:pict>
          <v:shape style="position:absolute;margin-left:70.559998pt;margin-top:12.384264pt;width:650.9pt;height:.1pt;mso-position-horizontal-relative:page;mso-position-vertical-relative:paragraph;z-index:-251451392;mso-wrap-distance-left:0;mso-wrap-distance-right:0" coordorigin="1411,248" coordsize="13018,0" path="m1411,248l14429,248e" filled="false" stroked="true" strokeweight=".481pt" strokecolor="#d9d9d9">
            <v:path arrowok="t"/>
            <v:stroke dashstyle="solid"/>
            <w10:wrap type="topAndBottom"/>
          </v:shape>
        </w:pict>
      </w:r>
    </w:p>
    <w:p>
      <w:pPr>
        <w:spacing w:after="0"/>
        <w:rPr>
          <w:sz w:val="1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7"/>
        <w:rPr>
          <w:b/>
          <w:sz w:val="16"/>
        </w:rPr>
      </w:pPr>
    </w:p>
    <w:p>
      <w:pPr>
        <w:pStyle w:val="Heading1"/>
        <w:spacing w:before="1"/>
        <w:ind w:left="2921" w:right="2956"/>
      </w:pPr>
      <w:bookmarkStart w:name="Attachments to the Milestones Completed " w:id="195"/>
      <w:bookmarkEnd w:id="195"/>
      <w:r>
        <w:rPr>
          <w:b w:val="0"/>
        </w:rPr>
      </w:r>
      <w:bookmarkStart w:name="_bookmark48" w:id="196"/>
      <w:bookmarkEnd w:id="196"/>
      <w:r>
        <w:rPr>
          <w:b w:val="0"/>
        </w:rPr>
      </w:r>
      <w:r>
        <w:rPr>
          <w:u w:val="single"/>
        </w:rPr>
        <w:t>Attachments to the Milestones Completed in Appendix C</w:t>
      </w:r>
    </w:p>
    <w:p>
      <w:pPr>
        <w:pStyle w:val="BodyText"/>
        <w:spacing w:before="6"/>
        <w:rPr>
          <w:b/>
          <w:sz w:val="16"/>
        </w:rPr>
      </w:pPr>
    </w:p>
    <w:p>
      <w:pPr>
        <w:pStyle w:val="Heading2"/>
        <w:spacing w:before="51"/>
        <w:ind w:left="2921" w:right="2957"/>
      </w:pPr>
      <w:bookmarkStart w:name="DDA Policy 4.02" w:id="197"/>
      <w:bookmarkEnd w:id="197"/>
      <w:r>
        <w:rPr>
          <w:b w:val="0"/>
        </w:rPr>
      </w:r>
      <w:bookmarkStart w:name="_bookmark49" w:id="198"/>
      <w:bookmarkEnd w:id="198"/>
      <w:r>
        <w:rPr>
          <w:b w:val="0"/>
        </w:rPr>
      </w:r>
      <w:r>
        <w:rPr/>
        <w:t>DDA Policy 4.02</w:t>
      </w:r>
    </w:p>
    <w:p>
      <w:pPr>
        <w:pStyle w:val="BodyText"/>
        <w:spacing w:before="8"/>
        <w:rPr>
          <w:b/>
          <w:sz w:val="16"/>
        </w:rPr>
      </w:pPr>
      <w:r>
        <w:rPr/>
        <w:drawing>
          <wp:anchor distT="0" distB="0" distL="0" distR="0" allowOverlap="1" layoutInCell="1" locked="0" behindDoc="0" simplePos="0" relativeHeight="204">
            <wp:simplePos x="0" y="0"/>
            <wp:positionH relativeFrom="page">
              <wp:posOffset>2999739</wp:posOffset>
            </wp:positionH>
            <wp:positionV relativeFrom="paragraph">
              <wp:posOffset>154257</wp:posOffset>
            </wp:positionV>
            <wp:extent cx="4049567" cy="4484370"/>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52" cstate="print"/>
                    <a:stretch>
                      <a:fillRect/>
                    </a:stretch>
                  </pic:blipFill>
                  <pic:spPr>
                    <a:xfrm>
                      <a:off x="0" y="0"/>
                      <a:ext cx="4049567" cy="448437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1"/>
        <w:rPr>
          <w:b/>
          <w:sz w:val="19"/>
        </w:rPr>
      </w:pPr>
      <w:r>
        <w:rPr/>
        <w:pict>
          <v:shape style="position:absolute;margin-left:70.559998pt;margin-top:13.849406pt;width:650.9pt;height:.1pt;mso-position-horizontal-relative:page;mso-position-vertical-relative:paragraph;z-index:-251448320;mso-wrap-distance-left:0;mso-wrap-distance-right:0" coordorigin="1411,277" coordsize="13018,0" path="m1411,277l14429,277e" filled="false" stroked="true" strokeweight=".481pt" strokecolor="#d9d9d9">
            <v:path arrowok="t"/>
            <v:stroke dashstyle="solid"/>
            <w10:wrap type="topAndBottom"/>
          </v:shape>
        </w:pict>
      </w:r>
    </w:p>
    <w:p>
      <w:pPr>
        <w:spacing w:after="0"/>
        <w:rPr>
          <w:sz w:val="1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group style="position:absolute;margin-left:70.559998pt;margin-top:86.400002pt;width:650.9pt;height:525.6pt;mso-position-horizontal-relative:page;mso-position-vertical-relative:page;z-index:251869184" coordorigin="1411,1728" coordsize="13018,10512">
            <v:line style="position:absolute" from="1411,10958" to="14429,10958" stroked="true" strokeweight=".481pt" strokecolor="#d9d9d9">
              <v:stroke dashstyle="solid"/>
            </v:line>
            <v:shape style="position:absolute;left:3729;top:1728;width:8381;height:10512" type="#_x0000_t75" stroked="false">
              <v:imagedata r:id="rId153" o:title=""/>
            </v:shape>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group style="position:absolute;margin-left:70.559998pt;margin-top:86.400002pt;width:650.9pt;height:525.6pt;mso-position-horizontal-relative:page;mso-position-vertical-relative:page;z-index:251870208" coordorigin="1411,1728" coordsize="13018,10512">
            <v:line style="position:absolute" from="1411,10958" to="14429,10958" stroked="true" strokeweight=".481pt" strokecolor="#d9d9d9">
              <v:stroke dashstyle="solid"/>
            </v:line>
            <v:shape style="position:absolute;left:3795;top:1728;width:8242;height:10512" type="#_x0000_t75" stroked="false">
              <v:imagedata r:id="rId154" o:title=""/>
            </v:shape>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group style="position:absolute;margin-left:70.559998pt;margin-top:86.400002pt;width:650.9pt;height:525.6pt;mso-position-horizontal-relative:page;mso-position-vertical-relative:page;z-index:251871232" coordorigin="1411,1728" coordsize="13018,10512">
            <v:line style="position:absolute" from="1411,10958" to="14429,10958" stroked="true" strokeweight=".481pt" strokecolor="#d9d9d9">
              <v:stroke dashstyle="solid"/>
            </v:line>
            <v:shape style="position:absolute;left:3750;top:1728;width:8328;height:10512" type="#_x0000_t75" stroked="false">
              <v:imagedata r:id="rId155" o:title=""/>
            </v:shape>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group style="position:absolute;margin-left:70.559998pt;margin-top:86.400002pt;width:650.9pt;height:525.6pt;mso-position-horizontal-relative:page;mso-position-vertical-relative:page;z-index:251872256" coordorigin="1411,1728" coordsize="13018,10512">
            <v:line style="position:absolute" from="1411,10958" to="14429,10958" stroked="true" strokeweight=".481pt" strokecolor="#d9d9d9">
              <v:stroke dashstyle="solid"/>
            </v:line>
            <v:shape style="position:absolute;left:3795;top:1728;width:8236;height:10512" type="#_x0000_t75" stroked="false">
              <v:imagedata r:id="rId156" o:title=""/>
            </v:shape>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group style="position:absolute;margin-left:70.559998pt;margin-top:86.400024pt;width:650.9pt;height:525.6pt;mso-position-horizontal-relative:page;mso-position-vertical-relative:page;z-index:251873280" coordorigin="1411,1728" coordsize="13018,10512">
            <v:line style="position:absolute" from="1411,10958" to="14429,10958" stroked="true" strokeweight=".481pt" strokecolor="#d9d9d9">
              <v:stroke dashstyle="solid"/>
            </v:line>
            <v:shape style="position:absolute;left:3750;top:1728;width:8340;height:10512" type="#_x0000_t75" stroked="false">
              <v:imagedata r:id="rId157" o:title=""/>
            </v:shape>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group style="position:absolute;margin-left:70.559998pt;margin-top:86.400002pt;width:650.9pt;height:525.6pt;mso-position-horizontal-relative:page;mso-position-vertical-relative:page;z-index:251874304" coordorigin="1411,1728" coordsize="13018,10512">
            <v:line style="position:absolute" from="1411,10958" to="14429,10958" stroked="true" strokeweight=".481pt" strokecolor="#d9d9d9">
              <v:stroke dashstyle="solid"/>
            </v:line>
            <v:shape style="position:absolute;left:3758;top:1728;width:8324;height:10512" type="#_x0000_t75" stroked="false">
              <v:imagedata r:id="rId158" o:title=""/>
            </v:shape>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group style="position:absolute;margin-left:70.559998pt;margin-top:86.400002pt;width:650.9pt;height:525.6pt;mso-position-horizontal-relative:page;mso-position-vertical-relative:page;z-index:251875328" coordorigin="1411,1728" coordsize="13018,10512">
            <v:line style="position:absolute" from="1411,10958" to="14429,10958" stroked="true" strokeweight=".481pt" strokecolor="#d9d9d9">
              <v:stroke dashstyle="solid"/>
            </v:line>
            <v:shape style="position:absolute;left:3765;top:1728;width:8307;height:10512" type="#_x0000_t75" stroked="false">
              <v:imagedata r:id="rId159" o:title=""/>
            </v:shape>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group style="position:absolute;margin-left:70.559998pt;margin-top:86.400002pt;width:650.9pt;height:525.6pt;mso-position-horizontal-relative:page;mso-position-vertical-relative:page;z-index:251876352" coordorigin="1411,1728" coordsize="13018,10512">
            <v:line style="position:absolute" from="1411,10958" to="14429,10958" stroked="true" strokeweight=".481pt" strokecolor="#d9d9d9">
              <v:stroke dashstyle="solid"/>
            </v:line>
            <v:shape style="position:absolute;left:3779;top:1728;width:8281;height:10512" type="#_x0000_t75" stroked="false">
              <v:imagedata r:id="rId160" o:title=""/>
            </v:shape>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bookmarkStart w:name="_bookmark51" w:id="199"/>
      <w:bookmarkEnd w:id="199"/>
      <w:r>
        <w:rPr>
          <w:b w:val="0"/>
        </w:rPr>
      </w: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19" w:right="2957" w:firstLine="0"/>
        <w:jc w:val="center"/>
        <w:rPr>
          <w:b/>
          <w:sz w:val="28"/>
        </w:rPr>
      </w:pPr>
      <w:bookmarkStart w:name="Client Service Summary Excerpt" w:id="200"/>
      <w:bookmarkEnd w:id="200"/>
      <w:r>
        <w:rPr/>
      </w:r>
      <w:bookmarkStart w:name="_bookmark50" w:id="201"/>
      <w:bookmarkEnd w:id="201"/>
      <w:r>
        <w:rPr/>
      </w:r>
      <w:r>
        <w:rPr>
          <w:b/>
          <w:sz w:val="28"/>
          <w:u w:val="single"/>
        </w:rPr>
        <w:t>Client Service Summary Excerpt</w:t>
      </w:r>
    </w:p>
    <w:p>
      <w:pPr>
        <w:pStyle w:val="BodyText"/>
        <w:rPr>
          <w:b/>
          <w:sz w:val="20"/>
        </w:rPr>
      </w:pPr>
    </w:p>
    <w:p>
      <w:pPr>
        <w:pStyle w:val="BodyText"/>
        <w:rPr>
          <w:b/>
          <w:sz w:val="20"/>
        </w:rPr>
      </w:pPr>
    </w:p>
    <w:p>
      <w:pPr>
        <w:pStyle w:val="BodyText"/>
        <w:rPr>
          <w:b/>
          <w:sz w:val="20"/>
        </w:rPr>
      </w:pPr>
    </w:p>
    <w:p>
      <w:pPr>
        <w:pStyle w:val="BodyText"/>
        <w:spacing w:before="8"/>
        <w:rPr>
          <w:b/>
          <w:sz w:val="10"/>
        </w:rPr>
      </w:pPr>
      <w:r>
        <w:rPr/>
        <w:drawing>
          <wp:anchor distT="0" distB="0" distL="0" distR="0" allowOverlap="1" layoutInCell="1" locked="0" behindDoc="0" simplePos="0" relativeHeight="214">
            <wp:simplePos x="0" y="0"/>
            <wp:positionH relativeFrom="page">
              <wp:posOffset>3242922</wp:posOffset>
            </wp:positionH>
            <wp:positionV relativeFrom="paragraph">
              <wp:posOffset>107776</wp:posOffset>
            </wp:positionV>
            <wp:extent cx="3905354" cy="4000500"/>
            <wp:effectExtent l="0" t="0" r="0" b="0"/>
            <wp:wrapTopAndBottom/>
            <wp:docPr id="9" name="image13.jpeg" descr="cid:image001 "/>
            <wp:cNvGraphicFramePr>
              <a:graphicFrameLocks noChangeAspect="1"/>
            </wp:cNvGraphicFramePr>
            <a:graphic>
              <a:graphicData uri="http://schemas.openxmlformats.org/drawingml/2006/picture">
                <pic:pic>
                  <pic:nvPicPr>
                    <pic:cNvPr id="10" name="image13.jpeg"/>
                    <pic:cNvPicPr/>
                  </pic:nvPicPr>
                  <pic:blipFill>
                    <a:blip r:embed="rId161" cstate="print"/>
                    <a:stretch>
                      <a:fillRect/>
                    </a:stretch>
                  </pic:blipFill>
                  <pic:spPr>
                    <a:xfrm>
                      <a:off x="0" y="0"/>
                      <a:ext cx="3905354" cy="400050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2"/>
        </w:rPr>
      </w:pPr>
      <w:r>
        <w:rPr/>
        <w:pict>
          <v:shape style="position:absolute;margin-left:70.559998pt;margin-top:9.531220pt;width:650.9pt;height:.1pt;mso-position-horizontal-relative:page;mso-position-vertical-relative:paragraph;z-index:-251438080;mso-wrap-distance-left:0;mso-wrap-distance-right:0" coordorigin="1411,191" coordsize="13018,0" path="m1411,191l14429,191e" filled="false" stroked="true" strokeweight=".481pt" strokecolor="#d9d9d9">
            <v:path arrowok="t"/>
            <v:stroke dashstyle="solid"/>
            <w10:wrap type="topAndBottom"/>
          </v:shape>
        </w:pict>
      </w:r>
    </w:p>
    <w:p>
      <w:pPr>
        <w:spacing w:after="0"/>
        <w:rPr>
          <w:sz w:val="1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17" w:right="2957" w:firstLine="0"/>
        <w:jc w:val="center"/>
        <w:rPr>
          <w:b/>
          <w:sz w:val="28"/>
        </w:rPr>
      </w:pPr>
      <w:bookmarkStart w:name="Excerpt from Client Service Contract for" w:id="202"/>
      <w:bookmarkEnd w:id="202"/>
      <w:r>
        <w:rPr/>
      </w:r>
      <w:bookmarkStart w:name="_bookmark52" w:id="203"/>
      <w:bookmarkEnd w:id="203"/>
      <w:r>
        <w:rPr/>
      </w:r>
      <w:r>
        <w:rPr>
          <w:b/>
          <w:sz w:val="28"/>
          <w:u w:val="single"/>
        </w:rPr>
        <w:t>Excerpt from Client Service Contract for Companion Home 7-1-2015</w:t>
      </w:r>
    </w:p>
    <w:p>
      <w:pPr>
        <w:pStyle w:val="BodyText"/>
        <w:rPr>
          <w:b/>
          <w:sz w:val="20"/>
        </w:rPr>
      </w:pPr>
    </w:p>
    <w:p>
      <w:pPr>
        <w:pStyle w:val="BodyText"/>
        <w:spacing w:before="10"/>
        <w:rPr>
          <w:b/>
          <w:sz w:val="23"/>
        </w:rPr>
      </w:pPr>
    </w:p>
    <w:p>
      <w:pPr>
        <w:spacing w:before="52"/>
        <w:ind w:left="1060" w:right="0" w:firstLine="0"/>
        <w:jc w:val="left"/>
        <w:rPr>
          <w:b/>
          <w:sz w:val="24"/>
        </w:rPr>
      </w:pPr>
      <w:r>
        <w:rPr>
          <w:b/>
          <w:sz w:val="24"/>
        </w:rPr>
        <w:t>Special Terms and Conditions</w:t>
      </w:r>
    </w:p>
    <w:p>
      <w:pPr>
        <w:pStyle w:val="BodyText"/>
        <w:rPr>
          <w:b/>
          <w:sz w:val="20"/>
        </w:rPr>
      </w:pPr>
    </w:p>
    <w:p>
      <w:pPr>
        <w:spacing w:before="0"/>
        <w:ind w:left="1060" w:right="0" w:firstLine="0"/>
        <w:jc w:val="left"/>
        <w:rPr>
          <w:b/>
          <w:sz w:val="24"/>
        </w:rPr>
      </w:pPr>
      <w:r>
        <w:rPr>
          <w:b/>
          <w:sz w:val="24"/>
        </w:rPr>
        <w:t>3. Expectations</w:t>
      </w:r>
    </w:p>
    <w:p>
      <w:pPr>
        <w:pStyle w:val="BodyText"/>
        <w:spacing w:before="10"/>
        <w:rPr>
          <w:b/>
          <w:sz w:val="19"/>
        </w:rPr>
      </w:pPr>
    </w:p>
    <w:p>
      <w:pPr>
        <w:pStyle w:val="Heading4"/>
        <w:spacing w:line="278" w:lineRule="auto"/>
        <w:ind w:left="1060" w:right="1094"/>
      </w:pPr>
      <w:r>
        <w:rPr/>
        <w:t>a. Companion Home services are provided in an integrated setting and facilitate the client’s full access to the greater community. This may include opportunities to seek employment and work in competitive, integrated settings, engage in community life, control personal resources and receive services in the community in the same manner as individuals without disabilities. The Contractor will:</w:t>
      </w:r>
    </w:p>
    <w:p>
      <w:pPr>
        <w:pStyle w:val="Heading4"/>
        <w:numPr>
          <w:ilvl w:val="0"/>
          <w:numId w:val="49"/>
        </w:numPr>
        <w:tabs>
          <w:tab w:pos="1382" w:val="left" w:leader="none"/>
        </w:tabs>
        <w:spacing w:line="240" w:lineRule="auto" w:before="193" w:after="0"/>
        <w:ind w:left="1381" w:right="0" w:hanging="322"/>
        <w:jc w:val="left"/>
      </w:pPr>
      <w:r>
        <w:rPr/>
        <w:t>Protect essential personal rights of privacy, dignity, respect and freedom from coercion and</w:t>
      </w:r>
      <w:r>
        <w:rPr>
          <w:spacing w:val="-8"/>
        </w:rPr>
        <w:t> </w:t>
      </w:r>
      <w:r>
        <w:rPr/>
        <w:t>restraint.</w:t>
      </w:r>
    </w:p>
    <w:p>
      <w:pPr>
        <w:pStyle w:val="BodyText"/>
        <w:spacing w:before="10"/>
        <w:rPr>
          <w:sz w:val="19"/>
        </w:rPr>
      </w:pPr>
    </w:p>
    <w:p>
      <w:pPr>
        <w:pStyle w:val="Heading4"/>
        <w:numPr>
          <w:ilvl w:val="0"/>
          <w:numId w:val="49"/>
        </w:numPr>
        <w:tabs>
          <w:tab w:pos="1382" w:val="left" w:leader="none"/>
        </w:tabs>
        <w:spacing w:line="278" w:lineRule="auto" w:before="0" w:after="0"/>
        <w:ind w:left="1060" w:right="1287" w:firstLine="0"/>
        <w:jc w:val="left"/>
      </w:pPr>
      <w:r>
        <w:rPr/>
        <w:t>Support the Client’s initiative, autonomy and independence in making life choices. This may include but is not limited to choices in daily activities, physical environment and with whom to interact. Client’s choices are optimized and not</w:t>
      </w:r>
      <w:r>
        <w:rPr>
          <w:spacing w:val="-13"/>
        </w:rPr>
        <w:t> </w:t>
      </w:r>
      <w:r>
        <w:rPr/>
        <w:t>regimented.</w:t>
      </w:r>
    </w:p>
    <w:p>
      <w:pPr>
        <w:pStyle w:val="Heading4"/>
        <w:numPr>
          <w:ilvl w:val="0"/>
          <w:numId w:val="49"/>
        </w:numPr>
        <w:tabs>
          <w:tab w:pos="1382" w:val="left" w:leader="none"/>
        </w:tabs>
        <w:spacing w:line="278" w:lineRule="auto" w:before="194" w:after="0"/>
        <w:ind w:left="1060" w:right="1118" w:firstLine="0"/>
        <w:jc w:val="left"/>
      </w:pPr>
      <w:r>
        <w:rPr/>
        <w:t>The client’s home is a specific physical place that can be owned, rented or occupied under another legally enforceable agreement by the client receiving services. The client has the same responsibilities and protections from eviction from their home under the landlord tenant law of the State of Washington, County, City or other designated entity as the general</w:t>
      </w:r>
      <w:r>
        <w:rPr>
          <w:spacing w:val="-8"/>
        </w:rPr>
        <w:t> </w:t>
      </w:r>
      <w:r>
        <w:rPr/>
        <w:t>public.</w:t>
      </w:r>
    </w:p>
    <w:p>
      <w:pPr>
        <w:pStyle w:val="Heading4"/>
        <w:numPr>
          <w:ilvl w:val="0"/>
          <w:numId w:val="49"/>
        </w:numPr>
        <w:tabs>
          <w:tab w:pos="1382" w:val="left" w:leader="none"/>
        </w:tabs>
        <w:spacing w:line="240" w:lineRule="auto" w:before="195" w:after="0"/>
        <w:ind w:left="1381" w:right="0" w:hanging="322"/>
        <w:jc w:val="left"/>
      </w:pPr>
      <w:r>
        <w:rPr/>
        <w:t>Honor the Client’s right to privacy in their bedroom and right to decorate and furnish their</w:t>
      </w:r>
      <w:r>
        <w:rPr>
          <w:spacing w:val="-17"/>
        </w:rPr>
        <w:t> </w:t>
      </w:r>
      <w:r>
        <w:rPr/>
        <w:t>bedroom.</w:t>
      </w:r>
    </w:p>
    <w:p>
      <w:pPr>
        <w:pStyle w:val="BodyText"/>
        <w:spacing w:before="10"/>
        <w:rPr>
          <w:sz w:val="19"/>
        </w:rPr>
      </w:pPr>
    </w:p>
    <w:p>
      <w:pPr>
        <w:pStyle w:val="Heading4"/>
        <w:numPr>
          <w:ilvl w:val="0"/>
          <w:numId w:val="49"/>
        </w:numPr>
        <w:tabs>
          <w:tab w:pos="1382" w:val="left" w:leader="none"/>
        </w:tabs>
        <w:spacing w:line="240" w:lineRule="auto" w:before="0" w:after="0"/>
        <w:ind w:left="1381" w:right="0" w:hanging="322"/>
        <w:jc w:val="left"/>
      </w:pPr>
      <w:r>
        <w:rPr/>
        <w:t>Allow Clients to lock the door to their sleeping unit. The Contractor can retain a key to use in case of</w:t>
      </w:r>
      <w:r>
        <w:rPr>
          <w:spacing w:val="-23"/>
        </w:rPr>
        <w:t> </w:t>
      </w:r>
      <w:r>
        <w:rPr/>
        <w:t>emergency.</w:t>
      </w:r>
    </w:p>
    <w:p>
      <w:pPr>
        <w:pStyle w:val="BodyText"/>
        <w:spacing w:before="1"/>
        <w:rPr>
          <w:sz w:val="20"/>
        </w:rPr>
      </w:pPr>
    </w:p>
    <w:p>
      <w:pPr>
        <w:pStyle w:val="Heading4"/>
        <w:numPr>
          <w:ilvl w:val="0"/>
          <w:numId w:val="49"/>
        </w:numPr>
        <w:tabs>
          <w:tab w:pos="1382" w:val="left" w:leader="none"/>
        </w:tabs>
        <w:spacing w:line="240" w:lineRule="auto" w:before="0" w:after="0"/>
        <w:ind w:left="1381" w:right="0" w:hanging="322"/>
        <w:jc w:val="left"/>
      </w:pPr>
      <w:r>
        <w:rPr/>
        <w:t>Support Clients to have the freedom and support to control their own</w:t>
      </w:r>
      <w:r>
        <w:rPr>
          <w:spacing w:val="-8"/>
        </w:rPr>
        <w:t> </w:t>
      </w:r>
      <w:r>
        <w:rPr/>
        <w:t>schedules.</w:t>
      </w:r>
    </w:p>
    <w:p>
      <w:pPr>
        <w:pStyle w:val="BodyText"/>
        <w:rPr>
          <w:sz w:val="20"/>
        </w:rPr>
      </w:pPr>
    </w:p>
    <w:p>
      <w:pPr>
        <w:pStyle w:val="Heading4"/>
        <w:numPr>
          <w:ilvl w:val="0"/>
          <w:numId w:val="49"/>
        </w:numPr>
        <w:tabs>
          <w:tab w:pos="1382" w:val="left" w:leader="none"/>
        </w:tabs>
        <w:spacing w:line="240" w:lineRule="auto" w:before="0" w:after="0"/>
        <w:ind w:left="1381" w:right="0" w:hanging="323"/>
        <w:jc w:val="left"/>
      </w:pPr>
      <w:r>
        <w:rPr/>
        <w:t>Support the Client to have visitors of their choosing at any</w:t>
      </w:r>
      <w:r>
        <w:rPr>
          <w:spacing w:val="-4"/>
        </w:rPr>
        <w:t> </w:t>
      </w:r>
      <w:r>
        <w:rPr/>
        <w:t>time.</w:t>
      </w:r>
    </w:p>
    <w:p>
      <w:pPr>
        <w:pStyle w:val="BodyText"/>
        <w:spacing w:before="1"/>
        <w:rPr>
          <w:sz w:val="20"/>
        </w:rPr>
      </w:pPr>
    </w:p>
    <w:p>
      <w:pPr>
        <w:pStyle w:val="Heading4"/>
        <w:numPr>
          <w:ilvl w:val="0"/>
          <w:numId w:val="49"/>
        </w:numPr>
        <w:tabs>
          <w:tab w:pos="1382" w:val="left" w:leader="none"/>
        </w:tabs>
        <w:spacing w:line="240" w:lineRule="auto" w:before="0" w:after="0"/>
        <w:ind w:left="1381" w:right="0" w:hanging="323"/>
        <w:jc w:val="left"/>
      </w:pPr>
      <w:r>
        <w:rPr/>
        <w:t>Support the Client’s freedom to access to food at any</w:t>
      </w:r>
      <w:r>
        <w:rPr>
          <w:spacing w:val="-7"/>
        </w:rPr>
        <w:t> </w:t>
      </w:r>
      <w:r>
        <w:rPr/>
        <w:t>time.</w:t>
      </w:r>
    </w:p>
    <w:p>
      <w:pPr>
        <w:pStyle w:val="BodyText"/>
        <w:spacing w:before="10"/>
        <w:rPr>
          <w:sz w:val="19"/>
        </w:rPr>
      </w:pPr>
    </w:p>
    <w:p>
      <w:pPr>
        <w:pStyle w:val="Heading4"/>
        <w:numPr>
          <w:ilvl w:val="0"/>
          <w:numId w:val="49"/>
        </w:numPr>
        <w:tabs>
          <w:tab w:pos="1382" w:val="left" w:leader="none"/>
        </w:tabs>
        <w:spacing w:line="240" w:lineRule="auto" w:before="0" w:after="0"/>
        <w:ind w:left="1381" w:right="0" w:hanging="322"/>
        <w:jc w:val="left"/>
      </w:pPr>
      <w:r>
        <w:rPr/>
        <w:t>Provide a setting that is physically accessible to the</w:t>
      </w:r>
      <w:r>
        <w:rPr>
          <w:spacing w:val="-4"/>
        </w:rPr>
        <w:t> </w:t>
      </w:r>
      <w:r>
        <w:rPr/>
        <w:t>Client</w:t>
      </w:r>
      <w:bookmarkStart w:name="_bookmark53" w:id="204"/>
      <w:bookmarkEnd w:id="204"/>
      <w:r>
        <w:rPr/>
        <w:t>.</w:t>
      </w:r>
    </w:p>
    <w:p>
      <w:pPr>
        <w:pStyle w:val="BodyText"/>
        <w:rPr>
          <w:sz w:val="20"/>
        </w:rPr>
      </w:pPr>
    </w:p>
    <w:p>
      <w:pPr>
        <w:pStyle w:val="BodyText"/>
        <w:spacing w:before="5"/>
        <w:rPr>
          <w:sz w:val="10"/>
        </w:rPr>
      </w:pPr>
      <w:r>
        <w:rPr/>
        <w:pict>
          <v:shape style="position:absolute;margin-left:70.559998pt;margin-top:8.590399pt;width:650.9pt;height:.1pt;mso-position-horizontal-relative:page;mso-position-vertical-relative:paragraph;z-index:-251437056;mso-wrap-distance-left:0;mso-wrap-distance-right:0" coordorigin="1411,172" coordsize="13018,0" path="m1411,172l14429,172e" filled="false" stroked="true" strokeweight=".481pt" strokecolor="#d9d9d9">
            <v:path arrowok="t"/>
            <v:stroke dashstyle="solid"/>
            <w10:wrap type="topAndBottom"/>
          </v:shape>
        </w:pict>
      </w:r>
    </w:p>
    <w:p>
      <w:pPr>
        <w:spacing w:after="0"/>
        <w:rPr>
          <w:sz w:val="10"/>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16" w:right="2957" w:firstLine="0"/>
        <w:jc w:val="center"/>
        <w:rPr>
          <w:sz w:val="28"/>
        </w:rPr>
      </w:pPr>
      <w:r>
        <w:rPr>
          <w:sz w:val="28"/>
          <w:u w:val="single"/>
        </w:rPr>
        <w:t>Excerpt from DDA County Services Contract effective 7/1/2015</w:t>
      </w:r>
    </w:p>
    <w:p>
      <w:pPr>
        <w:pStyle w:val="BodyText"/>
        <w:spacing w:before="6"/>
      </w:pPr>
      <w:r>
        <w:rPr/>
        <w:drawing>
          <wp:anchor distT="0" distB="0" distL="0" distR="0" allowOverlap="1" layoutInCell="1" locked="0" behindDoc="0" simplePos="0" relativeHeight="217">
            <wp:simplePos x="0" y="0"/>
            <wp:positionH relativeFrom="page">
              <wp:posOffset>943549</wp:posOffset>
            </wp:positionH>
            <wp:positionV relativeFrom="paragraph">
              <wp:posOffset>199107</wp:posOffset>
            </wp:positionV>
            <wp:extent cx="5171243" cy="5130450"/>
            <wp:effectExtent l="0" t="0" r="0" b="0"/>
            <wp:wrapTopAndBottom/>
            <wp:docPr id="11" name="image14.png"/>
            <wp:cNvGraphicFramePr>
              <a:graphicFrameLocks noChangeAspect="1"/>
            </wp:cNvGraphicFramePr>
            <a:graphic>
              <a:graphicData uri="http://schemas.openxmlformats.org/drawingml/2006/picture">
                <pic:pic>
                  <pic:nvPicPr>
                    <pic:cNvPr id="12" name="image14.png"/>
                    <pic:cNvPicPr/>
                  </pic:nvPicPr>
                  <pic:blipFill>
                    <a:blip r:embed="rId162" cstate="print"/>
                    <a:stretch>
                      <a:fillRect/>
                    </a:stretch>
                  </pic:blipFill>
                  <pic:spPr>
                    <a:xfrm>
                      <a:off x="0" y="0"/>
                      <a:ext cx="5171243" cy="5130450"/>
                    </a:xfrm>
                    <a:prstGeom prst="rect">
                      <a:avLst/>
                    </a:prstGeom>
                  </pic:spPr>
                </pic:pic>
              </a:graphicData>
            </a:graphic>
          </wp:anchor>
        </w:drawing>
      </w:r>
    </w:p>
    <w:p>
      <w:pPr>
        <w:pStyle w:val="BodyText"/>
        <w:rPr>
          <w:sz w:val="20"/>
        </w:rPr>
      </w:pPr>
    </w:p>
    <w:p>
      <w:pPr>
        <w:pStyle w:val="BodyText"/>
        <w:spacing w:before="5"/>
        <w:rPr>
          <w:sz w:val="14"/>
        </w:rPr>
      </w:pPr>
      <w:r>
        <w:rPr/>
        <w:pict>
          <v:shape style="position:absolute;margin-left:70.559998pt;margin-top:11.023559pt;width:650.9pt;height:.1pt;mso-position-horizontal-relative:page;mso-position-vertical-relative:paragraph;z-index:-251435008;mso-wrap-distance-left:0;mso-wrap-distance-right:0" coordorigin="1411,220" coordsize="13018,0" path="m1411,220l14429,220e" filled="false" stroked="true" strokeweight=".481pt" strokecolor="#d9d9d9">
            <v:path arrowok="t"/>
            <v:stroke dashstyle="solid"/>
            <w10:wrap type="topAndBottom"/>
          </v:shape>
        </w:pict>
      </w:r>
    </w:p>
    <w:p>
      <w:pPr>
        <w:spacing w:after="0"/>
        <w:rPr>
          <w:sz w:val="14"/>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0"/>
        </w:rPr>
      </w:pPr>
    </w:p>
    <w:p>
      <w:pPr>
        <w:pStyle w:val="BodyText"/>
        <w:spacing w:before="3"/>
        <w:rPr>
          <w:b/>
          <w:sz w:val="10"/>
        </w:rPr>
      </w:pPr>
      <w:r>
        <w:rPr/>
        <w:drawing>
          <wp:anchor distT="0" distB="0" distL="0" distR="0" allowOverlap="1" layoutInCell="1" locked="0" behindDoc="0" simplePos="0" relativeHeight="219">
            <wp:simplePos x="0" y="0"/>
            <wp:positionH relativeFrom="page">
              <wp:posOffset>2057400</wp:posOffset>
            </wp:positionH>
            <wp:positionV relativeFrom="paragraph">
              <wp:posOffset>104428</wp:posOffset>
            </wp:positionV>
            <wp:extent cx="5907139" cy="4909566"/>
            <wp:effectExtent l="0" t="0" r="0" b="0"/>
            <wp:wrapTopAndBottom/>
            <wp:docPr id="13" name="image15.png"/>
            <wp:cNvGraphicFramePr>
              <a:graphicFrameLocks noChangeAspect="1"/>
            </wp:cNvGraphicFramePr>
            <a:graphic>
              <a:graphicData uri="http://schemas.openxmlformats.org/drawingml/2006/picture">
                <pic:pic>
                  <pic:nvPicPr>
                    <pic:cNvPr id="14" name="image15.png"/>
                    <pic:cNvPicPr/>
                  </pic:nvPicPr>
                  <pic:blipFill>
                    <a:blip r:embed="rId163" cstate="print"/>
                    <a:stretch>
                      <a:fillRect/>
                    </a:stretch>
                  </pic:blipFill>
                  <pic:spPr>
                    <a:xfrm>
                      <a:off x="0" y="0"/>
                      <a:ext cx="5907139" cy="4909566"/>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
        <w:rPr>
          <w:b/>
          <w:sz w:val="19"/>
        </w:rPr>
      </w:pPr>
      <w:r>
        <w:rPr/>
        <w:pict>
          <v:shape style="position:absolute;margin-left:70.559998pt;margin-top:14.398419pt;width:650.9pt;height:.1pt;mso-position-horizontal-relative:page;mso-position-vertical-relative:paragraph;z-index:-251432960;mso-wrap-distance-left:0;mso-wrap-distance-right:0" coordorigin="1411,288" coordsize="13018,0" path="m1411,288l14429,288e" filled="false" stroked="true" strokeweight=".481pt" strokecolor="#d9d9d9">
            <v:path arrowok="t"/>
            <v:stroke dashstyle="solid"/>
            <w10:wrap type="topAndBottom"/>
          </v:shape>
        </w:pict>
      </w:r>
    </w:p>
    <w:p>
      <w:pPr>
        <w:spacing w:after="0"/>
        <w:rPr>
          <w:sz w:val="1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0"/>
        </w:rPr>
      </w:pPr>
    </w:p>
    <w:p>
      <w:pPr>
        <w:pStyle w:val="BodyText"/>
        <w:spacing w:before="1"/>
        <w:rPr>
          <w:b/>
          <w:sz w:val="10"/>
        </w:rPr>
      </w:pPr>
      <w:r>
        <w:rPr/>
        <w:drawing>
          <wp:anchor distT="0" distB="0" distL="0" distR="0" allowOverlap="1" layoutInCell="1" locked="0" behindDoc="0" simplePos="0" relativeHeight="221">
            <wp:simplePos x="0" y="0"/>
            <wp:positionH relativeFrom="page">
              <wp:posOffset>1913367</wp:posOffset>
            </wp:positionH>
            <wp:positionV relativeFrom="paragraph">
              <wp:posOffset>103487</wp:posOffset>
            </wp:positionV>
            <wp:extent cx="6083163" cy="5308092"/>
            <wp:effectExtent l="0" t="0" r="0" b="0"/>
            <wp:wrapTopAndBottom/>
            <wp:docPr id="15" name="image16.png"/>
            <wp:cNvGraphicFramePr>
              <a:graphicFrameLocks noChangeAspect="1"/>
            </wp:cNvGraphicFramePr>
            <a:graphic>
              <a:graphicData uri="http://schemas.openxmlformats.org/drawingml/2006/picture">
                <pic:pic>
                  <pic:nvPicPr>
                    <pic:cNvPr id="16" name="image16.png"/>
                    <pic:cNvPicPr/>
                  </pic:nvPicPr>
                  <pic:blipFill>
                    <a:blip r:embed="rId165" cstate="print"/>
                    <a:stretch>
                      <a:fillRect/>
                    </a:stretch>
                  </pic:blipFill>
                  <pic:spPr>
                    <a:xfrm>
                      <a:off x="0" y="0"/>
                      <a:ext cx="6083163" cy="5308092"/>
                    </a:xfrm>
                    <a:prstGeom prst="rect">
                      <a:avLst/>
                    </a:prstGeom>
                  </pic:spPr>
                </pic:pic>
              </a:graphicData>
            </a:graphic>
          </wp:anchor>
        </w:drawing>
      </w:r>
    </w:p>
    <w:p>
      <w:pPr>
        <w:pStyle w:val="BodyText"/>
        <w:rPr>
          <w:b/>
          <w:sz w:val="20"/>
        </w:rPr>
      </w:pPr>
    </w:p>
    <w:p>
      <w:pPr>
        <w:pStyle w:val="BodyText"/>
        <w:spacing w:before="8"/>
        <w:rPr>
          <w:b/>
          <w:sz w:val="28"/>
        </w:rPr>
      </w:pPr>
      <w:r>
        <w:rPr/>
        <w:pict>
          <v:shape style="position:absolute;margin-left:70.559998pt;margin-top:19.713633pt;width:650.9pt;height:.1pt;mso-position-horizontal-relative:page;mso-position-vertical-relative:paragraph;z-index:-251430912;mso-wrap-distance-left:0;mso-wrap-distance-right:0" coordorigin="1411,394" coordsize="13018,0" path="m1411,394l14429,394e" filled="false" stroked="true" strokeweight=".481pt" strokecolor="#d9d9d9">
            <v:path arrowok="t"/>
            <v:stroke dashstyle="solid"/>
            <w10:wrap type="topAndBottom"/>
          </v:shape>
        </w:pict>
      </w:r>
    </w:p>
    <w:p>
      <w:pPr>
        <w:spacing w:after="0"/>
        <w:rPr>
          <w:sz w:val="28"/>
        </w:rPr>
        <w:sectPr>
          <w:footerReference w:type="default" r:id="rId164"/>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7"/>
        <w:rPr>
          <w:b/>
          <w:sz w:val="19"/>
        </w:rPr>
      </w:pPr>
      <w:r>
        <w:rPr/>
        <w:drawing>
          <wp:anchor distT="0" distB="0" distL="0" distR="0" allowOverlap="1" layoutInCell="1" locked="0" behindDoc="0" simplePos="0" relativeHeight="223">
            <wp:simplePos x="0" y="0"/>
            <wp:positionH relativeFrom="page">
              <wp:posOffset>2289945</wp:posOffset>
            </wp:positionH>
            <wp:positionV relativeFrom="paragraph">
              <wp:posOffset>176997</wp:posOffset>
            </wp:positionV>
            <wp:extent cx="5534149" cy="5253228"/>
            <wp:effectExtent l="0" t="0" r="0" b="0"/>
            <wp:wrapTopAndBottom/>
            <wp:docPr id="17" name="image17.png"/>
            <wp:cNvGraphicFramePr>
              <a:graphicFrameLocks noChangeAspect="1"/>
            </wp:cNvGraphicFramePr>
            <a:graphic>
              <a:graphicData uri="http://schemas.openxmlformats.org/drawingml/2006/picture">
                <pic:pic>
                  <pic:nvPicPr>
                    <pic:cNvPr id="18" name="image17.png"/>
                    <pic:cNvPicPr/>
                  </pic:nvPicPr>
                  <pic:blipFill>
                    <a:blip r:embed="rId167" cstate="print"/>
                    <a:stretch>
                      <a:fillRect/>
                    </a:stretch>
                  </pic:blipFill>
                  <pic:spPr>
                    <a:xfrm>
                      <a:off x="0" y="0"/>
                      <a:ext cx="5534149" cy="5253228"/>
                    </a:xfrm>
                    <a:prstGeom prst="rect">
                      <a:avLst/>
                    </a:prstGeom>
                  </pic:spPr>
                </pic:pic>
              </a:graphicData>
            </a:graphic>
          </wp:anchor>
        </w:drawing>
      </w:r>
    </w:p>
    <w:p>
      <w:pPr>
        <w:pStyle w:val="BodyText"/>
        <w:rPr>
          <w:b/>
          <w:sz w:val="20"/>
        </w:rPr>
      </w:pPr>
    </w:p>
    <w:p>
      <w:pPr>
        <w:pStyle w:val="BodyText"/>
        <w:rPr>
          <w:b/>
          <w:sz w:val="20"/>
        </w:rPr>
      </w:pPr>
    </w:p>
    <w:p>
      <w:pPr>
        <w:pStyle w:val="BodyText"/>
        <w:spacing w:before="3"/>
        <w:rPr>
          <w:b/>
          <w:sz w:val="26"/>
        </w:rPr>
      </w:pPr>
      <w:r>
        <w:rPr/>
        <w:pict>
          <v:shape style="position:absolute;margin-left:70.559998pt;margin-top:18.245413pt;width:650.9pt;height:.1pt;mso-position-horizontal-relative:page;mso-position-vertical-relative:paragraph;z-index:-251428864;mso-wrap-distance-left:0;mso-wrap-distance-right:0" coordorigin="1411,365" coordsize="13018,0" path="m1411,365l14429,365e" filled="false" stroked="true" strokeweight=".481pt" strokecolor="#d9d9d9">
            <v:path arrowok="t"/>
            <v:stroke dashstyle="solid"/>
            <w10:wrap type="topAndBottom"/>
          </v:shape>
        </w:pict>
      </w:r>
    </w:p>
    <w:p>
      <w:pPr>
        <w:spacing w:after="0"/>
        <w:rPr>
          <w:sz w:val="26"/>
        </w:rPr>
        <w:sectPr>
          <w:footerReference w:type="default" r:id="rId166"/>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211"/>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0"/>
        </w:rPr>
      </w:pPr>
    </w:p>
    <w:p>
      <w:pPr>
        <w:pStyle w:val="BodyText"/>
        <w:spacing w:before="11"/>
        <w:rPr>
          <w:b/>
          <w:sz w:val="12"/>
        </w:rPr>
      </w:pPr>
      <w:r>
        <w:rPr/>
        <w:drawing>
          <wp:anchor distT="0" distB="0" distL="0" distR="0" allowOverlap="1" layoutInCell="1" locked="0" behindDoc="0" simplePos="0" relativeHeight="225">
            <wp:simplePos x="0" y="0"/>
            <wp:positionH relativeFrom="page">
              <wp:posOffset>2057400</wp:posOffset>
            </wp:positionH>
            <wp:positionV relativeFrom="paragraph">
              <wp:posOffset>125138</wp:posOffset>
            </wp:positionV>
            <wp:extent cx="5948015" cy="5369528"/>
            <wp:effectExtent l="0" t="0" r="0" b="0"/>
            <wp:wrapTopAndBottom/>
            <wp:docPr id="19" name="image18.png"/>
            <wp:cNvGraphicFramePr>
              <a:graphicFrameLocks noChangeAspect="1"/>
            </wp:cNvGraphicFramePr>
            <a:graphic>
              <a:graphicData uri="http://schemas.openxmlformats.org/drawingml/2006/picture">
                <pic:pic>
                  <pic:nvPicPr>
                    <pic:cNvPr id="20" name="image18.png"/>
                    <pic:cNvPicPr/>
                  </pic:nvPicPr>
                  <pic:blipFill>
                    <a:blip r:embed="rId168" cstate="print"/>
                    <a:stretch>
                      <a:fillRect/>
                    </a:stretch>
                  </pic:blipFill>
                  <pic:spPr>
                    <a:xfrm>
                      <a:off x="0" y="0"/>
                      <a:ext cx="5948015" cy="5369528"/>
                    </a:xfrm>
                    <a:prstGeom prst="rect">
                      <a:avLst/>
                    </a:prstGeom>
                  </pic:spPr>
                </pic:pic>
              </a:graphicData>
            </a:graphic>
          </wp:anchor>
        </w:drawing>
      </w:r>
    </w:p>
    <w:p>
      <w:pPr>
        <w:pStyle w:val="BodyText"/>
        <w:rPr>
          <w:b/>
          <w:sz w:val="20"/>
        </w:rPr>
      </w:pPr>
    </w:p>
    <w:p>
      <w:pPr>
        <w:pStyle w:val="BodyText"/>
        <w:spacing w:before="11"/>
        <w:rPr>
          <w:b/>
          <w:sz w:val="17"/>
        </w:rPr>
      </w:pPr>
      <w:r>
        <w:rPr/>
        <w:pict>
          <v:shape style="position:absolute;margin-left:70.559998pt;margin-top:13.171305pt;width:650.9pt;height:.1pt;mso-position-horizontal-relative:page;mso-position-vertical-relative:paragraph;z-index:-251426816;mso-wrap-distance-left:0;mso-wrap-distance-right:0" coordorigin="1411,263" coordsize="13018,0" path="m1411,263l14429,263e" filled="false" stroked="true" strokeweight=".481pt" strokecolor="#d9d9d9">
            <v:path arrowok="t"/>
            <v:stroke dashstyle="solid"/>
            <w10:wrap type="topAndBottom"/>
          </v:shape>
        </w:pict>
      </w:r>
    </w:p>
    <w:p>
      <w:pPr>
        <w:spacing w:after="0"/>
        <w:rPr>
          <w:sz w:val="17"/>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9"/>
        <w:rPr>
          <w:b/>
          <w:sz w:val="27"/>
        </w:rPr>
      </w:pPr>
      <w:r>
        <w:rPr/>
        <w:drawing>
          <wp:anchor distT="0" distB="0" distL="0" distR="0" allowOverlap="1" layoutInCell="1" locked="0" behindDoc="0" simplePos="0" relativeHeight="227">
            <wp:simplePos x="0" y="0"/>
            <wp:positionH relativeFrom="page">
              <wp:posOffset>2327863</wp:posOffset>
            </wp:positionH>
            <wp:positionV relativeFrom="paragraph">
              <wp:posOffset>239977</wp:posOffset>
            </wp:positionV>
            <wp:extent cx="5484045" cy="5343525"/>
            <wp:effectExtent l="0" t="0" r="0" b="0"/>
            <wp:wrapTopAndBottom/>
            <wp:docPr id="21" name="image19.png"/>
            <wp:cNvGraphicFramePr>
              <a:graphicFrameLocks noChangeAspect="1"/>
            </wp:cNvGraphicFramePr>
            <a:graphic>
              <a:graphicData uri="http://schemas.openxmlformats.org/drawingml/2006/picture">
                <pic:pic>
                  <pic:nvPicPr>
                    <pic:cNvPr id="22" name="image19.png"/>
                    <pic:cNvPicPr/>
                  </pic:nvPicPr>
                  <pic:blipFill>
                    <a:blip r:embed="rId169" cstate="print"/>
                    <a:stretch>
                      <a:fillRect/>
                    </a:stretch>
                  </pic:blipFill>
                  <pic:spPr>
                    <a:xfrm>
                      <a:off x="0" y="0"/>
                      <a:ext cx="5484045" cy="5343525"/>
                    </a:xfrm>
                    <a:prstGeom prst="rect">
                      <a:avLst/>
                    </a:prstGeom>
                  </pic:spPr>
                </pic:pic>
              </a:graphicData>
            </a:graphic>
          </wp:anchor>
        </w:drawing>
      </w:r>
    </w:p>
    <w:p>
      <w:pPr>
        <w:pStyle w:val="BodyText"/>
        <w:rPr>
          <w:b/>
          <w:sz w:val="20"/>
        </w:rPr>
      </w:pPr>
    </w:p>
    <w:p>
      <w:pPr>
        <w:pStyle w:val="BodyText"/>
        <w:spacing w:before="6"/>
        <w:rPr>
          <w:b/>
          <w:sz w:val="26"/>
        </w:rPr>
      </w:pPr>
      <w:r>
        <w:rPr/>
        <w:pict>
          <v:shape style="position:absolute;margin-left:70.559998pt;margin-top:18.383392pt;width:650.9pt;height:.1pt;mso-position-horizontal-relative:page;mso-position-vertical-relative:paragraph;z-index:-251424768;mso-wrap-distance-left:0;mso-wrap-distance-right:0" coordorigin="1411,368" coordsize="13018,0" path="m1411,368l14429,368e" filled="false" stroked="true" strokeweight=".481pt" strokecolor="#d9d9d9">
            <v:path arrowok="t"/>
            <v:stroke dashstyle="solid"/>
            <w10:wrap type="topAndBottom"/>
          </v:shape>
        </w:pict>
      </w:r>
    </w:p>
    <w:p>
      <w:pPr>
        <w:spacing w:after="0"/>
        <w:rPr>
          <w:sz w:val="2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24"/>
        </w:rPr>
      </w:pPr>
      <w:r>
        <w:rPr/>
        <w:drawing>
          <wp:anchor distT="0" distB="0" distL="0" distR="0" allowOverlap="1" layoutInCell="1" locked="0" behindDoc="0" simplePos="0" relativeHeight="229">
            <wp:simplePos x="0" y="0"/>
            <wp:positionH relativeFrom="page">
              <wp:posOffset>2265124</wp:posOffset>
            </wp:positionH>
            <wp:positionV relativeFrom="paragraph">
              <wp:posOffset>216226</wp:posOffset>
            </wp:positionV>
            <wp:extent cx="5594173" cy="2466975"/>
            <wp:effectExtent l="0" t="0" r="0" b="0"/>
            <wp:wrapTopAndBottom/>
            <wp:docPr id="23" name="image20.png"/>
            <wp:cNvGraphicFramePr>
              <a:graphicFrameLocks noChangeAspect="1"/>
            </wp:cNvGraphicFramePr>
            <a:graphic>
              <a:graphicData uri="http://schemas.openxmlformats.org/drawingml/2006/picture">
                <pic:pic>
                  <pic:nvPicPr>
                    <pic:cNvPr id="24" name="image20.png"/>
                    <pic:cNvPicPr/>
                  </pic:nvPicPr>
                  <pic:blipFill>
                    <a:blip r:embed="rId170" cstate="print"/>
                    <a:stretch>
                      <a:fillRect/>
                    </a:stretch>
                  </pic:blipFill>
                  <pic:spPr>
                    <a:xfrm>
                      <a:off x="0" y="0"/>
                      <a:ext cx="5594173" cy="2466975"/>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0"/>
        </w:rPr>
      </w:pPr>
      <w:r>
        <w:rPr/>
        <w:pict>
          <v:shape style="position:absolute;margin-left:70.559998pt;margin-top:14.819973pt;width:650.9pt;height:.1pt;mso-position-horizontal-relative:page;mso-position-vertical-relative:paragraph;z-index:-251422720;mso-wrap-distance-left:0;mso-wrap-distance-right:0" coordorigin="1411,296" coordsize="13018,0" path="m1411,296l14429,296e" filled="false" stroked="true" strokeweight=".481pt" strokecolor="#d9d9d9">
            <v:path arrowok="t"/>
            <v:stroke dashstyle="solid"/>
            <w10:wrap type="topAndBottom"/>
          </v:shape>
        </w:pict>
      </w:r>
    </w:p>
    <w:p>
      <w:pPr>
        <w:spacing w:after="0"/>
        <w:rPr>
          <w:sz w:val="20"/>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18" w:right="2957" w:firstLine="0"/>
        <w:jc w:val="center"/>
        <w:rPr>
          <w:b/>
          <w:sz w:val="28"/>
        </w:rPr>
      </w:pPr>
      <w:bookmarkStart w:name="Excerpt from Engrossed Substitute Senate" w:id="205"/>
      <w:bookmarkEnd w:id="205"/>
      <w:r>
        <w:rPr/>
      </w:r>
      <w:bookmarkStart w:name="_bookmark54" w:id="206"/>
      <w:bookmarkEnd w:id="206"/>
      <w:r>
        <w:rPr/>
      </w:r>
      <w:r>
        <w:rPr>
          <w:b/>
          <w:sz w:val="28"/>
          <w:u w:val="single"/>
        </w:rPr>
        <w:t>Excerpt from Engrossed Substitute Senate Bill 6052</w:t>
      </w:r>
    </w:p>
    <w:p>
      <w:pPr>
        <w:pStyle w:val="BodyText"/>
        <w:rPr>
          <w:b/>
          <w:sz w:val="20"/>
        </w:rPr>
      </w:pPr>
    </w:p>
    <w:p>
      <w:pPr>
        <w:pStyle w:val="BodyText"/>
        <w:spacing w:before="10"/>
        <w:rPr>
          <w:b/>
          <w:sz w:val="23"/>
        </w:rPr>
      </w:pPr>
    </w:p>
    <w:p>
      <w:pPr>
        <w:pStyle w:val="Heading4"/>
        <w:spacing w:before="52"/>
        <w:ind w:left="1060"/>
      </w:pPr>
      <w:r>
        <w:rPr/>
        <w:t>Engrossed Substitute Senate Bill 6052, Chapter 4, Laws of 2015, Section 205 (Partial veto)</w:t>
      </w:r>
    </w:p>
    <w:p>
      <w:pPr>
        <w:pStyle w:val="BodyText"/>
        <w:rPr>
          <w:sz w:val="24"/>
        </w:rPr>
      </w:pPr>
    </w:p>
    <w:p>
      <w:pPr>
        <w:pStyle w:val="BodyText"/>
        <w:spacing w:before="10"/>
        <w:rPr>
          <w:sz w:val="19"/>
        </w:rPr>
      </w:pPr>
    </w:p>
    <w:p>
      <w:pPr>
        <w:spacing w:before="0"/>
        <w:ind w:left="1060" w:right="0" w:firstLine="0"/>
        <w:jc w:val="left"/>
        <w:rPr>
          <w:b/>
          <w:sz w:val="24"/>
        </w:rPr>
      </w:pPr>
      <w:r>
        <w:rPr>
          <w:b/>
          <w:sz w:val="24"/>
        </w:rPr>
        <w:t>Legislative Charge</w:t>
      </w:r>
    </w:p>
    <w:p>
      <w:pPr>
        <w:pStyle w:val="BodyText"/>
        <w:spacing w:before="12"/>
        <w:rPr>
          <w:b/>
          <w:sz w:val="23"/>
        </w:rPr>
      </w:pPr>
    </w:p>
    <w:p>
      <w:pPr>
        <w:pStyle w:val="Heading4"/>
        <w:ind w:left="1060" w:right="1258"/>
      </w:pPr>
      <w:r>
        <w:rPr/>
        <w:t>As part of the 2015 legislative Session, the Washington State Legislature passed ESSB 6052 requiring the Developmental Disabilities Administration to develop a report describing options for modifying the current system of Pre-vocational services for individuals with developmental disabilities. At minimum, the report must describe the following options:</w:t>
      </w:r>
    </w:p>
    <w:p>
      <w:pPr>
        <w:pStyle w:val="BodyText"/>
        <w:spacing w:before="1"/>
        <w:rPr>
          <w:sz w:val="24"/>
        </w:rPr>
      </w:pPr>
    </w:p>
    <w:p>
      <w:pPr>
        <w:pStyle w:val="Heading4"/>
        <w:numPr>
          <w:ilvl w:val="1"/>
          <w:numId w:val="49"/>
        </w:numPr>
        <w:tabs>
          <w:tab w:pos="2195" w:val="left" w:leader="none"/>
          <w:tab w:pos="2196" w:val="left" w:leader="none"/>
        </w:tabs>
        <w:spacing w:line="240" w:lineRule="auto" w:before="0" w:after="0"/>
        <w:ind w:left="2140" w:right="3343" w:hanging="720"/>
        <w:jc w:val="left"/>
      </w:pPr>
      <w:r>
        <w:rPr/>
        <w:tab/>
      </w:r>
      <w:r>
        <w:rPr/>
        <w:t>Modification of the current system to ensure compliance with rules established by the centers for Medicare and Medicaid</w:t>
      </w:r>
      <w:r>
        <w:rPr>
          <w:spacing w:val="-4"/>
        </w:rPr>
        <w:t> </w:t>
      </w:r>
      <w:r>
        <w:rPr/>
        <w:t>Services;</w:t>
      </w:r>
    </w:p>
    <w:p>
      <w:pPr>
        <w:pStyle w:val="Heading4"/>
        <w:numPr>
          <w:ilvl w:val="1"/>
          <w:numId w:val="49"/>
        </w:numPr>
        <w:tabs>
          <w:tab w:pos="2139" w:val="left" w:leader="none"/>
          <w:tab w:pos="2140" w:val="left" w:leader="none"/>
        </w:tabs>
        <w:spacing w:line="293" w:lineRule="exact" w:before="0" w:after="0"/>
        <w:ind w:left="2140" w:right="0" w:hanging="720"/>
        <w:jc w:val="left"/>
      </w:pPr>
      <w:r>
        <w:rPr/>
        <w:t>Continuation of the current system without federal matching funds;</w:t>
      </w:r>
      <w:r>
        <w:rPr>
          <w:spacing w:val="-6"/>
        </w:rPr>
        <w:t> </w:t>
      </w:r>
      <w:r>
        <w:rPr/>
        <w:t>and</w:t>
      </w:r>
    </w:p>
    <w:p>
      <w:pPr>
        <w:pStyle w:val="Heading4"/>
        <w:numPr>
          <w:ilvl w:val="1"/>
          <w:numId w:val="49"/>
        </w:numPr>
        <w:tabs>
          <w:tab w:pos="2113" w:val="left" w:leader="none"/>
          <w:tab w:pos="2114" w:val="left" w:leader="none"/>
        </w:tabs>
        <w:spacing w:line="240" w:lineRule="auto" w:before="0" w:after="0"/>
        <w:ind w:left="2113" w:right="0" w:hanging="694"/>
        <w:jc w:val="left"/>
      </w:pPr>
      <w:r>
        <w:rPr/>
        <w:t>Transitioning of clients out of congregate settings and into integrated</w:t>
      </w:r>
      <w:r>
        <w:rPr>
          <w:spacing w:val="4"/>
        </w:rPr>
        <w:t> </w:t>
      </w:r>
      <w:r>
        <w:rPr/>
        <w:t>settings.</w:t>
      </w:r>
    </w:p>
    <w:p>
      <w:pPr>
        <w:pStyle w:val="BodyText"/>
        <w:rPr>
          <w:sz w:val="24"/>
        </w:rPr>
      </w:pPr>
    </w:p>
    <w:p>
      <w:pPr>
        <w:pStyle w:val="BodyText"/>
        <w:rPr>
          <w:sz w:val="24"/>
        </w:rPr>
      </w:pPr>
    </w:p>
    <w:p>
      <w:pPr>
        <w:pStyle w:val="Heading4"/>
        <w:ind w:left="1060" w:right="2823"/>
      </w:pPr>
      <w:r>
        <w:rPr/>
        <w:t>In addition, if a client transitions out of a congregate setting prior to December 1, 2016, then for each client, during the period before and after leaving the congregate setting, the report must describe the hours of service, hours worked, hourly wage, monthly earnings, authorized waiver services, and per capita expenditures.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r>
        <w:rPr/>
        <w:pict>
          <v:shape style="position:absolute;margin-left:70.559998pt;margin-top:19.569689pt;width:650.9pt;height:.1pt;mso-position-horizontal-relative:page;mso-position-vertical-relative:paragraph;z-index:-251421696;mso-wrap-distance-left:0;mso-wrap-distance-right:0" coordorigin="1411,391" coordsize="13018,0" path="m1411,391l14429,391e" filled="false" stroked="true" strokeweight=".481pt" strokecolor="#d9d9d9">
            <v:path arrowok="t"/>
            <v:stroke dashstyle="solid"/>
            <w10:wrap type="topAndBottom"/>
          </v:shape>
        </w:pict>
      </w:r>
    </w:p>
    <w:p>
      <w:pPr>
        <w:spacing w:after="0"/>
        <w:rPr>
          <w:sz w:val="2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bookmarkStart w:name="_bookmark56" w:id="207"/>
      <w:bookmarkEnd w:id="207"/>
      <w:r>
        <w:rPr>
          <w:b w:val="0"/>
        </w:rPr>
      </w: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19" w:right="2957" w:firstLine="0"/>
        <w:jc w:val="center"/>
        <w:rPr>
          <w:b/>
          <w:sz w:val="28"/>
        </w:rPr>
      </w:pPr>
      <w:bookmarkStart w:name="Excerpt from Group Training Home Contrac" w:id="208"/>
      <w:bookmarkEnd w:id="208"/>
      <w:r>
        <w:rPr/>
      </w:r>
      <w:bookmarkStart w:name="_bookmark55" w:id="209"/>
      <w:bookmarkEnd w:id="209"/>
      <w:r>
        <w:rPr/>
      </w:r>
      <w:r>
        <w:rPr>
          <w:b/>
          <w:sz w:val="28"/>
          <w:u w:val="single"/>
        </w:rPr>
        <w:t>Excerpt from Group Training Home Contract 7-1-2015</w:t>
      </w:r>
    </w:p>
    <w:p>
      <w:pPr>
        <w:pStyle w:val="BodyText"/>
        <w:rPr>
          <w:b/>
          <w:sz w:val="20"/>
        </w:rPr>
      </w:pPr>
    </w:p>
    <w:p>
      <w:pPr>
        <w:pStyle w:val="BodyText"/>
        <w:spacing w:before="8"/>
        <w:rPr>
          <w:b/>
          <w:sz w:val="23"/>
        </w:rPr>
      </w:pPr>
    </w:p>
    <w:p>
      <w:pPr>
        <w:pStyle w:val="Heading4"/>
        <w:spacing w:line="278" w:lineRule="auto" w:before="51"/>
        <w:ind w:left="1060" w:right="1173"/>
      </w:pPr>
      <w:r>
        <w:rPr>
          <w:b/>
        </w:rPr>
        <w:t>3. Statement of Work. </w:t>
      </w:r>
      <w:r>
        <w:rPr/>
        <w:t>The Contractor shall provide Supported Living, Group Home or Group Training Home Instruction and support services for Clients of DDA in accordance with Chapter 388-101 WAC and Exhibit A.</w:t>
      </w:r>
    </w:p>
    <w:p>
      <w:pPr>
        <w:pStyle w:val="Heading4"/>
        <w:spacing w:before="199"/>
        <w:ind w:left="1060"/>
      </w:pPr>
      <w:r>
        <w:rPr/>
        <w:t>a. Group Homes or Group Training Homes</w:t>
      </w:r>
    </w:p>
    <w:p>
      <w:pPr>
        <w:pStyle w:val="BodyText"/>
        <w:spacing w:before="10"/>
        <w:rPr>
          <w:sz w:val="19"/>
        </w:rPr>
      </w:pPr>
    </w:p>
    <w:p>
      <w:pPr>
        <w:pStyle w:val="Heading4"/>
        <w:ind w:left="1060"/>
      </w:pPr>
      <w:r>
        <w:rPr/>
        <w:t>(3) For Group Homes and Group Training Homes:</w:t>
      </w:r>
    </w:p>
    <w:p>
      <w:pPr>
        <w:pStyle w:val="BodyText"/>
        <w:spacing w:before="10"/>
        <w:rPr>
          <w:sz w:val="19"/>
        </w:rPr>
      </w:pPr>
    </w:p>
    <w:p>
      <w:pPr>
        <w:pStyle w:val="Heading4"/>
        <w:numPr>
          <w:ilvl w:val="0"/>
          <w:numId w:val="50"/>
        </w:numPr>
        <w:tabs>
          <w:tab w:pos="1375" w:val="left" w:leader="none"/>
        </w:tabs>
        <w:spacing w:line="276" w:lineRule="auto" w:before="1" w:after="0"/>
        <w:ind w:left="1060" w:right="1108" w:firstLine="0"/>
        <w:jc w:val="left"/>
      </w:pPr>
      <w:r>
        <w:rPr/>
        <w:t>Group Homes and Group Training Homes are specific physical places that can be owned, rented or occupies under another legally enforceable agreement by the individual receiving services. The contractor must have a lease, residency or other form of written agreement in place with the client that provides the same responsibilities and protections from eviction from their home under the landlord tenant law of the State of Washington, County, City or other designated entity as the general</w:t>
      </w:r>
      <w:r>
        <w:rPr>
          <w:spacing w:val="-8"/>
        </w:rPr>
        <w:t> </w:t>
      </w:r>
      <w:r>
        <w:rPr/>
        <w:t>public.</w:t>
      </w:r>
    </w:p>
    <w:p>
      <w:pPr>
        <w:pStyle w:val="Heading4"/>
        <w:numPr>
          <w:ilvl w:val="0"/>
          <w:numId w:val="50"/>
        </w:numPr>
        <w:tabs>
          <w:tab w:pos="1387" w:val="left" w:leader="none"/>
        </w:tabs>
        <w:spacing w:line="240" w:lineRule="auto" w:before="202" w:after="0"/>
        <w:ind w:left="1386" w:right="0" w:hanging="327"/>
        <w:jc w:val="left"/>
      </w:pPr>
      <w:r>
        <w:rPr/>
        <w:t>Clients have the right to privacy in their</w:t>
      </w:r>
      <w:r>
        <w:rPr>
          <w:spacing w:val="-10"/>
        </w:rPr>
        <w:t> </w:t>
      </w:r>
      <w:r>
        <w:rPr/>
        <w:t>bedroom.</w:t>
      </w:r>
    </w:p>
    <w:p>
      <w:pPr>
        <w:pStyle w:val="BodyText"/>
        <w:spacing w:before="10"/>
        <w:rPr>
          <w:sz w:val="19"/>
        </w:rPr>
      </w:pPr>
    </w:p>
    <w:p>
      <w:pPr>
        <w:pStyle w:val="Heading4"/>
        <w:spacing w:line="278" w:lineRule="auto" w:before="1"/>
        <w:ind w:left="1060" w:right="1125"/>
      </w:pPr>
      <w:r>
        <w:rPr/>
        <w:t>i. Clients are allowed lockable doors to their bedroom (while still allowing for independent egress) with appropriate staff having keys to the door(s).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0"/>
        </w:rPr>
      </w:pPr>
      <w:r>
        <w:rPr/>
        <w:pict>
          <v:shape style="position:absolute;margin-left:70.559998pt;margin-top:8.50036pt;width:650.9pt;height:.1pt;mso-position-horizontal-relative:page;mso-position-vertical-relative:paragraph;z-index:-251420672;mso-wrap-distance-left:0;mso-wrap-distance-right:0" coordorigin="1411,170" coordsize="13018,0" path="m1411,170l14429,170e" filled="false" stroked="true" strokeweight=".481pt" strokecolor="#d9d9d9">
            <v:path arrowok="t"/>
            <v:stroke dashstyle="solid"/>
            <w10:wrap type="topAndBottom"/>
          </v:shape>
        </w:pict>
      </w:r>
    </w:p>
    <w:p>
      <w:pPr>
        <w:spacing w:after="0"/>
        <w:rPr>
          <w:sz w:val="10"/>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1" w:right="2957" w:firstLine="0"/>
        <w:jc w:val="center"/>
        <w:rPr>
          <w:b/>
          <w:sz w:val="28"/>
        </w:rPr>
      </w:pPr>
      <w:bookmarkStart w:name="Excerpt from Washington Initiative for S" w:id="210"/>
      <w:bookmarkEnd w:id="210"/>
      <w:r>
        <w:rPr/>
      </w:r>
      <w:bookmarkStart w:name="_bookmark57" w:id="211"/>
      <w:bookmarkEnd w:id="211"/>
      <w:r>
        <w:rPr/>
      </w:r>
      <w:r>
        <w:rPr>
          <w:b/>
          <w:sz w:val="28"/>
          <w:u w:val="single"/>
        </w:rPr>
        <w:t>Excerpt from Washington Initiative for Supported Employment (WISE) Contract</w:t>
      </w:r>
    </w:p>
    <w:p>
      <w:pPr>
        <w:pStyle w:val="BodyText"/>
        <w:rPr>
          <w:b/>
          <w:sz w:val="20"/>
        </w:rPr>
      </w:pPr>
    </w:p>
    <w:p>
      <w:pPr>
        <w:pStyle w:val="BodyText"/>
        <w:spacing w:before="10"/>
        <w:rPr>
          <w:b/>
          <w:sz w:val="23"/>
        </w:rPr>
      </w:pPr>
    </w:p>
    <w:p>
      <w:pPr>
        <w:spacing w:before="52"/>
        <w:ind w:left="1060" w:right="0" w:firstLine="0"/>
        <w:jc w:val="left"/>
        <w:rPr>
          <w:b/>
          <w:sz w:val="24"/>
        </w:rPr>
      </w:pPr>
      <w:r>
        <w:rPr>
          <w:b/>
          <w:sz w:val="24"/>
        </w:rPr>
        <w:t>Exhibit A3 Statement of Work: Pathway to Employment</w:t>
      </w:r>
    </w:p>
    <w:p>
      <w:pPr>
        <w:pStyle w:val="BodyText"/>
        <w:spacing w:before="10"/>
        <w:rPr>
          <w:b/>
          <w:sz w:val="19"/>
        </w:rPr>
      </w:pPr>
    </w:p>
    <w:p>
      <w:pPr>
        <w:pStyle w:val="Heading4"/>
        <w:spacing w:line="278" w:lineRule="auto"/>
        <w:ind w:left="1060" w:right="1557"/>
      </w:pPr>
      <w:r>
        <w:rPr/>
        <w:t>The Contractor shall provide the services and staff, and otherwise do all things necessary for or incidental to the performance of work. The Contractor will provide the following statewide services and activities:</w:t>
      </w:r>
    </w:p>
    <w:p>
      <w:pPr>
        <w:pStyle w:val="Heading4"/>
        <w:spacing w:before="196"/>
        <w:ind w:left="1060"/>
      </w:pPr>
      <w:r>
        <w:rPr/>
        <w:t>(5) Employment Agency Business Model:</w:t>
      </w:r>
    </w:p>
    <w:p>
      <w:pPr>
        <w:pStyle w:val="BodyText"/>
        <w:spacing w:before="10"/>
        <w:rPr>
          <w:sz w:val="19"/>
        </w:rPr>
      </w:pPr>
    </w:p>
    <w:p>
      <w:pPr>
        <w:pStyle w:val="Heading4"/>
        <w:numPr>
          <w:ilvl w:val="0"/>
          <w:numId w:val="51"/>
        </w:numPr>
        <w:tabs>
          <w:tab w:pos="1291" w:val="left" w:leader="none"/>
        </w:tabs>
        <w:spacing w:line="278" w:lineRule="auto" w:before="1" w:after="0"/>
        <w:ind w:left="1060" w:right="1115" w:firstLine="0"/>
        <w:jc w:val="left"/>
      </w:pPr>
      <w:r>
        <w:rPr/>
        <w:t>The Contractor will provide the technical assistance necessary to promote employment agency viability and best available practice by conducting in-depth conversations, analysis, and assessment.</w:t>
      </w:r>
    </w:p>
    <w:p>
      <w:pPr>
        <w:pStyle w:val="Heading4"/>
        <w:numPr>
          <w:ilvl w:val="0"/>
          <w:numId w:val="51"/>
        </w:numPr>
        <w:tabs>
          <w:tab w:pos="1303" w:val="left" w:leader="none"/>
        </w:tabs>
        <w:spacing w:line="278" w:lineRule="auto" w:before="194" w:after="0"/>
        <w:ind w:left="1059" w:right="1352" w:firstLine="0"/>
        <w:jc w:val="left"/>
      </w:pPr>
      <w:r>
        <w:rPr/>
        <w:t>Said conversations, analysis, and assessment will culminate in an “Organizational Change Towards Effective Business Models for Employment Agencies” report identifying key components of an effective employment agency model within</w:t>
      </w:r>
      <w:r>
        <w:rPr>
          <w:spacing w:val="-17"/>
        </w:rPr>
        <w:t> </w:t>
      </w:r>
      <w:r>
        <w:rPr/>
        <w:t>Washington.</w:t>
      </w:r>
    </w:p>
    <w:p>
      <w:pPr>
        <w:pStyle w:val="Heading4"/>
        <w:spacing w:line="278" w:lineRule="auto" w:before="193"/>
        <w:ind w:left="1059" w:right="1485"/>
      </w:pPr>
      <w:r>
        <w:rPr/>
        <w:t>(8) DDA will provide prior acceptance of the selected staff, third party consultant, to execute the quality assurance portion of the contract.</w:t>
      </w:r>
    </w:p>
    <w:p>
      <w:pPr>
        <w:pStyle w:val="Heading4"/>
        <w:numPr>
          <w:ilvl w:val="0"/>
          <w:numId w:val="52"/>
        </w:numPr>
        <w:tabs>
          <w:tab w:pos="1291" w:val="left" w:leader="none"/>
        </w:tabs>
        <w:spacing w:line="240" w:lineRule="auto" w:before="197" w:after="0"/>
        <w:ind w:left="1290" w:right="0" w:hanging="232"/>
        <w:jc w:val="left"/>
      </w:pPr>
      <w:r>
        <w:rPr/>
        <w:t>The consultant will collaborate with DDA to assess the quality and effectiveness of the Employment and Day</w:t>
      </w:r>
      <w:r>
        <w:rPr>
          <w:spacing w:val="-15"/>
        </w:rPr>
        <w:t> </w:t>
      </w:r>
      <w:r>
        <w:rPr/>
        <w:t>Program.</w:t>
      </w:r>
    </w:p>
    <w:p>
      <w:pPr>
        <w:pStyle w:val="BodyText"/>
        <w:spacing w:before="10"/>
        <w:rPr>
          <w:sz w:val="19"/>
        </w:rPr>
      </w:pPr>
    </w:p>
    <w:p>
      <w:pPr>
        <w:pStyle w:val="Heading4"/>
        <w:numPr>
          <w:ilvl w:val="0"/>
          <w:numId w:val="52"/>
        </w:numPr>
        <w:tabs>
          <w:tab w:pos="1303" w:val="left" w:leader="none"/>
        </w:tabs>
        <w:spacing w:line="278" w:lineRule="auto" w:before="0" w:after="0"/>
        <w:ind w:left="1059" w:right="1163" w:firstLine="0"/>
        <w:jc w:val="left"/>
      </w:pPr>
      <w:r>
        <w:rPr/>
        <w:t>The</w:t>
      </w:r>
      <w:r>
        <w:rPr>
          <w:spacing w:val="-2"/>
        </w:rPr>
        <w:t> </w:t>
      </w:r>
      <w:r>
        <w:rPr/>
        <w:t>consultant</w:t>
      </w:r>
      <w:r>
        <w:rPr>
          <w:spacing w:val="-3"/>
        </w:rPr>
        <w:t> </w:t>
      </w:r>
      <w:r>
        <w:rPr/>
        <w:t>will</w:t>
      </w:r>
      <w:r>
        <w:rPr>
          <w:spacing w:val="-1"/>
        </w:rPr>
        <w:t> </w:t>
      </w:r>
      <w:r>
        <w:rPr/>
        <w:t>work</w:t>
      </w:r>
      <w:r>
        <w:rPr>
          <w:spacing w:val="-3"/>
        </w:rPr>
        <w:t> </w:t>
      </w:r>
      <w:r>
        <w:rPr/>
        <w:t>with</w:t>
      </w:r>
      <w:r>
        <w:rPr>
          <w:spacing w:val="-1"/>
        </w:rPr>
        <w:t> </w:t>
      </w:r>
      <w:r>
        <w:rPr/>
        <w:t>DDA</w:t>
      </w:r>
      <w:r>
        <w:rPr>
          <w:spacing w:val="-4"/>
        </w:rPr>
        <w:t> </w:t>
      </w:r>
      <w:r>
        <w:rPr/>
        <w:t>to</w:t>
      </w:r>
      <w:r>
        <w:rPr>
          <w:spacing w:val="-3"/>
        </w:rPr>
        <w:t> </w:t>
      </w:r>
      <w:r>
        <w:rPr/>
        <w:t>support</w:t>
      </w:r>
      <w:r>
        <w:rPr>
          <w:spacing w:val="-1"/>
        </w:rPr>
        <w:t> </w:t>
      </w:r>
      <w:r>
        <w:rPr/>
        <w:t>counties</w:t>
      </w:r>
      <w:r>
        <w:rPr>
          <w:spacing w:val="-2"/>
        </w:rPr>
        <w:t> </w:t>
      </w:r>
      <w:r>
        <w:rPr/>
        <w:t>and</w:t>
      </w:r>
      <w:r>
        <w:rPr>
          <w:spacing w:val="-3"/>
        </w:rPr>
        <w:t> </w:t>
      </w:r>
      <w:r>
        <w:rPr/>
        <w:t>employment</w:t>
      </w:r>
      <w:r>
        <w:rPr>
          <w:spacing w:val="-3"/>
        </w:rPr>
        <w:t> </w:t>
      </w:r>
      <w:r>
        <w:rPr/>
        <w:t>agencies</w:t>
      </w:r>
      <w:r>
        <w:rPr>
          <w:spacing w:val="-2"/>
        </w:rPr>
        <w:t> </w:t>
      </w:r>
      <w:r>
        <w:rPr/>
        <w:t>looking</w:t>
      </w:r>
      <w:r>
        <w:rPr>
          <w:spacing w:val="-5"/>
        </w:rPr>
        <w:t> </w:t>
      </w:r>
      <w:r>
        <w:rPr/>
        <w:t>to</w:t>
      </w:r>
      <w:r>
        <w:rPr>
          <w:spacing w:val="-3"/>
        </w:rPr>
        <w:t> </w:t>
      </w:r>
      <w:r>
        <w:rPr/>
        <w:t>transform</w:t>
      </w:r>
      <w:r>
        <w:rPr>
          <w:spacing w:val="-4"/>
        </w:rPr>
        <w:t> </w:t>
      </w:r>
      <w:r>
        <w:rPr/>
        <w:t>employment</w:t>
      </w:r>
      <w:r>
        <w:rPr>
          <w:spacing w:val="-3"/>
        </w:rPr>
        <w:t> </w:t>
      </w:r>
      <w:r>
        <w:rPr/>
        <w:t>services</w:t>
      </w:r>
      <w:r>
        <w:rPr>
          <w:spacing w:val="-2"/>
        </w:rPr>
        <w:t> </w:t>
      </w:r>
      <w:r>
        <w:rPr/>
        <w:t>from segregated to integrated</w:t>
      </w:r>
      <w:r>
        <w:rPr>
          <w:spacing w:val="-2"/>
        </w:rPr>
        <w:t> </w:t>
      </w:r>
      <w:r>
        <w:rPr/>
        <w:t>models.</w:t>
      </w:r>
    </w:p>
    <w:p>
      <w:pPr>
        <w:pStyle w:val="Heading4"/>
        <w:numPr>
          <w:ilvl w:val="0"/>
          <w:numId w:val="52"/>
        </w:numPr>
        <w:tabs>
          <w:tab w:pos="1276" w:val="left" w:leader="none"/>
        </w:tabs>
        <w:spacing w:line="240" w:lineRule="auto" w:before="196" w:after="0"/>
        <w:ind w:left="1276" w:right="0" w:hanging="217"/>
        <w:jc w:val="left"/>
      </w:pPr>
      <w:r>
        <w:rPr/>
        <w:t>The consultant will communicate regularly with</w:t>
      </w:r>
      <w:r>
        <w:rPr>
          <w:spacing w:val="5"/>
        </w:rPr>
        <w:t> </w:t>
      </w:r>
      <w:r>
        <w:rPr/>
        <w:t>DDA.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r>
        <w:rPr/>
        <w:pict>
          <v:shape style="position:absolute;margin-left:70.559998pt;margin-top:15.880828pt;width:650.9pt;height:.1pt;mso-position-horizontal-relative:page;mso-position-vertical-relative:paragraph;z-index:-251419648;mso-wrap-distance-left:0;mso-wrap-distance-right:0" coordorigin="1411,318" coordsize="13018,0" path="m1411,318l14429,318e" filled="false" stroked="true" strokeweight=".481pt" strokecolor="#d9d9d9">
            <v:path arrowok="t"/>
            <v:stroke dashstyle="solid"/>
            <w10:wrap type="topAndBottom"/>
          </v:shape>
        </w:pict>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9"/>
        <w:rPr>
          <w:b/>
          <w:sz w:val="12"/>
        </w:rPr>
      </w:pPr>
    </w:p>
    <w:p>
      <w:pPr>
        <w:spacing w:before="47"/>
        <w:ind w:left="2917" w:right="2957" w:firstLine="0"/>
        <w:jc w:val="center"/>
        <w:rPr>
          <w:b/>
          <w:sz w:val="26"/>
        </w:rPr>
      </w:pPr>
      <w:bookmarkStart w:name="R15-047 – INFORMATION" w:id="212"/>
      <w:bookmarkEnd w:id="212"/>
      <w:r>
        <w:rPr/>
      </w:r>
      <w:bookmarkStart w:name="_bookmark58" w:id="213"/>
      <w:bookmarkEnd w:id="213"/>
      <w:r>
        <w:rPr/>
      </w:r>
      <w:r>
        <w:rPr>
          <w:b/>
          <w:sz w:val="26"/>
          <w:u w:val="single"/>
        </w:rPr>
        <w:t>R15-047 – INFORMATION</w:t>
      </w:r>
    </w:p>
    <w:p>
      <w:pPr>
        <w:pStyle w:val="BodyText"/>
        <w:spacing w:before="9"/>
        <w:rPr>
          <w:b/>
          <w:sz w:val="15"/>
        </w:rPr>
      </w:pPr>
    </w:p>
    <w:p>
      <w:pPr>
        <w:pStyle w:val="Heading7"/>
        <w:ind w:left="2921"/>
      </w:pPr>
      <w:bookmarkStart w:name="June 22, 2015" w:id="214"/>
      <w:bookmarkEnd w:id="214"/>
      <w:r>
        <w:rPr/>
      </w:r>
      <w:r>
        <w:rPr>
          <w:color w:val="773E04"/>
        </w:rPr>
        <w:t>June 22, 2015</w:t>
      </w:r>
    </w:p>
    <w:p>
      <w:pPr>
        <w:pStyle w:val="BodyText"/>
        <w:rPr>
          <w:sz w:val="20"/>
        </w:rPr>
      </w:pPr>
    </w:p>
    <w:p>
      <w:pPr>
        <w:pStyle w:val="BodyText"/>
        <w:rPr>
          <w:sz w:val="20"/>
        </w:rPr>
      </w:pPr>
    </w:p>
    <w:p>
      <w:pPr>
        <w:pStyle w:val="BodyText"/>
        <w:spacing w:before="6"/>
        <w:rPr>
          <w:sz w:val="18"/>
        </w:rPr>
      </w:pPr>
    </w:p>
    <w:tbl>
      <w:tblPr>
        <w:tblW w:w="0" w:type="auto"/>
        <w:jc w:val="left"/>
        <w:tblInd w:w="2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5"/>
        <w:gridCol w:w="7933"/>
      </w:tblGrid>
      <w:tr>
        <w:trPr>
          <w:trHeight w:val="1198" w:hRule="atLeast"/>
        </w:trPr>
        <w:tc>
          <w:tcPr>
            <w:tcW w:w="2145" w:type="dxa"/>
          </w:tcPr>
          <w:p>
            <w:pPr>
              <w:pStyle w:val="TableParagraph"/>
              <w:spacing w:line="235" w:lineRule="exact"/>
              <w:ind w:left="200"/>
              <w:rPr>
                <w:b/>
                <w:sz w:val="23"/>
              </w:rPr>
            </w:pPr>
            <w:r>
              <w:rPr>
                <w:b/>
                <w:sz w:val="23"/>
              </w:rPr>
              <w:t>TO:</w:t>
            </w:r>
          </w:p>
        </w:tc>
        <w:tc>
          <w:tcPr>
            <w:tcW w:w="7933" w:type="dxa"/>
          </w:tcPr>
          <w:p>
            <w:pPr>
              <w:pStyle w:val="TableParagraph"/>
              <w:spacing w:line="235" w:lineRule="exact"/>
              <w:ind w:left="483"/>
              <w:rPr>
                <w:sz w:val="23"/>
              </w:rPr>
            </w:pPr>
            <w:r>
              <w:rPr>
                <w:sz w:val="23"/>
              </w:rPr>
              <w:t>RCS Regional Administrators</w:t>
            </w:r>
          </w:p>
          <w:p>
            <w:pPr>
              <w:pStyle w:val="TableParagraph"/>
              <w:ind w:left="483" w:right="5211"/>
              <w:rPr>
                <w:sz w:val="23"/>
              </w:rPr>
            </w:pPr>
            <w:r>
              <w:rPr>
                <w:sz w:val="23"/>
              </w:rPr>
              <w:t>RCS Field Managers RCS Management</w:t>
            </w:r>
            <w:r>
              <w:rPr>
                <w:spacing w:val="-6"/>
                <w:sz w:val="23"/>
              </w:rPr>
              <w:t> </w:t>
            </w:r>
            <w:r>
              <w:rPr>
                <w:sz w:val="23"/>
              </w:rPr>
              <w:t>Team</w:t>
            </w:r>
          </w:p>
          <w:p>
            <w:pPr>
              <w:pStyle w:val="TableParagraph"/>
              <w:ind w:left="483"/>
              <w:rPr>
                <w:sz w:val="23"/>
              </w:rPr>
            </w:pPr>
            <w:r>
              <w:rPr>
                <w:sz w:val="23"/>
              </w:rPr>
              <w:t>RCS Compliance Specialists</w:t>
            </w:r>
          </w:p>
        </w:tc>
      </w:tr>
      <w:tr>
        <w:trPr>
          <w:trHeight w:val="763" w:hRule="atLeast"/>
        </w:trPr>
        <w:tc>
          <w:tcPr>
            <w:tcW w:w="2145" w:type="dxa"/>
          </w:tcPr>
          <w:p>
            <w:pPr>
              <w:pStyle w:val="TableParagraph"/>
              <w:spacing w:before="80"/>
              <w:ind w:left="200"/>
              <w:rPr>
                <w:b/>
                <w:sz w:val="23"/>
              </w:rPr>
            </w:pPr>
            <w:r>
              <w:rPr>
                <w:b/>
                <w:sz w:val="23"/>
              </w:rPr>
              <w:t>FROM:</w:t>
            </w:r>
          </w:p>
        </w:tc>
        <w:tc>
          <w:tcPr>
            <w:tcW w:w="7933" w:type="dxa"/>
          </w:tcPr>
          <w:p>
            <w:pPr>
              <w:pStyle w:val="TableParagraph"/>
              <w:spacing w:before="80"/>
              <w:ind w:left="483" w:right="4495"/>
              <w:rPr>
                <w:sz w:val="23"/>
              </w:rPr>
            </w:pPr>
            <w:r>
              <w:rPr>
                <w:sz w:val="23"/>
              </w:rPr>
              <w:t>Kathy Morgan, Interim Director Residential Care Services</w:t>
            </w:r>
          </w:p>
        </w:tc>
      </w:tr>
      <w:tr>
        <w:trPr>
          <w:trHeight w:val="999" w:hRule="atLeast"/>
        </w:trPr>
        <w:tc>
          <w:tcPr>
            <w:tcW w:w="2145" w:type="dxa"/>
          </w:tcPr>
          <w:p>
            <w:pPr>
              <w:pStyle w:val="TableParagraph"/>
              <w:spacing w:before="80"/>
              <w:ind w:left="200"/>
              <w:rPr>
                <w:b/>
                <w:sz w:val="23"/>
              </w:rPr>
            </w:pPr>
            <w:r>
              <w:rPr>
                <w:b/>
                <w:sz w:val="23"/>
              </w:rPr>
              <w:t>SUBJECT:</w:t>
            </w:r>
          </w:p>
        </w:tc>
        <w:tc>
          <w:tcPr>
            <w:tcW w:w="7933" w:type="dxa"/>
          </w:tcPr>
          <w:p>
            <w:pPr>
              <w:pStyle w:val="TableParagraph"/>
              <w:spacing w:before="10"/>
              <w:rPr>
                <w:sz w:val="22"/>
              </w:rPr>
            </w:pPr>
          </w:p>
          <w:p>
            <w:pPr>
              <w:pStyle w:val="TableParagraph"/>
              <w:spacing w:line="276" w:lineRule="auto"/>
              <w:ind w:left="483" w:right="763"/>
              <w:rPr>
                <w:b/>
                <w:i/>
                <w:sz w:val="22"/>
              </w:rPr>
            </w:pPr>
            <w:bookmarkStart w:name="IMPLEMENTING FEDERAL HOME &amp; COMMUNITY BA" w:id="215"/>
            <w:bookmarkEnd w:id="215"/>
            <w:r>
              <w:rPr/>
            </w:r>
            <w:r>
              <w:rPr>
                <w:b/>
                <w:i/>
                <w:sz w:val="22"/>
              </w:rPr>
              <w:t>IMPLEMENTING FEDERAL HOME &amp; COMMUNITY BASED SETTINGS (HCBS) </w:t>
            </w:r>
            <w:r>
              <w:rPr>
                <w:b/>
                <w:i/>
                <w:sz w:val="22"/>
              </w:rPr>
              <w:t>RULES</w:t>
            </w:r>
          </w:p>
        </w:tc>
      </w:tr>
      <w:tr>
        <w:trPr>
          <w:trHeight w:val="1321" w:hRule="atLeast"/>
        </w:trPr>
        <w:tc>
          <w:tcPr>
            <w:tcW w:w="2145" w:type="dxa"/>
          </w:tcPr>
          <w:p>
            <w:pPr>
              <w:pStyle w:val="TableParagraph"/>
              <w:spacing w:before="100"/>
              <w:ind w:left="200"/>
              <w:rPr>
                <w:b/>
                <w:sz w:val="23"/>
              </w:rPr>
            </w:pPr>
            <w:r>
              <w:rPr>
                <w:b/>
                <w:sz w:val="23"/>
              </w:rPr>
              <w:t>PURPOSE:</w:t>
            </w:r>
          </w:p>
        </w:tc>
        <w:tc>
          <w:tcPr>
            <w:tcW w:w="7933" w:type="dxa"/>
          </w:tcPr>
          <w:p>
            <w:pPr>
              <w:pStyle w:val="TableParagraph"/>
              <w:spacing w:before="100"/>
              <w:ind w:left="483" w:right="506"/>
              <w:rPr>
                <w:sz w:val="23"/>
              </w:rPr>
            </w:pPr>
            <w:r>
              <w:rPr>
                <w:sz w:val="23"/>
              </w:rPr>
              <w:t>To inform staff that a letter is being sent to all AFH providers and ALF administrators. The letter explains the expectations that the Centers for Medicaid and Medicare Services (CMS) has for providers when developing care plans that are in compliance with the new HCBS rules.</w:t>
            </w:r>
          </w:p>
        </w:tc>
      </w:tr>
      <w:tr>
        <w:trPr>
          <w:trHeight w:val="2131" w:hRule="atLeast"/>
        </w:trPr>
        <w:tc>
          <w:tcPr>
            <w:tcW w:w="2145" w:type="dxa"/>
          </w:tcPr>
          <w:p>
            <w:pPr>
              <w:pStyle w:val="TableParagraph"/>
              <w:spacing w:before="103"/>
              <w:ind w:left="200"/>
              <w:rPr>
                <w:b/>
                <w:sz w:val="23"/>
              </w:rPr>
            </w:pPr>
            <w:r>
              <w:rPr>
                <w:b/>
                <w:sz w:val="23"/>
              </w:rPr>
              <w:t>BACKGROUND:</w:t>
            </w:r>
          </w:p>
        </w:tc>
        <w:tc>
          <w:tcPr>
            <w:tcW w:w="7933" w:type="dxa"/>
          </w:tcPr>
          <w:p>
            <w:pPr>
              <w:pStyle w:val="TableParagraph"/>
              <w:numPr>
                <w:ilvl w:val="0"/>
                <w:numId w:val="53"/>
              </w:numPr>
              <w:tabs>
                <w:tab w:pos="772" w:val="left" w:leader="none"/>
              </w:tabs>
              <w:spacing w:line="240" w:lineRule="auto" w:before="102" w:after="0"/>
              <w:ind w:left="771" w:right="551" w:hanging="288"/>
              <w:jc w:val="left"/>
              <w:rPr>
                <w:sz w:val="23"/>
              </w:rPr>
            </w:pPr>
            <w:r>
              <w:rPr>
                <w:sz w:val="23"/>
              </w:rPr>
              <w:t>In 2014, CMS released</w:t>
            </w:r>
            <w:r>
              <w:rPr>
                <w:color w:val="6F2F9F"/>
                <w:sz w:val="23"/>
              </w:rPr>
              <w:t> </w:t>
            </w:r>
            <w:hyperlink r:id="rId171">
              <w:r>
                <w:rPr>
                  <w:color w:val="6F2F9F"/>
                  <w:sz w:val="23"/>
                  <w:u w:val="single" w:color="6F2F9F"/>
                </w:rPr>
                <w:t>federal regulations</w:t>
              </w:r>
              <w:r>
                <w:rPr>
                  <w:color w:val="6F2F9F"/>
                  <w:sz w:val="23"/>
                </w:rPr>
                <w:t> </w:t>
              </w:r>
            </w:hyperlink>
            <w:r>
              <w:rPr>
                <w:sz w:val="23"/>
              </w:rPr>
              <w:t>about home and community based settings. The regulations are intended to ensure that individuals receiving long-term care services have full access to the benefits of community</w:t>
            </w:r>
            <w:r>
              <w:rPr>
                <w:spacing w:val="-2"/>
                <w:sz w:val="23"/>
              </w:rPr>
              <w:t> </w:t>
            </w:r>
            <w:r>
              <w:rPr>
                <w:sz w:val="23"/>
              </w:rPr>
              <w:t>living.</w:t>
            </w:r>
          </w:p>
          <w:p>
            <w:pPr>
              <w:pStyle w:val="TableParagraph"/>
              <w:numPr>
                <w:ilvl w:val="0"/>
                <w:numId w:val="53"/>
              </w:numPr>
              <w:tabs>
                <w:tab w:pos="772" w:val="left" w:leader="none"/>
              </w:tabs>
              <w:spacing w:line="303" w:lineRule="exact" w:before="0" w:after="0"/>
              <w:ind w:left="771" w:right="0" w:hanging="289"/>
              <w:jc w:val="left"/>
              <w:rPr>
                <w:sz w:val="23"/>
              </w:rPr>
            </w:pPr>
            <w:r>
              <w:rPr>
                <w:sz w:val="23"/>
              </w:rPr>
              <w:t>These rules apply to adult family homes and assisted living</w:t>
            </w:r>
            <w:r>
              <w:rPr>
                <w:spacing w:val="-15"/>
                <w:sz w:val="23"/>
              </w:rPr>
              <w:t> </w:t>
            </w:r>
            <w:r>
              <w:rPr>
                <w:sz w:val="23"/>
              </w:rPr>
              <w:t>facilities.</w:t>
            </w:r>
          </w:p>
          <w:p>
            <w:pPr>
              <w:pStyle w:val="TableParagraph"/>
              <w:numPr>
                <w:ilvl w:val="0"/>
                <w:numId w:val="53"/>
              </w:numPr>
              <w:tabs>
                <w:tab w:pos="772" w:val="left" w:leader="none"/>
              </w:tabs>
              <w:spacing w:line="280" w:lineRule="atLeast" w:before="2" w:after="0"/>
              <w:ind w:left="771" w:right="198" w:hanging="288"/>
              <w:jc w:val="left"/>
              <w:rPr>
                <w:sz w:val="23"/>
              </w:rPr>
            </w:pPr>
            <w:r>
              <w:rPr>
                <w:sz w:val="23"/>
              </w:rPr>
              <w:t>How a resident accesses the community and is able to make choices about the care and services they receive is to be documented in their care</w:t>
            </w:r>
            <w:r>
              <w:rPr>
                <w:spacing w:val="-30"/>
                <w:sz w:val="23"/>
              </w:rPr>
              <w:t> </w:t>
            </w:r>
            <w:r>
              <w:rPr>
                <w:sz w:val="23"/>
              </w:rPr>
              <w:t>plan.</w:t>
            </w:r>
          </w:p>
        </w:tc>
      </w:tr>
    </w:tbl>
    <w:p>
      <w:pPr>
        <w:pStyle w:val="BodyText"/>
        <w:spacing w:before="5"/>
        <w:rPr>
          <w:sz w:val="12"/>
        </w:rPr>
      </w:pPr>
    </w:p>
    <w:p>
      <w:pPr>
        <w:spacing w:after="0"/>
        <w:rPr>
          <w:sz w:val="1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6"/>
        <w:spacing w:line="276" w:lineRule="auto"/>
      </w:pPr>
      <w:r>
        <w:rPr/>
        <w:t>WHAT’S NEW, CHANGED, OR</w:t>
      </w:r>
    </w:p>
    <w:p>
      <w:pPr>
        <w:pStyle w:val="Heading7"/>
        <w:ind w:right="4075"/>
        <w:jc w:val="left"/>
      </w:pPr>
      <w:r>
        <w:rPr/>
        <w:br w:type="column"/>
      </w:r>
      <w:r>
        <w:rPr/>
        <w:t>The attached letters will be sent to all AFHs &amp; ALF, reviewing the key requirements of the federal HCBS regulations.</w:t>
      </w:r>
    </w:p>
    <w:p>
      <w:pPr>
        <w:spacing w:after="0"/>
        <w:jc w:val="left"/>
        <w:sectPr>
          <w:type w:val="continuous"/>
          <w:pgSz w:w="15840" w:h="12240" w:orient="landscape"/>
          <w:pgMar w:top="1140" w:bottom="280" w:left="380" w:right="340"/>
          <w:pgBorders w:offsetFrom="page">
            <w:top w:val="single" w:color="000000" w:space="24" w:sz="12"/>
            <w:left w:val="single" w:color="000000" w:space="24" w:sz="12"/>
            <w:bottom w:val="single" w:color="000000" w:space="24" w:sz="12"/>
            <w:right w:val="single" w:color="000000" w:space="24" w:sz="12"/>
          </w:pgBorders>
          <w:cols w:num="2" w:equalWidth="0">
            <w:col w:w="3556" w:space="40"/>
            <w:col w:w="11524"/>
          </w:cols>
        </w:sectPr>
      </w:pPr>
    </w:p>
    <w:p>
      <w:pPr>
        <w:pStyle w:val="BodyText"/>
        <w:rPr>
          <w:sz w:val="20"/>
        </w:rPr>
      </w:pPr>
    </w:p>
    <w:p>
      <w:pPr>
        <w:pStyle w:val="BodyText"/>
        <w:spacing w:before="10"/>
        <w:rPr>
          <w:sz w:val="12"/>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type w:val="continuous"/>
          <w:pgSz w:w="15840" w:h="12240" w:orient="landscape"/>
          <w:pgMar w:top="1140" w:bottom="28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7" w:after="1"/>
        <w:rPr>
          <w:b/>
          <w:sz w:val="28"/>
        </w:rPr>
      </w:pPr>
    </w:p>
    <w:tbl>
      <w:tblPr>
        <w:tblW w:w="0" w:type="auto"/>
        <w:jc w:val="left"/>
        <w:tblInd w:w="2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9"/>
        <w:gridCol w:w="7435"/>
      </w:tblGrid>
      <w:tr>
        <w:trPr>
          <w:trHeight w:val="477" w:hRule="atLeast"/>
        </w:trPr>
        <w:tc>
          <w:tcPr>
            <w:tcW w:w="2249" w:type="dxa"/>
          </w:tcPr>
          <w:p>
            <w:pPr>
              <w:pStyle w:val="TableParagraph"/>
              <w:spacing w:line="235" w:lineRule="exact"/>
              <w:ind w:left="200"/>
              <w:rPr>
                <w:b/>
                <w:sz w:val="23"/>
              </w:rPr>
            </w:pPr>
            <w:r>
              <w:rPr>
                <w:b/>
                <w:sz w:val="23"/>
              </w:rPr>
              <w:t>CLARIFIED:</w:t>
            </w:r>
          </w:p>
        </w:tc>
        <w:tc>
          <w:tcPr>
            <w:tcW w:w="7435" w:type="dxa"/>
          </w:tcPr>
          <w:p>
            <w:pPr>
              <w:pStyle w:val="TableParagraph"/>
              <w:rPr>
                <w:rFonts w:ascii="Times New Roman"/>
                <w:sz w:val="22"/>
              </w:rPr>
            </w:pPr>
          </w:p>
        </w:tc>
      </w:tr>
      <w:tr>
        <w:trPr>
          <w:trHeight w:val="884" w:hRule="atLeast"/>
        </w:trPr>
        <w:tc>
          <w:tcPr>
            <w:tcW w:w="2249" w:type="dxa"/>
          </w:tcPr>
          <w:p>
            <w:pPr>
              <w:pStyle w:val="TableParagraph"/>
              <w:spacing w:before="5"/>
              <w:rPr>
                <w:b/>
                <w:sz w:val="16"/>
              </w:rPr>
            </w:pPr>
          </w:p>
          <w:p>
            <w:pPr>
              <w:pStyle w:val="TableParagraph"/>
              <w:ind w:left="200"/>
              <w:rPr>
                <w:b/>
                <w:sz w:val="23"/>
              </w:rPr>
            </w:pPr>
            <w:r>
              <w:rPr>
                <w:b/>
                <w:sz w:val="23"/>
              </w:rPr>
              <w:t>ACTION:</w:t>
            </w:r>
          </w:p>
        </w:tc>
        <w:tc>
          <w:tcPr>
            <w:tcW w:w="7435" w:type="dxa"/>
          </w:tcPr>
          <w:p>
            <w:pPr>
              <w:pStyle w:val="TableParagraph"/>
              <w:spacing w:before="5"/>
              <w:rPr>
                <w:b/>
                <w:sz w:val="16"/>
              </w:rPr>
            </w:pPr>
          </w:p>
          <w:p>
            <w:pPr>
              <w:pStyle w:val="TableParagraph"/>
              <w:ind w:left="379" w:right="292"/>
              <w:rPr>
                <w:sz w:val="23"/>
              </w:rPr>
            </w:pPr>
            <w:r>
              <w:rPr>
                <w:sz w:val="23"/>
              </w:rPr>
              <w:t>Read the attached letters and be prepared to answer any questions that providers or administrators may have.</w:t>
            </w:r>
          </w:p>
        </w:tc>
      </w:tr>
      <w:tr>
        <w:trPr>
          <w:trHeight w:val="1126" w:hRule="atLeast"/>
        </w:trPr>
        <w:tc>
          <w:tcPr>
            <w:tcW w:w="2249" w:type="dxa"/>
          </w:tcPr>
          <w:p>
            <w:pPr>
              <w:pStyle w:val="TableParagraph"/>
              <w:spacing w:before="80"/>
              <w:ind w:left="200"/>
              <w:rPr>
                <w:b/>
                <w:sz w:val="23"/>
              </w:rPr>
            </w:pPr>
            <w:r>
              <w:rPr>
                <w:b/>
                <w:sz w:val="23"/>
              </w:rPr>
              <w:t>RELATED</w:t>
            </w:r>
          </w:p>
          <w:p>
            <w:pPr>
              <w:pStyle w:val="TableParagraph"/>
              <w:spacing w:before="10"/>
              <w:rPr>
                <w:b/>
                <w:sz w:val="19"/>
              </w:rPr>
            </w:pPr>
          </w:p>
          <w:p>
            <w:pPr>
              <w:pStyle w:val="TableParagraph"/>
              <w:ind w:left="200"/>
              <w:rPr>
                <w:b/>
                <w:sz w:val="23"/>
              </w:rPr>
            </w:pPr>
            <w:r>
              <w:rPr>
                <w:b/>
                <w:sz w:val="23"/>
              </w:rPr>
              <w:t>REFERENCES:</w:t>
            </w:r>
          </w:p>
        </w:tc>
        <w:tc>
          <w:tcPr>
            <w:tcW w:w="7435" w:type="dxa"/>
          </w:tcPr>
          <w:p>
            <w:pPr>
              <w:pStyle w:val="TableParagraph"/>
              <w:spacing w:before="80"/>
              <w:ind w:left="379"/>
              <w:rPr>
                <w:sz w:val="23"/>
              </w:rPr>
            </w:pPr>
            <w:r>
              <w:rPr>
                <w:sz w:val="23"/>
              </w:rPr>
              <w:t>None</w:t>
            </w:r>
          </w:p>
        </w:tc>
      </w:tr>
      <w:tr>
        <w:trPr>
          <w:trHeight w:val="904" w:hRule="atLeast"/>
        </w:trPr>
        <w:tc>
          <w:tcPr>
            <w:tcW w:w="2249" w:type="dxa"/>
          </w:tcPr>
          <w:p>
            <w:pPr>
              <w:pStyle w:val="TableParagraph"/>
              <w:spacing w:before="5"/>
              <w:rPr>
                <w:b/>
                <w:sz w:val="16"/>
              </w:rPr>
            </w:pPr>
          </w:p>
          <w:p>
            <w:pPr>
              <w:pStyle w:val="TableParagraph"/>
              <w:ind w:left="200"/>
              <w:rPr>
                <w:b/>
                <w:sz w:val="23"/>
              </w:rPr>
            </w:pPr>
            <w:r>
              <w:rPr>
                <w:b/>
                <w:sz w:val="23"/>
              </w:rPr>
              <w:t>ATTACHMENT(S):</w:t>
            </w:r>
          </w:p>
        </w:tc>
        <w:tc>
          <w:tcPr>
            <w:tcW w:w="7435" w:type="dxa"/>
          </w:tcPr>
          <w:p>
            <w:pPr>
              <w:pStyle w:val="TableParagraph"/>
              <w:numPr>
                <w:ilvl w:val="0"/>
                <w:numId w:val="54"/>
              </w:numPr>
              <w:tabs>
                <w:tab w:pos="630" w:val="left" w:leader="none"/>
              </w:tabs>
              <w:spacing w:line="292" w:lineRule="exact" w:before="201" w:after="0"/>
              <w:ind w:left="629" w:right="0" w:hanging="251"/>
              <w:jc w:val="left"/>
              <w:rPr>
                <w:sz w:val="23"/>
              </w:rPr>
            </w:pPr>
            <w:hyperlink r:id="rId172">
              <w:r>
                <w:rPr>
                  <w:color w:val="6F2F9F"/>
                  <w:sz w:val="23"/>
                  <w:u w:val="single" w:color="6F2F9F"/>
                </w:rPr>
                <w:t>Dear AFH Provider - ALTSA: AFH</w:t>
              </w:r>
              <w:r>
                <w:rPr>
                  <w:color w:val="6F2F9F"/>
                  <w:spacing w:val="-9"/>
                  <w:sz w:val="23"/>
                  <w:u w:val="single" w:color="6F2F9F"/>
                </w:rPr>
                <w:t> </w:t>
              </w:r>
              <w:r>
                <w:rPr>
                  <w:color w:val="6F2F9F"/>
                  <w:sz w:val="23"/>
                  <w:u w:val="single" w:color="6F2F9F"/>
                </w:rPr>
                <w:t>#2015-013</w:t>
              </w:r>
            </w:hyperlink>
          </w:p>
          <w:p>
            <w:pPr>
              <w:pStyle w:val="TableParagraph"/>
              <w:numPr>
                <w:ilvl w:val="0"/>
                <w:numId w:val="54"/>
              </w:numPr>
              <w:tabs>
                <w:tab w:pos="630" w:val="left" w:leader="none"/>
              </w:tabs>
              <w:spacing w:line="292" w:lineRule="exact" w:before="0" w:after="0"/>
              <w:ind w:left="629" w:right="0" w:hanging="251"/>
              <w:jc w:val="left"/>
              <w:rPr>
                <w:sz w:val="23"/>
              </w:rPr>
            </w:pPr>
            <w:hyperlink r:id="rId173">
              <w:r>
                <w:rPr>
                  <w:color w:val="6F2F9F"/>
                  <w:sz w:val="23"/>
                  <w:u w:val="single" w:color="6F2F9F"/>
                </w:rPr>
                <w:t>Dear ALF Administrator - ALTSA: ALF</w:t>
              </w:r>
              <w:r>
                <w:rPr>
                  <w:color w:val="6F2F9F"/>
                  <w:spacing w:val="-9"/>
                  <w:sz w:val="23"/>
                  <w:u w:val="single" w:color="6F2F9F"/>
                </w:rPr>
                <w:t> </w:t>
              </w:r>
              <w:r>
                <w:rPr>
                  <w:color w:val="6F2F9F"/>
                  <w:sz w:val="23"/>
                  <w:u w:val="single" w:color="6F2F9F"/>
                </w:rPr>
                <w:t>#2015-014</w:t>
              </w:r>
            </w:hyperlink>
          </w:p>
        </w:tc>
      </w:tr>
      <w:tr>
        <w:trPr>
          <w:trHeight w:val="636" w:hRule="atLeast"/>
        </w:trPr>
        <w:tc>
          <w:tcPr>
            <w:tcW w:w="2249" w:type="dxa"/>
          </w:tcPr>
          <w:p>
            <w:pPr>
              <w:pStyle w:val="TableParagraph"/>
              <w:spacing w:before="78"/>
              <w:ind w:left="200"/>
              <w:rPr>
                <w:b/>
                <w:sz w:val="23"/>
              </w:rPr>
            </w:pPr>
            <w:r>
              <w:rPr>
                <w:b/>
                <w:sz w:val="23"/>
              </w:rPr>
              <w:t>CONTACT(S):</w:t>
            </w:r>
          </w:p>
        </w:tc>
        <w:tc>
          <w:tcPr>
            <w:tcW w:w="7435" w:type="dxa"/>
          </w:tcPr>
          <w:p>
            <w:pPr>
              <w:pStyle w:val="TableParagraph"/>
              <w:spacing w:line="280" w:lineRule="atLeast" w:before="78"/>
              <w:ind w:left="379" w:right="182"/>
              <w:rPr>
                <w:sz w:val="23"/>
              </w:rPr>
            </w:pPr>
            <w:r>
              <w:rPr>
                <w:sz w:val="23"/>
              </w:rPr>
              <w:t>If you have any questions about person-centered planning please contact your local Home and Community Services Office.</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0"/>
        </w:rPr>
      </w:pPr>
      <w:r>
        <w:rPr/>
        <w:pict>
          <v:shape style="position:absolute;margin-left:70.559998pt;margin-top:8.578875pt;width:650.9pt;height:.1pt;mso-position-horizontal-relative:page;mso-position-vertical-relative:paragraph;z-index:-251417600;mso-wrap-distance-left:0;mso-wrap-distance-right:0" coordorigin="1411,172" coordsize="13018,0" path="m1411,172l14429,172e" filled="false" stroked="true" strokeweight=".481pt" strokecolor="#d9d9d9">
            <v:path arrowok="t"/>
            <v:stroke dashstyle="solid"/>
            <w10:wrap type="topAndBottom"/>
          </v:shape>
        </w:pict>
      </w:r>
    </w:p>
    <w:p>
      <w:pPr>
        <w:spacing w:after="0"/>
        <w:rPr>
          <w:sz w:val="10"/>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w:t>
      </w:r>
      <w:r>
        <w:rPr>
          <w:spacing w:val="-31"/>
        </w:rPr>
        <w:t> </w:t>
      </w:r>
      <w:r>
        <w:rPr/>
        <w:t>2017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8"/>
        </w:rPr>
      </w:pPr>
      <w:r>
        <w:rPr/>
        <w:pict>
          <v:group style="position:absolute;margin-left:294.119995pt;margin-top:13.244611pt;width:250.35pt;height:24.25pt;mso-position-horizontal-relative:page;mso-position-vertical-relative:paragraph;z-index:-251415552;mso-wrap-distance-left:0;mso-wrap-distance-right:0" coordorigin="5882,265" coordsize="5007,485">
            <v:shape style="position:absolute;left:5882;top:264;width:5007;height:485" type="#_x0000_t75" stroked="false">
              <v:imagedata r:id="rId175" o:title=""/>
            </v:shape>
            <v:shape style="position:absolute;left:5882;top:336;width:5004;height:341" type="#_x0000_t75" stroked="false">
              <v:imagedata r:id="rId176" o:title=""/>
            </v:shape>
            <v:shape style="position:absolute;left:5882;top:264;width:5007;height:485" type="#_x0000_t202" filled="false" stroked="false">
              <v:textbox inset="0,0,0,0">
                <w:txbxContent>
                  <w:p>
                    <w:pPr>
                      <w:tabs>
                        <w:tab w:pos="825" w:val="left" w:leader="none"/>
                        <w:tab w:pos="4983" w:val="left" w:leader="none"/>
                      </w:tabs>
                      <w:spacing w:before="34"/>
                      <w:ind w:left="-17" w:right="0" w:firstLine="0"/>
                      <w:jc w:val="left"/>
                      <w:rPr>
                        <w:rFonts w:ascii="Arial Rounded MT Bold"/>
                        <w:b/>
                        <w:sz w:val="22"/>
                      </w:rPr>
                    </w:pPr>
                    <w:r>
                      <w:rPr>
                        <w:rFonts w:ascii="Arial Rounded MT Bold"/>
                        <w:b/>
                        <w:color w:val="FFFFFF"/>
                        <w:w w:val="100"/>
                        <w:sz w:val="22"/>
                        <w:shd w:fill="000000" w:color="auto" w:val="clear"/>
                      </w:rPr>
                      <w:t> </w:t>
                    </w:r>
                    <w:r>
                      <w:rPr>
                        <w:rFonts w:ascii="Arial Rounded MT Bold"/>
                        <w:b/>
                        <w:color w:val="FFFFFF"/>
                        <w:sz w:val="22"/>
                        <w:shd w:fill="000000" w:color="auto" w:val="clear"/>
                      </w:rPr>
                      <w:tab/>
                      <w:t>RCS MANAGEMENT</w:t>
                    </w:r>
                    <w:r>
                      <w:rPr>
                        <w:rFonts w:ascii="Arial Rounded MT Bold"/>
                        <w:b/>
                        <w:color w:val="FFFFFF"/>
                        <w:spacing w:val="-6"/>
                        <w:sz w:val="22"/>
                        <w:shd w:fill="000000" w:color="auto" w:val="clear"/>
                      </w:rPr>
                      <w:t> </w:t>
                    </w:r>
                    <w:r>
                      <w:rPr>
                        <w:rFonts w:ascii="Arial Rounded MT Bold"/>
                        <w:b/>
                        <w:color w:val="FFFFFF"/>
                        <w:sz w:val="22"/>
                        <w:shd w:fill="000000" w:color="auto" w:val="clear"/>
                      </w:rPr>
                      <w:t>BULLETIN</w:t>
                      <w:tab/>
                    </w:r>
                  </w:p>
                </w:txbxContent>
              </v:textbox>
              <w10:wrap type="none"/>
            </v:shape>
            <w10:wrap type="topAndBottom"/>
          </v:group>
        </w:pict>
      </w:r>
    </w:p>
    <w:p>
      <w:pPr>
        <w:pStyle w:val="BodyText"/>
        <w:rPr>
          <w:b/>
          <w:sz w:val="20"/>
        </w:rPr>
      </w:pPr>
    </w:p>
    <w:p>
      <w:pPr>
        <w:spacing w:before="206"/>
        <w:ind w:left="2915" w:right="2957" w:firstLine="0"/>
        <w:jc w:val="center"/>
        <w:rPr>
          <w:b/>
          <w:sz w:val="26"/>
        </w:rPr>
      </w:pPr>
      <w:bookmarkStart w:name="R15-056 - INFORMATION" w:id="216"/>
      <w:bookmarkEnd w:id="216"/>
      <w:r>
        <w:rPr/>
      </w:r>
      <w:bookmarkStart w:name="_bookmark59" w:id="217"/>
      <w:bookmarkEnd w:id="217"/>
      <w:r>
        <w:rPr/>
      </w:r>
      <w:r>
        <w:rPr>
          <w:b/>
          <w:sz w:val="26"/>
        </w:rPr>
        <w:t>R15-056 -</w:t>
      </w:r>
      <w:r>
        <w:rPr>
          <w:b/>
          <w:spacing w:val="-13"/>
          <w:sz w:val="26"/>
        </w:rPr>
        <w:t> </w:t>
      </w:r>
      <w:r>
        <w:rPr>
          <w:b/>
          <w:sz w:val="26"/>
        </w:rPr>
        <w:t>INFORMATION</w:t>
      </w:r>
    </w:p>
    <w:p>
      <w:pPr>
        <w:pStyle w:val="BodyText"/>
        <w:spacing w:before="5"/>
        <w:rPr>
          <w:b/>
          <w:sz w:val="20"/>
        </w:rPr>
      </w:pPr>
    </w:p>
    <w:p>
      <w:pPr>
        <w:pStyle w:val="Heading7"/>
        <w:spacing w:before="0"/>
        <w:ind w:left="2919"/>
      </w:pPr>
      <w:bookmarkStart w:name="July 27, 2015" w:id="218"/>
      <w:bookmarkEnd w:id="218"/>
      <w:r>
        <w:rPr/>
      </w:r>
      <w:r>
        <w:rPr>
          <w:color w:val="773E04"/>
        </w:rPr>
        <w:t>July 27, 2015</w:t>
      </w:r>
    </w:p>
    <w:p>
      <w:pPr>
        <w:pStyle w:val="BodyText"/>
        <w:rPr>
          <w:sz w:val="20"/>
        </w:rPr>
      </w:pPr>
    </w:p>
    <w:p>
      <w:pPr>
        <w:pStyle w:val="BodyText"/>
        <w:rPr>
          <w:sz w:val="20"/>
        </w:rPr>
      </w:pPr>
    </w:p>
    <w:p>
      <w:pPr>
        <w:pStyle w:val="BodyText"/>
        <w:spacing w:before="3"/>
        <w:rPr>
          <w:sz w:val="18"/>
        </w:rPr>
      </w:pPr>
    </w:p>
    <w:tbl>
      <w:tblPr>
        <w:tblW w:w="0" w:type="auto"/>
        <w:jc w:val="left"/>
        <w:tblInd w:w="2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5"/>
        <w:gridCol w:w="7752"/>
      </w:tblGrid>
      <w:tr>
        <w:trPr>
          <w:trHeight w:val="918" w:hRule="atLeast"/>
        </w:trPr>
        <w:tc>
          <w:tcPr>
            <w:tcW w:w="2145" w:type="dxa"/>
          </w:tcPr>
          <w:p>
            <w:pPr>
              <w:pStyle w:val="TableParagraph"/>
              <w:spacing w:line="235" w:lineRule="exact"/>
              <w:ind w:left="200"/>
              <w:rPr>
                <w:b/>
                <w:sz w:val="23"/>
              </w:rPr>
            </w:pPr>
            <w:r>
              <w:rPr>
                <w:b/>
                <w:sz w:val="23"/>
              </w:rPr>
              <w:t>TO:</w:t>
            </w:r>
          </w:p>
        </w:tc>
        <w:tc>
          <w:tcPr>
            <w:tcW w:w="7752" w:type="dxa"/>
          </w:tcPr>
          <w:p>
            <w:pPr>
              <w:pStyle w:val="TableParagraph"/>
              <w:spacing w:line="235" w:lineRule="exact"/>
              <w:ind w:left="483"/>
              <w:rPr>
                <w:sz w:val="23"/>
              </w:rPr>
            </w:pPr>
            <w:r>
              <w:rPr>
                <w:sz w:val="23"/>
              </w:rPr>
              <w:t>RCS Regional Administrators</w:t>
            </w:r>
          </w:p>
          <w:p>
            <w:pPr>
              <w:pStyle w:val="TableParagraph"/>
              <w:ind w:left="483" w:right="5030"/>
              <w:rPr>
                <w:sz w:val="23"/>
              </w:rPr>
            </w:pPr>
            <w:r>
              <w:rPr>
                <w:sz w:val="23"/>
              </w:rPr>
              <w:t>RCS Field Managers RCS Management</w:t>
            </w:r>
            <w:r>
              <w:rPr>
                <w:spacing w:val="-6"/>
                <w:sz w:val="23"/>
              </w:rPr>
              <w:t> </w:t>
            </w:r>
            <w:r>
              <w:rPr>
                <w:sz w:val="23"/>
              </w:rPr>
              <w:t>Team</w:t>
            </w:r>
          </w:p>
        </w:tc>
      </w:tr>
      <w:tr>
        <w:trPr>
          <w:trHeight w:val="764" w:hRule="atLeast"/>
        </w:trPr>
        <w:tc>
          <w:tcPr>
            <w:tcW w:w="2145" w:type="dxa"/>
          </w:tcPr>
          <w:p>
            <w:pPr>
              <w:pStyle w:val="TableParagraph"/>
              <w:spacing w:before="80"/>
              <w:ind w:left="200"/>
              <w:rPr>
                <w:b/>
                <w:sz w:val="23"/>
              </w:rPr>
            </w:pPr>
            <w:r>
              <w:rPr>
                <w:b/>
                <w:sz w:val="23"/>
              </w:rPr>
              <w:t>FROM:</w:t>
            </w:r>
          </w:p>
        </w:tc>
        <w:tc>
          <w:tcPr>
            <w:tcW w:w="7752" w:type="dxa"/>
          </w:tcPr>
          <w:p>
            <w:pPr>
              <w:pStyle w:val="TableParagraph"/>
              <w:spacing w:before="80"/>
              <w:ind w:left="483" w:right="4314"/>
              <w:rPr>
                <w:sz w:val="23"/>
              </w:rPr>
            </w:pPr>
            <w:r>
              <w:rPr>
                <w:sz w:val="23"/>
              </w:rPr>
              <w:t>Kathy Morgan, Interim Director Residential Care Services</w:t>
            </w:r>
          </w:p>
        </w:tc>
      </w:tr>
      <w:tr>
        <w:trPr>
          <w:trHeight w:val="1349" w:hRule="atLeast"/>
        </w:trPr>
        <w:tc>
          <w:tcPr>
            <w:tcW w:w="2145" w:type="dxa"/>
          </w:tcPr>
          <w:p>
            <w:pPr>
              <w:pStyle w:val="TableParagraph"/>
              <w:spacing w:before="81"/>
              <w:ind w:left="200"/>
              <w:rPr>
                <w:b/>
                <w:sz w:val="23"/>
              </w:rPr>
            </w:pPr>
            <w:r>
              <w:rPr>
                <w:b/>
                <w:sz w:val="23"/>
              </w:rPr>
              <w:t>SUBJECT:</w:t>
            </w:r>
          </w:p>
        </w:tc>
        <w:tc>
          <w:tcPr>
            <w:tcW w:w="7752" w:type="dxa"/>
          </w:tcPr>
          <w:p>
            <w:pPr>
              <w:pStyle w:val="TableParagraph"/>
              <w:spacing w:before="11"/>
              <w:rPr>
                <w:sz w:val="22"/>
              </w:rPr>
            </w:pPr>
          </w:p>
          <w:p>
            <w:pPr>
              <w:pStyle w:val="TableParagraph"/>
              <w:spacing w:line="276" w:lineRule="auto"/>
              <w:ind w:left="483" w:right="182"/>
              <w:rPr>
                <w:b/>
                <w:i/>
                <w:sz w:val="23"/>
              </w:rPr>
            </w:pPr>
            <w:bookmarkStart w:name="TRAINING ANNOUNCEMENT FOR AFH AND ALF PR" w:id="219"/>
            <w:bookmarkEnd w:id="219"/>
            <w:r>
              <w:rPr/>
            </w:r>
            <w:r>
              <w:rPr>
                <w:b/>
                <w:i/>
                <w:sz w:val="23"/>
              </w:rPr>
              <w:t>TRAINING ANNOUNCEMENT FOR AFH AND ALF </w:t>
            </w:r>
            <w:r>
              <w:rPr>
                <w:b/>
                <w:i/>
                <w:sz w:val="23"/>
              </w:rPr>
              <w:t>PROVIDERS/ADMINSTRATORS ON HOME &amp; COMMUNITY BASED SERVICES (HCBS) SETTING REQUIREMENTS</w:t>
            </w:r>
          </w:p>
        </w:tc>
      </w:tr>
      <w:tr>
        <w:trPr>
          <w:trHeight w:val="1042" w:hRule="atLeast"/>
        </w:trPr>
        <w:tc>
          <w:tcPr>
            <w:tcW w:w="2145" w:type="dxa"/>
          </w:tcPr>
          <w:p>
            <w:pPr>
              <w:pStyle w:val="TableParagraph"/>
              <w:spacing w:before="101"/>
              <w:ind w:left="200"/>
              <w:rPr>
                <w:b/>
                <w:sz w:val="23"/>
              </w:rPr>
            </w:pPr>
            <w:r>
              <w:rPr>
                <w:b/>
                <w:sz w:val="23"/>
              </w:rPr>
              <w:t>PURPOSE:</w:t>
            </w:r>
          </w:p>
        </w:tc>
        <w:tc>
          <w:tcPr>
            <w:tcW w:w="7752" w:type="dxa"/>
          </w:tcPr>
          <w:p>
            <w:pPr>
              <w:pStyle w:val="TableParagraph"/>
              <w:spacing w:before="101"/>
              <w:ind w:left="483" w:right="218"/>
              <w:rPr>
                <w:sz w:val="23"/>
              </w:rPr>
            </w:pPr>
            <w:r>
              <w:rPr>
                <w:sz w:val="23"/>
              </w:rPr>
              <w:t>To let field staff know that a provider/administrator letter is going out to AFHs &amp; ALFs announcing that Home and Community Services (HCS) is going to provide two webinar trainings for providers/administrators.</w:t>
            </w:r>
          </w:p>
        </w:tc>
      </w:tr>
      <w:tr>
        <w:trPr>
          <w:trHeight w:val="682" w:hRule="atLeast"/>
        </w:trPr>
        <w:tc>
          <w:tcPr>
            <w:tcW w:w="2145" w:type="dxa"/>
          </w:tcPr>
          <w:p>
            <w:pPr>
              <w:pStyle w:val="TableParagraph"/>
              <w:spacing w:before="103"/>
              <w:ind w:left="200"/>
              <w:rPr>
                <w:b/>
                <w:sz w:val="23"/>
              </w:rPr>
            </w:pPr>
            <w:r>
              <w:rPr>
                <w:b/>
                <w:sz w:val="23"/>
              </w:rPr>
              <w:t>BACKGROUND:</w:t>
            </w:r>
          </w:p>
        </w:tc>
        <w:tc>
          <w:tcPr>
            <w:tcW w:w="7752" w:type="dxa"/>
          </w:tcPr>
          <w:p>
            <w:pPr>
              <w:pStyle w:val="TableParagraph"/>
              <w:numPr>
                <w:ilvl w:val="0"/>
                <w:numId w:val="55"/>
              </w:numPr>
              <w:tabs>
                <w:tab w:pos="734" w:val="left" w:leader="none"/>
              </w:tabs>
              <w:spacing w:line="280" w:lineRule="atLeast" w:before="102" w:after="0"/>
              <w:ind w:left="733" w:right="408" w:hanging="250"/>
              <w:jc w:val="left"/>
              <w:rPr>
                <w:sz w:val="23"/>
              </w:rPr>
            </w:pPr>
            <w:r>
              <w:rPr>
                <w:sz w:val="23"/>
              </w:rPr>
              <w:t>In 2014, CMS released</w:t>
            </w:r>
            <w:r>
              <w:rPr>
                <w:color w:val="6F2F9F"/>
                <w:sz w:val="23"/>
              </w:rPr>
              <w:t> </w:t>
            </w:r>
            <w:hyperlink r:id="rId171">
              <w:r>
                <w:rPr>
                  <w:color w:val="6F2F9F"/>
                  <w:sz w:val="23"/>
                  <w:u w:val="single" w:color="6F2F9F"/>
                </w:rPr>
                <w:t>federal regulations</w:t>
              </w:r>
              <w:r>
                <w:rPr>
                  <w:color w:val="6F2F9F"/>
                  <w:sz w:val="23"/>
                </w:rPr>
                <w:t> </w:t>
              </w:r>
            </w:hyperlink>
            <w:r>
              <w:rPr>
                <w:sz w:val="23"/>
              </w:rPr>
              <w:t>about home and community based settings. The regulations are intended to ensure that</w:t>
            </w:r>
            <w:r>
              <w:rPr>
                <w:spacing w:val="-36"/>
                <w:sz w:val="23"/>
              </w:rPr>
              <w:t> </w:t>
            </w:r>
            <w:r>
              <w:rPr>
                <w:sz w:val="23"/>
              </w:rPr>
              <w:t>individuals</w:t>
            </w:r>
          </w:p>
        </w:tc>
      </w:tr>
    </w:tbl>
    <w:p>
      <w:pPr>
        <w:pStyle w:val="BodyText"/>
        <w:rPr>
          <w:sz w:val="20"/>
        </w:rPr>
      </w:pPr>
    </w:p>
    <w:p>
      <w:pPr>
        <w:pStyle w:val="BodyText"/>
        <w:spacing w:before="2"/>
        <w:rPr>
          <w:sz w:val="11"/>
        </w:rPr>
      </w:pPr>
      <w:r>
        <w:rPr/>
        <w:pict>
          <v:shape style="position:absolute;margin-left:70.559998pt;margin-top:9.032469pt;width:650.9pt;height:.1pt;mso-position-horizontal-relative:page;mso-position-vertical-relative:paragraph;z-index:-251414528;mso-wrap-distance-left:0;mso-wrap-distance-right:0" coordorigin="1411,181" coordsize="13018,0" path="m1411,181l14429,181e" filled="false" stroked="true" strokeweight=".481pt" strokecolor="#d9d9d9">
            <v:path arrowok="t"/>
            <v:stroke dashstyle="solid"/>
            <w10:wrap type="topAndBottom"/>
          </v:shape>
        </w:pict>
      </w:r>
    </w:p>
    <w:p>
      <w:pPr>
        <w:spacing w:after="0"/>
        <w:rPr>
          <w:sz w:val="11"/>
        </w:rPr>
        <w:sectPr>
          <w:footerReference w:type="default" r:id="rId174"/>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7" w:after="1"/>
        <w:rPr>
          <w:b/>
          <w:sz w:val="28"/>
        </w:rPr>
      </w:pPr>
    </w:p>
    <w:tbl>
      <w:tblPr>
        <w:tblW w:w="0" w:type="auto"/>
        <w:jc w:val="left"/>
        <w:tblInd w:w="2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8"/>
        <w:gridCol w:w="7824"/>
      </w:tblGrid>
      <w:tr>
        <w:trPr>
          <w:trHeight w:val="613" w:hRule="atLeast"/>
        </w:trPr>
        <w:tc>
          <w:tcPr>
            <w:tcW w:w="2238" w:type="dxa"/>
          </w:tcPr>
          <w:p>
            <w:pPr>
              <w:pStyle w:val="TableParagraph"/>
              <w:rPr>
                <w:rFonts w:ascii="Times New Roman"/>
                <w:sz w:val="22"/>
              </w:rPr>
            </w:pPr>
          </w:p>
        </w:tc>
        <w:tc>
          <w:tcPr>
            <w:tcW w:w="7824" w:type="dxa"/>
          </w:tcPr>
          <w:p>
            <w:pPr>
              <w:pStyle w:val="TableParagraph"/>
              <w:spacing w:line="235" w:lineRule="exact"/>
              <w:ind w:left="640"/>
              <w:rPr>
                <w:sz w:val="23"/>
              </w:rPr>
            </w:pPr>
            <w:r>
              <w:rPr>
                <w:sz w:val="23"/>
              </w:rPr>
              <w:t>receiving long-term care services have full access to the benefits of</w:t>
            </w:r>
          </w:p>
          <w:p>
            <w:pPr>
              <w:pStyle w:val="TableParagraph"/>
              <w:ind w:left="640"/>
              <w:rPr>
                <w:sz w:val="23"/>
              </w:rPr>
            </w:pPr>
            <w:r>
              <w:rPr>
                <w:sz w:val="23"/>
              </w:rPr>
              <w:t>community living.</w:t>
            </w:r>
          </w:p>
        </w:tc>
      </w:tr>
      <w:tr>
        <w:trPr>
          <w:trHeight w:val="1450" w:hRule="atLeast"/>
        </w:trPr>
        <w:tc>
          <w:tcPr>
            <w:tcW w:w="2238" w:type="dxa"/>
          </w:tcPr>
          <w:p>
            <w:pPr>
              <w:pStyle w:val="TableParagraph"/>
              <w:spacing w:line="276" w:lineRule="auto" w:before="103"/>
              <w:ind w:left="200" w:right="659"/>
              <w:rPr>
                <w:b/>
                <w:sz w:val="23"/>
              </w:rPr>
            </w:pPr>
            <w:r>
              <w:rPr>
                <w:b/>
                <w:sz w:val="23"/>
              </w:rPr>
              <w:t>WHAT’S NEW, CHANGED, OR</w:t>
            </w:r>
          </w:p>
          <w:p>
            <w:pPr>
              <w:pStyle w:val="TableParagraph"/>
              <w:spacing w:before="6"/>
              <w:rPr>
                <w:b/>
                <w:sz w:val="16"/>
              </w:rPr>
            </w:pPr>
          </w:p>
          <w:p>
            <w:pPr>
              <w:pStyle w:val="TableParagraph"/>
              <w:ind w:left="200"/>
              <w:rPr>
                <w:b/>
                <w:sz w:val="23"/>
              </w:rPr>
            </w:pPr>
            <w:r>
              <w:rPr>
                <w:b/>
                <w:sz w:val="23"/>
              </w:rPr>
              <w:t>CLARIFIED:</w:t>
            </w:r>
          </w:p>
        </w:tc>
        <w:tc>
          <w:tcPr>
            <w:tcW w:w="7824" w:type="dxa"/>
          </w:tcPr>
          <w:p>
            <w:pPr>
              <w:pStyle w:val="TableParagraph"/>
              <w:numPr>
                <w:ilvl w:val="0"/>
                <w:numId w:val="56"/>
              </w:numPr>
              <w:tabs>
                <w:tab w:pos="641" w:val="left" w:leader="none"/>
              </w:tabs>
              <w:spacing w:line="293" w:lineRule="exact" w:before="103" w:after="0"/>
              <w:ind w:left="640" w:right="0" w:hanging="265"/>
              <w:jc w:val="left"/>
              <w:rPr>
                <w:sz w:val="23"/>
              </w:rPr>
            </w:pPr>
            <w:r>
              <w:rPr>
                <w:sz w:val="23"/>
              </w:rPr>
              <w:t>HCS will conduct a webinar for providers to explain the new</w:t>
            </w:r>
            <w:r>
              <w:rPr>
                <w:spacing w:val="-25"/>
                <w:sz w:val="23"/>
              </w:rPr>
              <w:t> </w:t>
            </w:r>
            <w:r>
              <w:rPr>
                <w:sz w:val="23"/>
              </w:rPr>
              <w:t>expectations.</w:t>
            </w:r>
          </w:p>
          <w:p>
            <w:pPr>
              <w:pStyle w:val="TableParagraph"/>
              <w:numPr>
                <w:ilvl w:val="0"/>
                <w:numId w:val="56"/>
              </w:numPr>
              <w:tabs>
                <w:tab w:pos="641" w:val="left" w:leader="none"/>
              </w:tabs>
              <w:spacing w:line="240" w:lineRule="auto" w:before="0" w:after="0"/>
              <w:ind w:left="649" w:right="527" w:hanging="274"/>
              <w:jc w:val="left"/>
              <w:rPr>
                <w:sz w:val="23"/>
              </w:rPr>
            </w:pPr>
            <w:r>
              <w:rPr>
                <w:sz w:val="23"/>
              </w:rPr>
              <w:t>The webinar will be done twice and the presentation slides will then be posted on the professional web</w:t>
            </w:r>
            <w:r>
              <w:rPr>
                <w:spacing w:val="-3"/>
                <w:sz w:val="23"/>
              </w:rPr>
              <w:t> </w:t>
            </w:r>
            <w:r>
              <w:rPr>
                <w:sz w:val="23"/>
              </w:rPr>
              <w:t>pages.</w:t>
            </w:r>
          </w:p>
        </w:tc>
      </w:tr>
      <w:tr>
        <w:trPr>
          <w:trHeight w:val="1212" w:hRule="atLeast"/>
        </w:trPr>
        <w:tc>
          <w:tcPr>
            <w:tcW w:w="2238" w:type="dxa"/>
          </w:tcPr>
          <w:p>
            <w:pPr>
              <w:pStyle w:val="TableParagraph"/>
              <w:spacing w:before="4"/>
              <w:rPr>
                <w:b/>
                <w:sz w:val="18"/>
              </w:rPr>
            </w:pPr>
          </w:p>
          <w:p>
            <w:pPr>
              <w:pStyle w:val="TableParagraph"/>
              <w:ind w:left="200"/>
              <w:rPr>
                <w:b/>
                <w:sz w:val="23"/>
              </w:rPr>
            </w:pPr>
            <w:r>
              <w:rPr>
                <w:b/>
                <w:sz w:val="23"/>
              </w:rPr>
              <w:t>ACTION:</w:t>
            </w:r>
          </w:p>
        </w:tc>
        <w:tc>
          <w:tcPr>
            <w:tcW w:w="7824" w:type="dxa"/>
          </w:tcPr>
          <w:p>
            <w:pPr>
              <w:pStyle w:val="TableParagraph"/>
              <w:spacing w:before="4"/>
              <w:rPr>
                <w:b/>
                <w:sz w:val="18"/>
              </w:rPr>
            </w:pPr>
          </w:p>
          <w:p>
            <w:pPr>
              <w:pStyle w:val="TableParagraph"/>
              <w:numPr>
                <w:ilvl w:val="0"/>
                <w:numId w:val="57"/>
              </w:numPr>
              <w:tabs>
                <w:tab w:pos="641" w:val="left" w:leader="none"/>
              </w:tabs>
              <w:spacing w:line="240" w:lineRule="auto" w:before="0" w:after="0"/>
              <w:ind w:left="640" w:right="198" w:hanging="250"/>
              <w:jc w:val="left"/>
              <w:rPr>
                <w:sz w:val="23"/>
              </w:rPr>
            </w:pPr>
            <w:r>
              <w:rPr>
                <w:sz w:val="23"/>
              </w:rPr>
              <w:t>RCS staff are to read the provider/administrator letter and be aware of the training.</w:t>
            </w:r>
          </w:p>
          <w:p>
            <w:pPr>
              <w:pStyle w:val="TableParagraph"/>
              <w:numPr>
                <w:ilvl w:val="0"/>
                <w:numId w:val="57"/>
              </w:numPr>
              <w:tabs>
                <w:tab w:pos="641" w:val="left" w:leader="none"/>
              </w:tabs>
              <w:spacing w:line="240" w:lineRule="auto" w:before="0" w:after="0"/>
              <w:ind w:left="640" w:right="0" w:hanging="251"/>
              <w:jc w:val="left"/>
              <w:rPr>
                <w:sz w:val="23"/>
              </w:rPr>
            </w:pPr>
            <w:r>
              <w:rPr>
                <w:sz w:val="23"/>
              </w:rPr>
              <w:t>Providers are to be directed to the number below if they have</w:t>
            </w:r>
            <w:r>
              <w:rPr>
                <w:spacing w:val="-23"/>
                <w:sz w:val="23"/>
              </w:rPr>
              <w:t> </w:t>
            </w:r>
            <w:r>
              <w:rPr>
                <w:sz w:val="23"/>
              </w:rPr>
              <w:t>questions.</w:t>
            </w:r>
          </w:p>
        </w:tc>
      </w:tr>
      <w:tr>
        <w:trPr>
          <w:trHeight w:val="1126" w:hRule="atLeast"/>
        </w:trPr>
        <w:tc>
          <w:tcPr>
            <w:tcW w:w="2238" w:type="dxa"/>
          </w:tcPr>
          <w:p>
            <w:pPr>
              <w:pStyle w:val="TableParagraph"/>
              <w:spacing w:before="80"/>
              <w:ind w:left="200"/>
              <w:rPr>
                <w:b/>
                <w:sz w:val="23"/>
              </w:rPr>
            </w:pPr>
            <w:r>
              <w:rPr>
                <w:b/>
                <w:sz w:val="23"/>
              </w:rPr>
              <w:t>RELATED</w:t>
            </w:r>
          </w:p>
          <w:p>
            <w:pPr>
              <w:pStyle w:val="TableParagraph"/>
              <w:spacing w:before="10"/>
              <w:rPr>
                <w:b/>
                <w:sz w:val="19"/>
              </w:rPr>
            </w:pPr>
          </w:p>
          <w:p>
            <w:pPr>
              <w:pStyle w:val="TableParagraph"/>
              <w:ind w:left="200"/>
              <w:rPr>
                <w:b/>
                <w:sz w:val="23"/>
              </w:rPr>
            </w:pPr>
            <w:r>
              <w:rPr>
                <w:b/>
                <w:sz w:val="23"/>
              </w:rPr>
              <w:t>REFERENCES:</w:t>
            </w:r>
          </w:p>
        </w:tc>
        <w:tc>
          <w:tcPr>
            <w:tcW w:w="7824" w:type="dxa"/>
          </w:tcPr>
          <w:p>
            <w:pPr>
              <w:pStyle w:val="TableParagraph"/>
              <w:spacing w:before="80"/>
              <w:ind w:left="390"/>
              <w:rPr>
                <w:sz w:val="23"/>
              </w:rPr>
            </w:pPr>
            <w:hyperlink r:id="rId178">
              <w:r>
                <w:rPr>
                  <w:color w:val="6F2F9F"/>
                  <w:sz w:val="23"/>
                  <w:u w:val="single" w:color="6F2F9F"/>
                </w:rPr>
                <w:t>R15-047</w:t>
              </w:r>
            </w:hyperlink>
          </w:p>
        </w:tc>
      </w:tr>
      <w:tr>
        <w:trPr>
          <w:trHeight w:val="904" w:hRule="atLeast"/>
        </w:trPr>
        <w:tc>
          <w:tcPr>
            <w:tcW w:w="2238" w:type="dxa"/>
          </w:tcPr>
          <w:p>
            <w:pPr>
              <w:pStyle w:val="TableParagraph"/>
              <w:spacing w:before="5"/>
              <w:rPr>
                <w:b/>
                <w:sz w:val="16"/>
              </w:rPr>
            </w:pPr>
          </w:p>
          <w:p>
            <w:pPr>
              <w:pStyle w:val="TableParagraph"/>
              <w:ind w:left="200"/>
              <w:rPr>
                <w:b/>
                <w:sz w:val="23"/>
              </w:rPr>
            </w:pPr>
            <w:r>
              <w:rPr>
                <w:b/>
                <w:sz w:val="23"/>
              </w:rPr>
              <w:t>ATTACHMENT(S):</w:t>
            </w:r>
          </w:p>
        </w:tc>
        <w:tc>
          <w:tcPr>
            <w:tcW w:w="7824" w:type="dxa"/>
          </w:tcPr>
          <w:p>
            <w:pPr>
              <w:pStyle w:val="TableParagraph"/>
              <w:numPr>
                <w:ilvl w:val="0"/>
                <w:numId w:val="58"/>
              </w:numPr>
              <w:tabs>
                <w:tab w:pos="641" w:val="left" w:leader="none"/>
              </w:tabs>
              <w:spacing w:line="292" w:lineRule="exact" w:before="201" w:after="0"/>
              <w:ind w:left="640" w:right="0" w:hanging="272"/>
              <w:jc w:val="left"/>
              <w:rPr>
                <w:sz w:val="23"/>
              </w:rPr>
            </w:pPr>
            <w:hyperlink r:id="rId179">
              <w:r>
                <w:rPr>
                  <w:color w:val="6F2F9F"/>
                  <w:sz w:val="23"/>
                  <w:u w:val="single" w:color="6F2F9F"/>
                </w:rPr>
                <w:t>Dear AFH Provider – ALTSA AFH</w:t>
              </w:r>
              <w:r>
                <w:rPr>
                  <w:color w:val="6F2F9F"/>
                  <w:spacing w:val="-6"/>
                  <w:sz w:val="23"/>
                  <w:u w:val="single" w:color="6F2F9F"/>
                </w:rPr>
                <w:t> </w:t>
              </w:r>
              <w:r>
                <w:rPr>
                  <w:color w:val="6F2F9F"/>
                  <w:sz w:val="23"/>
                  <w:u w:val="single" w:color="6F2F9F"/>
                </w:rPr>
                <w:t>#2015-017</w:t>
              </w:r>
            </w:hyperlink>
          </w:p>
          <w:p>
            <w:pPr>
              <w:pStyle w:val="TableParagraph"/>
              <w:numPr>
                <w:ilvl w:val="0"/>
                <w:numId w:val="58"/>
              </w:numPr>
              <w:tabs>
                <w:tab w:pos="641" w:val="left" w:leader="none"/>
              </w:tabs>
              <w:spacing w:line="292" w:lineRule="exact" w:before="0" w:after="0"/>
              <w:ind w:left="640" w:right="0" w:hanging="272"/>
              <w:jc w:val="left"/>
              <w:rPr>
                <w:sz w:val="23"/>
              </w:rPr>
            </w:pPr>
            <w:hyperlink r:id="rId180">
              <w:r>
                <w:rPr>
                  <w:color w:val="6F2F9F"/>
                  <w:sz w:val="23"/>
                  <w:u w:val="single" w:color="6F2F9F"/>
                </w:rPr>
                <w:t>Dear ALF Administrator – ALTSA: ALF</w:t>
              </w:r>
              <w:r>
                <w:rPr>
                  <w:color w:val="6F2F9F"/>
                  <w:spacing w:val="-8"/>
                  <w:sz w:val="23"/>
                  <w:u w:val="single" w:color="6F2F9F"/>
                </w:rPr>
                <w:t> </w:t>
              </w:r>
              <w:r>
                <w:rPr>
                  <w:color w:val="6F2F9F"/>
                  <w:sz w:val="23"/>
                  <w:u w:val="single" w:color="6F2F9F"/>
                </w:rPr>
                <w:t>#2015-016</w:t>
              </w:r>
            </w:hyperlink>
          </w:p>
        </w:tc>
      </w:tr>
      <w:tr>
        <w:trPr>
          <w:trHeight w:val="355" w:hRule="atLeast"/>
        </w:trPr>
        <w:tc>
          <w:tcPr>
            <w:tcW w:w="2238" w:type="dxa"/>
          </w:tcPr>
          <w:p>
            <w:pPr>
              <w:pStyle w:val="TableParagraph"/>
              <w:spacing w:line="257" w:lineRule="exact" w:before="78"/>
              <w:ind w:left="200"/>
              <w:rPr>
                <w:b/>
                <w:sz w:val="23"/>
              </w:rPr>
            </w:pPr>
            <w:r>
              <w:rPr>
                <w:b/>
                <w:sz w:val="23"/>
              </w:rPr>
              <w:t>CONTACT(S):</w:t>
            </w:r>
          </w:p>
        </w:tc>
        <w:tc>
          <w:tcPr>
            <w:tcW w:w="7824" w:type="dxa"/>
          </w:tcPr>
          <w:p>
            <w:pPr>
              <w:pStyle w:val="TableParagraph"/>
              <w:spacing w:line="257" w:lineRule="exact" w:before="78"/>
              <w:ind w:left="390"/>
              <w:rPr>
                <w:sz w:val="23"/>
              </w:rPr>
            </w:pPr>
            <w:hyperlink r:id="rId181">
              <w:r>
                <w:rPr>
                  <w:color w:val="6F2F9F"/>
                  <w:sz w:val="23"/>
                  <w:u w:val="single" w:color="6F2F9F"/>
                </w:rPr>
                <w:t>Valentina Karnafel</w:t>
              </w:r>
              <w:r>
                <w:rPr>
                  <w:sz w:val="23"/>
                </w:rPr>
                <w:t>, </w:t>
              </w:r>
            </w:hyperlink>
            <w:r>
              <w:rPr>
                <w:sz w:val="23"/>
              </w:rPr>
              <w:t>HCS Residential Program Manager, 360-725-2370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6"/>
        </w:rPr>
      </w:pPr>
      <w:r>
        <w:rPr/>
        <w:pict>
          <v:shape style="position:absolute;margin-left:70.559998pt;margin-top:12.308094pt;width:650.9pt;height:.1pt;mso-position-horizontal-relative:page;mso-position-vertical-relative:paragraph;z-index:-251413504;mso-wrap-distance-left:0;mso-wrap-distance-right:0" coordorigin="1411,246" coordsize="13018,0" path="m1411,246l14429,246e" filled="false" stroked="true" strokeweight=".481pt" strokecolor="#d9d9d9">
            <v:path arrowok="t"/>
            <v:stroke dashstyle="solid"/>
            <w10:wrap type="topAndBottom"/>
          </v:shape>
        </w:pict>
      </w:r>
    </w:p>
    <w:p>
      <w:pPr>
        <w:spacing w:after="0"/>
        <w:rPr>
          <w:sz w:val="16"/>
        </w:rPr>
        <w:sectPr>
          <w:footerReference w:type="default" r:id="rId177"/>
          <w:pgSz w:w="15840" w:h="12240" w:orient="landscape"/>
          <w:pgMar w:footer="1012"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221"/>
        </w:sectPr>
      </w:pPr>
    </w:p>
    <w:p>
      <w:pPr>
        <w:pStyle w:val="Heading8"/>
        <w:spacing w:before="39"/>
        <w:ind w:left="1060"/>
      </w:pPr>
      <w:r>
        <w:rPr/>
        <w:pict>
          <v:rect style="position:absolute;margin-left:78.480003pt;margin-top:507.959991pt;width:9.24pt;height:9.24pt;mso-position-horizontal-relative:page;mso-position-vertical-relative:page;z-index:-271026176" filled="false" stroked="true" strokeweight=".72pt" strokecolor="#000000">
            <v:stroke dashstyle="solid"/>
            <w10:wrap type="none"/>
          </v:rect>
        </w:pict>
      </w:r>
      <w:r>
        <w:rPr/>
        <w:pict>
          <v:rect style="position:absolute;margin-left:95.279999pt;margin-top:507.959991pt;width:9.24pt;height:9.24pt;mso-position-horizontal-relative:page;mso-position-vertical-relative:page;z-index:-271025152" filled="false" stroked="true" strokeweight=".72pt" strokecolor="#000000">
            <v:stroke dashstyle="solid"/>
            <w10:wrap type="none"/>
          </v:rect>
        </w:pict>
      </w:r>
      <w:r>
        <w:rPr/>
        <w:pict>
          <v:rect style="position:absolute;margin-left:113.279999pt;margin-top:507.959991pt;width:9.24pt;height:9.24pt;mso-position-horizontal-relative:page;mso-position-vertical-relative:page;z-index:-271024128" filled="false" stroked="true" strokeweight=".72pt" strokecolor="#000000">
            <v:stroke dashstyle="solid"/>
            <w10:wrap type="none"/>
          </v:rect>
        </w:pict>
      </w:r>
      <w:r>
        <w:rPr/>
        <w:pict>
          <v:rect style="position:absolute;margin-left:204.479996pt;margin-top:534.479980pt;width:9.24pt;height:9.24pt;mso-position-horizontal-relative:page;mso-position-vertical-relative:page;z-index:-271023104" filled="false" stroked="true" strokeweight=".72pt" strokecolor="#000000">
            <v:stroke dashstyle="solid"/>
            <w10:wrap type="none"/>
          </v:rect>
        </w:pict>
      </w:r>
      <w:r>
        <w:rPr/>
        <w:pict>
          <v:rect style="position:absolute;margin-left:222.479996pt;margin-top:534.479980pt;width:9.24pt;height:9.24pt;mso-position-horizontal-relative:page;mso-position-vertical-relative:page;z-index:-271022080" filled="false" stroked="true" strokeweight=".72pt" strokecolor="#000000">
            <v:stroke dashstyle="solid"/>
            <w10:wrap type="none"/>
          </v:rect>
        </w:pict>
      </w: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1" w:right="2957" w:firstLine="0"/>
        <w:jc w:val="center"/>
        <w:rPr>
          <w:b/>
          <w:sz w:val="28"/>
        </w:rPr>
      </w:pPr>
      <w:bookmarkStart w:name="Resident Interview Questions" w:id="220"/>
      <w:bookmarkEnd w:id="220"/>
      <w:r>
        <w:rPr/>
      </w:r>
      <w:bookmarkStart w:name="_bookmark60" w:id="221"/>
      <w:bookmarkEnd w:id="221"/>
      <w:r>
        <w:rPr/>
      </w:r>
      <w:r>
        <w:rPr>
          <w:b/>
          <w:sz w:val="28"/>
          <w:u w:val="single"/>
        </w:rPr>
        <w:t>Resident Interview Questions</w:t>
      </w:r>
    </w:p>
    <w:p>
      <w:pPr>
        <w:spacing w:before="49"/>
        <w:ind w:left="1060" w:right="0" w:firstLine="0"/>
        <w:jc w:val="left"/>
        <w:rPr>
          <w:rFonts w:ascii="Arial"/>
          <w:sz w:val="20"/>
        </w:rPr>
      </w:pPr>
      <w:r>
        <w:rPr>
          <w:rFonts w:ascii="Arial"/>
          <w:sz w:val="20"/>
        </w:rPr>
        <w:t>Attachment G</w:t>
      </w:r>
    </w:p>
    <w:p>
      <w:pPr>
        <w:pStyle w:val="BodyText"/>
        <w:ind w:left="1138"/>
        <w:rPr>
          <w:rFonts w:ascii="Arial"/>
          <w:sz w:val="20"/>
        </w:rPr>
      </w:pPr>
      <w:r>
        <w:rPr>
          <w:rFonts w:ascii="Arial"/>
          <w:sz w:val="20"/>
        </w:rPr>
        <w:pict>
          <v:group style="width:654.75pt;height:53.8pt;mso-position-horizontal-relative:char;mso-position-vertical-relative:line" coordorigin="0,0" coordsize="13095,1076">
            <v:line style="position:absolute" from="0,1073" to="4886,1073" stroked="true" strokeweight=".24pt" strokecolor="#000000">
              <v:stroke dashstyle="solid"/>
            </v:line>
            <v:rect style="position:absolute;left:4886;top:1070;width:5;height:5" filled="true" fillcolor="#000000" stroked="false">
              <v:fill type="solid"/>
            </v:rect>
            <v:line style="position:absolute" from="4891,1073" to="13094,1073" stroked="true" strokeweight=".24pt" strokecolor="#000000">
              <v:stroke dashstyle="solid"/>
            </v:line>
            <v:shape style="position:absolute;left:107;top:0;width:1739;height:1005" type="#_x0000_t75" alt="Transforming Lives " stroked="false">
              <v:imagedata r:id="rId182" o:title=""/>
            </v:shape>
            <v:shape style="position:absolute;left:0;top:0;width:13095;height:1076" type="#_x0000_t202" filled="false" stroked="false">
              <v:textbox inset="0,0,0,0">
                <w:txbxContent>
                  <w:p>
                    <w:pPr>
                      <w:spacing w:line="240" w:lineRule="auto" w:before="0"/>
                      <w:ind w:left="7752" w:right="2531" w:hanging="320"/>
                      <w:jc w:val="left"/>
                      <w:rPr>
                        <w:rFonts w:ascii="Arial"/>
                        <w:b/>
                        <w:sz w:val="28"/>
                      </w:rPr>
                    </w:pPr>
                    <w:r>
                      <w:rPr>
                        <w:rFonts w:ascii="Arial"/>
                        <w:b/>
                        <w:sz w:val="28"/>
                      </w:rPr>
                      <w:t>Assisted Living Facility Resident Interview</w:t>
                    </w:r>
                  </w:p>
                </w:txbxContent>
              </v:textbox>
              <w10:wrap type="none"/>
            </v:shape>
          </v:group>
        </w:pict>
      </w:r>
      <w:r>
        <w:rPr>
          <w:rFonts w:ascii="Arial"/>
          <w:sz w:val="20"/>
        </w:rPr>
      </w:r>
    </w:p>
    <w:p>
      <w:pPr>
        <w:tabs>
          <w:tab w:pos="11247" w:val="left" w:leader="none"/>
        </w:tabs>
        <w:spacing w:line="235" w:lineRule="exact" w:before="0"/>
        <w:ind w:left="1249" w:right="0" w:firstLine="0"/>
        <w:jc w:val="left"/>
        <w:rPr>
          <w:rFonts w:ascii="Arial"/>
          <w:sz w:val="20"/>
        </w:rPr>
      </w:pPr>
      <w:r>
        <w:rPr>
          <w:rFonts w:ascii="Times New Roman"/>
          <w:sz w:val="24"/>
        </w:rPr>
        <w:t>ASSISTED LIVING</w:t>
      </w:r>
      <w:r>
        <w:rPr>
          <w:rFonts w:ascii="Times New Roman"/>
          <w:spacing w:val="-6"/>
          <w:sz w:val="24"/>
        </w:rPr>
        <w:t> </w:t>
      </w:r>
      <w:r>
        <w:rPr>
          <w:rFonts w:ascii="Times New Roman"/>
          <w:sz w:val="24"/>
        </w:rPr>
        <w:t>FACILITY</w:t>
      </w:r>
      <w:r>
        <w:rPr>
          <w:rFonts w:ascii="Times New Roman"/>
          <w:spacing w:val="-4"/>
          <w:sz w:val="24"/>
        </w:rPr>
        <w:t> </w:t>
      </w:r>
      <w:r>
        <w:rPr>
          <w:rFonts w:ascii="Times New Roman"/>
          <w:sz w:val="24"/>
        </w:rPr>
        <w:t>NAME</w:t>
        <w:tab/>
      </w:r>
      <w:r>
        <w:rPr>
          <w:rFonts w:ascii="Arial"/>
          <w:position w:val="3"/>
          <w:sz w:val="20"/>
        </w:rPr>
        <w:t>LICENSE</w:t>
      </w:r>
      <w:r>
        <w:rPr>
          <w:rFonts w:ascii="Arial"/>
          <w:spacing w:val="-2"/>
          <w:position w:val="3"/>
          <w:sz w:val="20"/>
        </w:rPr>
        <w:t> </w:t>
      </w:r>
      <w:r>
        <w:rPr>
          <w:rFonts w:ascii="Arial"/>
          <w:position w:val="3"/>
          <w:sz w:val="20"/>
        </w:rPr>
        <w:t>NUMBER</w:t>
      </w:r>
    </w:p>
    <w:p>
      <w:pPr>
        <w:pStyle w:val="BodyText"/>
        <w:rPr>
          <w:rFonts w:ascii="Arial"/>
          <w:sz w:val="20"/>
        </w:rPr>
      </w:pPr>
    </w:p>
    <w:p>
      <w:pPr>
        <w:pStyle w:val="BodyText"/>
        <w:rPr>
          <w:rFonts w:ascii="Arial"/>
          <w:sz w:val="20"/>
        </w:rPr>
      </w:pPr>
    </w:p>
    <w:p>
      <w:pPr>
        <w:pStyle w:val="BodyText"/>
        <w:spacing w:before="5"/>
        <w:rPr>
          <w:rFonts w:ascii="Arial"/>
          <w:sz w:val="19"/>
        </w:rPr>
      </w:pPr>
      <w:r>
        <w:rPr/>
        <w:pict>
          <v:group style="position:absolute;margin-left:76.080002pt;margin-top:13.166251pt;width:654.75pt;height:.25pt;mso-position-horizontal-relative:page;mso-position-vertical-relative:paragraph;z-index:-251410432;mso-wrap-distance-left:0;mso-wrap-distance-right:0" coordorigin="1522,263" coordsize="13095,5">
            <v:line style="position:absolute" from="1522,266" to="6408,266" stroked="true" strokeweight=".24pt" strokecolor="#000000">
              <v:stroke dashstyle="solid"/>
            </v:line>
            <v:rect style="position:absolute;left:6408;top:263;width:5;height:5" filled="true" fillcolor="#000000" stroked="false">
              <v:fill type="solid"/>
            </v:rect>
            <v:line style="position:absolute" from="6413,266" to="14616,266" stroked="true" strokeweight=".24pt" strokecolor="#000000">
              <v:stroke dashstyle="solid"/>
            </v:line>
            <w10:wrap type="topAndBottom"/>
          </v:group>
        </w:pict>
      </w:r>
    </w:p>
    <w:p>
      <w:pPr>
        <w:tabs>
          <w:tab w:pos="11247" w:val="left" w:leader="none"/>
        </w:tabs>
        <w:spacing w:line="241" w:lineRule="exact" w:before="0"/>
        <w:ind w:left="1249" w:right="0" w:firstLine="0"/>
        <w:jc w:val="left"/>
        <w:rPr>
          <w:rFonts w:ascii="Arial"/>
          <w:sz w:val="20"/>
        </w:rPr>
      </w:pPr>
      <w:r>
        <w:rPr>
          <w:rFonts w:ascii="Times New Roman"/>
          <w:sz w:val="24"/>
        </w:rPr>
        <w:t>INSPECTION</w:t>
      </w:r>
      <w:r>
        <w:rPr>
          <w:rFonts w:ascii="Times New Roman"/>
          <w:spacing w:val="-3"/>
          <w:sz w:val="24"/>
        </w:rPr>
        <w:t> </w:t>
      </w:r>
      <w:r>
        <w:rPr>
          <w:rFonts w:ascii="Times New Roman"/>
          <w:sz w:val="24"/>
        </w:rPr>
        <w:t>DATE</w:t>
        <w:tab/>
      </w:r>
      <w:r>
        <w:rPr>
          <w:rFonts w:ascii="Arial"/>
          <w:position w:val="3"/>
          <w:sz w:val="20"/>
        </w:rPr>
        <w:t>LICENSOR</w:t>
      </w:r>
      <w:r>
        <w:rPr>
          <w:rFonts w:ascii="Arial"/>
          <w:spacing w:val="-1"/>
          <w:position w:val="3"/>
          <w:sz w:val="20"/>
        </w:rPr>
        <w:t> </w:t>
      </w:r>
      <w:r>
        <w:rPr>
          <w:rFonts w:ascii="Arial"/>
          <w:position w:val="3"/>
          <w:sz w:val="20"/>
        </w:rPr>
        <w:t>NAME</w:t>
      </w:r>
    </w:p>
    <w:p>
      <w:pPr>
        <w:pStyle w:val="BodyText"/>
        <w:spacing w:before="3"/>
        <w:rPr>
          <w:rFonts w:ascii="Arial"/>
          <w:sz w:val="29"/>
        </w:rPr>
      </w:pPr>
    </w:p>
    <w:tbl>
      <w:tblPr>
        <w:tblW w:w="0" w:type="auto"/>
        <w:jc w:val="left"/>
        <w:tblInd w:w="11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08"/>
        <w:gridCol w:w="2604"/>
        <w:gridCol w:w="1423"/>
        <w:gridCol w:w="4507"/>
        <w:gridCol w:w="4452"/>
      </w:tblGrid>
      <w:tr>
        <w:trPr>
          <w:trHeight w:val="227" w:hRule="atLeast"/>
        </w:trPr>
        <w:tc>
          <w:tcPr>
            <w:tcW w:w="108" w:type="dxa"/>
            <w:tcBorders>
              <w:right w:val="nil"/>
            </w:tcBorders>
            <w:shd w:val="clear" w:color="auto" w:fill="C5D9F0"/>
          </w:tcPr>
          <w:p>
            <w:pPr>
              <w:pStyle w:val="TableParagraph"/>
              <w:rPr>
                <w:rFonts w:ascii="Times New Roman"/>
                <w:sz w:val="16"/>
              </w:rPr>
            </w:pPr>
          </w:p>
        </w:tc>
        <w:tc>
          <w:tcPr>
            <w:tcW w:w="12986" w:type="dxa"/>
            <w:gridSpan w:val="4"/>
            <w:tcBorders>
              <w:left w:val="nil"/>
            </w:tcBorders>
            <w:shd w:val="clear" w:color="auto" w:fill="C5D9F0"/>
          </w:tcPr>
          <w:p>
            <w:pPr>
              <w:pStyle w:val="TableParagraph"/>
              <w:rPr>
                <w:rFonts w:ascii="Times New Roman"/>
                <w:sz w:val="16"/>
              </w:rPr>
            </w:pPr>
          </w:p>
        </w:tc>
      </w:tr>
      <w:tr>
        <w:trPr>
          <w:trHeight w:val="727" w:hRule="atLeast"/>
        </w:trPr>
        <w:tc>
          <w:tcPr>
            <w:tcW w:w="2712" w:type="dxa"/>
            <w:gridSpan w:val="2"/>
          </w:tcPr>
          <w:p>
            <w:pPr>
              <w:pStyle w:val="TableParagraph"/>
              <w:spacing w:before="20"/>
              <w:ind w:left="107"/>
              <w:rPr>
                <w:rFonts w:ascii="Arial"/>
                <w:sz w:val="16"/>
              </w:rPr>
            </w:pPr>
            <w:r>
              <w:rPr>
                <w:rFonts w:ascii="Arial"/>
                <w:sz w:val="16"/>
              </w:rPr>
              <w:t>RESIDENT NAME</w:t>
            </w:r>
          </w:p>
        </w:tc>
        <w:tc>
          <w:tcPr>
            <w:tcW w:w="1423" w:type="dxa"/>
          </w:tcPr>
          <w:p>
            <w:pPr>
              <w:pStyle w:val="TableParagraph"/>
              <w:spacing w:line="276" w:lineRule="auto" w:before="18"/>
              <w:ind w:left="107" w:right="482"/>
              <w:rPr>
                <w:rFonts w:ascii="Arial"/>
                <w:sz w:val="16"/>
              </w:rPr>
            </w:pPr>
            <w:r>
              <w:rPr>
                <w:rFonts w:ascii="Arial"/>
                <w:sz w:val="16"/>
              </w:rPr>
              <w:t>RESIDENT NUMBER</w:t>
            </w:r>
          </w:p>
        </w:tc>
        <w:tc>
          <w:tcPr>
            <w:tcW w:w="4507" w:type="dxa"/>
          </w:tcPr>
          <w:p>
            <w:pPr>
              <w:pStyle w:val="TableParagraph"/>
              <w:spacing w:before="20"/>
              <w:ind w:left="108"/>
              <w:rPr>
                <w:rFonts w:ascii="Arial"/>
                <w:sz w:val="16"/>
              </w:rPr>
            </w:pPr>
            <w:r>
              <w:rPr>
                <w:rFonts w:ascii="Arial"/>
                <w:sz w:val="16"/>
              </w:rPr>
              <w:t>ROOM NUMBER</w:t>
            </w:r>
          </w:p>
        </w:tc>
        <w:tc>
          <w:tcPr>
            <w:tcW w:w="4452" w:type="dxa"/>
          </w:tcPr>
          <w:p>
            <w:pPr>
              <w:pStyle w:val="TableParagraph"/>
              <w:spacing w:before="20"/>
              <w:ind w:left="108"/>
              <w:rPr>
                <w:rFonts w:ascii="Arial"/>
                <w:sz w:val="16"/>
              </w:rPr>
            </w:pPr>
            <w:r>
              <w:rPr>
                <w:rFonts w:ascii="Arial"/>
                <w:sz w:val="16"/>
              </w:rPr>
              <w:t>PAY STATUS</w:t>
            </w:r>
          </w:p>
          <w:p>
            <w:pPr>
              <w:pStyle w:val="TableParagraph"/>
              <w:spacing w:before="11"/>
              <w:rPr>
                <w:rFonts w:ascii="Arial"/>
                <w:sz w:val="19"/>
              </w:rPr>
            </w:pPr>
          </w:p>
          <w:p>
            <w:pPr>
              <w:pStyle w:val="TableParagraph"/>
              <w:tabs>
                <w:tab w:pos="1663" w:val="left" w:leader="none"/>
              </w:tabs>
              <w:ind w:left="463"/>
              <w:rPr>
                <w:rFonts w:ascii="Arial"/>
                <w:sz w:val="20"/>
              </w:rPr>
            </w:pPr>
            <w:r>
              <w:rPr>
                <w:rFonts w:ascii="Arial"/>
                <w:sz w:val="20"/>
              </w:rPr>
              <w:t>Private</w:t>
              <w:tab/>
              <w:t>State</w:t>
            </w:r>
          </w:p>
        </w:tc>
      </w:tr>
      <w:tr>
        <w:trPr>
          <w:trHeight w:val="1034" w:hRule="atLeast"/>
        </w:trPr>
        <w:tc>
          <w:tcPr>
            <w:tcW w:w="13094" w:type="dxa"/>
            <w:gridSpan w:val="5"/>
          </w:tcPr>
          <w:p>
            <w:pPr>
              <w:pStyle w:val="TableParagraph"/>
              <w:spacing w:before="62"/>
              <w:ind w:left="107"/>
              <w:rPr>
                <w:rFonts w:ascii="Arial"/>
                <w:sz w:val="20"/>
              </w:rPr>
            </w:pPr>
            <w:r>
              <w:rPr>
                <w:rFonts w:ascii="Arial"/>
                <w:sz w:val="20"/>
              </w:rPr>
              <w:t>Brief Review of Negotiated Service Agreement:</w:t>
            </w:r>
          </w:p>
        </w:tc>
      </w:tr>
    </w:tbl>
    <w:p>
      <w:pPr>
        <w:spacing w:line="278" w:lineRule="auto" w:before="79"/>
        <w:ind w:left="1249" w:right="1371" w:firstLine="0"/>
        <w:jc w:val="left"/>
        <w:rPr>
          <w:rFonts w:ascii="Arial"/>
          <w:b/>
          <w:sz w:val="20"/>
        </w:rPr>
      </w:pPr>
      <w:r>
        <w:rPr/>
        <w:pict>
          <v:rect style="position:absolute;margin-left:514.679993pt;margin-top:-65.990112pt;width:9.960pt;height:9.960pt;mso-position-horizontal-relative:page;mso-position-vertical-relative:paragraph;z-index:-271030272" filled="false" stroked="true" strokeweight=".72pt" strokecolor="#000000">
            <v:stroke dashstyle="solid"/>
            <w10:wrap type="none"/>
          </v:rect>
        </w:pict>
      </w:r>
      <w:r>
        <w:rPr/>
        <w:pict>
          <v:rect style="position:absolute;margin-left:574.679993pt;margin-top:-65.990112pt;width:9.960pt;height:9.960pt;mso-position-horizontal-relative:page;mso-position-vertical-relative:paragraph;z-index:-271029248" filled="false" stroked="true" strokeweight=".72pt" strokecolor="#000000">
            <v:stroke dashstyle="solid"/>
            <w10:wrap type="none"/>
          </v:rect>
        </w:pict>
      </w:r>
      <w:r>
        <w:rPr>
          <w:rFonts w:ascii="Arial"/>
          <w:b/>
          <w:sz w:val="20"/>
        </w:rPr>
        <w:t>The questions below are intended as a guide and should not prevent the interviewer from asking more questions or obtaining more data if concerns are identified. If you are concerned about the answers, please investigate further.</w:t>
      </w:r>
    </w:p>
    <w:p>
      <w:pPr>
        <w:spacing w:before="195"/>
        <w:ind w:left="1249" w:right="0" w:firstLine="0"/>
        <w:jc w:val="left"/>
        <w:rPr>
          <w:rFonts w:ascii="Arial"/>
          <w:b/>
          <w:sz w:val="20"/>
        </w:rPr>
      </w:pPr>
      <w:r>
        <w:rPr/>
        <w:pict>
          <v:rect style="position:absolute;margin-left:78.480003pt;margin-top:55.976364pt;width:9.24pt;height:9.24pt;mso-position-horizontal-relative:page;mso-position-vertical-relative:paragraph;z-index:-271028224" filled="false" stroked="true" strokeweight=".72pt" strokecolor="#000000">
            <v:stroke dashstyle="solid"/>
            <w10:wrap type="none"/>
          </v:rect>
        </w:pict>
      </w:r>
      <w:r>
        <w:rPr/>
        <w:pict>
          <v:rect style="position:absolute;margin-left:197.759995pt;margin-top:55.976364pt;width:9.24pt;height:9.24pt;mso-position-horizontal-relative:page;mso-position-vertical-relative:paragraph;z-index:-271027200" filled="false" stroked="true" strokeweight=".72pt" strokecolor="#000000">
            <v:stroke dashstyle="solid"/>
            <w10:wrap type="none"/>
          </v:rect>
        </w:pict>
      </w:r>
      <w:r>
        <w:rPr>
          <w:rFonts w:ascii="Arial"/>
          <w:b/>
          <w:sz w:val="20"/>
        </w:rPr>
        <w:t>Introductory questions: The interviewer may want to consider one of the following questions as a lead to the interview.</w:t>
      </w:r>
    </w:p>
    <w:p>
      <w:pPr>
        <w:pStyle w:val="BodyText"/>
        <w:spacing w:before="6" w:after="1"/>
        <w:rPr>
          <w:rFonts w:ascii="Arial"/>
          <w:b/>
          <w:sz w:val="20"/>
        </w:rPr>
      </w:pPr>
    </w:p>
    <w:tbl>
      <w:tblPr>
        <w:tblW w:w="0" w:type="auto"/>
        <w:jc w:val="left"/>
        <w:tblInd w:w="10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384"/>
        <w:gridCol w:w="9799"/>
      </w:tblGrid>
      <w:tr>
        <w:trPr>
          <w:trHeight w:val="755" w:hRule="atLeast"/>
        </w:trPr>
        <w:tc>
          <w:tcPr>
            <w:tcW w:w="13183" w:type="dxa"/>
            <w:gridSpan w:val="2"/>
          </w:tcPr>
          <w:p>
            <w:pPr>
              <w:pStyle w:val="TableParagraph"/>
              <w:spacing w:before="20"/>
              <w:ind w:left="115"/>
              <w:rPr>
                <w:rFonts w:ascii="Arial"/>
                <w:sz w:val="16"/>
              </w:rPr>
            </w:pPr>
            <w:r>
              <w:rPr>
                <w:rFonts w:ascii="Arial"/>
                <w:sz w:val="16"/>
              </w:rPr>
              <w:t>SELECT ONE</w:t>
            </w:r>
          </w:p>
          <w:p>
            <w:pPr>
              <w:pStyle w:val="TableParagraph"/>
              <w:spacing w:before="6"/>
              <w:rPr>
                <w:rFonts w:ascii="Arial"/>
                <w:b/>
                <w:sz w:val="19"/>
              </w:rPr>
            </w:pPr>
          </w:p>
          <w:p>
            <w:pPr>
              <w:pStyle w:val="TableParagraph"/>
              <w:tabs>
                <w:tab w:pos="2841" w:val="left" w:leader="none"/>
              </w:tabs>
              <w:ind w:left="455"/>
              <w:rPr>
                <w:rFonts w:ascii="Arial"/>
                <w:b/>
                <w:sz w:val="20"/>
              </w:rPr>
            </w:pPr>
            <w:r>
              <w:rPr>
                <w:rFonts w:ascii="Arial"/>
                <w:b/>
                <w:sz w:val="20"/>
              </w:rPr>
              <w:t>Resident</w:t>
            </w:r>
            <w:r>
              <w:rPr>
                <w:rFonts w:ascii="Arial"/>
                <w:b/>
                <w:spacing w:val="-4"/>
                <w:sz w:val="20"/>
              </w:rPr>
              <w:t> </w:t>
            </w:r>
            <w:r>
              <w:rPr>
                <w:rFonts w:ascii="Arial"/>
                <w:b/>
                <w:sz w:val="20"/>
              </w:rPr>
              <w:t>Interview</w:t>
              <w:tab/>
              <w:t>Representative</w:t>
            </w:r>
            <w:r>
              <w:rPr>
                <w:rFonts w:ascii="Arial"/>
                <w:b/>
                <w:spacing w:val="-1"/>
                <w:sz w:val="20"/>
              </w:rPr>
              <w:t> </w:t>
            </w:r>
            <w:r>
              <w:rPr>
                <w:rFonts w:ascii="Arial"/>
                <w:b/>
                <w:sz w:val="20"/>
              </w:rPr>
              <w:t>Interview</w:t>
            </w:r>
          </w:p>
        </w:tc>
      </w:tr>
      <w:tr>
        <w:trPr>
          <w:trHeight w:val="580" w:hRule="atLeast"/>
        </w:trPr>
        <w:tc>
          <w:tcPr>
            <w:tcW w:w="13183" w:type="dxa"/>
            <w:gridSpan w:val="2"/>
          </w:tcPr>
          <w:p>
            <w:pPr>
              <w:pStyle w:val="TableParagraph"/>
              <w:spacing w:line="242" w:lineRule="auto" w:before="57"/>
              <w:ind w:left="475" w:right="177" w:hanging="360"/>
              <w:rPr>
                <w:rFonts w:ascii="Arial" w:hAnsi="Arial"/>
                <w:sz w:val="20"/>
              </w:rPr>
            </w:pPr>
            <w:r>
              <w:rPr>
                <w:rFonts w:ascii="Arial" w:hAnsi="Arial"/>
                <w:sz w:val="20"/>
              </w:rPr>
              <w:t>A. The following are </w:t>
            </w:r>
            <w:r>
              <w:rPr>
                <w:rFonts w:ascii="Arial" w:hAnsi="Arial"/>
                <w:b/>
                <w:sz w:val="20"/>
              </w:rPr>
              <w:t>REQUIRED </w:t>
            </w:r>
            <w:r>
              <w:rPr>
                <w:rFonts w:ascii="Arial" w:hAnsi="Arial"/>
                <w:sz w:val="20"/>
              </w:rPr>
              <w:t>questions and </w:t>
            </w:r>
            <w:r>
              <w:rPr>
                <w:rFonts w:ascii="Arial" w:hAnsi="Arial"/>
                <w:b/>
                <w:sz w:val="20"/>
              </w:rPr>
              <w:t>MUST </w:t>
            </w:r>
            <w:r>
              <w:rPr>
                <w:rFonts w:ascii="Arial" w:hAnsi="Arial"/>
                <w:sz w:val="20"/>
              </w:rPr>
              <w:t>be asked during the interview. Check “Y,” if the answer is yes; check “N,” if the answer is no and document the interviewee’s response; or check “D” if the interviewee declined to answer the question.</w:t>
            </w:r>
          </w:p>
        </w:tc>
      </w:tr>
      <w:tr>
        <w:trPr>
          <w:trHeight w:val="1272" w:hRule="atLeast"/>
        </w:trPr>
        <w:tc>
          <w:tcPr>
            <w:tcW w:w="3384" w:type="dxa"/>
            <w:tcBorders>
              <w:bottom w:val="thickThinMediumGap" w:sz="2" w:space="0" w:color="D9D9D9"/>
            </w:tcBorders>
          </w:tcPr>
          <w:p>
            <w:pPr>
              <w:pStyle w:val="TableParagraph"/>
              <w:tabs>
                <w:tab w:pos="508" w:val="left" w:leader="none"/>
                <w:tab w:pos="868" w:val="left" w:leader="none"/>
              </w:tabs>
              <w:spacing w:before="58"/>
              <w:ind w:left="153"/>
              <w:rPr>
                <w:rFonts w:ascii="Arial"/>
                <w:sz w:val="16"/>
              </w:rPr>
            </w:pPr>
            <w:r>
              <w:rPr>
                <w:rFonts w:ascii="Arial"/>
                <w:sz w:val="16"/>
              </w:rPr>
              <w:t>Y</w:t>
              <w:tab/>
              <w:t>N</w:t>
              <w:tab/>
              <w:t>D</w:t>
            </w:r>
          </w:p>
          <w:p>
            <w:pPr>
              <w:pStyle w:val="TableParagraph"/>
              <w:spacing w:before="9"/>
              <w:rPr>
                <w:rFonts w:ascii="Arial"/>
                <w:b/>
                <w:sz w:val="19"/>
              </w:rPr>
            </w:pPr>
          </w:p>
          <w:p>
            <w:pPr>
              <w:pStyle w:val="TableParagraph"/>
              <w:spacing w:line="276" w:lineRule="auto"/>
              <w:ind w:left="115" w:right="140" w:firstLine="1080"/>
              <w:rPr>
                <w:rFonts w:ascii="Arial"/>
                <w:sz w:val="20"/>
              </w:rPr>
            </w:pPr>
            <w:r>
              <w:rPr>
                <w:rFonts w:ascii="Arial"/>
                <w:sz w:val="20"/>
              </w:rPr>
              <w:t>Can you make choices about the care and services you</w:t>
            </w:r>
          </w:p>
          <w:p>
            <w:pPr>
              <w:pStyle w:val="TableParagraph"/>
              <w:spacing w:before="1"/>
              <w:ind w:left="115"/>
              <w:rPr>
                <w:rFonts w:ascii="Arial"/>
                <w:sz w:val="20"/>
              </w:rPr>
            </w:pPr>
            <w:r>
              <w:rPr>
                <w:rFonts w:ascii="Arial"/>
                <w:sz w:val="20"/>
              </w:rPr>
              <w:t>receive here at the home?</w:t>
            </w:r>
          </w:p>
        </w:tc>
        <w:tc>
          <w:tcPr>
            <w:tcW w:w="9799" w:type="dxa"/>
            <w:tcBorders>
              <w:bottom w:val="thickThinMediumGap" w:sz="2" w:space="0" w:color="D9D9D9"/>
            </w:tcBorders>
          </w:tcPr>
          <w:p>
            <w:pPr>
              <w:pStyle w:val="TableParagraph"/>
              <w:rPr>
                <w:rFonts w:ascii="Times New Roman"/>
                <w:sz w:val="20"/>
              </w:rPr>
            </w:pPr>
          </w:p>
        </w:tc>
      </w:tr>
    </w:tbl>
    <w:p>
      <w:pPr>
        <w:spacing w:after="0"/>
        <w:rPr>
          <w:rFonts w:ascii="Times New Roman"/>
          <w:sz w:val="20"/>
        </w:rPr>
        <w:sectPr>
          <w:pgSz w:w="15840" w:h="12240" w:orient="landscape"/>
          <w:pgMar w:header="0" w:footer="1012"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rect style="position:absolute;margin-left:78.480003pt;margin-top:200.279999pt;width:9.24pt;height:9.24pt;mso-position-horizontal-relative:page;mso-position-vertical-relative:page;z-index:-271015936" filled="false" stroked="true" strokeweight=".72pt" strokecolor="#000000">
            <v:stroke dashstyle="solid"/>
            <w10:wrap type="none"/>
          </v:rect>
        </w:pict>
      </w:r>
      <w:r>
        <w:rPr/>
        <w:pict>
          <v:rect style="position:absolute;margin-left:95.279999pt;margin-top:200.279999pt;width:9.24pt;height:9.24pt;mso-position-horizontal-relative:page;mso-position-vertical-relative:page;z-index:-271014912" filled="false" stroked="true" strokeweight=".72pt" strokecolor="#000000">
            <v:stroke dashstyle="solid"/>
            <w10:wrap type="none"/>
          </v:rect>
        </w:pict>
      </w:r>
      <w:r>
        <w:rPr/>
        <w:pict>
          <v:rect style="position:absolute;margin-left:113.279999pt;margin-top:200.279999pt;width:9.24pt;height:9.24pt;mso-position-horizontal-relative:page;mso-position-vertical-relative:page;z-index:-271013888" filled="false" stroked="true" strokeweight=".72pt" strokecolor="#000000">
            <v:stroke dashstyle="solid"/>
            <w10:wrap type="none"/>
          </v:rect>
        </w:pict>
      </w:r>
      <w:r>
        <w:rPr/>
        <w:pict>
          <v:rect style="position:absolute;margin-left:78.480003pt;margin-top:236.759995pt;width:9.24pt;height:9.24pt;mso-position-horizontal-relative:page;mso-position-vertical-relative:page;z-index:-271012864" filled="false" stroked="true" strokeweight=".72pt" strokecolor="#000000">
            <v:stroke dashstyle="solid"/>
            <w10:wrap type="none"/>
          </v:rect>
        </w:pict>
      </w:r>
      <w:r>
        <w:rPr/>
        <w:pict>
          <v:rect style="position:absolute;margin-left:95.279999pt;margin-top:236.759995pt;width:9.24pt;height:9.24pt;mso-position-horizontal-relative:page;mso-position-vertical-relative:page;z-index:-271011840" filled="false" stroked="true" strokeweight=".72pt" strokecolor="#000000">
            <v:stroke dashstyle="solid"/>
            <w10:wrap type="none"/>
          </v:rect>
        </w:pict>
      </w:r>
      <w:r>
        <w:rPr/>
        <w:pict>
          <v:rect style="position:absolute;margin-left:113.279999pt;margin-top:236.759995pt;width:9.24pt;height:9.24pt;mso-position-horizontal-relative:page;mso-position-vertical-relative:page;z-index:-271010816" filled="false" stroked="true" strokeweight=".72pt" strokecolor="#000000">
            <v:stroke dashstyle="solid"/>
            <w10:wrap type="none"/>
          </v:rect>
        </w:pict>
      </w:r>
      <w:r>
        <w:rPr/>
        <w:pict>
          <v:rect style="position:absolute;margin-left:78.480003pt;margin-top:273.239990pt;width:9.24pt;height:9.24pt;mso-position-horizontal-relative:page;mso-position-vertical-relative:page;z-index:-271009792" filled="false" stroked="true" strokeweight=".72pt" strokecolor="#000000">
            <v:stroke dashstyle="solid"/>
            <w10:wrap type="none"/>
          </v:rect>
        </w:pict>
      </w:r>
      <w:r>
        <w:rPr/>
        <w:pict>
          <v:rect style="position:absolute;margin-left:95.279999pt;margin-top:273.239990pt;width:9.24pt;height:9.24pt;mso-position-horizontal-relative:page;mso-position-vertical-relative:page;z-index:-271008768" filled="false" stroked="true" strokeweight=".72pt" strokecolor="#000000">
            <v:stroke dashstyle="solid"/>
            <w10:wrap type="none"/>
          </v:rect>
        </w:pict>
      </w:r>
      <w:r>
        <w:rPr/>
        <w:pict>
          <v:rect style="position:absolute;margin-left:113.279999pt;margin-top:273.239990pt;width:9.24pt;height:9.24pt;mso-position-horizontal-relative:page;mso-position-vertical-relative:page;z-index:-271007744" filled="false" stroked="true" strokeweight=".72pt" strokecolor="#000000">
            <v:stroke dashstyle="solid"/>
            <w10:wrap type="none"/>
          </v:rect>
        </w:pict>
      </w:r>
      <w:r>
        <w:rPr/>
        <w:pict>
          <v:rect style="position:absolute;margin-left:78.480003pt;margin-top:309.600006pt;width:9.24pt;height:9.24pt;mso-position-horizontal-relative:page;mso-position-vertical-relative:page;z-index:-271006720" filled="false" stroked="true" strokeweight=".72pt" strokecolor="#000000">
            <v:stroke dashstyle="solid"/>
            <w10:wrap type="none"/>
          </v:rect>
        </w:pict>
      </w:r>
      <w:r>
        <w:rPr/>
        <w:pict>
          <v:rect style="position:absolute;margin-left:95.279999pt;margin-top:309.600006pt;width:9.24pt;height:9.24pt;mso-position-horizontal-relative:page;mso-position-vertical-relative:page;z-index:-271005696" filled="false" stroked="true" strokeweight=".72pt" strokecolor="#000000">
            <v:stroke dashstyle="solid"/>
            <w10:wrap type="none"/>
          </v:rect>
        </w:pict>
      </w:r>
      <w:r>
        <w:rPr/>
        <w:pict>
          <v:rect style="position:absolute;margin-left:113.279999pt;margin-top:309.600006pt;width:9.24pt;height:9.24pt;mso-position-horizontal-relative:page;mso-position-vertical-relative:page;z-index:-271004672" filled="false" stroked="true" strokeweight=".72pt" strokecolor="#000000">
            <v:stroke dashstyle="solid"/>
            <w10:wrap type="none"/>
          </v:rect>
        </w:pict>
      </w:r>
      <w:r>
        <w:rPr/>
        <w:pict>
          <v:rect style="position:absolute;margin-left:78.480003pt;margin-top:346.079987pt;width:9.24pt;height:9.24pt;mso-position-horizontal-relative:page;mso-position-vertical-relative:page;z-index:-271003648" filled="false" stroked="true" strokeweight=".72pt" strokecolor="#000000">
            <v:stroke dashstyle="solid"/>
            <w10:wrap type="none"/>
          </v:rect>
        </w:pict>
      </w:r>
      <w:r>
        <w:rPr/>
        <w:pict>
          <v:rect style="position:absolute;margin-left:95.279999pt;margin-top:346.079987pt;width:9.24pt;height:9.24pt;mso-position-horizontal-relative:page;mso-position-vertical-relative:page;z-index:-271002624" filled="false" stroked="true" strokeweight=".72pt" strokecolor="#000000">
            <v:stroke dashstyle="solid"/>
            <w10:wrap type="none"/>
          </v:rect>
        </w:pict>
      </w:r>
      <w:r>
        <w:rPr/>
        <w:pict>
          <v:rect style="position:absolute;margin-left:113.279999pt;margin-top:346.079987pt;width:9.24pt;height:9.24pt;mso-position-horizontal-relative:page;mso-position-vertical-relative:page;z-index:-271001600" filled="false" stroked="true" strokeweight=".72pt" strokecolor="#000000">
            <v:stroke dashstyle="solid"/>
            <w10:wrap type="none"/>
          </v:rect>
        </w:pict>
      </w:r>
      <w:r>
        <w:rPr/>
        <w:pict>
          <v:rect style="position:absolute;margin-left:78.480003pt;margin-top:391.200012pt;width:9.24pt;height:9.24pt;mso-position-horizontal-relative:page;mso-position-vertical-relative:page;z-index:-271000576" filled="false" stroked="true" strokeweight=".72pt" strokecolor="#000000">
            <v:stroke dashstyle="solid"/>
            <w10:wrap type="none"/>
          </v:rect>
        </w:pict>
      </w:r>
      <w:r>
        <w:rPr/>
        <w:pict>
          <v:rect style="position:absolute;margin-left:78.480003pt;margin-top:427.679993pt;width:9.24pt;height:9.24pt;mso-position-horizontal-relative:page;mso-position-vertical-relative:page;z-index:-270999552" filled="false" stroked="true" strokeweight=".72pt" strokecolor="#000000">
            <v:stroke dashstyle="solid"/>
            <w10:wrap type="none"/>
          </v:rect>
        </w:pict>
      </w:r>
      <w:r>
        <w:rPr/>
        <w:pict>
          <v:rect style="position:absolute;margin-left:247.679993pt;margin-top:390.23999pt;width:9.24pt;height:9.24pt;mso-position-horizontal-relative:page;mso-position-vertical-relative:page;z-index:-270998528" filled="false" stroked="true" strokeweight=".72pt" strokecolor="#000000">
            <v:stroke dashstyle="solid"/>
            <w10:wrap type="none"/>
          </v:rect>
        </w:pict>
      </w:r>
      <w:r>
        <w:rPr/>
        <w:pict>
          <v:rect style="position:absolute;margin-left:247.679993pt;margin-top:414.720001pt;width:9.24pt;height:9.24pt;mso-position-horizontal-relative:page;mso-position-vertical-relative:page;z-index:-270997504" filled="false" stroked="true" strokeweight=".72pt" strokecolor="#000000">
            <v:stroke dashstyle="solid"/>
            <w10:wrap type="none"/>
          </v:rect>
        </w:pict>
      </w:r>
      <w:r>
        <w:rPr/>
        <w:pict>
          <v:rect style="position:absolute;margin-left:78.480003pt;margin-top:472.799988pt;width:9.24pt;height:9.24pt;mso-position-horizontal-relative:page;mso-position-vertical-relative:page;z-index:-270996480" filled="false" stroked="true" strokeweight=".72pt" strokecolor="#000000">
            <v:stroke dashstyle="solid"/>
            <w10:wrap type="none"/>
          </v:rect>
        </w:pict>
      </w:r>
      <w:r>
        <w:rPr/>
        <w:pict>
          <v:rect style="position:absolute;margin-left:247.679993pt;margin-top:471.839996pt;width:9.24pt;height:9.24pt;mso-position-horizontal-relative:page;mso-position-vertical-relative:page;z-index:-270995456" filled="false" stroked="true" strokeweight=".72pt" strokecolor="#000000">
            <v:stroke dashstyle="solid"/>
            <w10:wrap type="none"/>
          </v:rect>
        </w:pict>
      </w:r>
      <w:r>
        <w:rPr/>
        <w:pict>
          <v:rect style="position:absolute;margin-left:247.679993pt;margin-top:521.76001pt;width:9.24pt;height:9.24pt;mso-position-horizontal-relative:page;mso-position-vertical-relative:page;z-index:-270994432" filled="false" stroked="true" strokeweight=".72pt" strokecolor="#000000">
            <v:stroke dashstyle="solid"/>
            <w10:wrap type="none"/>
          </v:rect>
        </w:pict>
      </w:r>
      <w:r>
        <w:rPr/>
        <w:t>Washington State</w:t>
      </w:r>
    </w:p>
    <w:p>
      <w:pPr>
        <w:pStyle w:val="Heading8"/>
      </w:pPr>
      <w:r>
        <w:rPr/>
        <w:t>Revised Transition Plan for New HCBS Rules</w:t>
      </w:r>
    </w:p>
    <w:p>
      <w:pPr>
        <w:pStyle w:val="Heading8"/>
      </w:pPr>
      <w:r>
        <w:rPr/>
        <w:pict>
          <v:rect style="position:absolute;margin-left:78.480003pt;margin-top:24.882292pt;width:9.24pt;height:9.24pt;mso-position-horizontal-relative:page;mso-position-vertical-relative:paragraph;z-index:-271020032" filled="false" stroked="true" strokeweight=".72pt" strokecolor="#000000">
            <v:stroke dashstyle="solid"/>
            <w10:wrap type="none"/>
          </v:rect>
        </w:pict>
      </w:r>
      <w:r>
        <w:rPr/>
        <w:pict>
          <v:rect style="position:absolute;margin-left:78.480003pt;margin-top:87.762291pt;width:9.24pt;height:9.24pt;mso-position-horizontal-relative:page;mso-position-vertical-relative:paragraph;z-index:-271019008" filled="false" stroked="true" strokeweight=".72pt" strokecolor="#000000">
            <v:stroke dashstyle="solid"/>
            <w10:wrap type="none"/>
          </v:rect>
        </w:pict>
      </w:r>
      <w:r>
        <w:rPr/>
        <w:pict>
          <v:rect style="position:absolute;margin-left:95.279999pt;margin-top:87.762291pt;width:9.24pt;height:9.24pt;mso-position-horizontal-relative:page;mso-position-vertical-relative:paragraph;z-index:-271017984" filled="false" stroked="true" strokeweight=".72pt" strokecolor="#000000">
            <v:stroke dashstyle="solid"/>
            <w10:wrap type="none"/>
          </v:rect>
        </w:pict>
      </w:r>
      <w:r>
        <w:rPr/>
        <w:pict>
          <v:rect style="position:absolute;margin-left:113.279999pt;margin-top:87.762291pt;width:9.24pt;height:9.24pt;mso-position-horizontal-relative:page;mso-position-vertical-relative:paragraph;z-index:-271016960" filled="false" stroked="true" strokeweight=".72pt" strokecolor="#000000">
            <v:stroke dashstyle="solid"/>
            <w10:wrap type="none"/>
          </v:rect>
        </w:pict>
      </w:r>
      <w:r>
        <w:rPr/>
        <w:t>To be Submitted to CMS in May 2017—Posted for Public Comment on March 15, 2017</w:t>
      </w:r>
    </w:p>
    <w:p>
      <w:pPr>
        <w:pStyle w:val="BodyText"/>
        <w:spacing w:before="8"/>
        <w:rPr>
          <w:b/>
          <w:sz w:val="16"/>
        </w:rPr>
      </w:pPr>
    </w:p>
    <w:tbl>
      <w:tblPr>
        <w:tblW w:w="0" w:type="auto"/>
        <w:jc w:val="left"/>
        <w:tblInd w:w="10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384"/>
        <w:gridCol w:w="9799"/>
      </w:tblGrid>
      <w:tr>
        <w:trPr>
          <w:trHeight w:val="5735" w:hRule="atLeast"/>
        </w:trPr>
        <w:tc>
          <w:tcPr>
            <w:tcW w:w="3384" w:type="dxa"/>
          </w:tcPr>
          <w:p>
            <w:pPr>
              <w:pStyle w:val="TableParagraph"/>
              <w:spacing w:line="276" w:lineRule="auto"/>
              <w:ind w:left="115" w:right="368" w:firstLine="230"/>
              <w:rPr>
                <w:rFonts w:ascii="Arial"/>
                <w:sz w:val="20"/>
              </w:rPr>
            </w:pPr>
            <w:r>
              <w:rPr>
                <w:rFonts w:ascii="Arial"/>
                <w:sz w:val="20"/>
              </w:rPr>
              <w:t>If you have a roommate, were you informed you would have a roommate? Could you change roommates if you wanted to?</w:t>
            </w:r>
          </w:p>
          <w:p>
            <w:pPr>
              <w:pStyle w:val="TableParagraph"/>
              <w:spacing w:before="3"/>
              <w:rPr>
                <w:b/>
                <w:sz w:val="16"/>
              </w:rPr>
            </w:pPr>
          </w:p>
          <w:p>
            <w:pPr>
              <w:pStyle w:val="TableParagraph"/>
              <w:spacing w:line="278" w:lineRule="auto" w:before="1"/>
              <w:ind w:left="115" w:right="763" w:firstLine="1080"/>
              <w:rPr>
                <w:rFonts w:ascii="Arial"/>
                <w:sz w:val="20"/>
              </w:rPr>
            </w:pPr>
            <w:r>
              <w:rPr>
                <w:rFonts w:ascii="Arial"/>
                <w:sz w:val="20"/>
              </w:rPr>
              <w:t>Do you have an opportunity to participate in community activities?</w:t>
            </w:r>
          </w:p>
          <w:p>
            <w:pPr>
              <w:pStyle w:val="TableParagraph"/>
              <w:spacing w:line="278" w:lineRule="auto" w:before="193"/>
              <w:ind w:left="115" w:firstLine="1080"/>
              <w:rPr>
                <w:rFonts w:ascii="Arial"/>
                <w:sz w:val="20"/>
              </w:rPr>
            </w:pPr>
            <w:r>
              <w:rPr>
                <w:rFonts w:ascii="Arial"/>
                <w:sz w:val="20"/>
              </w:rPr>
              <w:t>Can you choose who visits you and when?</w:t>
            </w:r>
          </w:p>
          <w:p>
            <w:pPr>
              <w:pStyle w:val="TableParagraph"/>
              <w:spacing w:line="278" w:lineRule="auto" w:before="196"/>
              <w:ind w:left="115" w:right="273" w:firstLine="1080"/>
              <w:rPr>
                <w:rFonts w:ascii="Arial"/>
                <w:sz w:val="20"/>
              </w:rPr>
            </w:pPr>
            <w:r>
              <w:rPr>
                <w:rFonts w:ascii="Arial"/>
                <w:sz w:val="20"/>
              </w:rPr>
              <w:t>Do they pay attention to what you have to say?</w:t>
            </w:r>
          </w:p>
          <w:p>
            <w:pPr>
              <w:pStyle w:val="TableParagraph"/>
              <w:spacing w:line="278" w:lineRule="auto" w:before="196"/>
              <w:ind w:left="115" w:right="496" w:firstLine="1080"/>
              <w:rPr>
                <w:rFonts w:ascii="Arial"/>
                <w:sz w:val="20"/>
              </w:rPr>
            </w:pPr>
            <w:r>
              <w:rPr>
                <w:rFonts w:ascii="Arial"/>
                <w:sz w:val="20"/>
              </w:rPr>
              <w:t>Can you choose to lock your door?</w:t>
            </w:r>
          </w:p>
          <w:p>
            <w:pPr>
              <w:pStyle w:val="TableParagraph"/>
              <w:spacing w:line="280" w:lineRule="auto" w:before="194"/>
              <w:ind w:left="115" w:firstLine="1080"/>
              <w:rPr>
                <w:rFonts w:ascii="Arial"/>
                <w:sz w:val="20"/>
              </w:rPr>
            </w:pPr>
            <w:r>
              <w:rPr>
                <w:rFonts w:ascii="Arial"/>
                <w:sz w:val="20"/>
              </w:rPr>
              <w:t>Do you have access to food anytime?</w:t>
            </w:r>
          </w:p>
          <w:p>
            <w:pPr>
              <w:pStyle w:val="TableParagraph"/>
              <w:spacing w:line="276" w:lineRule="auto" w:before="191"/>
              <w:ind w:left="115" w:right="830" w:firstLine="1080"/>
              <w:rPr>
                <w:rFonts w:ascii="Arial"/>
                <w:sz w:val="20"/>
              </w:rPr>
            </w:pPr>
            <w:r>
              <w:rPr>
                <w:rFonts w:ascii="Arial"/>
                <w:sz w:val="20"/>
              </w:rPr>
              <w:t>Do you receive services in the community?</w:t>
            </w:r>
          </w:p>
        </w:tc>
        <w:tc>
          <w:tcPr>
            <w:tcW w:w="9799" w:type="dxa"/>
          </w:tcPr>
          <w:p>
            <w:pPr>
              <w:pStyle w:val="TableParagraph"/>
              <w:rPr>
                <w:rFonts w:ascii="Times New Roman"/>
                <w:sz w:val="20"/>
              </w:rPr>
            </w:pPr>
          </w:p>
        </w:tc>
      </w:tr>
      <w:tr>
        <w:trPr>
          <w:trHeight w:val="283" w:hRule="atLeast"/>
        </w:trPr>
        <w:tc>
          <w:tcPr>
            <w:tcW w:w="13183" w:type="dxa"/>
            <w:gridSpan w:val="2"/>
            <w:shd w:val="clear" w:color="auto" w:fill="DEEAF6"/>
          </w:tcPr>
          <w:p>
            <w:pPr>
              <w:pStyle w:val="TableParagraph"/>
              <w:tabs>
                <w:tab w:pos="530" w:val="left" w:leader="none"/>
              </w:tabs>
              <w:spacing w:before="33"/>
              <w:ind w:left="115"/>
              <w:rPr>
                <w:rFonts w:ascii="Arial"/>
                <w:b/>
                <w:sz w:val="20"/>
              </w:rPr>
            </w:pPr>
            <w:r>
              <w:rPr>
                <w:rFonts w:ascii="Arial"/>
                <w:b/>
                <w:sz w:val="20"/>
              </w:rPr>
              <w:t>B.</w:t>
              <w:tab/>
              <w:t>Care and Service</w:t>
            </w:r>
            <w:r>
              <w:rPr>
                <w:rFonts w:ascii="Arial"/>
                <w:b/>
                <w:spacing w:val="1"/>
                <w:sz w:val="20"/>
              </w:rPr>
              <w:t> </w:t>
            </w:r>
            <w:r>
              <w:rPr>
                <w:rFonts w:ascii="Arial"/>
                <w:b/>
                <w:sz w:val="20"/>
              </w:rPr>
              <w:t>Needs</w:t>
            </w:r>
          </w:p>
        </w:tc>
      </w:tr>
      <w:tr>
        <w:trPr>
          <w:trHeight w:val="1338" w:hRule="atLeast"/>
        </w:trPr>
        <w:tc>
          <w:tcPr>
            <w:tcW w:w="3384" w:type="dxa"/>
          </w:tcPr>
          <w:p>
            <w:pPr>
              <w:pStyle w:val="TableParagraph"/>
              <w:spacing w:line="278" w:lineRule="auto" w:before="40"/>
              <w:ind w:left="539" w:right="285"/>
              <w:rPr>
                <w:rFonts w:ascii="Arial"/>
                <w:sz w:val="20"/>
              </w:rPr>
            </w:pPr>
            <w:r>
              <w:rPr>
                <w:rFonts w:ascii="Arial"/>
                <w:sz w:val="20"/>
              </w:rPr>
              <w:t>What kind of help do you get from the staff?</w:t>
            </w:r>
          </w:p>
          <w:p>
            <w:pPr>
              <w:pStyle w:val="TableParagraph"/>
              <w:spacing w:line="276" w:lineRule="auto" w:before="196"/>
              <w:ind w:left="539" w:right="152"/>
              <w:rPr>
                <w:rFonts w:ascii="Arial"/>
                <w:sz w:val="20"/>
              </w:rPr>
            </w:pPr>
            <w:r>
              <w:rPr>
                <w:rFonts w:ascii="Arial"/>
                <w:sz w:val="20"/>
              </w:rPr>
              <w:t>How well does staff meet your needs?</w:t>
            </w:r>
          </w:p>
        </w:tc>
        <w:tc>
          <w:tcPr>
            <w:tcW w:w="9799" w:type="dxa"/>
          </w:tcPr>
          <w:p>
            <w:pPr>
              <w:pStyle w:val="TableParagraph"/>
              <w:spacing w:before="21"/>
              <w:ind w:left="539"/>
              <w:rPr>
                <w:rFonts w:ascii="Arial"/>
                <w:sz w:val="20"/>
              </w:rPr>
            </w:pPr>
            <w:r>
              <w:rPr>
                <w:rFonts w:ascii="Arial"/>
                <w:sz w:val="20"/>
              </w:rPr>
              <w:t>Other:</w:t>
            </w:r>
          </w:p>
          <w:p>
            <w:pPr>
              <w:pStyle w:val="TableParagraph"/>
              <w:spacing w:before="3"/>
              <w:rPr>
                <w:b/>
                <w:sz w:val="21"/>
              </w:rPr>
            </w:pPr>
          </w:p>
          <w:p>
            <w:pPr>
              <w:pStyle w:val="TableParagraph"/>
              <w:ind w:left="539"/>
              <w:rPr>
                <w:rFonts w:ascii="Arial"/>
                <w:sz w:val="20"/>
              </w:rPr>
            </w:pPr>
            <w:r>
              <w:rPr>
                <w:rFonts w:ascii="Arial"/>
                <w:sz w:val="20"/>
              </w:rPr>
              <w:t>No Concerns</w:t>
            </w:r>
          </w:p>
        </w:tc>
      </w:tr>
      <w:tr>
        <w:trPr>
          <w:trHeight w:val="283" w:hRule="atLeast"/>
        </w:trPr>
        <w:tc>
          <w:tcPr>
            <w:tcW w:w="13183" w:type="dxa"/>
            <w:gridSpan w:val="2"/>
            <w:shd w:val="clear" w:color="auto" w:fill="DEEAF6"/>
          </w:tcPr>
          <w:p>
            <w:pPr>
              <w:pStyle w:val="TableParagraph"/>
              <w:tabs>
                <w:tab w:pos="530" w:val="left" w:leader="none"/>
              </w:tabs>
              <w:spacing w:before="33"/>
              <w:ind w:left="115"/>
              <w:rPr>
                <w:rFonts w:ascii="Arial"/>
                <w:b/>
                <w:sz w:val="20"/>
              </w:rPr>
            </w:pPr>
            <w:r>
              <w:rPr>
                <w:rFonts w:ascii="Arial"/>
                <w:b/>
                <w:sz w:val="20"/>
              </w:rPr>
              <w:t>C.</w:t>
              <w:tab/>
              <w:t>Support of Personal Relationships (if the resident has family or significant</w:t>
            </w:r>
            <w:r>
              <w:rPr>
                <w:rFonts w:ascii="Arial"/>
                <w:b/>
                <w:spacing w:val="-5"/>
                <w:sz w:val="20"/>
              </w:rPr>
              <w:t> </w:t>
            </w:r>
            <w:r>
              <w:rPr>
                <w:rFonts w:ascii="Arial"/>
                <w:b/>
                <w:sz w:val="20"/>
              </w:rPr>
              <w:t>others)</w:t>
            </w:r>
          </w:p>
        </w:tc>
      </w:tr>
      <w:tr>
        <w:trPr>
          <w:trHeight w:val="1480" w:hRule="atLeast"/>
        </w:trPr>
        <w:tc>
          <w:tcPr>
            <w:tcW w:w="3384" w:type="dxa"/>
          </w:tcPr>
          <w:p>
            <w:pPr>
              <w:pStyle w:val="TableParagraph"/>
              <w:spacing w:line="276" w:lineRule="auto" w:before="40"/>
              <w:ind w:left="539" w:right="285"/>
              <w:rPr>
                <w:rFonts w:ascii="Arial"/>
                <w:sz w:val="20"/>
              </w:rPr>
            </w:pPr>
            <w:r>
              <w:rPr>
                <w:rFonts w:ascii="Arial"/>
                <w:sz w:val="20"/>
              </w:rPr>
              <w:t>Does staff give you time and space to meet / visit with friends and family who come to visit?</w:t>
            </w:r>
          </w:p>
        </w:tc>
        <w:tc>
          <w:tcPr>
            <w:tcW w:w="9799" w:type="dxa"/>
          </w:tcPr>
          <w:p>
            <w:pPr>
              <w:pStyle w:val="TableParagraph"/>
              <w:spacing w:before="21"/>
              <w:ind w:left="539"/>
              <w:rPr>
                <w:rFonts w:ascii="Arial"/>
                <w:sz w:val="20"/>
              </w:rPr>
            </w:pPr>
            <w:r>
              <w:rPr>
                <w:rFonts w:ascii="Arial"/>
                <w:sz w:val="20"/>
              </w:rPr>
              <w:t>Other:</w:t>
            </w:r>
          </w:p>
          <w:p>
            <w:pPr>
              <w:pStyle w:val="TableParagraph"/>
              <w:rPr>
                <w:b/>
                <w:sz w:val="22"/>
              </w:rPr>
            </w:pPr>
          </w:p>
          <w:p>
            <w:pPr>
              <w:pStyle w:val="TableParagraph"/>
              <w:rPr>
                <w:b/>
                <w:sz w:val="22"/>
              </w:rPr>
            </w:pPr>
          </w:p>
          <w:p>
            <w:pPr>
              <w:pStyle w:val="TableParagraph"/>
              <w:spacing w:before="11"/>
              <w:rPr>
                <w:b/>
                <w:sz w:val="18"/>
              </w:rPr>
            </w:pPr>
          </w:p>
          <w:p>
            <w:pPr>
              <w:pStyle w:val="TableParagraph"/>
              <w:ind w:left="539"/>
              <w:rPr>
                <w:rFonts w:ascii="Arial"/>
                <w:sz w:val="20"/>
              </w:rPr>
            </w:pPr>
            <w:r>
              <w:rPr>
                <w:rFonts w:ascii="Arial"/>
                <w:sz w:val="20"/>
              </w:rPr>
              <w:t>No Concerns</w:t>
            </w:r>
          </w:p>
        </w:tc>
      </w:tr>
    </w:tbl>
    <w:p>
      <w:pPr>
        <w:pStyle w:val="BodyText"/>
        <w:rPr>
          <w:b/>
          <w:sz w:val="6"/>
        </w:rPr>
      </w:pPr>
    </w:p>
    <w:p>
      <w:pPr>
        <w:pStyle w:val="BodyText"/>
        <w:spacing w:line="20" w:lineRule="exact"/>
        <w:ind w:left="1026"/>
        <w:rPr>
          <w:sz w:val="2"/>
        </w:rPr>
      </w:pPr>
      <w:r>
        <w:rPr>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sz w:val="2"/>
        </w:rPr>
      </w:r>
    </w:p>
    <w:p>
      <w:pPr>
        <w:spacing w:after="0" w:line="20" w:lineRule="exact"/>
        <w:rPr>
          <w:sz w:val="2"/>
        </w:rPr>
        <w:sectPr>
          <w:pgSz w:w="15840" w:h="12240" w:orient="landscape"/>
          <w:pgMar w:header="0" w:footer="1012"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rect style="position:absolute;margin-left:78.480003pt;margin-top:182.520004pt;width:9.24pt;height:9.24pt;mso-position-horizontal-relative:page;mso-position-vertical-relative:page;z-index:-270990336" filled="false" stroked="true" strokeweight=".72pt" strokecolor="#000000">
            <v:stroke dashstyle="solid"/>
            <w10:wrap type="none"/>
          </v:rect>
        </w:pict>
      </w:r>
      <w:r>
        <w:rPr/>
        <w:pict>
          <v:rect style="position:absolute;margin-left:78.480003pt;margin-top:255pt;width:9.24pt;height:9.24pt;mso-position-horizontal-relative:page;mso-position-vertical-relative:page;z-index:-270987264" filled="false" stroked="true" strokeweight=".72pt" strokecolor="#000000">
            <v:stroke dashstyle="solid"/>
            <w10:wrap type="none"/>
          </v:rect>
        </w:pict>
      </w:r>
      <w:r>
        <w:rPr/>
        <w:pict>
          <v:rect style="position:absolute;margin-left:78.480003pt;margin-top:291.480011pt;width:9.24pt;height:9.24pt;mso-position-horizontal-relative:page;mso-position-vertical-relative:page;z-index:-270986240" filled="false" stroked="true" strokeweight=".72pt" strokecolor="#000000">
            <v:stroke dashstyle="solid"/>
            <w10:wrap type="none"/>
          </v:rect>
        </w:pict>
      </w:r>
      <w:r>
        <w:rPr/>
        <w:pict>
          <v:rect style="position:absolute;margin-left:78.480003pt;margin-top:327.959991pt;width:9.24pt;height:9.24pt;mso-position-horizontal-relative:page;mso-position-vertical-relative:page;z-index:-270985216" filled="false" stroked="true" strokeweight=".72pt" strokecolor="#000000">
            <v:stroke dashstyle="solid"/>
            <w10:wrap type="none"/>
          </v:rect>
        </w:pict>
      </w:r>
      <w:r>
        <w:rPr/>
        <w:pict>
          <v:rect style="position:absolute;margin-left:78.480003pt;margin-top:364.440002pt;width:9.24pt;height:9.24pt;mso-position-horizontal-relative:page;mso-position-vertical-relative:page;z-index:-270984192" filled="false" stroked="true" strokeweight=".72pt" strokecolor="#000000">
            <v:stroke dashstyle="solid"/>
            <w10:wrap type="none"/>
          </v:rect>
        </w:pict>
      </w:r>
      <w:r>
        <w:rPr/>
        <w:pict>
          <v:rect style="position:absolute;margin-left:247.679993pt;margin-top:255.119995pt;width:9.24pt;height:9.24pt;mso-position-horizontal-relative:page;mso-position-vertical-relative:page;z-index:-270983168" filled="false" stroked="true" strokeweight=".72pt" strokecolor="#000000">
            <v:stroke dashstyle="solid"/>
            <w10:wrap type="none"/>
          </v:rect>
        </w:pict>
      </w:r>
      <w:r>
        <w:rPr/>
        <w:pict>
          <v:rect style="position:absolute;margin-left:247.679993pt;margin-top:305.040009pt;width:9.24pt;height:9.24pt;mso-position-horizontal-relative:page;mso-position-vertical-relative:page;z-index:-270982144" filled="false" stroked="true" strokeweight=".72pt" strokecolor="#000000">
            <v:stroke dashstyle="solid"/>
            <w10:wrap type="none"/>
          </v:rect>
        </w:pict>
      </w:r>
      <w:r>
        <w:rPr/>
        <w:pict>
          <v:rect style="position:absolute;margin-left:78.480003pt;margin-top:411.600006pt;width:9.24pt;height:9.24pt;mso-position-horizontal-relative:page;mso-position-vertical-relative:page;z-index:-270981120" filled="false" stroked="true" strokeweight=".72pt" strokecolor="#000000">
            <v:stroke dashstyle="solid"/>
            <w10:wrap type="none"/>
          </v:rect>
        </w:pict>
      </w:r>
      <w:r>
        <w:rPr/>
        <w:pict>
          <v:rect style="position:absolute;margin-left:78.480003pt;margin-top:434.880005pt;width:9.24pt;height:9.24pt;mso-position-horizontal-relative:page;mso-position-vertical-relative:page;z-index:-270980096" filled="false" stroked="true" strokeweight=".72pt" strokecolor="#000000">
            <v:stroke dashstyle="solid"/>
            <w10:wrap type="none"/>
          </v:rect>
        </w:pict>
      </w:r>
      <w:r>
        <w:rPr/>
        <w:pict>
          <v:rect style="position:absolute;margin-left:78.480003pt;margin-top:457.920013pt;width:9.24pt;height:9.24pt;mso-position-horizontal-relative:page;mso-position-vertical-relative:page;z-index:-270979072" filled="false" stroked="true" strokeweight=".72pt" strokecolor="#000000">
            <v:stroke dashstyle="solid"/>
            <w10:wrap type="none"/>
          </v:rect>
        </w:pict>
      </w:r>
      <w:r>
        <w:rPr/>
        <w:pict>
          <v:rect style="position:absolute;margin-left:78.480003pt;margin-top:507.600006pt;width:9.24pt;height:9.24pt;mso-position-horizontal-relative:page;mso-position-vertical-relative:page;z-index:-270978048" filled="false" stroked="true" strokeweight=".72pt" strokecolor="#000000">
            <v:stroke dashstyle="solid"/>
            <w10:wrap type="none"/>
          </v:rect>
        </w:pict>
      </w:r>
      <w:r>
        <w:rPr/>
        <w:pict>
          <v:rect style="position:absolute;margin-left:247.679993pt;margin-top:411.600006pt;width:9.24pt;height:9.24pt;mso-position-horizontal-relative:page;mso-position-vertical-relative:page;z-index:-270977024" filled="false" stroked="true" strokeweight=".72pt" strokecolor="#000000">
            <v:stroke dashstyle="solid"/>
            <w10:wrap type="none"/>
          </v:rect>
        </w:pict>
      </w:r>
      <w:r>
        <w:rPr/>
        <w:pict>
          <v:rect style="position:absolute;margin-left:247.679993pt;margin-top:461.519989pt;width:9.24pt;height:9.24pt;mso-position-horizontal-relative:page;mso-position-vertical-relative:page;z-index:-270976000" filled="false" stroked="true" strokeweight=".72pt" strokecolor="#000000">
            <v:stroke dashstyle="solid"/>
            <w10:wrap type="none"/>
          </v:rect>
        </w:pict>
      </w:r>
      <w:r>
        <w:rPr/>
        <w:t>Washington State</w:t>
      </w:r>
    </w:p>
    <w:p>
      <w:pPr>
        <w:pStyle w:val="Heading8"/>
      </w:pPr>
      <w:r>
        <w:rPr/>
        <w:t>Revised Transition Plan for New HCBS Rules</w:t>
      </w:r>
    </w:p>
    <w:p>
      <w:pPr>
        <w:pStyle w:val="Heading8"/>
      </w:pPr>
      <w:r>
        <w:rPr/>
        <w:pict>
          <v:rect style="position:absolute;margin-left:78.480003pt;margin-top:24.882292pt;width:9.24pt;height:9.24pt;mso-position-horizontal-relative:page;mso-position-vertical-relative:paragraph;z-index:-270992384" filled="false" stroked="true" strokeweight=".72pt" strokecolor="#000000">
            <v:stroke dashstyle="solid"/>
            <w10:wrap type="none"/>
          </v:rect>
        </w:pict>
      </w:r>
      <w:r>
        <w:rPr/>
        <w:pict>
          <v:rect style="position:absolute;margin-left:78.480003pt;margin-top:83.202293pt;width:9.24pt;height:9.24pt;mso-position-horizontal-relative:page;mso-position-vertical-relative:paragraph;z-index:-270991360" filled="false" stroked="true" strokeweight=".72pt" strokecolor="#000000">
            <v:stroke dashstyle="solid"/>
            <w10:wrap type="none"/>
          </v:rect>
        </w:pict>
      </w:r>
      <w:r>
        <w:rPr/>
        <w:pict>
          <v:rect style="position:absolute;margin-left:247.679993pt;margin-top:82.242294pt;width:9.24pt;height:9.24pt;mso-position-horizontal-relative:page;mso-position-vertical-relative:paragraph;z-index:-270989312" filled="false" stroked="true" strokeweight=".72pt" strokecolor="#000000">
            <v:stroke dashstyle="solid"/>
            <w10:wrap type="none"/>
          </v:rect>
        </w:pict>
      </w:r>
      <w:r>
        <w:rPr/>
        <w:pict>
          <v:rect style="position:absolute;margin-left:247.679993pt;margin-top:106.72229pt;width:9.24pt;height:9.24pt;mso-position-horizontal-relative:page;mso-position-vertical-relative:paragraph;z-index:-270988288" filled="false" stroked="true" strokeweight=".72pt" strokecolor="#000000">
            <v:stroke dashstyle="solid"/>
            <w10:wrap type="none"/>
          </v:rect>
        </w:pict>
      </w:r>
      <w:r>
        <w:rPr/>
        <w:t>To be Submitted to CMS in May 2017—Posted for Public Comment on March 15, 2017</w:t>
      </w:r>
    </w:p>
    <w:p>
      <w:pPr>
        <w:pStyle w:val="BodyText"/>
        <w:spacing w:before="8"/>
        <w:rPr>
          <w:b/>
          <w:sz w:val="16"/>
        </w:rPr>
      </w:pPr>
    </w:p>
    <w:tbl>
      <w:tblPr>
        <w:tblW w:w="0" w:type="auto"/>
        <w:jc w:val="left"/>
        <w:tblInd w:w="10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384"/>
        <w:gridCol w:w="9799"/>
      </w:tblGrid>
      <w:tr>
        <w:trPr>
          <w:trHeight w:val="832" w:hRule="atLeast"/>
        </w:trPr>
        <w:tc>
          <w:tcPr>
            <w:tcW w:w="3384" w:type="dxa"/>
          </w:tcPr>
          <w:p>
            <w:pPr>
              <w:pStyle w:val="TableParagraph"/>
              <w:spacing w:line="276" w:lineRule="auto"/>
              <w:ind w:left="539" w:right="107"/>
              <w:rPr>
                <w:rFonts w:ascii="Arial"/>
                <w:sz w:val="20"/>
              </w:rPr>
            </w:pPr>
            <w:r>
              <w:rPr>
                <w:rFonts w:ascii="Arial"/>
                <w:sz w:val="20"/>
              </w:rPr>
              <w:t>Are you able to make personal phone calls without being overheard?</w:t>
            </w:r>
          </w:p>
        </w:tc>
        <w:tc>
          <w:tcPr>
            <w:tcW w:w="9799" w:type="dxa"/>
          </w:tcPr>
          <w:p>
            <w:pPr>
              <w:pStyle w:val="TableParagraph"/>
              <w:rPr>
                <w:rFonts w:ascii="Times New Roman"/>
                <w:sz w:val="20"/>
              </w:rPr>
            </w:pPr>
          </w:p>
        </w:tc>
      </w:tr>
      <w:tr>
        <w:trPr>
          <w:trHeight w:val="283" w:hRule="atLeast"/>
        </w:trPr>
        <w:tc>
          <w:tcPr>
            <w:tcW w:w="13183" w:type="dxa"/>
            <w:gridSpan w:val="2"/>
            <w:shd w:val="clear" w:color="auto" w:fill="DEEAF6"/>
          </w:tcPr>
          <w:p>
            <w:pPr>
              <w:pStyle w:val="TableParagraph"/>
              <w:tabs>
                <w:tab w:pos="530" w:val="left" w:leader="none"/>
              </w:tabs>
              <w:spacing w:before="33"/>
              <w:ind w:left="115"/>
              <w:rPr>
                <w:rFonts w:ascii="Arial"/>
                <w:b/>
                <w:sz w:val="20"/>
              </w:rPr>
            </w:pPr>
            <w:r>
              <w:rPr>
                <w:rFonts w:ascii="Arial"/>
                <w:b/>
                <w:sz w:val="20"/>
              </w:rPr>
              <w:t>D.</w:t>
              <w:tab/>
              <w:t>Reasonable House</w:t>
            </w:r>
            <w:r>
              <w:rPr>
                <w:rFonts w:ascii="Arial"/>
                <w:b/>
                <w:spacing w:val="-3"/>
                <w:sz w:val="20"/>
              </w:rPr>
              <w:t> </w:t>
            </w:r>
            <w:r>
              <w:rPr>
                <w:rFonts w:ascii="Arial"/>
                <w:b/>
                <w:sz w:val="20"/>
              </w:rPr>
              <w:t>Rules</w:t>
            </w:r>
          </w:p>
        </w:tc>
      </w:tr>
      <w:tr>
        <w:trPr>
          <w:trHeight w:val="1866" w:hRule="atLeast"/>
        </w:trPr>
        <w:tc>
          <w:tcPr>
            <w:tcW w:w="3384" w:type="dxa"/>
          </w:tcPr>
          <w:p>
            <w:pPr>
              <w:pStyle w:val="TableParagraph"/>
              <w:spacing w:line="278" w:lineRule="auto" w:before="40"/>
              <w:ind w:left="539" w:right="229"/>
              <w:rPr>
                <w:rFonts w:ascii="Arial"/>
                <w:sz w:val="20"/>
              </w:rPr>
            </w:pPr>
            <w:r>
              <w:rPr>
                <w:rFonts w:ascii="Arial"/>
                <w:sz w:val="20"/>
              </w:rPr>
              <w:t>Tell me about the rules of the house.</w:t>
            </w:r>
          </w:p>
          <w:p>
            <w:pPr>
              <w:pStyle w:val="TableParagraph"/>
              <w:spacing w:line="276" w:lineRule="auto" w:before="196"/>
              <w:ind w:left="539" w:right="129"/>
              <w:rPr>
                <w:rFonts w:ascii="Arial"/>
                <w:sz w:val="20"/>
              </w:rPr>
            </w:pPr>
            <w:r>
              <w:rPr>
                <w:rFonts w:ascii="Arial"/>
                <w:sz w:val="20"/>
              </w:rPr>
              <w:t>What have you been told about how long you can stay up at night or how early or late you can watch TV?</w:t>
            </w:r>
          </w:p>
        </w:tc>
        <w:tc>
          <w:tcPr>
            <w:tcW w:w="9799" w:type="dxa"/>
          </w:tcPr>
          <w:p>
            <w:pPr>
              <w:pStyle w:val="TableParagraph"/>
              <w:spacing w:before="21"/>
              <w:ind w:left="539"/>
              <w:rPr>
                <w:rFonts w:ascii="Arial"/>
                <w:sz w:val="20"/>
              </w:rPr>
            </w:pPr>
            <w:r>
              <w:rPr>
                <w:rFonts w:ascii="Arial"/>
                <w:sz w:val="20"/>
              </w:rPr>
              <w:t>Other:</w:t>
            </w:r>
          </w:p>
          <w:p>
            <w:pPr>
              <w:pStyle w:val="TableParagraph"/>
              <w:spacing w:before="3"/>
              <w:rPr>
                <w:b/>
                <w:sz w:val="21"/>
              </w:rPr>
            </w:pPr>
          </w:p>
          <w:p>
            <w:pPr>
              <w:pStyle w:val="TableParagraph"/>
              <w:ind w:left="539"/>
              <w:rPr>
                <w:rFonts w:ascii="Arial"/>
                <w:sz w:val="20"/>
              </w:rPr>
            </w:pPr>
            <w:r>
              <w:rPr>
                <w:rFonts w:ascii="Arial"/>
                <w:sz w:val="20"/>
              </w:rPr>
              <w:t>No Concerns</w:t>
            </w:r>
          </w:p>
        </w:tc>
      </w:tr>
      <w:tr>
        <w:trPr>
          <w:trHeight w:val="283" w:hRule="atLeast"/>
        </w:trPr>
        <w:tc>
          <w:tcPr>
            <w:tcW w:w="13183" w:type="dxa"/>
            <w:gridSpan w:val="2"/>
            <w:shd w:val="clear" w:color="auto" w:fill="DEEAF6"/>
          </w:tcPr>
          <w:p>
            <w:pPr>
              <w:pStyle w:val="TableParagraph"/>
              <w:tabs>
                <w:tab w:pos="530" w:val="left" w:leader="none"/>
              </w:tabs>
              <w:spacing w:before="33"/>
              <w:ind w:left="115"/>
              <w:rPr>
                <w:rFonts w:ascii="Arial"/>
                <w:b/>
                <w:sz w:val="20"/>
              </w:rPr>
            </w:pPr>
            <w:r>
              <w:rPr>
                <w:rFonts w:ascii="Arial"/>
                <w:b/>
                <w:sz w:val="20"/>
              </w:rPr>
              <w:t>E.</w:t>
              <w:tab/>
              <w:t>Respect of Individuality, Independence, Personal Choice,</w:t>
            </w:r>
            <w:r>
              <w:rPr>
                <w:rFonts w:ascii="Arial"/>
                <w:b/>
                <w:spacing w:val="-2"/>
                <w:sz w:val="20"/>
              </w:rPr>
              <w:t> </w:t>
            </w:r>
            <w:r>
              <w:rPr>
                <w:rFonts w:ascii="Arial"/>
                <w:b/>
                <w:sz w:val="20"/>
              </w:rPr>
              <w:t>Dignity</w:t>
            </w:r>
          </w:p>
        </w:tc>
      </w:tr>
      <w:tr>
        <w:trPr>
          <w:trHeight w:val="2836" w:hRule="atLeast"/>
        </w:trPr>
        <w:tc>
          <w:tcPr>
            <w:tcW w:w="3384" w:type="dxa"/>
          </w:tcPr>
          <w:p>
            <w:pPr>
              <w:pStyle w:val="TableParagraph"/>
              <w:spacing w:line="280" w:lineRule="auto" w:before="59"/>
              <w:ind w:left="539" w:right="607"/>
              <w:rPr>
                <w:rFonts w:ascii="Arial"/>
                <w:sz w:val="20"/>
              </w:rPr>
            </w:pPr>
            <w:r>
              <w:rPr>
                <w:rFonts w:ascii="Arial"/>
                <w:sz w:val="20"/>
              </w:rPr>
              <w:t>Does the staff here know about your preferences?</w:t>
            </w:r>
          </w:p>
          <w:p>
            <w:pPr>
              <w:pStyle w:val="TableParagraph"/>
              <w:spacing w:line="278" w:lineRule="auto" w:before="192"/>
              <w:ind w:left="539" w:right="363"/>
              <w:rPr>
                <w:rFonts w:ascii="Arial"/>
                <w:sz w:val="20"/>
              </w:rPr>
            </w:pPr>
            <w:r>
              <w:rPr>
                <w:rFonts w:ascii="Arial"/>
                <w:sz w:val="20"/>
              </w:rPr>
              <w:t>What kinds of things do you make choices about?</w:t>
            </w:r>
          </w:p>
          <w:p>
            <w:pPr>
              <w:pStyle w:val="TableParagraph"/>
              <w:spacing w:line="278" w:lineRule="auto" w:before="196"/>
              <w:ind w:left="539" w:right="218"/>
              <w:rPr>
                <w:rFonts w:ascii="Arial"/>
                <w:sz w:val="20"/>
              </w:rPr>
            </w:pPr>
            <w:r>
              <w:rPr>
                <w:rFonts w:ascii="Arial"/>
                <w:sz w:val="20"/>
              </w:rPr>
              <w:t>How does the staff treat you? Speak to you?</w:t>
            </w:r>
          </w:p>
          <w:p>
            <w:pPr>
              <w:pStyle w:val="TableParagraph"/>
              <w:spacing w:line="276" w:lineRule="auto" w:before="196"/>
              <w:ind w:left="539" w:right="384"/>
              <w:rPr>
                <w:rFonts w:ascii="Arial"/>
                <w:sz w:val="20"/>
              </w:rPr>
            </w:pPr>
            <w:r>
              <w:rPr>
                <w:rFonts w:ascii="Arial"/>
                <w:sz w:val="20"/>
              </w:rPr>
              <w:t>Do you have any concerns about how you are treated?</w:t>
            </w:r>
          </w:p>
        </w:tc>
        <w:tc>
          <w:tcPr>
            <w:tcW w:w="9799" w:type="dxa"/>
          </w:tcPr>
          <w:p>
            <w:pPr>
              <w:pStyle w:val="TableParagraph"/>
              <w:spacing w:before="62"/>
              <w:ind w:left="539"/>
              <w:rPr>
                <w:rFonts w:ascii="Arial"/>
                <w:sz w:val="20"/>
              </w:rPr>
            </w:pPr>
            <w:r>
              <w:rPr>
                <w:rFonts w:ascii="Arial"/>
                <w:sz w:val="20"/>
              </w:rPr>
              <w:t>Other:</w:t>
            </w:r>
          </w:p>
          <w:p>
            <w:pPr>
              <w:pStyle w:val="TableParagraph"/>
              <w:rPr>
                <w:b/>
                <w:sz w:val="22"/>
              </w:rPr>
            </w:pPr>
          </w:p>
          <w:p>
            <w:pPr>
              <w:pStyle w:val="TableParagraph"/>
              <w:rPr>
                <w:b/>
                <w:sz w:val="22"/>
              </w:rPr>
            </w:pPr>
          </w:p>
          <w:p>
            <w:pPr>
              <w:pStyle w:val="TableParagraph"/>
              <w:spacing w:before="11"/>
              <w:rPr>
                <w:b/>
                <w:sz w:val="18"/>
              </w:rPr>
            </w:pPr>
          </w:p>
          <w:p>
            <w:pPr>
              <w:pStyle w:val="TableParagraph"/>
              <w:ind w:left="539"/>
              <w:rPr>
                <w:rFonts w:ascii="Arial"/>
                <w:sz w:val="20"/>
              </w:rPr>
            </w:pPr>
            <w:r>
              <w:rPr>
                <w:rFonts w:ascii="Arial"/>
                <w:sz w:val="20"/>
              </w:rPr>
              <w:t>No Concerns</w:t>
            </w:r>
          </w:p>
        </w:tc>
      </w:tr>
      <w:tr>
        <w:trPr>
          <w:trHeight w:val="283" w:hRule="atLeast"/>
        </w:trPr>
        <w:tc>
          <w:tcPr>
            <w:tcW w:w="13183" w:type="dxa"/>
            <w:gridSpan w:val="2"/>
            <w:shd w:val="clear" w:color="auto" w:fill="DEEAF6"/>
          </w:tcPr>
          <w:p>
            <w:pPr>
              <w:pStyle w:val="TableParagraph"/>
              <w:tabs>
                <w:tab w:pos="530" w:val="left" w:leader="none"/>
              </w:tabs>
              <w:spacing w:before="33"/>
              <w:ind w:left="115"/>
              <w:rPr>
                <w:rFonts w:ascii="Arial"/>
                <w:b/>
                <w:sz w:val="20"/>
              </w:rPr>
            </w:pPr>
            <w:r>
              <w:rPr>
                <w:rFonts w:ascii="Arial"/>
                <w:b/>
                <w:sz w:val="20"/>
              </w:rPr>
              <w:t>F.</w:t>
              <w:tab/>
              <w:t>Homelike</w:t>
            </w:r>
            <w:r>
              <w:rPr>
                <w:rFonts w:ascii="Arial"/>
                <w:b/>
                <w:spacing w:val="-2"/>
                <w:sz w:val="20"/>
              </w:rPr>
              <w:t> </w:t>
            </w:r>
            <w:r>
              <w:rPr>
                <w:rFonts w:ascii="Arial"/>
                <w:b/>
                <w:sz w:val="20"/>
              </w:rPr>
              <w:t>Environment</w:t>
            </w:r>
          </w:p>
        </w:tc>
      </w:tr>
      <w:tr>
        <w:trPr>
          <w:trHeight w:val="2572" w:hRule="atLeast"/>
        </w:trPr>
        <w:tc>
          <w:tcPr>
            <w:tcW w:w="3384" w:type="dxa"/>
          </w:tcPr>
          <w:p>
            <w:pPr>
              <w:pStyle w:val="TableParagraph"/>
              <w:spacing w:line="484" w:lineRule="auto" w:before="62"/>
              <w:ind w:left="539" w:right="428"/>
              <w:rPr>
                <w:rFonts w:ascii="Arial"/>
                <w:sz w:val="20"/>
              </w:rPr>
            </w:pPr>
            <w:r>
              <w:rPr>
                <w:rFonts w:ascii="Arial"/>
                <w:sz w:val="20"/>
              </w:rPr>
              <w:t>What is your room like? Are you comfortable</w:t>
            </w:r>
            <w:r>
              <w:rPr>
                <w:rFonts w:ascii="Arial"/>
                <w:spacing w:val="-15"/>
                <w:sz w:val="20"/>
              </w:rPr>
              <w:t> </w:t>
            </w:r>
            <w:r>
              <w:rPr>
                <w:rFonts w:ascii="Arial"/>
                <w:sz w:val="20"/>
              </w:rPr>
              <w:t>there?</w:t>
            </w:r>
          </w:p>
          <w:p>
            <w:pPr>
              <w:pStyle w:val="TableParagraph"/>
              <w:spacing w:line="278" w:lineRule="auto"/>
              <w:ind w:left="539" w:right="129"/>
              <w:rPr>
                <w:rFonts w:ascii="Arial"/>
                <w:sz w:val="20"/>
              </w:rPr>
            </w:pPr>
            <w:r>
              <w:rPr>
                <w:rFonts w:ascii="Arial"/>
                <w:sz w:val="20"/>
              </w:rPr>
              <w:t>What personal items were you allowed to bring when you came here?</w:t>
            </w:r>
          </w:p>
          <w:p>
            <w:pPr>
              <w:pStyle w:val="TableParagraph"/>
              <w:spacing w:line="276" w:lineRule="auto" w:before="190"/>
              <w:ind w:left="539" w:right="741"/>
              <w:rPr>
                <w:rFonts w:ascii="Arial"/>
                <w:sz w:val="20"/>
              </w:rPr>
            </w:pPr>
            <w:r>
              <w:rPr>
                <w:rFonts w:ascii="Arial"/>
                <w:sz w:val="20"/>
              </w:rPr>
              <w:t>Is the temperature here comfortable to you?</w:t>
            </w:r>
          </w:p>
        </w:tc>
        <w:tc>
          <w:tcPr>
            <w:tcW w:w="9799" w:type="dxa"/>
          </w:tcPr>
          <w:p>
            <w:pPr>
              <w:pStyle w:val="TableParagraph"/>
              <w:spacing w:before="62"/>
              <w:ind w:left="539"/>
              <w:rPr>
                <w:rFonts w:ascii="Arial"/>
                <w:sz w:val="20"/>
              </w:rPr>
            </w:pPr>
            <w:r>
              <w:rPr>
                <w:rFonts w:ascii="Arial"/>
                <w:sz w:val="20"/>
              </w:rPr>
              <w:t>Other:</w:t>
            </w:r>
          </w:p>
          <w:p>
            <w:pPr>
              <w:pStyle w:val="TableParagraph"/>
              <w:rPr>
                <w:b/>
                <w:sz w:val="22"/>
              </w:rPr>
            </w:pPr>
          </w:p>
          <w:p>
            <w:pPr>
              <w:pStyle w:val="TableParagraph"/>
              <w:rPr>
                <w:b/>
                <w:sz w:val="22"/>
              </w:rPr>
            </w:pPr>
          </w:p>
          <w:p>
            <w:pPr>
              <w:pStyle w:val="TableParagraph"/>
              <w:spacing w:before="11"/>
              <w:rPr>
                <w:b/>
                <w:sz w:val="18"/>
              </w:rPr>
            </w:pPr>
          </w:p>
          <w:p>
            <w:pPr>
              <w:pStyle w:val="TableParagraph"/>
              <w:ind w:left="539"/>
              <w:rPr>
                <w:rFonts w:ascii="Arial"/>
                <w:sz w:val="20"/>
              </w:rPr>
            </w:pPr>
            <w:r>
              <w:rPr>
                <w:rFonts w:ascii="Arial"/>
                <w:sz w:val="20"/>
              </w:rPr>
              <w:t>No Concerns</w:t>
            </w:r>
          </w:p>
        </w:tc>
      </w:tr>
    </w:tbl>
    <w:p>
      <w:pPr>
        <w:pStyle w:val="BodyText"/>
        <w:spacing w:before="5"/>
        <w:rPr>
          <w:b/>
          <w:sz w:val="15"/>
        </w:rPr>
      </w:pPr>
      <w:r>
        <w:rPr/>
        <w:pict>
          <v:shape style="position:absolute;margin-left:70.559998pt;margin-top:11.6395pt;width:650.9pt;height:.1pt;mso-position-horizontal-relative:page;mso-position-vertical-relative:paragraph;z-index:-251372544;mso-wrap-distance-left:0;mso-wrap-distance-right:0" coordorigin="1411,233" coordsize="13018,0" path="m1411,233l14429,233e" filled="false" stroked="true" strokeweight=".481pt" strokecolor="#d9d9d9">
            <v:path arrowok="t"/>
            <v:stroke dashstyle="solid"/>
            <w10:wrap type="topAndBottom"/>
          </v:shape>
        </w:pict>
      </w:r>
    </w:p>
    <w:p>
      <w:pPr>
        <w:spacing w:after="0"/>
        <w:rPr>
          <w:sz w:val="15"/>
        </w:rPr>
        <w:sectPr>
          <w:pgSz w:w="15840" w:h="12240" w:orient="landscape"/>
          <w:pgMar w:header="0" w:footer="1012"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rect style="position:absolute;margin-left:78.480003pt;margin-top:191.279999pt;width:9.24pt;height:9.24pt;mso-position-horizontal-relative:page;mso-position-vertical-relative:page;z-index:-270971904" filled="false" stroked="true" strokeweight=".72pt" strokecolor="#000000">
            <v:stroke dashstyle="solid"/>
            <w10:wrap type="none"/>
          </v:rect>
        </w:pict>
      </w:r>
      <w:r>
        <w:rPr/>
        <w:pict>
          <v:rect style="position:absolute;margin-left:78.480003pt;margin-top:238.440002pt;width:9.24pt;height:9.24pt;mso-position-horizontal-relative:page;mso-position-vertical-relative:page;z-index:-270968832" filled="false" stroked="true" strokeweight=".72pt" strokecolor="#000000">
            <v:stroke dashstyle="solid"/>
            <w10:wrap type="none"/>
          </v:rect>
        </w:pict>
      </w:r>
      <w:r>
        <w:rPr/>
        <w:pict>
          <v:rect style="position:absolute;margin-left:78.480003pt;margin-top:261.600006pt;width:9.24pt;height:9.24pt;mso-position-horizontal-relative:page;mso-position-vertical-relative:page;z-index:-270967808" filled="false" stroked="true" strokeweight=".72pt" strokecolor="#000000">
            <v:stroke dashstyle="solid"/>
            <w10:wrap type="none"/>
          </v:rect>
        </w:pict>
      </w:r>
      <w:r>
        <w:rPr/>
        <w:pict>
          <v:rect style="position:absolute;margin-left:247.679993pt;margin-top:238.440002pt;width:9.24pt;height:9.24pt;mso-position-horizontal-relative:page;mso-position-vertical-relative:page;z-index:-270966784" filled="false" stroked="true" strokeweight=".72pt" strokecolor="#000000">
            <v:stroke dashstyle="solid"/>
            <w10:wrap type="none"/>
          </v:rect>
        </w:pict>
      </w:r>
      <w:r>
        <w:rPr/>
        <w:pict>
          <v:rect style="position:absolute;margin-left:247.679993pt;margin-top:262.920013pt;width:9.24pt;height:9.24pt;mso-position-horizontal-relative:page;mso-position-vertical-relative:page;z-index:-270965760" filled="false" stroked="true" strokeweight=".72pt" strokecolor="#000000">
            <v:stroke dashstyle="solid"/>
            <w10:wrap type="none"/>
          </v:rect>
        </w:pict>
      </w:r>
      <w:r>
        <w:rPr/>
        <w:pict>
          <v:rect style="position:absolute;margin-left:78.480003pt;margin-top:315.839996pt;width:9.24pt;height:9.24pt;mso-position-horizontal-relative:page;mso-position-vertical-relative:page;z-index:-270964736" filled="false" stroked="true" strokeweight=".72pt" strokecolor="#000000">
            <v:stroke dashstyle="solid"/>
            <w10:wrap type="none"/>
          </v:rect>
        </w:pict>
      </w:r>
      <w:r>
        <w:rPr/>
        <w:pict>
          <v:rect style="position:absolute;margin-left:78.480003pt;margin-top:338.880005pt;width:9.24pt;height:9.24pt;mso-position-horizontal-relative:page;mso-position-vertical-relative:page;z-index:-270963712" filled="false" stroked="true" strokeweight=".72pt" strokecolor="#000000">
            <v:stroke dashstyle="solid"/>
            <w10:wrap type="none"/>
          </v:rect>
        </w:pict>
      </w:r>
      <w:r>
        <w:rPr/>
        <w:pict>
          <v:rect style="position:absolute;margin-left:78.480003pt;margin-top:401.76001pt;width:9.24pt;height:9.24pt;mso-position-horizontal-relative:page;mso-position-vertical-relative:page;z-index:-270962688" filled="false" stroked="true" strokeweight=".72pt" strokecolor="#000000">
            <v:stroke dashstyle="solid"/>
            <w10:wrap type="none"/>
          </v:rect>
        </w:pict>
      </w:r>
      <w:r>
        <w:rPr/>
        <w:pict>
          <v:rect style="position:absolute;margin-left:247.679993pt;margin-top:315.839996pt;width:9.24pt;height:9.24pt;mso-position-horizontal-relative:page;mso-position-vertical-relative:page;z-index:-270961664" filled="false" stroked="true" strokeweight=".72pt" strokecolor="#000000">
            <v:stroke dashstyle="solid"/>
            <w10:wrap type="none"/>
          </v:rect>
        </w:pict>
      </w:r>
      <w:r>
        <w:rPr/>
        <w:pict>
          <v:rect style="position:absolute;margin-left:247.679993pt;margin-top:365.640015pt;width:9.24pt;height:9.24pt;mso-position-horizontal-relative:page;mso-position-vertical-relative:page;z-index:-270960640" filled="false" stroked="true" strokeweight=".72pt" strokecolor="#000000">
            <v:stroke dashstyle="solid"/>
            <w10:wrap type="none"/>
          </v:rect>
        </w:pict>
      </w:r>
      <w:r>
        <w:rPr/>
        <w:pict>
          <v:rect style="position:absolute;margin-left:78.480003pt;margin-top:448.920013pt;width:9.24pt;height:9.24pt;mso-position-horizontal-relative:page;mso-position-vertical-relative:page;z-index:-270959616" filled="false" stroked="true" strokeweight=".72pt" strokecolor="#000000">
            <v:stroke dashstyle="solid"/>
            <w10:wrap type="none"/>
          </v:rect>
        </w:pict>
      </w:r>
      <w:r>
        <w:rPr/>
        <w:pict>
          <v:rect style="position:absolute;margin-left:78.480003pt;margin-top:485.279999pt;width:9.24pt;height:9.24pt;mso-position-horizontal-relative:page;mso-position-vertical-relative:page;z-index:-270958592" filled="false" stroked="true" strokeweight=".72pt" strokecolor="#000000">
            <v:stroke dashstyle="solid"/>
            <w10:wrap type="none"/>
          </v:rect>
        </w:pict>
      </w:r>
      <w:r>
        <w:rPr/>
        <w:pict>
          <v:rect style="position:absolute;margin-left:247.679993pt;margin-top:449.040009pt;width:9.24pt;height:9.24pt;mso-position-horizontal-relative:page;mso-position-vertical-relative:page;z-index:-270957568" filled="false" stroked="true" strokeweight=".72pt" strokecolor="#000000">
            <v:stroke dashstyle="solid"/>
            <w10:wrap type="none"/>
          </v:rect>
        </w:pict>
      </w:r>
      <w:r>
        <w:rPr/>
        <w:pict>
          <v:rect style="position:absolute;margin-left:247.679993pt;margin-top:498.839996pt;width:9.24pt;height:9.24pt;mso-position-horizontal-relative:page;mso-position-vertical-relative:page;z-index:-270956544" filled="false" stroked="true" strokeweight=".72pt" strokecolor="#000000">
            <v:stroke dashstyle="solid"/>
            <w10:wrap type="none"/>
          </v:rect>
        </w:pict>
      </w:r>
      <w:r>
        <w:rPr/>
        <w:t>Washington State</w:t>
      </w:r>
    </w:p>
    <w:p>
      <w:pPr>
        <w:pStyle w:val="Heading8"/>
      </w:pPr>
      <w:r>
        <w:rPr/>
        <w:t>Revised Transition Plan for New HCBS Rules</w:t>
      </w:r>
    </w:p>
    <w:p>
      <w:pPr>
        <w:pStyle w:val="Heading8"/>
      </w:pPr>
      <w:r>
        <w:rPr/>
        <w:pict>
          <v:rect style="position:absolute;margin-left:78.480003pt;margin-top:42.282291pt;width:9.24pt;height:9.24pt;mso-position-horizontal-relative:page;mso-position-vertical-relative:paragraph;z-index:-270973952" filled="false" stroked="true" strokeweight=".72pt" strokecolor="#000000">
            <v:stroke dashstyle="solid"/>
            <w10:wrap type="none"/>
          </v:rect>
        </w:pict>
      </w:r>
      <w:r>
        <w:rPr/>
        <w:pict>
          <v:rect style="position:absolute;margin-left:78.480003pt;margin-top:91.962296pt;width:9.24pt;height:9.24pt;mso-position-horizontal-relative:page;mso-position-vertical-relative:paragraph;z-index:-270972928" filled="false" stroked="true" strokeweight=".72pt" strokecolor="#000000">
            <v:stroke dashstyle="solid"/>
            <w10:wrap type="none"/>
          </v:rect>
        </w:pict>
      </w:r>
      <w:r>
        <w:rPr/>
        <w:pict>
          <v:rect style="position:absolute;margin-left:247.679993pt;margin-top:42.402294pt;width:9.24pt;height:9.24pt;mso-position-horizontal-relative:page;mso-position-vertical-relative:paragraph;z-index:-270970880" filled="false" stroked="true" strokeweight=".72pt" strokecolor="#000000">
            <v:stroke dashstyle="solid"/>
            <w10:wrap type="none"/>
          </v:rect>
        </w:pict>
      </w:r>
      <w:r>
        <w:rPr/>
        <w:pict>
          <v:rect style="position:absolute;margin-left:247.679993pt;margin-top:92.322296pt;width:9.24pt;height:9.24pt;mso-position-horizontal-relative:page;mso-position-vertical-relative:paragraph;z-index:-270969856" filled="false" stroked="true" strokeweight=".72pt" strokecolor="#000000">
            <v:stroke dashstyle="solid"/>
            <w10:wrap type="none"/>
          </v:rect>
        </w:pict>
      </w:r>
      <w:r>
        <w:rPr/>
        <w:t>To be Submitted to CMS in May 2017—Posted for Public Comment on March 15, 2017</w:t>
      </w:r>
    </w:p>
    <w:p>
      <w:pPr>
        <w:pStyle w:val="BodyText"/>
        <w:spacing w:before="8"/>
        <w:rPr>
          <w:b/>
          <w:sz w:val="16"/>
        </w:rPr>
      </w:pPr>
    </w:p>
    <w:tbl>
      <w:tblPr>
        <w:tblW w:w="0" w:type="auto"/>
        <w:jc w:val="left"/>
        <w:tblInd w:w="10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384"/>
        <w:gridCol w:w="9799"/>
      </w:tblGrid>
      <w:tr>
        <w:trPr>
          <w:trHeight w:val="283" w:hRule="atLeast"/>
        </w:trPr>
        <w:tc>
          <w:tcPr>
            <w:tcW w:w="13183" w:type="dxa"/>
            <w:gridSpan w:val="2"/>
            <w:shd w:val="clear" w:color="auto" w:fill="DEEAF6"/>
          </w:tcPr>
          <w:p>
            <w:pPr>
              <w:pStyle w:val="TableParagraph"/>
              <w:tabs>
                <w:tab w:pos="530" w:val="left" w:leader="none"/>
              </w:tabs>
              <w:spacing w:before="33"/>
              <w:ind w:left="115"/>
              <w:rPr>
                <w:rFonts w:ascii="Arial"/>
                <w:b/>
                <w:sz w:val="20"/>
              </w:rPr>
            </w:pPr>
            <w:r>
              <w:rPr>
                <w:rFonts w:ascii="Arial"/>
                <w:b/>
                <w:sz w:val="20"/>
              </w:rPr>
              <w:t>G.</w:t>
              <w:tab/>
              <w:t>Response to Concerns</w:t>
            </w:r>
          </w:p>
        </w:tc>
      </w:tr>
      <w:tr>
        <w:trPr>
          <w:trHeight w:val="2370" w:hRule="atLeast"/>
        </w:trPr>
        <w:tc>
          <w:tcPr>
            <w:tcW w:w="3384" w:type="dxa"/>
          </w:tcPr>
          <w:p>
            <w:pPr>
              <w:pStyle w:val="TableParagraph"/>
              <w:spacing w:line="276" w:lineRule="auto" w:before="59"/>
              <w:ind w:left="539" w:right="385"/>
              <w:rPr>
                <w:rFonts w:ascii="Arial" w:hAnsi="Arial"/>
                <w:sz w:val="20"/>
              </w:rPr>
            </w:pPr>
            <w:r>
              <w:rPr>
                <w:rFonts w:ascii="Arial" w:hAnsi="Arial"/>
                <w:sz w:val="20"/>
              </w:rPr>
              <w:t>Do you feel like you can tell someone if you don’t like it here?</w:t>
            </w:r>
          </w:p>
          <w:p>
            <w:pPr>
              <w:pStyle w:val="TableParagraph"/>
              <w:spacing w:before="5"/>
              <w:rPr>
                <w:b/>
                <w:sz w:val="16"/>
              </w:rPr>
            </w:pPr>
          </w:p>
          <w:p>
            <w:pPr>
              <w:pStyle w:val="TableParagraph"/>
              <w:spacing w:line="278" w:lineRule="auto"/>
              <w:ind w:left="539" w:right="329"/>
              <w:rPr>
                <w:rFonts w:ascii="Arial"/>
                <w:sz w:val="20"/>
              </w:rPr>
            </w:pPr>
            <w:r>
              <w:rPr>
                <w:rFonts w:ascii="Arial"/>
                <w:sz w:val="20"/>
              </w:rPr>
              <w:t>Who would you talk to if you had concerns?</w:t>
            </w:r>
          </w:p>
          <w:p>
            <w:pPr>
              <w:pStyle w:val="TableParagraph"/>
              <w:spacing w:line="276" w:lineRule="auto" w:before="196"/>
              <w:ind w:left="539" w:right="140"/>
              <w:rPr>
                <w:rFonts w:ascii="Arial"/>
                <w:sz w:val="20"/>
              </w:rPr>
            </w:pPr>
            <w:r>
              <w:rPr>
                <w:rFonts w:ascii="Arial"/>
                <w:sz w:val="20"/>
              </w:rPr>
              <w:t>What do you think they would do about it?</w:t>
            </w:r>
          </w:p>
        </w:tc>
        <w:tc>
          <w:tcPr>
            <w:tcW w:w="9799" w:type="dxa"/>
          </w:tcPr>
          <w:p>
            <w:pPr>
              <w:pStyle w:val="TableParagraph"/>
              <w:spacing w:before="62"/>
              <w:ind w:left="539"/>
              <w:rPr>
                <w:rFonts w:ascii="Arial"/>
                <w:sz w:val="20"/>
              </w:rPr>
            </w:pPr>
            <w:r>
              <w:rPr>
                <w:rFonts w:ascii="Arial"/>
                <w:sz w:val="20"/>
              </w:rPr>
              <w:t>Other:</w:t>
            </w:r>
          </w:p>
          <w:p>
            <w:pPr>
              <w:pStyle w:val="TableParagraph"/>
              <w:rPr>
                <w:b/>
                <w:sz w:val="22"/>
              </w:rPr>
            </w:pPr>
          </w:p>
          <w:p>
            <w:pPr>
              <w:pStyle w:val="TableParagraph"/>
              <w:rPr>
                <w:b/>
                <w:sz w:val="22"/>
              </w:rPr>
            </w:pPr>
          </w:p>
          <w:p>
            <w:pPr>
              <w:pStyle w:val="TableParagraph"/>
              <w:spacing w:before="11"/>
              <w:rPr>
                <w:b/>
                <w:sz w:val="18"/>
              </w:rPr>
            </w:pPr>
          </w:p>
          <w:p>
            <w:pPr>
              <w:pStyle w:val="TableParagraph"/>
              <w:ind w:left="539"/>
              <w:rPr>
                <w:rFonts w:ascii="Arial"/>
                <w:sz w:val="20"/>
              </w:rPr>
            </w:pPr>
            <w:r>
              <w:rPr>
                <w:rFonts w:ascii="Arial"/>
                <w:sz w:val="20"/>
              </w:rPr>
              <w:t>No Concerns</w:t>
            </w:r>
          </w:p>
        </w:tc>
      </w:tr>
      <w:tr>
        <w:trPr>
          <w:trHeight w:val="283" w:hRule="atLeast"/>
        </w:trPr>
        <w:tc>
          <w:tcPr>
            <w:tcW w:w="13183" w:type="dxa"/>
            <w:gridSpan w:val="2"/>
            <w:shd w:val="clear" w:color="auto" w:fill="DEEAF6"/>
          </w:tcPr>
          <w:p>
            <w:pPr>
              <w:pStyle w:val="TableParagraph"/>
              <w:tabs>
                <w:tab w:pos="530" w:val="left" w:leader="none"/>
              </w:tabs>
              <w:spacing w:before="33"/>
              <w:ind w:left="115"/>
              <w:rPr>
                <w:rFonts w:ascii="Arial"/>
                <w:b/>
                <w:sz w:val="20"/>
              </w:rPr>
            </w:pPr>
            <w:r>
              <w:rPr>
                <w:rFonts w:ascii="Arial"/>
                <w:b/>
                <w:sz w:val="20"/>
              </w:rPr>
              <w:t>H.</w:t>
              <w:tab/>
              <w:t>Sense of Well-Being and</w:t>
            </w:r>
            <w:r>
              <w:rPr>
                <w:rFonts w:ascii="Arial"/>
                <w:b/>
                <w:spacing w:val="2"/>
                <w:sz w:val="20"/>
              </w:rPr>
              <w:t> </w:t>
            </w:r>
            <w:r>
              <w:rPr>
                <w:rFonts w:ascii="Arial"/>
                <w:b/>
                <w:sz w:val="20"/>
              </w:rPr>
              <w:t>Safety</w:t>
            </w:r>
          </w:p>
        </w:tc>
      </w:tr>
      <w:tr>
        <w:trPr>
          <w:trHeight w:val="1252" w:hRule="atLeast"/>
        </w:trPr>
        <w:tc>
          <w:tcPr>
            <w:tcW w:w="3384" w:type="dxa"/>
          </w:tcPr>
          <w:p>
            <w:pPr>
              <w:pStyle w:val="TableParagraph"/>
              <w:spacing w:before="62"/>
              <w:ind w:left="539"/>
              <w:rPr>
                <w:rFonts w:ascii="Arial"/>
                <w:sz w:val="20"/>
              </w:rPr>
            </w:pPr>
            <w:r>
              <w:rPr>
                <w:rFonts w:ascii="Arial"/>
                <w:sz w:val="20"/>
              </w:rPr>
              <w:t>Do you feel safe here?</w:t>
            </w:r>
          </w:p>
          <w:p>
            <w:pPr>
              <w:pStyle w:val="TableParagraph"/>
              <w:spacing w:before="1"/>
              <w:rPr>
                <w:b/>
                <w:sz w:val="19"/>
              </w:rPr>
            </w:pPr>
          </w:p>
          <w:p>
            <w:pPr>
              <w:pStyle w:val="TableParagraph"/>
              <w:spacing w:line="278" w:lineRule="auto"/>
              <w:ind w:left="539" w:right="240"/>
              <w:rPr>
                <w:rFonts w:ascii="Arial"/>
                <w:sz w:val="20"/>
              </w:rPr>
            </w:pPr>
            <w:r>
              <w:rPr>
                <w:rFonts w:ascii="Arial"/>
                <w:sz w:val="20"/>
              </w:rPr>
              <w:t>Does anything make you feel uncomfortable here?</w:t>
            </w:r>
          </w:p>
        </w:tc>
        <w:tc>
          <w:tcPr>
            <w:tcW w:w="9799" w:type="dxa"/>
          </w:tcPr>
          <w:p>
            <w:pPr>
              <w:pStyle w:val="TableParagraph"/>
              <w:spacing w:before="62"/>
              <w:ind w:left="539"/>
              <w:rPr>
                <w:rFonts w:ascii="Arial"/>
                <w:sz w:val="20"/>
              </w:rPr>
            </w:pPr>
            <w:r>
              <w:rPr>
                <w:rFonts w:ascii="Arial"/>
                <w:sz w:val="20"/>
              </w:rPr>
              <w:t>Other:</w:t>
            </w:r>
          </w:p>
          <w:p>
            <w:pPr>
              <w:pStyle w:val="TableParagraph"/>
              <w:spacing w:before="3"/>
              <w:rPr>
                <w:b/>
                <w:sz w:val="21"/>
              </w:rPr>
            </w:pPr>
          </w:p>
          <w:p>
            <w:pPr>
              <w:pStyle w:val="TableParagraph"/>
              <w:ind w:left="539"/>
              <w:rPr>
                <w:rFonts w:ascii="Arial"/>
                <w:sz w:val="20"/>
              </w:rPr>
            </w:pPr>
            <w:r>
              <w:rPr>
                <w:rFonts w:ascii="Arial"/>
                <w:sz w:val="20"/>
              </w:rPr>
              <w:t>No Concerns</w:t>
            </w:r>
          </w:p>
        </w:tc>
      </w:tr>
      <w:tr>
        <w:trPr>
          <w:trHeight w:val="282" w:hRule="atLeast"/>
        </w:trPr>
        <w:tc>
          <w:tcPr>
            <w:tcW w:w="13183" w:type="dxa"/>
            <w:gridSpan w:val="2"/>
            <w:shd w:val="clear" w:color="auto" w:fill="DEEAF6"/>
          </w:tcPr>
          <w:p>
            <w:pPr>
              <w:pStyle w:val="TableParagraph"/>
              <w:tabs>
                <w:tab w:pos="530" w:val="left" w:leader="none"/>
              </w:tabs>
              <w:spacing w:before="33"/>
              <w:ind w:left="115"/>
              <w:rPr>
                <w:rFonts w:ascii="Arial"/>
                <w:b/>
                <w:sz w:val="20"/>
              </w:rPr>
            </w:pPr>
            <w:r>
              <w:rPr>
                <w:rFonts w:ascii="Arial"/>
                <w:b/>
                <w:sz w:val="20"/>
              </w:rPr>
              <w:t>I.</w:t>
              <w:tab/>
              <w:t>Meals / Snacks /</w:t>
            </w:r>
            <w:r>
              <w:rPr>
                <w:rFonts w:ascii="Arial"/>
                <w:b/>
                <w:spacing w:val="-3"/>
                <w:sz w:val="20"/>
              </w:rPr>
              <w:t> </w:t>
            </w:r>
            <w:r>
              <w:rPr>
                <w:rFonts w:ascii="Arial"/>
                <w:b/>
                <w:sz w:val="20"/>
              </w:rPr>
              <w:t>Preferences</w:t>
            </w:r>
          </w:p>
        </w:tc>
      </w:tr>
      <w:tr>
        <w:trPr>
          <w:trHeight w:val="2373" w:hRule="atLeast"/>
        </w:trPr>
        <w:tc>
          <w:tcPr>
            <w:tcW w:w="3384" w:type="dxa"/>
          </w:tcPr>
          <w:p>
            <w:pPr>
              <w:pStyle w:val="TableParagraph"/>
              <w:spacing w:before="64"/>
              <w:ind w:left="539"/>
              <w:rPr>
                <w:rFonts w:ascii="Arial"/>
                <w:sz w:val="20"/>
              </w:rPr>
            </w:pPr>
            <w:r>
              <w:rPr>
                <w:rFonts w:ascii="Arial"/>
                <w:sz w:val="20"/>
              </w:rPr>
              <w:t>How is the food here?</w:t>
            </w:r>
          </w:p>
          <w:p>
            <w:pPr>
              <w:pStyle w:val="TableParagraph"/>
              <w:spacing w:before="11"/>
              <w:rPr>
                <w:b/>
                <w:sz w:val="18"/>
              </w:rPr>
            </w:pPr>
          </w:p>
          <w:p>
            <w:pPr>
              <w:pStyle w:val="TableParagraph"/>
              <w:spacing w:line="276" w:lineRule="auto"/>
              <w:ind w:left="539" w:right="96"/>
              <w:rPr>
                <w:rFonts w:ascii="Arial" w:hAnsi="Arial"/>
                <w:sz w:val="20"/>
              </w:rPr>
            </w:pPr>
            <w:r>
              <w:rPr>
                <w:rFonts w:ascii="Arial" w:hAnsi="Arial"/>
                <w:sz w:val="20"/>
              </w:rPr>
              <w:t>If you can’t eat something or don’t like something, what kind of replacement does the home offer you?</w:t>
            </w:r>
          </w:p>
          <w:p>
            <w:pPr>
              <w:pStyle w:val="TableParagraph"/>
              <w:spacing w:before="4"/>
              <w:rPr>
                <w:b/>
                <w:sz w:val="16"/>
              </w:rPr>
            </w:pPr>
          </w:p>
          <w:p>
            <w:pPr>
              <w:pStyle w:val="TableParagraph"/>
              <w:spacing w:line="276" w:lineRule="auto"/>
              <w:ind w:left="539" w:right="596"/>
              <w:rPr>
                <w:rFonts w:ascii="Arial"/>
                <w:sz w:val="20"/>
              </w:rPr>
            </w:pPr>
            <w:r>
              <w:rPr>
                <w:rFonts w:ascii="Arial"/>
                <w:sz w:val="20"/>
              </w:rPr>
              <w:t>How often do you get the foods you like to eat?</w:t>
            </w:r>
          </w:p>
        </w:tc>
        <w:tc>
          <w:tcPr>
            <w:tcW w:w="9799" w:type="dxa"/>
          </w:tcPr>
          <w:p>
            <w:pPr>
              <w:pStyle w:val="TableParagraph"/>
              <w:spacing w:before="64"/>
              <w:ind w:left="539"/>
              <w:rPr>
                <w:rFonts w:ascii="Arial"/>
                <w:sz w:val="20"/>
              </w:rPr>
            </w:pPr>
            <w:r>
              <w:rPr>
                <w:rFonts w:ascii="Arial"/>
                <w:sz w:val="20"/>
              </w:rPr>
              <w:t>Other:</w:t>
            </w:r>
          </w:p>
          <w:p>
            <w:pPr>
              <w:pStyle w:val="TableParagraph"/>
              <w:rPr>
                <w:b/>
                <w:sz w:val="22"/>
              </w:rPr>
            </w:pPr>
          </w:p>
          <w:p>
            <w:pPr>
              <w:pStyle w:val="TableParagraph"/>
              <w:rPr>
                <w:b/>
                <w:sz w:val="22"/>
              </w:rPr>
            </w:pPr>
          </w:p>
          <w:p>
            <w:pPr>
              <w:pStyle w:val="TableParagraph"/>
              <w:spacing w:before="9"/>
              <w:rPr>
                <w:b/>
                <w:sz w:val="18"/>
              </w:rPr>
            </w:pPr>
          </w:p>
          <w:p>
            <w:pPr>
              <w:pStyle w:val="TableParagraph"/>
              <w:ind w:left="539"/>
              <w:rPr>
                <w:rFonts w:ascii="Arial"/>
                <w:sz w:val="20"/>
              </w:rPr>
            </w:pPr>
            <w:r>
              <w:rPr>
                <w:rFonts w:ascii="Arial"/>
                <w:sz w:val="20"/>
              </w:rPr>
              <w:t>No Concerns</w:t>
            </w:r>
          </w:p>
        </w:tc>
      </w:tr>
      <w:tr>
        <w:trPr>
          <w:trHeight w:val="283" w:hRule="atLeast"/>
        </w:trPr>
        <w:tc>
          <w:tcPr>
            <w:tcW w:w="13183" w:type="dxa"/>
            <w:gridSpan w:val="2"/>
            <w:shd w:val="clear" w:color="auto" w:fill="DEEAF6"/>
          </w:tcPr>
          <w:p>
            <w:pPr>
              <w:pStyle w:val="TableParagraph"/>
              <w:tabs>
                <w:tab w:pos="532" w:val="left" w:leader="none"/>
              </w:tabs>
              <w:spacing w:before="33"/>
              <w:ind w:left="115"/>
              <w:rPr>
                <w:rFonts w:ascii="Arial"/>
                <w:b/>
                <w:sz w:val="20"/>
              </w:rPr>
            </w:pPr>
            <w:r>
              <w:rPr>
                <w:rFonts w:ascii="Arial"/>
                <w:b/>
                <w:sz w:val="20"/>
              </w:rPr>
              <w:t>J.</w:t>
              <w:tab/>
              <w:t>Activities</w:t>
            </w:r>
          </w:p>
        </w:tc>
      </w:tr>
      <w:tr>
        <w:trPr>
          <w:trHeight w:val="1780" w:hRule="atLeast"/>
        </w:trPr>
        <w:tc>
          <w:tcPr>
            <w:tcW w:w="3384" w:type="dxa"/>
          </w:tcPr>
          <w:p>
            <w:pPr>
              <w:pStyle w:val="TableParagraph"/>
              <w:spacing w:line="278" w:lineRule="auto" w:before="59"/>
              <w:ind w:left="539" w:right="285"/>
              <w:rPr>
                <w:rFonts w:ascii="Arial"/>
                <w:sz w:val="20"/>
              </w:rPr>
            </w:pPr>
            <w:r>
              <w:rPr>
                <w:rFonts w:ascii="Arial"/>
                <w:sz w:val="20"/>
              </w:rPr>
              <w:t>What activities are offered to you by the home?</w:t>
            </w:r>
          </w:p>
          <w:p>
            <w:pPr>
              <w:pStyle w:val="TableParagraph"/>
              <w:spacing w:line="278" w:lineRule="auto" w:before="194"/>
              <w:ind w:left="539" w:right="318"/>
              <w:rPr>
                <w:rFonts w:ascii="Arial"/>
                <w:sz w:val="20"/>
              </w:rPr>
            </w:pPr>
            <w:r>
              <w:rPr>
                <w:rFonts w:ascii="Arial"/>
                <w:sz w:val="20"/>
              </w:rPr>
              <w:t>What kinds of things did you do for fun and relaxation before you came here?</w:t>
            </w:r>
          </w:p>
        </w:tc>
        <w:tc>
          <w:tcPr>
            <w:tcW w:w="9799" w:type="dxa"/>
          </w:tcPr>
          <w:p>
            <w:pPr>
              <w:pStyle w:val="TableParagraph"/>
              <w:spacing w:before="62"/>
              <w:ind w:left="539"/>
              <w:rPr>
                <w:rFonts w:ascii="Arial"/>
                <w:sz w:val="20"/>
              </w:rPr>
            </w:pPr>
            <w:r>
              <w:rPr>
                <w:rFonts w:ascii="Arial"/>
                <w:sz w:val="20"/>
              </w:rPr>
              <w:t>Other:</w:t>
            </w:r>
          </w:p>
          <w:p>
            <w:pPr>
              <w:pStyle w:val="TableParagraph"/>
              <w:rPr>
                <w:b/>
                <w:sz w:val="22"/>
              </w:rPr>
            </w:pPr>
          </w:p>
          <w:p>
            <w:pPr>
              <w:pStyle w:val="TableParagraph"/>
              <w:rPr>
                <w:b/>
                <w:sz w:val="22"/>
              </w:rPr>
            </w:pPr>
          </w:p>
          <w:p>
            <w:pPr>
              <w:pStyle w:val="TableParagraph"/>
              <w:spacing w:before="9"/>
              <w:rPr>
                <w:b/>
                <w:sz w:val="18"/>
              </w:rPr>
            </w:pPr>
          </w:p>
          <w:p>
            <w:pPr>
              <w:pStyle w:val="TableParagraph"/>
              <w:ind w:left="539"/>
              <w:rPr>
                <w:rFonts w:ascii="Arial"/>
                <w:sz w:val="20"/>
              </w:rPr>
            </w:pPr>
            <w:r>
              <w:rPr>
                <w:rFonts w:ascii="Arial"/>
                <w:sz w:val="20"/>
              </w:rPr>
              <w:t>No Concerns</w:t>
            </w:r>
          </w:p>
        </w:tc>
      </w:tr>
    </w:tbl>
    <w:p>
      <w:pPr>
        <w:pStyle w:val="BodyText"/>
        <w:rPr>
          <w:b/>
          <w:sz w:val="19"/>
        </w:rPr>
      </w:pPr>
      <w:r>
        <w:rPr/>
        <w:pict>
          <v:shape style="position:absolute;margin-left:70.559998pt;margin-top:13.7995pt;width:650.9pt;height:.1pt;mso-position-horizontal-relative:page;mso-position-vertical-relative:paragraph;z-index:-251354112;mso-wrap-distance-left:0;mso-wrap-distance-right:0" coordorigin="1411,276" coordsize="13018,0" path="m1411,276l14429,276e" filled="false" stroked="true" strokeweight=".481pt" strokecolor="#d9d9d9">
            <v:path arrowok="t"/>
            <v:stroke dashstyle="solid"/>
            <w10:wrap type="topAndBottom"/>
          </v:shape>
        </w:pict>
      </w:r>
    </w:p>
    <w:p>
      <w:pPr>
        <w:spacing w:after="0"/>
        <w:rPr>
          <w:sz w:val="19"/>
        </w:rPr>
        <w:sectPr>
          <w:pgSz w:w="15840" w:h="12240" w:orient="landscape"/>
          <w:pgMar w:header="0" w:footer="1012"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pict>
          <v:rect style="position:absolute;margin-left:78.480003pt;margin-top:24.882292pt;width:9.24pt;height:9.24pt;mso-position-horizontal-relative:page;mso-position-vertical-relative:paragraph;z-index:-270953472" filled="false" stroked="true" strokeweight=".72pt" strokecolor="#000000">
            <v:stroke dashstyle="solid"/>
            <w10:wrap type="none"/>
          </v:rect>
        </w:pict>
      </w:r>
      <w:r>
        <w:rPr/>
        <w:pict>
          <v:rect style="position:absolute;margin-left:78.480003pt;margin-top:74.562294pt;width:9.24pt;height:9.24pt;mso-position-horizontal-relative:page;mso-position-vertical-relative:paragraph;z-index:-270952448" filled="false" stroked="true" strokeweight=".72pt" strokecolor="#000000">
            <v:stroke dashstyle="solid"/>
            <w10:wrap type="none"/>
          </v:rect>
        </w:pict>
      </w:r>
      <w:r>
        <w:rPr/>
        <w:pict>
          <v:rect style="position:absolute;margin-left:78.480003pt;margin-top:141.882294pt;width:9.24pt;height:9.24pt;mso-position-horizontal-relative:page;mso-position-vertical-relative:paragraph;z-index:-270951424" filled="false" stroked="true" strokeweight=".72pt" strokecolor="#000000">
            <v:stroke dashstyle="solid"/>
            <w10:wrap type="none"/>
          </v:rect>
        </w:pict>
      </w:r>
      <w:r>
        <w:rPr/>
        <w:pict>
          <v:rect style="position:absolute;margin-left:247.679993pt;margin-top:142.002289pt;width:9.24pt;height:9.24pt;mso-position-horizontal-relative:page;mso-position-vertical-relative:paragraph;z-index:-270948352" filled="false" stroked="true" strokeweight=".72pt" strokecolor="#000000">
            <v:stroke dashstyle="solid"/>
            <w10:wrap type="none"/>
          </v:rect>
        </w:pict>
      </w:r>
      <w:r>
        <w:rPr/>
        <w:t>To be Submitted to CMS in May 2017—Posted for Public Comment on March 15, 2017</w:t>
      </w:r>
    </w:p>
    <w:p>
      <w:pPr>
        <w:pStyle w:val="BodyText"/>
        <w:spacing w:before="8"/>
        <w:rPr>
          <w:b/>
          <w:sz w:val="16"/>
        </w:rPr>
      </w:pPr>
    </w:p>
    <w:tbl>
      <w:tblPr>
        <w:tblW w:w="0" w:type="auto"/>
        <w:jc w:val="left"/>
        <w:tblInd w:w="10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384"/>
        <w:gridCol w:w="9799"/>
      </w:tblGrid>
      <w:tr>
        <w:trPr>
          <w:trHeight w:val="1987" w:hRule="atLeast"/>
        </w:trPr>
        <w:tc>
          <w:tcPr>
            <w:tcW w:w="3384" w:type="dxa"/>
          </w:tcPr>
          <w:p>
            <w:pPr>
              <w:pStyle w:val="TableParagraph"/>
              <w:spacing w:line="276" w:lineRule="auto"/>
              <w:ind w:left="539" w:right="218"/>
              <w:rPr>
                <w:rFonts w:ascii="Arial"/>
                <w:sz w:val="20"/>
              </w:rPr>
            </w:pPr>
            <w:r>
              <w:rPr>
                <w:rFonts w:ascii="Arial"/>
                <w:sz w:val="20"/>
              </w:rPr>
              <w:t>Are there activities you would like to do that you are not offered?</w:t>
            </w:r>
          </w:p>
          <w:p>
            <w:pPr>
              <w:pStyle w:val="TableParagraph"/>
              <w:spacing w:before="4"/>
              <w:rPr>
                <w:b/>
                <w:sz w:val="16"/>
              </w:rPr>
            </w:pPr>
          </w:p>
          <w:p>
            <w:pPr>
              <w:pStyle w:val="TableParagraph"/>
              <w:spacing w:line="276" w:lineRule="auto"/>
              <w:ind w:left="539" w:right="262"/>
              <w:rPr>
                <w:rFonts w:ascii="Arial"/>
                <w:sz w:val="20"/>
              </w:rPr>
            </w:pPr>
            <w:r>
              <w:rPr>
                <w:rFonts w:ascii="Arial"/>
                <w:sz w:val="20"/>
              </w:rPr>
              <w:t>Is there anything you wanted to do and the home helped you do it?</w:t>
            </w:r>
          </w:p>
        </w:tc>
        <w:tc>
          <w:tcPr>
            <w:tcW w:w="9799" w:type="dxa"/>
          </w:tcPr>
          <w:p>
            <w:pPr>
              <w:pStyle w:val="TableParagraph"/>
              <w:rPr>
                <w:rFonts w:ascii="Times New Roman"/>
                <w:sz w:val="20"/>
              </w:rPr>
            </w:pPr>
          </w:p>
        </w:tc>
      </w:tr>
      <w:tr>
        <w:trPr>
          <w:trHeight w:val="282" w:hRule="atLeast"/>
        </w:trPr>
        <w:tc>
          <w:tcPr>
            <w:tcW w:w="13183" w:type="dxa"/>
            <w:gridSpan w:val="2"/>
            <w:shd w:val="clear" w:color="auto" w:fill="DEEAF6"/>
          </w:tcPr>
          <w:p>
            <w:pPr>
              <w:pStyle w:val="TableParagraph"/>
              <w:tabs>
                <w:tab w:pos="530" w:val="left" w:leader="none"/>
              </w:tabs>
              <w:spacing w:before="33"/>
              <w:ind w:left="115"/>
              <w:rPr>
                <w:rFonts w:ascii="Arial"/>
                <w:b/>
                <w:sz w:val="20"/>
              </w:rPr>
            </w:pPr>
            <w:r>
              <w:rPr>
                <w:rFonts w:ascii="Arial"/>
                <w:b/>
                <w:sz w:val="20"/>
              </w:rPr>
              <w:t>K.</w:t>
              <w:tab/>
              <w:t>Notice</w:t>
            </w:r>
          </w:p>
        </w:tc>
      </w:tr>
      <w:tr>
        <w:trPr>
          <w:trHeight w:val="3429" w:hRule="atLeast"/>
        </w:trPr>
        <w:tc>
          <w:tcPr>
            <w:tcW w:w="3384" w:type="dxa"/>
          </w:tcPr>
          <w:p>
            <w:pPr>
              <w:pStyle w:val="TableParagraph"/>
              <w:spacing w:line="276" w:lineRule="auto" w:before="59"/>
              <w:ind w:left="539" w:right="474"/>
              <w:rPr>
                <w:rFonts w:ascii="Arial"/>
                <w:sz w:val="20"/>
              </w:rPr>
            </w:pPr>
            <w:r>
              <w:rPr>
                <w:rFonts w:ascii="Arial"/>
                <w:sz w:val="20"/>
              </w:rPr>
              <w:t>Do you handle your own finances or does someone help you with that?</w:t>
            </w:r>
          </w:p>
          <w:p>
            <w:pPr>
              <w:pStyle w:val="TableParagraph"/>
              <w:spacing w:before="5"/>
              <w:rPr>
                <w:b/>
                <w:sz w:val="16"/>
              </w:rPr>
            </w:pPr>
          </w:p>
          <w:p>
            <w:pPr>
              <w:pStyle w:val="TableParagraph"/>
              <w:spacing w:line="276" w:lineRule="auto"/>
              <w:ind w:left="539" w:right="207"/>
              <w:rPr>
                <w:rFonts w:ascii="Arial" w:hAnsi="Arial"/>
                <w:sz w:val="20"/>
              </w:rPr>
            </w:pPr>
            <w:r>
              <w:rPr>
                <w:rFonts w:ascii="Arial" w:hAnsi="Arial"/>
                <w:sz w:val="20"/>
              </w:rPr>
              <w:t>What were you told about paying for your care here and the home’s policy about admitting and keeping residents whose stay is paid for by the state (Medicaid)?</w:t>
            </w:r>
          </w:p>
          <w:p>
            <w:pPr>
              <w:pStyle w:val="TableParagraph"/>
              <w:spacing w:before="3"/>
              <w:rPr>
                <w:b/>
                <w:sz w:val="16"/>
              </w:rPr>
            </w:pPr>
          </w:p>
          <w:p>
            <w:pPr>
              <w:pStyle w:val="TableParagraph"/>
              <w:spacing w:line="278" w:lineRule="auto"/>
              <w:ind w:left="539" w:right="240"/>
              <w:rPr>
                <w:rFonts w:ascii="Arial"/>
                <w:sz w:val="20"/>
              </w:rPr>
            </w:pPr>
            <w:r>
              <w:rPr>
                <w:rFonts w:ascii="Arial"/>
                <w:sz w:val="20"/>
              </w:rPr>
              <w:t>When and how were you told about this?</w:t>
            </w:r>
          </w:p>
        </w:tc>
        <w:tc>
          <w:tcPr>
            <w:tcW w:w="9799" w:type="dxa"/>
          </w:tcPr>
          <w:p>
            <w:pPr>
              <w:pStyle w:val="TableParagraph"/>
              <w:spacing w:before="62"/>
              <w:ind w:left="539"/>
              <w:rPr>
                <w:rFonts w:ascii="Arial"/>
                <w:sz w:val="20"/>
              </w:rPr>
            </w:pPr>
            <w:r>
              <w:rPr>
                <w:rFonts w:ascii="Arial"/>
                <w:sz w:val="20"/>
              </w:rPr>
              <w:t>Other:</w:t>
            </w:r>
          </w:p>
          <w:p>
            <w:pPr>
              <w:pStyle w:val="TableParagraph"/>
              <w:rPr>
                <w:b/>
                <w:sz w:val="22"/>
              </w:rPr>
            </w:pPr>
          </w:p>
          <w:p>
            <w:pPr>
              <w:pStyle w:val="TableParagraph"/>
              <w:rPr>
                <w:b/>
                <w:sz w:val="22"/>
              </w:rPr>
            </w:pPr>
          </w:p>
          <w:p>
            <w:pPr>
              <w:pStyle w:val="TableParagraph"/>
              <w:spacing w:before="11"/>
              <w:rPr>
                <w:b/>
                <w:sz w:val="18"/>
              </w:rPr>
            </w:pPr>
          </w:p>
          <w:p>
            <w:pPr>
              <w:pStyle w:val="TableParagraph"/>
              <w:ind w:left="539"/>
              <w:rPr>
                <w:rFonts w:ascii="Arial"/>
                <w:sz w:val="20"/>
              </w:rPr>
            </w:pPr>
            <w:r>
              <w:rPr>
                <w:rFonts w:ascii="Arial"/>
                <w:sz w:val="20"/>
              </w:rPr>
              <w:t>No Concerns</w:t>
            </w:r>
          </w:p>
        </w:tc>
      </w:tr>
    </w:tbl>
    <w:p>
      <w:pPr>
        <w:spacing w:before="81"/>
        <w:ind w:left="2921" w:right="2667" w:firstLine="0"/>
        <w:jc w:val="center"/>
        <w:rPr>
          <w:rFonts w:ascii="Arial"/>
          <w:sz w:val="20"/>
        </w:rPr>
      </w:pPr>
      <w:r>
        <w:rPr/>
        <w:pict>
          <v:rect style="position:absolute;margin-left:78.480003pt;margin-top:-117.970123pt;width:9.24pt;height:9.24pt;mso-position-horizontal-relative:page;mso-position-vertical-relative:paragraph;z-index:-270950400" filled="false" stroked="true" strokeweight=".72pt" strokecolor="#000000">
            <v:stroke dashstyle="solid"/>
            <w10:wrap type="none"/>
          </v:rect>
        </w:pict>
      </w:r>
      <w:r>
        <w:rPr/>
        <w:pict>
          <v:rect style="position:absolute;margin-left:78.480003pt;margin-top:-28.690121pt;width:9.24pt;height:9.24pt;mso-position-horizontal-relative:page;mso-position-vertical-relative:paragraph;z-index:-270949376" filled="false" stroked="true" strokeweight=".72pt" strokecolor="#000000">
            <v:stroke dashstyle="solid"/>
            <w10:wrap type="none"/>
          </v:rect>
        </w:pict>
      </w:r>
      <w:r>
        <w:rPr/>
        <w:pict>
          <v:rect style="position:absolute;margin-left:247.679993pt;margin-top:-117.610123pt;width:9.24pt;height:9.24pt;mso-position-horizontal-relative:page;mso-position-vertical-relative:paragraph;z-index:-270947328" filled="false" stroked="true" strokeweight=".72pt" strokecolor="#000000">
            <v:stroke dashstyle="solid"/>
            <w10:wrap type="none"/>
          </v:rect>
        </w:pict>
      </w:r>
      <w:r>
        <w:rPr>
          <w:rFonts w:ascii="Arial"/>
          <w:sz w:val="20"/>
        </w:rPr>
        <w:t>Leave a contact number for the resident to be able to contact you/RCS staff in the future.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9"/>
        </w:rPr>
      </w:pPr>
      <w:r>
        <w:rPr/>
        <w:pict>
          <v:group style="position:absolute;margin-left:75.360001pt;margin-top:19.215883pt;width:655.45pt;height:.25pt;mso-position-horizontal-relative:page;mso-position-vertical-relative:paragraph;z-index:-251334656;mso-wrap-distance-left:0;mso-wrap-distance-right:0" coordorigin="1507,384" coordsize="13109,5">
            <v:line style="position:absolute" from="1507,387" to="2537,387" stroked="true" strokeweight=".239pt" strokecolor="#000000">
              <v:stroke dashstyle="solid"/>
            </v:line>
            <v:rect style="position:absolute;left:2522;top:384;width:5;height:5" filled="true" fillcolor="#000000" stroked="false">
              <v:fill type="solid"/>
            </v:rect>
            <v:line style="position:absolute" from="2527,387" to="14616,387" stroked="true" strokeweight=".239pt" strokecolor="#000000">
              <v:stroke dashstyle="solid"/>
            </v:line>
            <w10:wrap type="topAndBottom"/>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8"/>
        </w:rPr>
      </w:pPr>
      <w:r>
        <w:rPr/>
        <w:pict>
          <v:shape style="position:absolute;margin-left:70.559998pt;margin-top:12.585836pt;width:650.9pt;height:.1pt;mso-position-horizontal-relative:page;mso-position-vertical-relative:paragraph;z-index:-251333632;mso-wrap-distance-left:0;mso-wrap-distance-right:0" coordorigin="1411,252" coordsize="13018,0" path="m1411,252l14429,252e" filled="false" stroked="true" strokeweight=".481pt" strokecolor="#d9d9d9">
            <v:path arrowok="t"/>
            <v:stroke dashstyle="solid"/>
            <w10:wrap type="topAndBottom"/>
          </v:shape>
        </w:pict>
      </w:r>
    </w:p>
    <w:p>
      <w:pPr>
        <w:spacing w:after="0"/>
        <w:rPr>
          <w:rFonts w:ascii="Arial"/>
          <w:sz w:val="18"/>
        </w:rPr>
        <w:sectPr>
          <w:pgSz w:w="15840" w:h="12240" w:orient="landscape"/>
          <w:pgMar w:header="0" w:footer="1012"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rect style="position:absolute;margin-left:78.839996pt;margin-top:403.320007pt;width:9.24pt;height:9.24pt;mso-position-horizontal-relative:page;mso-position-vertical-relative:page;z-index:-270940160" filled="false" stroked="true" strokeweight=".72pt" strokecolor="#000000">
            <v:stroke dashstyle="solid"/>
            <w10:wrap type="none"/>
          </v:rect>
        </w:pict>
      </w:r>
      <w:r>
        <w:rPr/>
        <w:pict>
          <v:rect style="position:absolute;margin-left:198.119995pt;margin-top:403.320007pt;width:9.24pt;height:9.24pt;mso-position-horizontal-relative:page;mso-position-vertical-relative:page;z-index:-270939136" filled="false" stroked="true" strokeweight=".72pt" strokecolor="#000000">
            <v:stroke dashstyle="solid"/>
            <w10:wrap type="none"/>
          </v:rect>
        </w:pict>
      </w:r>
      <w:r>
        <w:rPr/>
        <w:pict>
          <v:rect style="position:absolute;margin-left:78.839996pt;margin-top:471pt;width:9.24pt;height:9.24pt;mso-position-horizontal-relative:page;mso-position-vertical-relative:page;z-index:-270938112" filled="false" stroked="true" strokeweight=".72pt" strokecolor="#000000">
            <v:stroke dashstyle="solid"/>
            <w10:wrap type="none"/>
          </v:rect>
        </w:pict>
      </w:r>
      <w:r>
        <w:rPr/>
        <w:pict>
          <v:rect style="position:absolute;margin-left:95.639999pt;margin-top:471pt;width:9.24pt;height:9.24pt;mso-position-horizontal-relative:page;mso-position-vertical-relative:page;z-index:-270937088" filled="false" stroked="true" strokeweight=".72pt" strokecolor="#000000">
            <v:stroke dashstyle="solid"/>
            <w10:wrap type="none"/>
          </v:rect>
        </w:pict>
      </w:r>
      <w:r>
        <w:rPr/>
        <w:pict>
          <v:rect style="position:absolute;margin-left:113.639999pt;margin-top:471pt;width:9.24pt;height:9.24pt;mso-position-horizontal-relative:page;mso-position-vertical-relative:page;z-index:-270936064" filled="false" stroked="true" strokeweight=".72pt" strokecolor="#000000">
            <v:stroke dashstyle="solid"/>
            <w10:wrap type="none"/>
          </v:rect>
        </w:pict>
      </w:r>
      <w:r>
        <w:rPr/>
        <w:pict>
          <v:rect style="position:absolute;margin-left:78.839996pt;margin-top:494.040009pt;width:9.24pt;height:9.24pt;mso-position-horizontal-relative:page;mso-position-vertical-relative:page;z-index:-270935040" filled="false" stroked="true" strokeweight=".72pt" strokecolor="#000000">
            <v:stroke dashstyle="solid"/>
            <w10:wrap type="none"/>
          </v:rect>
        </w:pict>
      </w:r>
      <w:r>
        <w:rPr/>
        <w:pict>
          <v:rect style="position:absolute;margin-left:95.639999pt;margin-top:494.040009pt;width:9.24pt;height:9.24pt;mso-position-horizontal-relative:page;mso-position-vertical-relative:page;z-index:-270934016" filled="false" stroked="true" strokeweight=".72pt" strokecolor="#000000">
            <v:stroke dashstyle="solid"/>
            <w10:wrap type="none"/>
          </v:rect>
        </w:pict>
      </w:r>
      <w:r>
        <w:rPr/>
        <w:pict>
          <v:rect style="position:absolute;margin-left:113.639999pt;margin-top:494.040009pt;width:9.24pt;height:9.24pt;mso-position-horizontal-relative:page;mso-position-vertical-relative:page;z-index:-270932992" filled="false" stroked="true" strokeweight=".72pt" strokecolor="#000000">
            <v:stroke dashstyle="solid"/>
            <w10:wrap type="none"/>
          </v:rect>
        </w:pict>
      </w: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0" w:right="2957" w:firstLine="0"/>
        <w:jc w:val="center"/>
        <w:rPr>
          <w:b/>
          <w:sz w:val="28"/>
        </w:rPr>
      </w:pPr>
      <w:r>
        <w:rPr>
          <w:b/>
          <w:sz w:val="28"/>
        </w:rPr>
        <w:t>Adult Family Home Resident Interview</w:t>
      </w:r>
    </w:p>
    <w:p>
      <w:pPr>
        <w:pStyle w:val="BodyText"/>
        <w:rPr>
          <w:b/>
          <w:sz w:val="20"/>
        </w:rPr>
      </w:pPr>
    </w:p>
    <w:p>
      <w:pPr>
        <w:pStyle w:val="BodyText"/>
        <w:spacing w:before="1"/>
        <w:rPr>
          <w:b/>
          <w:sz w:val="13"/>
        </w:rPr>
      </w:pPr>
      <w:r>
        <w:rPr/>
        <w:drawing>
          <wp:anchor distT="0" distB="0" distL="0" distR="0" allowOverlap="1" layoutInCell="1" locked="0" behindDoc="0" simplePos="0" relativeHeight="325">
            <wp:simplePos x="0" y="0"/>
            <wp:positionH relativeFrom="page">
              <wp:posOffset>987425</wp:posOffset>
            </wp:positionH>
            <wp:positionV relativeFrom="paragraph">
              <wp:posOffset>129594</wp:posOffset>
            </wp:positionV>
            <wp:extent cx="957597" cy="327660"/>
            <wp:effectExtent l="0" t="0" r="0" b="0"/>
            <wp:wrapTopAndBottom/>
            <wp:docPr id="25" name="image24.png"/>
            <wp:cNvGraphicFramePr>
              <a:graphicFrameLocks noChangeAspect="1"/>
            </wp:cNvGraphicFramePr>
            <a:graphic>
              <a:graphicData uri="http://schemas.openxmlformats.org/drawingml/2006/picture">
                <pic:pic>
                  <pic:nvPicPr>
                    <pic:cNvPr id="26" name="image24.png"/>
                    <pic:cNvPicPr/>
                  </pic:nvPicPr>
                  <pic:blipFill>
                    <a:blip r:embed="rId183" cstate="print"/>
                    <a:stretch>
                      <a:fillRect/>
                    </a:stretch>
                  </pic:blipFill>
                  <pic:spPr>
                    <a:xfrm>
                      <a:off x="0" y="0"/>
                      <a:ext cx="957597" cy="327660"/>
                    </a:xfrm>
                    <a:prstGeom prst="rect">
                      <a:avLst/>
                    </a:prstGeom>
                  </pic:spPr>
                </pic:pic>
              </a:graphicData>
            </a:graphic>
          </wp:anchor>
        </w:drawing>
      </w:r>
      <w:r>
        <w:rPr/>
        <w:pict>
          <v:shape style="position:absolute;margin-left:170.880005pt;margin-top:9.964297pt;width:441.15pt;height:77.9pt;mso-position-horizontal-relative:page;mso-position-vertical-relative:paragraph;z-index:-251658240;mso-wrap-distance-left:0;mso-wrap-distance-right:0"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851"/>
                    <w:gridCol w:w="2964"/>
                  </w:tblGrid>
                  <w:tr>
                    <w:trPr>
                      <w:trHeight w:val="511" w:hRule="atLeast"/>
                    </w:trPr>
                    <w:tc>
                      <w:tcPr>
                        <w:tcW w:w="5851" w:type="dxa"/>
                      </w:tcPr>
                      <w:p>
                        <w:pPr>
                          <w:pStyle w:val="TableParagraph"/>
                          <w:spacing w:before="18"/>
                          <w:ind w:left="115"/>
                          <w:rPr>
                            <w:rFonts w:ascii="Arial" w:hAnsi="Arial"/>
                            <w:sz w:val="16"/>
                          </w:rPr>
                        </w:pPr>
                        <w:r>
                          <w:rPr>
                            <w:rFonts w:ascii="Arial" w:hAnsi="Arial"/>
                            <w:sz w:val="16"/>
                          </w:rPr>
                          <w:t>ADULT FAMILY HOME’S (AFH) NAME</w:t>
                        </w:r>
                      </w:p>
                    </w:tc>
                    <w:tc>
                      <w:tcPr>
                        <w:tcW w:w="2964" w:type="dxa"/>
                      </w:tcPr>
                      <w:p>
                        <w:pPr>
                          <w:pStyle w:val="TableParagraph"/>
                          <w:spacing w:before="18"/>
                          <w:ind w:left="112"/>
                          <w:rPr>
                            <w:rFonts w:ascii="Arial"/>
                            <w:sz w:val="16"/>
                          </w:rPr>
                        </w:pPr>
                        <w:r>
                          <w:rPr>
                            <w:rFonts w:ascii="Arial"/>
                            <w:sz w:val="16"/>
                          </w:rPr>
                          <w:t>LICENSE NUMBER</w:t>
                        </w:r>
                      </w:p>
                    </w:tc>
                  </w:tr>
                  <w:tr>
                    <w:trPr>
                      <w:trHeight w:val="513" w:hRule="atLeast"/>
                    </w:trPr>
                    <w:tc>
                      <w:tcPr>
                        <w:tcW w:w="5851" w:type="dxa"/>
                      </w:tcPr>
                      <w:p>
                        <w:pPr>
                          <w:pStyle w:val="TableParagraph"/>
                          <w:spacing w:before="18"/>
                          <w:ind w:left="115"/>
                          <w:rPr>
                            <w:rFonts w:ascii="Arial" w:hAnsi="Arial"/>
                            <w:sz w:val="16"/>
                          </w:rPr>
                        </w:pPr>
                        <w:r>
                          <w:rPr>
                            <w:rFonts w:ascii="Arial" w:hAnsi="Arial"/>
                            <w:sz w:val="16"/>
                          </w:rPr>
                          <w:t>PROVIDER / LICENSEE’S NAME</w:t>
                        </w:r>
                      </w:p>
                    </w:tc>
                    <w:tc>
                      <w:tcPr>
                        <w:tcW w:w="2964" w:type="dxa"/>
                      </w:tcPr>
                      <w:p>
                        <w:pPr>
                          <w:pStyle w:val="TableParagraph"/>
                          <w:spacing w:before="18"/>
                          <w:ind w:left="112"/>
                          <w:rPr>
                            <w:rFonts w:ascii="Arial"/>
                            <w:sz w:val="16"/>
                          </w:rPr>
                        </w:pPr>
                        <w:r>
                          <w:rPr>
                            <w:rFonts w:ascii="Arial"/>
                            <w:sz w:val="16"/>
                          </w:rPr>
                          <w:t>INSPECTION DATE</w:t>
                        </w:r>
                      </w:p>
                    </w:tc>
                  </w:tr>
                  <w:tr>
                    <w:trPr>
                      <w:trHeight w:val="513" w:hRule="atLeast"/>
                    </w:trPr>
                    <w:tc>
                      <w:tcPr>
                        <w:tcW w:w="8815" w:type="dxa"/>
                        <w:gridSpan w:val="2"/>
                      </w:tcPr>
                      <w:p>
                        <w:pPr>
                          <w:pStyle w:val="TableParagraph"/>
                          <w:spacing w:before="18"/>
                          <w:ind w:left="115"/>
                          <w:rPr>
                            <w:rFonts w:ascii="Arial" w:hAnsi="Arial"/>
                            <w:sz w:val="16"/>
                          </w:rPr>
                        </w:pPr>
                        <w:r>
                          <w:rPr>
                            <w:rFonts w:ascii="Arial" w:hAnsi="Arial"/>
                            <w:sz w:val="16"/>
                          </w:rPr>
                          <w:t>LICENSOR’S NAME</w:t>
                        </w:r>
                      </w:p>
                    </w:tc>
                  </w:tr>
                </w:tbl>
                <w:p>
                  <w:pPr>
                    <w:pStyle w:val="BodyText"/>
                  </w:pPr>
                </w:p>
              </w:txbxContent>
            </v:textbox>
            <w10:wrap type="topAndBottom"/>
          </v:shape>
        </w:pict>
      </w:r>
    </w:p>
    <w:p>
      <w:pPr>
        <w:spacing w:line="183" w:lineRule="exact" w:before="89"/>
        <w:ind w:left="756" w:right="2957" w:firstLine="0"/>
        <w:jc w:val="center"/>
        <w:rPr>
          <w:rFonts w:ascii="Arial"/>
          <w:sz w:val="16"/>
        </w:rPr>
      </w:pPr>
      <w:r>
        <w:rPr>
          <w:rFonts w:ascii="Arial"/>
          <w:sz w:val="16"/>
        </w:rPr>
        <w:t>AGING AND LONG-TERM SUPPORT ADMINISTRATION (ALTSA)</w:t>
      </w:r>
    </w:p>
    <w:p>
      <w:pPr>
        <w:tabs>
          <w:tab w:pos="4844" w:val="left" w:leader="none"/>
          <w:tab w:pos="5619" w:val="left" w:leader="none"/>
        </w:tabs>
        <w:spacing w:before="0"/>
        <w:ind w:left="3011" w:right="5215" w:firstLine="0"/>
        <w:jc w:val="center"/>
        <w:rPr>
          <w:rFonts w:ascii="Arial"/>
          <w:b/>
          <w:sz w:val="28"/>
        </w:rPr>
      </w:pPr>
      <w:r>
        <w:rPr/>
        <w:pict>
          <v:rect style="position:absolute;margin-left:347.76001pt;margin-top:21.05184pt;width:9.24pt;height:9.24pt;mso-position-horizontal-relative:page;mso-position-vertical-relative:paragraph;z-index:-270944256" filled="false" stroked="true" strokeweight=".72pt" strokecolor="#000000">
            <v:stroke dashstyle="solid"/>
            <w10:wrap type="none"/>
          </v:rect>
        </w:pict>
      </w:r>
      <w:r>
        <w:rPr/>
        <w:pict>
          <v:rect style="position:absolute;margin-left:386.519989pt;margin-top:21.05184pt;width:9.24pt;height:9.24pt;mso-position-horizontal-relative:page;mso-position-vertical-relative:paragraph;z-index:-270943232" filled="false" stroked="true" strokeweight=".72pt" strokecolor="#000000">
            <v:stroke dashstyle="solid"/>
            <w10:wrap type="none"/>
          </v:rect>
        </w:pict>
      </w:r>
      <w:r>
        <w:rPr/>
        <w:pict>
          <v:group style="position:absolute;margin-left:78.480003pt;margin-top:114.29184pt;width:10pt;height:44.55pt;mso-position-horizontal-relative:page;mso-position-vertical-relative:paragraph;z-index:-270942208" coordorigin="1570,2286" coordsize="200,891">
            <v:rect style="position:absolute;left:1576;top:2293;width:185;height:185" filled="false" stroked="true" strokeweight=".72pt" strokecolor="#000000">
              <v:stroke dashstyle="solid"/>
            </v:rect>
            <v:rect style="position:absolute;left:1576;top:2523;width:185;height:185" filled="false" stroked="true" strokeweight=".72pt" strokecolor="#000000">
              <v:stroke dashstyle="solid"/>
            </v:rect>
            <v:rect style="position:absolute;left:1576;top:2753;width:185;height:185" filled="false" stroked="true" strokeweight=".72pt" strokecolor="#000000">
              <v:stroke dashstyle="solid"/>
            </v:rect>
            <v:rect style="position:absolute;left:1576;top:2984;width:185;height:185" filled="false" stroked="true" strokeweight=".72pt" strokecolor="#000000">
              <v:stroke dashstyle="solid"/>
            </v:rect>
            <w10:wrap type="none"/>
          </v:group>
        </w:pict>
      </w:r>
      <w:r>
        <w:rPr/>
        <w:pict>
          <v:rect style="position:absolute;margin-left:353.279999pt;margin-top:116.571838pt;width:9.24pt;height:9.24pt;mso-position-horizontal-relative:page;mso-position-vertical-relative:paragraph;z-index:-270941184" filled="false" stroked="true" strokeweight=".72pt" strokecolor="#000000">
            <v:stroke dashstyle="solid"/>
            <w10:wrap type="none"/>
          </v:rect>
        </w:pict>
      </w:r>
      <w:r>
        <w:rPr>
          <w:rFonts w:ascii="Arial"/>
          <w:b/>
          <w:sz w:val="28"/>
        </w:rPr>
        <w:t>Comprehensive Resident / Representative</w:t>
      </w:r>
      <w:r>
        <w:rPr>
          <w:rFonts w:ascii="Arial"/>
          <w:b/>
          <w:spacing w:val="-27"/>
          <w:sz w:val="28"/>
        </w:rPr>
        <w:t> </w:t>
      </w:r>
      <w:r>
        <w:rPr>
          <w:rFonts w:ascii="Arial"/>
          <w:b/>
          <w:sz w:val="28"/>
        </w:rPr>
        <w:t>Interview (Resident:</w:t>
        <w:tab/>
        <w:t>1</w:t>
        <w:tab/>
        <w:t>2)</w:t>
      </w:r>
    </w:p>
    <w:p>
      <w:pPr>
        <w:pStyle w:val="BodyText"/>
        <w:spacing w:before="5"/>
        <w:rPr>
          <w:rFonts w:ascii="Arial"/>
          <w:b/>
          <w:sz w:val="5"/>
        </w:rPr>
      </w:pPr>
    </w:p>
    <w:tbl>
      <w:tblPr>
        <w:tblW w:w="0" w:type="auto"/>
        <w:jc w:val="left"/>
        <w:tblInd w:w="10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980"/>
        <w:gridCol w:w="3511"/>
        <w:gridCol w:w="2160"/>
        <w:gridCol w:w="3144"/>
      </w:tblGrid>
      <w:tr>
        <w:trPr>
          <w:trHeight w:val="513" w:hRule="atLeast"/>
        </w:trPr>
        <w:tc>
          <w:tcPr>
            <w:tcW w:w="1980" w:type="dxa"/>
          </w:tcPr>
          <w:p>
            <w:pPr>
              <w:pStyle w:val="TableParagraph"/>
              <w:spacing w:before="18"/>
              <w:ind w:left="115"/>
              <w:rPr>
                <w:rFonts w:ascii="Arial" w:hAnsi="Arial"/>
                <w:sz w:val="16"/>
              </w:rPr>
            </w:pPr>
            <w:r>
              <w:rPr>
                <w:rFonts w:ascii="Arial" w:hAnsi="Arial"/>
                <w:sz w:val="16"/>
              </w:rPr>
              <w:t>RESIDENT’S NUMBER</w:t>
            </w:r>
          </w:p>
        </w:tc>
        <w:tc>
          <w:tcPr>
            <w:tcW w:w="8815" w:type="dxa"/>
            <w:gridSpan w:val="3"/>
          </w:tcPr>
          <w:p>
            <w:pPr>
              <w:pStyle w:val="TableParagraph"/>
              <w:spacing w:before="18"/>
              <w:ind w:left="115"/>
              <w:rPr>
                <w:rFonts w:ascii="Arial" w:hAnsi="Arial"/>
                <w:sz w:val="16"/>
              </w:rPr>
            </w:pPr>
            <w:r>
              <w:rPr>
                <w:rFonts w:ascii="Arial" w:hAnsi="Arial"/>
                <w:sz w:val="16"/>
              </w:rPr>
              <w:t>RESIDENT’S NAME</w:t>
            </w:r>
          </w:p>
        </w:tc>
      </w:tr>
      <w:tr>
        <w:trPr>
          <w:trHeight w:val="513" w:hRule="atLeast"/>
        </w:trPr>
        <w:tc>
          <w:tcPr>
            <w:tcW w:w="7651" w:type="dxa"/>
            <w:gridSpan w:val="3"/>
          </w:tcPr>
          <w:p>
            <w:pPr>
              <w:pStyle w:val="TableParagraph"/>
              <w:spacing w:before="18"/>
              <w:ind w:left="115"/>
              <w:rPr>
                <w:rFonts w:ascii="Arial" w:hAnsi="Arial"/>
                <w:sz w:val="16"/>
              </w:rPr>
            </w:pPr>
            <w:r>
              <w:rPr>
                <w:rFonts w:ascii="Arial" w:hAnsi="Arial"/>
                <w:sz w:val="16"/>
              </w:rPr>
              <w:t>REPRESENTATIVE’S NAME</w:t>
            </w:r>
          </w:p>
        </w:tc>
        <w:tc>
          <w:tcPr>
            <w:tcW w:w="3144" w:type="dxa"/>
          </w:tcPr>
          <w:p>
            <w:pPr>
              <w:pStyle w:val="TableParagraph"/>
              <w:spacing w:before="18"/>
              <w:ind w:left="112"/>
              <w:rPr>
                <w:rFonts w:ascii="Arial"/>
                <w:sz w:val="16"/>
              </w:rPr>
            </w:pPr>
            <w:r>
              <w:rPr>
                <w:rFonts w:ascii="Arial"/>
                <w:sz w:val="16"/>
              </w:rPr>
              <w:t>TELEPHONE NUMBER (AREA CODE)</w:t>
            </w:r>
          </w:p>
        </w:tc>
      </w:tr>
      <w:tr>
        <w:trPr>
          <w:trHeight w:val="479" w:hRule="atLeast"/>
        </w:trPr>
        <w:tc>
          <w:tcPr>
            <w:tcW w:w="10795" w:type="dxa"/>
            <w:gridSpan w:val="4"/>
            <w:shd w:val="clear" w:color="auto" w:fill="DEEAF6"/>
          </w:tcPr>
          <w:p>
            <w:pPr>
              <w:pStyle w:val="TableParagraph"/>
              <w:spacing w:line="230" w:lineRule="atLeast" w:before="16"/>
              <w:ind w:left="115" w:right="236"/>
              <w:rPr>
                <w:rFonts w:ascii="Arial"/>
                <w:b/>
                <w:sz w:val="20"/>
              </w:rPr>
            </w:pPr>
            <w:r>
              <w:rPr>
                <w:rFonts w:ascii="Arial"/>
                <w:b/>
                <w:sz w:val="20"/>
              </w:rPr>
              <w:t>Introductory Questions: First determine if the resident is interviewable. Indicate the question asked by checking the corresponding box.</w:t>
            </w:r>
          </w:p>
        </w:tc>
      </w:tr>
      <w:tr>
        <w:trPr>
          <w:trHeight w:val="1228" w:hRule="atLeast"/>
        </w:trPr>
        <w:tc>
          <w:tcPr>
            <w:tcW w:w="5491" w:type="dxa"/>
            <w:gridSpan w:val="2"/>
          </w:tcPr>
          <w:p>
            <w:pPr>
              <w:pStyle w:val="TableParagraph"/>
              <w:spacing w:before="38"/>
              <w:ind w:left="539" w:right="1098"/>
              <w:rPr>
                <w:rFonts w:ascii="Arial"/>
                <w:sz w:val="20"/>
              </w:rPr>
            </w:pPr>
            <w:r>
              <w:rPr>
                <w:rFonts w:ascii="Arial"/>
                <w:sz w:val="20"/>
              </w:rPr>
              <w:t>What is the best part about living here? How long have you lived here?</w:t>
            </w:r>
          </w:p>
          <w:p>
            <w:pPr>
              <w:pStyle w:val="TableParagraph"/>
              <w:ind w:left="539"/>
              <w:rPr>
                <w:rFonts w:ascii="Arial"/>
                <w:sz w:val="20"/>
              </w:rPr>
            </w:pPr>
            <w:r>
              <w:rPr>
                <w:rFonts w:ascii="Arial"/>
                <w:sz w:val="20"/>
              </w:rPr>
              <w:t>Are you from around here?</w:t>
            </w:r>
          </w:p>
          <w:p>
            <w:pPr>
              <w:pStyle w:val="TableParagraph"/>
              <w:spacing w:before="1"/>
              <w:ind w:left="539" w:right="257"/>
              <w:rPr>
                <w:rFonts w:ascii="Arial"/>
                <w:sz w:val="20"/>
              </w:rPr>
            </w:pPr>
            <w:r>
              <w:rPr>
                <w:rFonts w:ascii="Arial"/>
                <w:sz w:val="20"/>
              </w:rPr>
              <w:t>If you could change one thing about living here, what would it be?</w:t>
            </w:r>
          </w:p>
        </w:tc>
        <w:tc>
          <w:tcPr>
            <w:tcW w:w="5304" w:type="dxa"/>
            <w:gridSpan w:val="2"/>
          </w:tcPr>
          <w:p>
            <w:pPr>
              <w:pStyle w:val="TableParagraph"/>
              <w:spacing w:before="76"/>
              <w:ind w:left="537"/>
              <w:rPr>
                <w:rFonts w:ascii="Arial"/>
                <w:sz w:val="20"/>
              </w:rPr>
            </w:pPr>
            <w:r>
              <w:rPr>
                <w:rFonts w:ascii="Arial"/>
                <w:sz w:val="20"/>
              </w:rPr>
              <w:t>Other question (write it out):</w:t>
            </w:r>
          </w:p>
        </w:tc>
      </w:tr>
      <w:tr>
        <w:trPr>
          <w:trHeight w:val="494" w:hRule="atLeast"/>
        </w:trPr>
        <w:tc>
          <w:tcPr>
            <w:tcW w:w="10795" w:type="dxa"/>
            <w:gridSpan w:val="4"/>
          </w:tcPr>
          <w:p>
            <w:pPr>
              <w:pStyle w:val="TableParagraph"/>
              <w:spacing w:line="184" w:lineRule="exact" w:before="18"/>
              <w:ind w:left="115"/>
              <w:rPr>
                <w:rFonts w:ascii="Arial"/>
                <w:sz w:val="16"/>
              </w:rPr>
            </w:pPr>
            <w:r>
              <w:rPr>
                <w:rFonts w:ascii="Arial"/>
                <w:sz w:val="16"/>
              </w:rPr>
              <w:t>SELECT ONE</w:t>
            </w:r>
          </w:p>
          <w:p>
            <w:pPr>
              <w:pStyle w:val="TableParagraph"/>
              <w:tabs>
                <w:tab w:pos="2841" w:val="left" w:leader="none"/>
              </w:tabs>
              <w:spacing w:line="230" w:lineRule="exact"/>
              <w:ind w:left="455"/>
              <w:rPr>
                <w:rFonts w:ascii="Arial"/>
                <w:b/>
                <w:sz w:val="20"/>
              </w:rPr>
            </w:pPr>
            <w:r>
              <w:rPr>
                <w:rFonts w:ascii="Arial"/>
                <w:b/>
                <w:sz w:val="20"/>
              </w:rPr>
              <w:t>Resident</w:t>
            </w:r>
            <w:r>
              <w:rPr>
                <w:rFonts w:ascii="Arial"/>
                <w:b/>
                <w:spacing w:val="-4"/>
                <w:sz w:val="20"/>
              </w:rPr>
              <w:t> </w:t>
            </w:r>
            <w:r>
              <w:rPr>
                <w:rFonts w:ascii="Arial"/>
                <w:b/>
                <w:sz w:val="20"/>
              </w:rPr>
              <w:t>Interview</w:t>
              <w:tab/>
              <w:t>Representative</w:t>
            </w:r>
            <w:r>
              <w:rPr>
                <w:rFonts w:ascii="Arial"/>
                <w:b/>
                <w:spacing w:val="-1"/>
                <w:sz w:val="20"/>
              </w:rPr>
              <w:t> </w:t>
            </w:r>
            <w:r>
              <w:rPr>
                <w:rFonts w:ascii="Arial"/>
                <w:b/>
                <w:sz w:val="20"/>
              </w:rPr>
              <w:t>Interview</w:t>
            </w:r>
          </w:p>
        </w:tc>
      </w:tr>
      <w:tr>
        <w:trPr>
          <w:trHeight w:val="810" w:hRule="atLeast"/>
        </w:trPr>
        <w:tc>
          <w:tcPr>
            <w:tcW w:w="10795" w:type="dxa"/>
            <w:gridSpan w:val="4"/>
          </w:tcPr>
          <w:p>
            <w:pPr>
              <w:pStyle w:val="TableParagraph"/>
              <w:spacing w:line="242" w:lineRule="auto" w:before="57"/>
              <w:ind w:left="475" w:right="175" w:hanging="361"/>
              <w:jc w:val="both"/>
              <w:rPr>
                <w:rFonts w:ascii="Arial" w:hAnsi="Arial"/>
                <w:sz w:val="20"/>
              </w:rPr>
            </w:pPr>
            <w:r>
              <w:rPr>
                <w:rFonts w:ascii="Arial" w:hAnsi="Arial"/>
                <w:sz w:val="20"/>
              </w:rPr>
              <w:t>L. The following are </w:t>
            </w:r>
            <w:r>
              <w:rPr>
                <w:rFonts w:ascii="Arial" w:hAnsi="Arial"/>
                <w:b/>
                <w:sz w:val="20"/>
              </w:rPr>
              <w:t>REQUIRED </w:t>
            </w:r>
            <w:r>
              <w:rPr>
                <w:rFonts w:ascii="Arial" w:hAnsi="Arial"/>
                <w:sz w:val="20"/>
              </w:rPr>
              <w:t>questions and </w:t>
            </w:r>
            <w:r>
              <w:rPr>
                <w:rFonts w:ascii="Arial" w:hAnsi="Arial"/>
                <w:b/>
                <w:sz w:val="20"/>
              </w:rPr>
              <w:t>MUST </w:t>
            </w:r>
            <w:r>
              <w:rPr>
                <w:rFonts w:ascii="Arial" w:hAnsi="Arial"/>
                <w:sz w:val="20"/>
              </w:rPr>
              <w:t>be asked during the interview. Check “Y,” if the answer is yes; check “N,” if the answer is no and document the interviewee’s response; or check “D” if the interviewee declined to answer the question.</w:t>
            </w:r>
          </w:p>
        </w:tc>
      </w:tr>
      <w:tr>
        <w:trPr>
          <w:trHeight w:val="1394" w:hRule="atLeast"/>
        </w:trPr>
        <w:tc>
          <w:tcPr>
            <w:tcW w:w="5491" w:type="dxa"/>
            <w:gridSpan w:val="2"/>
          </w:tcPr>
          <w:p>
            <w:pPr>
              <w:pStyle w:val="TableParagraph"/>
              <w:tabs>
                <w:tab w:pos="508" w:val="left" w:leader="none"/>
                <w:tab w:pos="868" w:val="left" w:leader="none"/>
              </w:tabs>
              <w:spacing w:line="184" w:lineRule="exact" w:before="58"/>
              <w:ind w:left="153"/>
              <w:rPr>
                <w:rFonts w:ascii="Arial"/>
                <w:sz w:val="16"/>
              </w:rPr>
            </w:pPr>
            <w:r>
              <w:rPr>
                <w:rFonts w:ascii="Arial"/>
                <w:sz w:val="16"/>
              </w:rPr>
              <w:t>Y</w:t>
              <w:tab/>
              <w:t>N</w:t>
              <w:tab/>
              <w:t>D</w:t>
            </w:r>
          </w:p>
          <w:p>
            <w:pPr>
              <w:pStyle w:val="TableParagraph"/>
              <w:ind w:left="1195"/>
              <w:rPr>
                <w:rFonts w:ascii="Arial"/>
                <w:sz w:val="20"/>
              </w:rPr>
            </w:pPr>
            <w:r>
              <w:rPr>
                <w:rFonts w:ascii="Arial"/>
                <w:sz w:val="20"/>
              </w:rPr>
              <w:t>Can you make choices about the care and services you receive here at the home?</w:t>
            </w:r>
          </w:p>
          <w:p>
            <w:pPr>
              <w:pStyle w:val="TableParagraph"/>
              <w:spacing w:line="230" w:lineRule="atLeast" w:before="1"/>
              <w:ind w:left="1195" w:right="413"/>
              <w:rPr>
                <w:rFonts w:ascii="Arial"/>
                <w:sz w:val="20"/>
              </w:rPr>
            </w:pPr>
            <w:r>
              <w:rPr>
                <w:rFonts w:ascii="Arial"/>
                <w:sz w:val="20"/>
              </w:rPr>
              <w:t>If you have a roommate, were you informed you would have a roommate? Could you change roommates if you wanted to?</w:t>
            </w:r>
          </w:p>
        </w:tc>
        <w:tc>
          <w:tcPr>
            <w:tcW w:w="5304" w:type="dxa"/>
            <w:gridSpan w:val="2"/>
          </w:tcPr>
          <w:p>
            <w:pPr>
              <w:pStyle w:val="TableParagraph"/>
              <w:rPr>
                <w:rFonts w:ascii="Times New Roman"/>
                <w:sz w:val="20"/>
              </w:rPr>
            </w:pPr>
          </w:p>
        </w:tc>
      </w:tr>
    </w:tbl>
    <w:p>
      <w:pPr>
        <w:pStyle w:val="BodyText"/>
        <w:rPr>
          <w:rFonts w:ascii="Arial"/>
          <w:b/>
          <w:sz w:val="20"/>
        </w:rPr>
      </w:pPr>
    </w:p>
    <w:p>
      <w:pPr>
        <w:pStyle w:val="BodyText"/>
        <w:spacing w:before="2"/>
        <w:rPr>
          <w:rFonts w:ascii="Arial"/>
          <w:b/>
          <w:sz w:val="11"/>
        </w:rPr>
      </w:pPr>
      <w:r>
        <w:rPr/>
        <w:pict>
          <v:shape style="position:absolute;margin-left:70.559998pt;margin-top:8.673805pt;width:650.9pt;height:.1pt;mso-position-horizontal-relative:page;mso-position-vertical-relative:paragraph;z-index:-251324416;mso-wrap-distance-left:0;mso-wrap-distance-right:0" coordorigin="1411,173" coordsize="13018,0" path="m1411,173l14429,173e" filled="false" stroked="true" strokeweight=".481pt" strokecolor="#d9d9d9">
            <v:path arrowok="t"/>
            <v:stroke dashstyle="solid"/>
            <w10:wrap type="topAndBottom"/>
          </v:shape>
        </w:pict>
      </w:r>
    </w:p>
    <w:p>
      <w:pPr>
        <w:spacing w:after="0"/>
        <w:rPr>
          <w:rFonts w:ascii="Arial"/>
          <w:sz w:val="11"/>
        </w:rPr>
        <w:sectPr>
          <w:pgSz w:w="15840" w:h="12240" w:orient="landscape"/>
          <w:pgMar w:header="0" w:footer="1012"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group style="position:absolute;margin-left:78.480003pt;margin-top:355.559998pt;width:10pt;height:21.4pt;mso-position-horizontal-relative:page;mso-position-vertical-relative:page;z-index:-270921728" coordorigin="1570,7111" coordsize="200,428">
            <v:rect style="position:absolute;left:1576;top:7118;width:185;height:185" filled="false" stroked="true" strokeweight=".72pt" strokecolor="#000000">
              <v:stroke dashstyle="solid"/>
            </v:rect>
            <v:rect style="position:absolute;left:1576;top:7346;width:185;height:185" filled="false" stroked="true" strokeweight=".72pt" strokecolor="#000000">
              <v:stroke dashstyle="solid"/>
            </v:rect>
            <w10:wrap type="none"/>
          </v:group>
        </w:pict>
      </w:r>
      <w:r>
        <w:rPr/>
        <w:pict>
          <v:group style="position:absolute;margin-left:352.920013pt;margin-top:355.440002pt;width:10pt;height:22pt;mso-position-horizontal-relative:page;mso-position-vertical-relative:page;z-index:-270920704" coordorigin="7058,7109" coordsize="200,440">
            <v:rect style="position:absolute;left:7065;top:7116;width:185;height:185" filled="false" stroked="true" strokeweight=".72pt" strokecolor="#000000">
              <v:stroke dashstyle="solid"/>
            </v:rect>
            <v:rect style="position:absolute;left:7065;top:7356;width:185;height:185" filled="false" stroked="true" strokeweight=".72pt" strokecolor="#000000">
              <v:stroke dashstyle="solid"/>
            </v:rect>
            <w10:wrap type="none"/>
          </v:group>
        </w:pict>
      </w:r>
      <w:r>
        <w:rPr/>
        <w:pict>
          <v:rect style="position:absolute;margin-left:78.839996pt;margin-top:397.559998pt;width:9.24pt;height:9.24pt;mso-position-horizontal-relative:page;mso-position-vertical-relative:page;z-index:-270919680" filled="false" stroked="true" strokeweight=".72pt" strokecolor="#000000">
            <v:stroke dashstyle="solid"/>
            <w10:wrap type="none"/>
          </v:rect>
        </w:pict>
      </w:r>
      <w:r>
        <w:rPr/>
        <w:pict>
          <v:rect style="position:absolute;margin-left:78.839996pt;margin-top:420.600006pt;width:9.24pt;height:9.24pt;mso-position-horizontal-relative:page;mso-position-vertical-relative:page;z-index:-270918656" filled="false" stroked="true" strokeweight=".72pt" strokecolor="#000000">
            <v:stroke dashstyle="solid"/>
            <w10:wrap type="none"/>
          </v:rect>
        </w:pict>
      </w:r>
      <w:r>
        <w:rPr/>
        <w:pict>
          <v:rect style="position:absolute;margin-left:353.279999pt;margin-top:397.440002pt;width:9.24pt;height:9.24pt;mso-position-horizontal-relative:page;mso-position-vertical-relative:page;z-index:-270917632" filled="false" stroked="true" strokeweight=".72pt" strokecolor="#000000">
            <v:stroke dashstyle="solid"/>
            <w10:wrap type="none"/>
          </v:rect>
        </w:pict>
      </w:r>
      <w:r>
        <w:rPr/>
        <w:pict>
          <v:rect style="position:absolute;margin-left:353.279999pt;margin-top:423.23999pt;width:9.24pt;height:9.24pt;mso-position-horizontal-relative:page;mso-position-vertical-relative:page;z-index:-270916608" filled="false" stroked="true" strokeweight=".72pt" strokecolor="#000000">
            <v:stroke dashstyle="solid"/>
            <w10:wrap type="none"/>
          </v:rect>
        </w:pict>
      </w:r>
      <w:r>
        <w:rPr/>
        <w:pict>
          <v:group style="position:absolute;margin-left:78.480003pt;margin-top:461.880005pt;width:10pt;height:21.5pt;mso-position-horizontal-relative:page;mso-position-vertical-relative:page;z-index:-270915584" coordorigin="1570,9238" coordsize="200,430">
            <v:rect style="position:absolute;left:1576;top:9244;width:185;height:185" filled="false" stroked="true" strokeweight=".72pt" strokecolor="#000000">
              <v:stroke dashstyle="solid"/>
            </v:rect>
            <v:rect style="position:absolute;left:1576;top:9475;width:185;height:185" filled="false" stroked="true" strokeweight=".72pt" strokecolor="#000000">
              <v:stroke dashstyle="solid"/>
            </v:rect>
            <w10:wrap type="none"/>
          </v:group>
        </w:pict>
      </w:r>
      <w:r>
        <w:rPr/>
        <w:pict>
          <v:group style="position:absolute;margin-left:352.920013pt;margin-top:461.640015pt;width:10pt;height:22pt;mso-position-horizontal-relative:page;mso-position-vertical-relative:page;z-index:-270914560" coordorigin="7058,9233" coordsize="200,440">
            <v:rect style="position:absolute;left:7065;top:9240;width:185;height:185" filled="false" stroked="true" strokeweight=".72pt" strokecolor="#000000">
              <v:stroke dashstyle="solid"/>
            </v:rect>
            <v:rect style="position:absolute;left:7065;top:9480;width:185;height:185" filled="false" stroked="true" strokeweight=".72pt" strokecolor="#000000">
              <v:stroke dashstyle="solid"/>
            </v:rect>
            <w10:wrap type="none"/>
          </v:group>
        </w:pict>
      </w:r>
      <w:r>
        <w:rPr/>
        <w:pict>
          <v:group style="position:absolute;margin-left:78.480003pt;margin-top:516pt;width:10pt;height:21.5pt;mso-position-horizontal-relative:page;mso-position-vertical-relative:page;z-index:-270913536" coordorigin="1570,10320" coordsize="200,430">
            <v:rect style="position:absolute;left:1576;top:10327;width:185;height:185" filled="false" stroked="true" strokeweight=".72pt" strokecolor="#000000">
              <v:stroke dashstyle="solid"/>
            </v:rect>
            <v:rect style="position:absolute;left:1576;top:10557;width:185;height:185" filled="false" stroked="true" strokeweight=".72pt" strokecolor="#000000">
              <v:stroke dashstyle="solid"/>
            </v:rect>
            <w10:wrap type="none"/>
          </v:group>
        </w:pict>
      </w:r>
      <w:r>
        <w:rPr/>
        <w:pict>
          <v:rect style="position:absolute;margin-left:353.279999pt;margin-top:517.200012pt;width:9.24pt;height:9.24pt;mso-position-horizontal-relative:page;mso-position-vertical-relative:page;z-index:-270912512" filled="false" stroked="true" strokeweight=".72pt" strokecolor="#000000">
            <v:stroke dashstyle="solid"/>
            <w10:wrap type="none"/>
          </v:rect>
        </w:pict>
      </w:r>
      <w:r>
        <w:rPr/>
        <w:t>Washington State</w:t>
      </w:r>
    </w:p>
    <w:p>
      <w:pPr>
        <w:pStyle w:val="Heading8"/>
      </w:pPr>
      <w:r>
        <w:rPr/>
        <w:t>Revised Transition Plan for New HCBS Rules</w:t>
      </w:r>
    </w:p>
    <w:p>
      <w:pPr>
        <w:pStyle w:val="Heading8"/>
      </w:pPr>
      <w:r>
        <w:rPr/>
        <w:t>To be Submitted to CMS in May 2017—Posted for Public Comment on March 15,</w:t>
      </w:r>
      <w:r>
        <w:rPr>
          <w:spacing w:val="-31"/>
        </w:rPr>
        <w:t> </w:t>
      </w:r>
      <w:r>
        <w:rPr/>
        <w:t>2017</w:t>
      </w:r>
    </w:p>
    <w:p>
      <w:pPr>
        <w:pStyle w:val="BodyText"/>
        <w:spacing w:before="5"/>
        <w:rPr>
          <w:b/>
          <w:sz w:val="13"/>
        </w:rPr>
      </w:pPr>
      <w:r>
        <w:rPr/>
        <w:drawing>
          <wp:anchor distT="0" distB="0" distL="0" distR="0" allowOverlap="1" layoutInCell="1" locked="0" behindDoc="0" simplePos="0" relativeHeight="339">
            <wp:simplePos x="0" y="0"/>
            <wp:positionH relativeFrom="page">
              <wp:posOffset>987425</wp:posOffset>
            </wp:positionH>
            <wp:positionV relativeFrom="paragraph">
              <wp:posOffset>132293</wp:posOffset>
            </wp:positionV>
            <wp:extent cx="953494" cy="327660"/>
            <wp:effectExtent l="0" t="0" r="0" b="0"/>
            <wp:wrapTopAndBottom/>
            <wp:docPr id="27" name="image24.png"/>
            <wp:cNvGraphicFramePr>
              <a:graphicFrameLocks noChangeAspect="1"/>
            </wp:cNvGraphicFramePr>
            <a:graphic>
              <a:graphicData uri="http://schemas.openxmlformats.org/drawingml/2006/picture">
                <pic:pic>
                  <pic:nvPicPr>
                    <pic:cNvPr id="28" name="image24.png"/>
                    <pic:cNvPicPr/>
                  </pic:nvPicPr>
                  <pic:blipFill>
                    <a:blip r:embed="rId183" cstate="print"/>
                    <a:stretch>
                      <a:fillRect/>
                    </a:stretch>
                  </pic:blipFill>
                  <pic:spPr>
                    <a:xfrm>
                      <a:off x="0" y="0"/>
                      <a:ext cx="953494" cy="327660"/>
                    </a:xfrm>
                    <a:prstGeom prst="rect">
                      <a:avLst/>
                    </a:prstGeom>
                  </pic:spPr>
                </pic:pic>
              </a:graphicData>
            </a:graphic>
          </wp:anchor>
        </w:drawing>
      </w:r>
      <w:r>
        <w:rPr/>
        <w:pict>
          <v:shape style="position:absolute;margin-left:170.880005pt;margin-top:10.166797pt;width:441.15pt;height:77.9pt;mso-position-horizontal-relative:page;mso-position-vertical-relative:paragraph;z-index:-251658240;mso-wrap-distance-left:0;mso-wrap-distance-right:0"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851"/>
                    <w:gridCol w:w="2964"/>
                  </w:tblGrid>
                  <w:tr>
                    <w:trPr>
                      <w:trHeight w:val="513" w:hRule="atLeast"/>
                    </w:trPr>
                    <w:tc>
                      <w:tcPr>
                        <w:tcW w:w="5851" w:type="dxa"/>
                      </w:tcPr>
                      <w:p>
                        <w:pPr>
                          <w:pStyle w:val="TableParagraph"/>
                          <w:spacing w:before="18"/>
                          <w:ind w:left="115"/>
                          <w:rPr>
                            <w:rFonts w:ascii="Arial" w:hAnsi="Arial"/>
                            <w:sz w:val="16"/>
                          </w:rPr>
                        </w:pPr>
                        <w:r>
                          <w:rPr>
                            <w:rFonts w:ascii="Arial" w:hAnsi="Arial"/>
                            <w:sz w:val="16"/>
                          </w:rPr>
                          <w:t>ADULT FAMILY HOME’S (AFH) NAME</w:t>
                        </w:r>
                      </w:p>
                    </w:tc>
                    <w:tc>
                      <w:tcPr>
                        <w:tcW w:w="2964" w:type="dxa"/>
                      </w:tcPr>
                      <w:p>
                        <w:pPr>
                          <w:pStyle w:val="TableParagraph"/>
                          <w:spacing w:before="18"/>
                          <w:ind w:left="112"/>
                          <w:rPr>
                            <w:rFonts w:ascii="Arial"/>
                            <w:sz w:val="16"/>
                          </w:rPr>
                        </w:pPr>
                        <w:r>
                          <w:rPr>
                            <w:rFonts w:ascii="Arial"/>
                            <w:sz w:val="16"/>
                          </w:rPr>
                          <w:t>LICENSE NUMBER</w:t>
                        </w:r>
                      </w:p>
                    </w:tc>
                  </w:tr>
                  <w:tr>
                    <w:trPr>
                      <w:trHeight w:val="513" w:hRule="atLeast"/>
                    </w:trPr>
                    <w:tc>
                      <w:tcPr>
                        <w:tcW w:w="5851" w:type="dxa"/>
                      </w:tcPr>
                      <w:p>
                        <w:pPr>
                          <w:pStyle w:val="TableParagraph"/>
                          <w:spacing w:before="18"/>
                          <w:ind w:left="115"/>
                          <w:rPr>
                            <w:rFonts w:ascii="Arial" w:hAnsi="Arial"/>
                            <w:sz w:val="16"/>
                          </w:rPr>
                        </w:pPr>
                        <w:r>
                          <w:rPr>
                            <w:rFonts w:ascii="Arial" w:hAnsi="Arial"/>
                            <w:sz w:val="16"/>
                          </w:rPr>
                          <w:t>PROVIDER / LICENSEE’S NAME</w:t>
                        </w:r>
                      </w:p>
                    </w:tc>
                    <w:tc>
                      <w:tcPr>
                        <w:tcW w:w="2964" w:type="dxa"/>
                      </w:tcPr>
                      <w:p>
                        <w:pPr>
                          <w:pStyle w:val="TableParagraph"/>
                          <w:spacing w:before="18"/>
                          <w:ind w:left="112"/>
                          <w:rPr>
                            <w:rFonts w:ascii="Arial"/>
                            <w:sz w:val="16"/>
                          </w:rPr>
                        </w:pPr>
                        <w:r>
                          <w:rPr>
                            <w:rFonts w:ascii="Arial"/>
                            <w:sz w:val="16"/>
                          </w:rPr>
                          <w:t>INSPECTION DATE</w:t>
                        </w:r>
                      </w:p>
                    </w:tc>
                  </w:tr>
                  <w:tr>
                    <w:trPr>
                      <w:trHeight w:val="511" w:hRule="atLeast"/>
                    </w:trPr>
                    <w:tc>
                      <w:tcPr>
                        <w:tcW w:w="8815" w:type="dxa"/>
                        <w:gridSpan w:val="2"/>
                      </w:tcPr>
                      <w:p>
                        <w:pPr>
                          <w:pStyle w:val="TableParagraph"/>
                          <w:spacing w:before="18"/>
                          <w:ind w:left="115"/>
                          <w:rPr>
                            <w:rFonts w:ascii="Arial" w:hAnsi="Arial"/>
                            <w:sz w:val="16"/>
                          </w:rPr>
                        </w:pPr>
                        <w:r>
                          <w:rPr>
                            <w:rFonts w:ascii="Arial" w:hAnsi="Arial"/>
                            <w:sz w:val="16"/>
                          </w:rPr>
                          <w:t>LICENSOR’S NAME</w:t>
                        </w:r>
                      </w:p>
                    </w:tc>
                  </w:tr>
                </w:tbl>
                <w:p>
                  <w:pPr>
                    <w:pStyle w:val="BodyText"/>
                  </w:pPr>
                </w:p>
              </w:txbxContent>
            </v:textbox>
            <w10:wrap type="topAndBottom"/>
          </v:shape>
        </w:pict>
      </w:r>
    </w:p>
    <w:p>
      <w:pPr>
        <w:spacing w:line="183" w:lineRule="exact" w:before="89"/>
        <w:ind w:left="756" w:right="2957" w:firstLine="0"/>
        <w:jc w:val="center"/>
        <w:rPr>
          <w:rFonts w:ascii="Arial"/>
          <w:sz w:val="16"/>
        </w:rPr>
      </w:pPr>
      <w:r>
        <w:rPr>
          <w:rFonts w:ascii="Arial"/>
          <w:sz w:val="16"/>
        </w:rPr>
        <w:t>AGING AND LONG-TERM SUPPORT ADMINISTRATION</w:t>
      </w:r>
      <w:r>
        <w:rPr>
          <w:rFonts w:ascii="Arial"/>
          <w:spacing w:val="-21"/>
          <w:sz w:val="16"/>
        </w:rPr>
        <w:t> </w:t>
      </w:r>
      <w:r>
        <w:rPr>
          <w:rFonts w:ascii="Arial"/>
          <w:sz w:val="16"/>
        </w:rPr>
        <w:t>(ALTSA)</w:t>
      </w:r>
    </w:p>
    <w:p>
      <w:pPr>
        <w:tabs>
          <w:tab w:pos="4844" w:val="left" w:leader="none"/>
          <w:tab w:pos="5619" w:val="left" w:leader="none"/>
        </w:tabs>
        <w:spacing w:before="0"/>
        <w:ind w:left="3011" w:right="5215" w:firstLine="0"/>
        <w:jc w:val="center"/>
        <w:rPr>
          <w:rFonts w:ascii="Arial"/>
          <w:b/>
          <w:sz w:val="28"/>
        </w:rPr>
      </w:pPr>
      <w:r>
        <w:rPr/>
        <w:pict>
          <v:rect style="position:absolute;margin-left:347.76001pt;margin-top:21.051825pt;width:9.24pt;height:9.24pt;mso-position-horizontal-relative:page;mso-position-vertical-relative:paragraph;z-index:-270929920" filled="false" stroked="true" strokeweight=".72pt" strokecolor="#000000">
            <v:stroke dashstyle="solid"/>
            <w10:wrap type="none"/>
          </v:rect>
        </w:pict>
      </w:r>
      <w:r>
        <w:rPr/>
        <w:pict>
          <v:rect style="position:absolute;margin-left:386.519989pt;margin-top:21.051825pt;width:9.24pt;height:9.24pt;mso-position-horizontal-relative:page;mso-position-vertical-relative:paragraph;z-index:-270928896" filled="false" stroked="true" strokeweight=".72pt" strokecolor="#000000">
            <v:stroke dashstyle="solid"/>
            <w10:wrap type="none"/>
          </v:rect>
        </w:pict>
      </w:r>
      <w:r>
        <w:rPr/>
        <w:pict>
          <v:rect style="position:absolute;margin-left:78.839996pt;margin-top:36.651825pt;width:9.24pt;height:9.24pt;mso-position-horizontal-relative:page;mso-position-vertical-relative:paragraph;z-index:-270927872" filled="false" stroked="true" strokeweight=".72pt" strokecolor="#000000">
            <v:stroke dashstyle="solid"/>
            <w10:wrap type="none"/>
          </v:rect>
        </w:pict>
      </w:r>
      <w:r>
        <w:rPr/>
        <w:pict>
          <v:rect style="position:absolute;margin-left:95.639999pt;margin-top:36.651825pt;width:9.24pt;height:9.24pt;mso-position-horizontal-relative:page;mso-position-vertical-relative:paragraph;z-index:-270926848" filled="false" stroked="true" strokeweight=".72pt" strokecolor="#000000">
            <v:stroke dashstyle="solid"/>
            <w10:wrap type="none"/>
          </v:rect>
        </w:pict>
      </w:r>
      <w:r>
        <w:rPr/>
        <w:pict>
          <v:rect style="position:absolute;margin-left:113.639999pt;margin-top:36.651825pt;width:9.24pt;height:9.24pt;mso-position-horizontal-relative:page;mso-position-vertical-relative:paragraph;z-index:-270925824" filled="false" stroked="true" strokeweight=".72pt" strokecolor="#000000">
            <v:stroke dashstyle="solid"/>
            <w10:wrap type="none"/>
          </v:rect>
        </w:pict>
      </w:r>
      <w:r>
        <w:rPr/>
        <w:pict>
          <v:group style="position:absolute;margin-left:78.480003pt;margin-top:59.331825pt;width:10pt;height:55.95pt;mso-position-horizontal-relative:page;mso-position-vertical-relative:paragraph;z-index:-270924800" coordorigin="1570,1187" coordsize="200,1119">
            <v:rect style="position:absolute;left:1576;top:1193;width:185;height:185" filled="false" stroked="true" strokeweight=".72pt" strokecolor="#000000">
              <v:stroke dashstyle="solid"/>
            </v:rect>
            <v:rect style="position:absolute;left:1576;top:1424;width:185;height:185" filled="false" stroked="true" strokeweight=".72pt" strokecolor="#000000">
              <v:stroke dashstyle="solid"/>
            </v:rect>
            <v:rect style="position:absolute;left:1576;top:1654;width:185;height:185" filled="false" stroked="true" strokeweight=".72pt" strokecolor="#000000">
              <v:stroke dashstyle="solid"/>
            </v:rect>
            <v:rect style="position:absolute;left:1576;top:1885;width:185;height:185" filled="false" stroked="true" strokeweight=".72pt" strokecolor="#000000">
              <v:stroke dashstyle="solid"/>
            </v:rect>
            <v:rect style="position:absolute;left:1576;top:2113;width:185;height:185" filled="false" stroked="true" strokeweight=".72pt" strokecolor="#000000">
              <v:stroke dashstyle="solid"/>
            </v:rect>
            <w10:wrap type="none"/>
          </v:group>
        </w:pict>
      </w:r>
      <w:r>
        <w:rPr/>
        <w:pict>
          <v:group style="position:absolute;margin-left:95.279999pt;margin-top:59.331825pt;width:10pt;height:55.95pt;mso-position-horizontal-relative:page;mso-position-vertical-relative:paragraph;z-index:-270923776" coordorigin="1906,1187" coordsize="200,1119">
            <v:rect style="position:absolute;left:1912;top:1193;width:185;height:185" filled="false" stroked="true" strokeweight=".72pt" strokecolor="#000000">
              <v:stroke dashstyle="solid"/>
            </v:rect>
            <v:rect style="position:absolute;left:1912;top:1424;width:185;height:185" filled="false" stroked="true" strokeweight=".72pt" strokecolor="#000000">
              <v:stroke dashstyle="solid"/>
            </v:rect>
            <v:rect style="position:absolute;left:1912;top:1654;width:185;height:185" filled="false" stroked="true" strokeweight=".72pt" strokecolor="#000000">
              <v:stroke dashstyle="solid"/>
            </v:rect>
            <v:rect style="position:absolute;left:1912;top:1885;width:185;height:185" filled="false" stroked="true" strokeweight=".72pt" strokecolor="#000000">
              <v:stroke dashstyle="solid"/>
            </v:rect>
            <v:rect style="position:absolute;left:1912;top:2113;width:185;height:185" filled="false" stroked="true" strokeweight=".72pt" strokecolor="#000000">
              <v:stroke dashstyle="solid"/>
            </v:rect>
            <w10:wrap type="none"/>
          </v:group>
        </w:pict>
      </w:r>
      <w:r>
        <w:rPr/>
        <w:pict>
          <v:group style="position:absolute;margin-left:113.279999pt;margin-top:59.331825pt;width:10pt;height:55.95pt;mso-position-horizontal-relative:page;mso-position-vertical-relative:paragraph;z-index:-270922752" coordorigin="2266,1187" coordsize="200,1119">
            <v:rect style="position:absolute;left:2272;top:1193;width:185;height:185" filled="false" stroked="true" strokeweight=".72pt" strokecolor="#000000">
              <v:stroke dashstyle="solid"/>
            </v:rect>
            <v:rect style="position:absolute;left:2272;top:1424;width:185;height:185" filled="false" stroked="true" strokeweight=".72pt" strokecolor="#000000">
              <v:stroke dashstyle="solid"/>
            </v:rect>
            <v:rect style="position:absolute;left:2272;top:1654;width:185;height:185" filled="false" stroked="true" strokeweight=".72pt" strokecolor="#000000">
              <v:stroke dashstyle="solid"/>
            </v:rect>
            <v:rect style="position:absolute;left:2272;top:1885;width:185;height:185" filled="false" stroked="true" strokeweight=".72pt" strokecolor="#000000">
              <v:stroke dashstyle="solid"/>
            </v:rect>
            <v:rect style="position:absolute;left:2272;top:2113;width:185;height:185" filled="false" stroked="true" strokeweight=".72pt" strokecolor="#000000">
              <v:stroke dashstyle="solid"/>
            </v:rect>
            <w10:wrap type="none"/>
          </v:group>
        </w:pict>
      </w:r>
      <w:r>
        <w:rPr>
          <w:rFonts w:ascii="Arial"/>
          <w:b/>
          <w:sz w:val="28"/>
        </w:rPr>
        <w:t>Comprehensive Resident / Representative</w:t>
      </w:r>
      <w:r>
        <w:rPr>
          <w:rFonts w:ascii="Arial"/>
          <w:b/>
          <w:spacing w:val="-27"/>
          <w:sz w:val="28"/>
        </w:rPr>
        <w:t> </w:t>
      </w:r>
      <w:r>
        <w:rPr>
          <w:rFonts w:ascii="Arial"/>
          <w:b/>
          <w:sz w:val="28"/>
        </w:rPr>
        <w:t>Interview (Resident:</w:t>
        <w:tab/>
        <w:t>1</w:t>
        <w:tab/>
        <w:t>2)</w:t>
      </w:r>
    </w:p>
    <w:p>
      <w:pPr>
        <w:pStyle w:val="BodyText"/>
        <w:spacing w:before="7"/>
        <w:rPr>
          <w:rFonts w:ascii="Arial"/>
          <w:b/>
          <w:sz w:val="5"/>
        </w:rPr>
      </w:pPr>
    </w:p>
    <w:tbl>
      <w:tblPr>
        <w:tblW w:w="0" w:type="auto"/>
        <w:jc w:val="left"/>
        <w:tblInd w:w="10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491"/>
        <w:gridCol w:w="5304"/>
      </w:tblGrid>
      <w:tr>
        <w:trPr>
          <w:trHeight w:val="1648" w:hRule="atLeast"/>
        </w:trPr>
        <w:tc>
          <w:tcPr>
            <w:tcW w:w="5491" w:type="dxa"/>
          </w:tcPr>
          <w:p>
            <w:pPr>
              <w:pStyle w:val="TableParagraph"/>
              <w:ind w:left="1195"/>
              <w:rPr>
                <w:rFonts w:ascii="Arial"/>
                <w:sz w:val="20"/>
              </w:rPr>
            </w:pPr>
            <w:r>
              <w:rPr>
                <w:rFonts w:ascii="Arial"/>
                <w:sz w:val="20"/>
              </w:rPr>
              <w:t>Do you have an opportunity to participate in community activities?</w:t>
            </w:r>
          </w:p>
          <w:p>
            <w:pPr>
              <w:pStyle w:val="TableParagraph"/>
              <w:ind w:left="1195"/>
              <w:rPr>
                <w:rFonts w:ascii="Arial"/>
                <w:sz w:val="20"/>
              </w:rPr>
            </w:pPr>
            <w:r>
              <w:rPr>
                <w:rFonts w:ascii="Arial"/>
                <w:sz w:val="20"/>
              </w:rPr>
              <w:t>Can you choose who visits you and when?</w:t>
            </w:r>
          </w:p>
          <w:p>
            <w:pPr>
              <w:pStyle w:val="TableParagraph"/>
              <w:ind w:left="1195"/>
              <w:rPr>
                <w:rFonts w:ascii="Arial"/>
                <w:sz w:val="20"/>
              </w:rPr>
            </w:pPr>
            <w:r>
              <w:rPr>
                <w:rFonts w:ascii="Arial"/>
                <w:sz w:val="20"/>
              </w:rPr>
              <w:t>Do they pay attention to what you have to say? Can you choose to lock your door?</w:t>
            </w:r>
          </w:p>
          <w:p>
            <w:pPr>
              <w:pStyle w:val="TableParagraph"/>
              <w:spacing w:line="229" w:lineRule="exact"/>
              <w:ind w:left="1195"/>
              <w:rPr>
                <w:rFonts w:ascii="Arial"/>
                <w:sz w:val="20"/>
              </w:rPr>
            </w:pPr>
            <w:r>
              <w:rPr>
                <w:rFonts w:ascii="Arial"/>
                <w:sz w:val="20"/>
              </w:rPr>
              <w:t>Do you have access to food anytime?</w:t>
            </w:r>
          </w:p>
          <w:p>
            <w:pPr>
              <w:pStyle w:val="TableParagraph"/>
              <w:spacing w:line="229" w:lineRule="exact"/>
              <w:ind w:left="1195"/>
              <w:rPr>
                <w:rFonts w:ascii="Arial"/>
                <w:sz w:val="20"/>
              </w:rPr>
            </w:pPr>
            <w:r>
              <w:rPr>
                <w:rFonts w:ascii="Arial"/>
                <w:sz w:val="20"/>
              </w:rPr>
              <w:t>Do you receive services in the community?</w:t>
            </w:r>
          </w:p>
        </w:tc>
        <w:tc>
          <w:tcPr>
            <w:tcW w:w="5304" w:type="dxa"/>
          </w:tcPr>
          <w:p>
            <w:pPr>
              <w:pStyle w:val="TableParagraph"/>
              <w:rPr>
                <w:rFonts w:ascii="Times New Roman"/>
                <w:sz w:val="20"/>
              </w:rPr>
            </w:pPr>
          </w:p>
        </w:tc>
      </w:tr>
      <w:tr>
        <w:trPr>
          <w:trHeight w:val="811" w:hRule="atLeast"/>
        </w:trPr>
        <w:tc>
          <w:tcPr>
            <w:tcW w:w="10795" w:type="dxa"/>
            <w:gridSpan w:val="2"/>
          </w:tcPr>
          <w:p>
            <w:pPr>
              <w:pStyle w:val="TableParagraph"/>
              <w:spacing w:line="242" w:lineRule="auto" w:before="57"/>
              <w:ind w:left="115" w:right="236"/>
              <w:rPr>
                <w:rFonts w:ascii="Arial"/>
                <w:sz w:val="20"/>
              </w:rPr>
            </w:pPr>
            <w:r>
              <w:rPr>
                <w:rFonts w:ascii="Arial"/>
                <w:b/>
                <w:sz w:val="20"/>
              </w:rPr>
              <w:t>INSTRUCTIONS: </w:t>
            </w:r>
            <w:r>
              <w:rPr>
                <w:rFonts w:ascii="Arial"/>
                <w:sz w:val="20"/>
              </w:rPr>
              <w:t>Your interview must address each category. Check the question asked or </w:t>
            </w:r>
            <w:r>
              <w:rPr>
                <w:rFonts w:ascii="Arial"/>
                <w:b/>
                <w:sz w:val="20"/>
                <w:u w:val="thick"/>
              </w:rPr>
              <w:t>write your own</w:t>
            </w:r>
            <w:r>
              <w:rPr>
                <w:rFonts w:ascii="Arial"/>
                <w:b/>
                <w:sz w:val="20"/>
              </w:rPr>
              <w:t> </w:t>
            </w:r>
            <w:r>
              <w:rPr>
                <w:rFonts w:ascii="Arial"/>
                <w:b/>
                <w:sz w:val="20"/>
                <w:u w:val="thick"/>
              </w:rPr>
              <w:t>question</w:t>
            </w:r>
            <w:r>
              <w:rPr>
                <w:rFonts w:ascii="Arial"/>
                <w:sz w:val="20"/>
              </w:rPr>
              <w:t>. If you are concerned about the answers, please investigate further. If resident is not interviewable, modify questions for Representative interview.</w:t>
            </w:r>
          </w:p>
        </w:tc>
      </w:tr>
      <w:tr>
        <w:trPr>
          <w:trHeight w:val="283" w:hRule="atLeast"/>
        </w:trPr>
        <w:tc>
          <w:tcPr>
            <w:tcW w:w="10795" w:type="dxa"/>
            <w:gridSpan w:val="2"/>
            <w:shd w:val="clear" w:color="auto" w:fill="DEEAF6"/>
          </w:tcPr>
          <w:p>
            <w:pPr>
              <w:pStyle w:val="TableParagraph"/>
              <w:spacing w:before="33"/>
              <w:ind w:left="115"/>
              <w:rPr>
                <w:rFonts w:ascii="Arial"/>
                <w:b/>
                <w:sz w:val="20"/>
              </w:rPr>
            </w:pPr>
            <w:r>
              <w:rPr>
                <w:rFonts w:ascii="Arial"/>
                <w:b/>
                <w:sz w:val="20"/>
              </w:rPr>
              <w:t>M. Care and Service Needs</w:t>
            </w:r>
          </w:p>
        </w:tc>
      </w:tr>
      <w:tr>
        <w:trPr>
          <w:trHeight w:val="539" w:hRule="atLeast"/>
        </w:trPr>
        <w:tc>
          <w:tcPr>
            <w:tcW w:w="5491" w:type="dxa"/>
          </w:tcPr>
          <w:p>
            <w:pPr>
              <w:pStyle w:val="TableParagraph"/>
              <w:spacing w:before="38"/>
              <w:ind w:left="539" w:right="1058"/>
              <w:rPr>
                <w:rFonts w:ascii="Arial"/>
                <w:sz w:val="20"/>
              </w:rPr>
            </w:pPr>
            <w:r>
              <w:rPr>
                <w:rFonts w:ascii="Arial"/>
                <w:sz w:val="20"/>
              </w:rPr>
              <w:t>What kind of help do you get from the staff? How well does staff meet your needs?</w:t>
            </w:r>
          </w:p>
        </w:tc>
        <w:tc>
          <w:tcPr>
            <w:tcW w:w="5304" w:type="dxa"/>
          </w:tcPr>
          <w:p>
            <w:pPr>
              <w:pStyle w:val="TableParagraph"/>
              <w:spacing w:before="35"/>
              <w:ind w:left="537"/>
              <w:rPr>
                <w:rFonts w:ascii="Arial"/>
                <w:sz w:val="20"/>
              </w:rPr>
            </w:pPr>
            <w:r>
              <w:rPr>
                <w:rFonts w:ascii="Arial"/>
                <w:sz w:val="20"/>
              </w:rPr>
              <w:t>Other:</w:t>
            </w:r>
          </w:p>
          <w:p>
            <w:pPr>
              <w:pStyle w:val="TableParagraph"/>
              <w:spacing w:before="10"/>
              <w:ind w:left="537"/>
              <w:rPr>
                <w:rFonts w:ascii="Arial"/>
                <w:sz w:val="20"/>
              </w:rPr>
            </w:pPr>
            <w:r>
              <w:rPr>
                <w:rFonts w:ascii="Arial"/>
                <w:sz w:val="20"/>
              </w:rPr>
              <w:t>No Concerns</w:t>
            </w:r>
          </w:p>
        </w:tc>
      </w:tr>
      <w:tr>
        <w:trPr>
          <w:trHeight w:val="283" w:hRule="atLeast"/>
        </w:trPr>
        <w:tc>
          <w:tcPr>
            <w:tcW w:w="10795" w:type="dxa"/>
            <w:gridSpan w:val="2"/>
            <w:shd w:val="clear" w:color="auto" w:fill="DEEAF6"/>
          </w:tcPr>
          <w:p>
            <w:pPr>
              <w:pStyle w:val="TableParagraph"/>
              <w:tabs>
                <w:tab w:pos="530" w:val="left" w:leader="none"/>
              </w:tabs>
              <w:spacing w:before="33"/>
              <w:ind w:left="115"/>
              <w:rPr>
                <w:rFonts w:ascii="Arial"/>
                <w:b/>
                <w:sz w:val="20"/>
              </w:rPr>
            </w:pPr>
            <w:r>
              <w:rPr>
                <w:rFonts w:ascii="Arial"/>
                <w:b/>
                <w:sz w:val="20"/>
              </w:rPr>
              <w:t>N.</w:t>
              <w:tab/>
              <w:t>Support of Personal Relationships (if the resident has family or significant</w:t>
            </w:r>
            <w:r>
              <w:rPr>
                <w:rFonts w:ascii="Arial"/>
                <w:b/>
                <w:spacing w:val="-9"/>
                <w:sz w:val="20"/>
              </w:rPr>
              <w:t> </w:t>
            </w:r>
            <w:r>
              <w:rPr>
                <w:rFonts w:ascii="Arial"/>
                <w:b/>
                <w:sz w:val="20"/>
              </w:rPr>
              <w:t>others)</w:t>
            </w:r>
          </w:p>
        </w:tc>
      </w:tr>
      <w:tr>
        <w:trPr>
          <w:trHeight w:val="998" w:hRule="atLeast"/>
        </w:trPr>
        <w:tc>
          <w:tcPr>
            <w:tcW w:w="5491" w:type="dxa"/>
          </w:tcPr>
          <w:p>
            <w:pPr>
              <w:pStyle w:val="TableParagraph"/>
              <w:spacing w:before="38"/>
              <w:ind w:left="539"/>
              <w:rPr>
                <w:rFonts w:ascii="Arial"/>
                <w:sz w:val="20"/>
              </w:rPr>
            </w:pPr>
            <w:r>
              <w:rPr>
                <w:rFonts w:ascii="Arial"/>
                <w:sz w:val="20"/>
              </w:rPr>
              <w:t>Does staff give you time and space to meet / visit with friends and family who come to visit?</w:t>
            </w:r>
          </w:p>
          <w:p>
            <w:pPr>
              <w:pStyle w:val="TableParagraph"/>
              <w:ind w:left="539" w:right="457"/>
              <w:rPr>
                <w:rFonts w:ascii="Arial"/>
                <w:sz w:val="20"/>
              </w:rPr>
            </w:pPr>
            <w:r>
              <w:rPr>
                <w:rFonts w:ascii="Arial"/>
                <w:sz w:val="20"/>
              </w:rPr>
              <w:t>Are you able to make personal phone calls without being overheard?</w:t>
            </w:r>
          </w:p>
        </w:tc>
        <w:tc>
          <w:tcPr>
            <w:tcW w:w="5304" w:type="dxa"/>
          </w:tcPr>
          <w:p>
            <w:pPr>
              <w:pStyle w:val="TableParagraph"/>
              <w:spacing w:before="35"/>
              <w:ind w:left="537"/>
              <w:rPr>
                <w:rFonts w:ascii="Arial"/>
                <w:sz w:val="20"/>
              </w:rPr>
            </w:pPr>
            <w:r>
              <w:rPr>
                <w:rFonts w:ascii="Arial"/>
                <w:sz w:val="20"/>
              </w:rPr>
              <w:t>Other:</w:t>
            </w:r>
          </w:p>
          <w:p>
            <w:pPr>
              <w:pStyle w:val="TableParagraph"/>
              <w:spacing w:before="10"/>
              <w:rPr>
                <w:rFonts w:ascii="Arial"/>
                <w:b/>
                <w:sz w:val="24"/>
              </w:rPr>
            </w:pPr>
          </w:p>
          <w:p>
            <w:pPr>
              <w:pStyle w:val="TableParagraph"/>
              <w:ind w:left="537"/>
              <w:rPr>
                <w:rFonts w:ascii="Arial"/>
                <w:sz w:val="20"/>
              </w:rPr>
            </w:pPr>
            <w:r>
              <w:rPr>
                <w:rFonts w:ascii="Arial"/>
                <w:sz w:val="20"/>
              </w:rPr>
              <w:t>No Concerns</w:t>
            </w:r>
          </w:p>
        </w:tc>
      </w:tr>
      <w:tr>
        <w:trPr>
          <w:trHeight w:val="282" w:hRule="atLeast"/>
        </w:trPr>
        <w:tc>
          <w:tcPr>
            <w:tcW w:w="10795" w:type="dxa"/>
            <w:gridSpan w:val="2"/>
            <w:shd w:val="clear" w:color="auto" w:fill="DEEAF6"/>
          </w:tcPr>
          <w:p>
            <w:pPr>
              <w:pStyle w:val="TableParagraph"/>
              <w:tabs>
                <w:tab w:pos="530" w:val="left" w:leader="none"/>
              </w:tabs>
              <w:spacing w:before="33"/>
              <w:ind w:left="115"/>
              <w:rPr>
                <w:rFonts w:ascii="Arial"/>
                <w:b/>
                <w:sz w:val="20"/>
              </w:rPr>
            </w:pPr>
            <w:r>
              <w:rPr>
                <w:rFonts w:ascii="Arial"/>
                <w:b/>
                <w:sz w:val="20"/>
              </w:rPr>
              <w:t>O.</w:t>
              <w:tab/>
              <w:t>Reasonable House</w:t>
            </w:r>
            <w:r>
              <w:rPr>
                <w:rFonts w:ascii="Arial"/>
                <w:b/>
                <w:spacing w:val="-3"/>
                <w:sz w:val="20"/>
              </w:rPr>
              <w:t> </w:t>
            </w:r>
            <w:r>
              <w:rPr>
                <w:rFonts w:ascii="Arial"/>
                <w:b/>
                <w:sz w:val="20"/>
              </w:rPr>
              <w:t>Rules</w:t>
            </w:r>
          </w:p>
        </w:tc>
      </w:tr>
      <w:tr>
        <w:trPr>
          <w:trHeight w:val="770" w:hRule="atLeast"/>
        </w:trPr>
        <w:tc>
          <w:tcPr>
            <w:tcW w:w="5491" w:type="dxa"/>
          </w:tcPr>
          <w:p>
            <w:pPr>
              <w:pStyle w:val="TableParagraph"/>
              <w:spacing w:before="40"/>
              <w:ind w:left="539"/>
              <w:rPr>
                <w:rFonts w:ascii="Arial"/>
                <w:sz w:val="20"/>
              </w:rPr>
            </w:pPr>
            <w:r>
              <w:rPr>
                <w:rFonts w:ascii="Arial"/>
                <w:sz w:val="20"/>
              </w:rPr>
              <w:t>Tell me about the rules of the house.</w:t>
            </w:r>
          </w:p>
          <w:p>
            <w:pPr>
              <w:pStyle w:val="TableParagraph"/>
              <w:ind w:left="539" w:right="123"/>
              <w:rPr>
                <w:rFonts w:ascii="Arial"/>
                <w:sz w:val="20"/>
              </w:rPr>
            </w:pPr>
            <w:r>
              <w:rPr>
                <w:rFonts w:ascii="Arial"/>
                <w:sz w:val="20"/>
              </w:rPr>
              <w:t>What have you been told about how long you can stay up at night or how early or late you can watch TV?</w:t>
            </w:r>
          </w:p>
        </w:tc>
        <w:tc>
          <w:tcPr>
            <w:tcW w:w="5304" w:type="dxa"/>
          </w:tcPr>
          <w:p>
            <w:pPr>
              <w:pStyle w:val="TableParagraph"/>
              <w:spacing w:before="35"/>
              <w:ind w:left="537"/>
              <w:rPr>
                <w:rFonts w:ascii="Arial"/>
                <w:sz w:val="20"/>
              </w:rPr>
            </w:pPr>
            <w:r>
              <w:rPr>
                <w:rFonts w:ascii="Arial"/>
                <w:sz w:val="20"/>
              </w:rPr>
              <w:t>Other:</w:t>
            </w:r>
          </w:p>
          <w:p>
            <w:pPr>
              <w:pStyle w:val="TableParagraph"/>
              <w:spacing w:before="10"/>
              <w:ind w:left="537"/>
              <w:rPr>
                <w:rFonts w:ascii="Arial"/>
                <w:sz w:val="20"/>
              </w:rPr>
            </w:pPr>
            <w:r>
              <w:rPr>
                <w:rFonts w:ascii="Arial"/>
                <w:sz w:val="20"/>
              </w:rPr>
              <w:t>No Concerns</w:t>
            </w:r>
          </w:p>
        </w:tc>
      </w:tr>
      <w:tr>
        <w:trPr>
          <w:trHeight w:val="283" w:hRule="atLeast"/>
        </w:trPr>
        <w:tc>
          <w:tcPr>
            <w:tcW w:w="10795" w:type="dxa"/>
            <w:gridSpan w:val="2"/>
            <w:shd w:val="clear" w:color="auto" w:fill="DEEAF6"/>
          </w:tcPr>
          <w:p>
            <w:pPr>
              <w:pStyle w:val="TableParagraph"/>
              <w:tabs>
                <w:tab w:pos="530" w:val="left" w:leader="none"/>
              </w:tabs>
              <w:spacing w:before="33"/>
              <w:ind w:left="115"/>
              <w:rPr>
                <w:rFonts w:ascii="Arial"/>
                <w:b/>
                <w:sz w:val="20"/>
              </w:rPr>
            </w:pPr>
            <w:r>
              <w:rPr>
                <w:rFonts w:ascii="Arial"/>
                <w:b/>
                <w:sz w:val="20"/>
              </w:rPr>
              <w:t>P.</w:t>
              <w:tab/>
              <w:t>Respect of Individuality, Independence, Personal Choice,</w:t>
            </w:r>
            <w:r>
              <w:rPr>
                <w:rFonts w:ascii="Arial"/>
                <w:b/>
                <w:spacing w:val="-3"/>
                <w:sz w:val="20"/>
              </w:rPr>
              <w:t> </w:t>
            </w:r>
            <w:r>
              <w:rPr>
                <w:rFonts w:ascii="Arial"/>
                <w:b/>
                <w:sz w:val="20"/>
              </w:rPr>
              <w:t>Dignity</w:t>
            </w:r>
          </w:p>
        </w:tc>
      </w:tr>
      <w:tr>
        <w:trPr>
          <w:trHeight w:val="633" w:hRule="atLeast"/>
        </w:trPr>
        <w:tc>
          <w:tcPr>
            <w:tcW w:w="5491" w:type="dxa"/>
          </w:tcPr>
          <w:p>
            <w:pPr>
              <w:pStyle w:val="TableParagraph"/>
              <w:spacing w:before="59"/>
              <w:ind w:left="539" w:right="257"/>
              <w:rPr>
                <w:rFonts w:ascii="Arial"/>
                <w:sz w:val="20"/>
              </w:rPr>
            </w:pPr>
            <w:r>
              <w:rPr>
                <w:rFonts w:ascii="Arial"/>
                <w:sz w:val="20"/>
              </w:rPr>
              <w:t>Does the staff here know about your preferences? What kinds of things do you make choices about?</w:t>
            </w:r>
          </w:p>
        </w:tc>
        <w:tc>
          <w:tcPr>
            <w:tcW w:w="5304" w:type="dxa"/>
          </w:tcPr>
          <w:p>
            <w:pPr>
              <w:pStyle w:val="TableParagraph"/>
              <w:spacing w:before="76"/>
              <w:ind w:left="537"/>
              <w:rPr>
                <w:rFonts w:ascii="Arial"/>
                <w:sz w:val="20"/>
              </w:rPr>
            </w:pPr>
            <w:r>
              <w:rPr>
                <w:rFonts w:ascii="Arial"/>
                <w:sz w:val="20"/>
              </w:rPr>
              <w:t>Other:</w:t>
            </w:r>
          </w:p>
        </w:tc>
      </w:tr>
    </w:tbl>
    <w:p>
      <w:pPr>
        <w:pStyle w:val="BodyText"/>
        <w:spacing w:before="1"/>
        <w:rPr>
          <w:rFonts w:ascii="Arial"/>
          <w:b/>
          <w:sz w:val="6"/>
        </w:rPr>
      </w:pPr>
    </w:p>
    <w:p>
      <w:pPr>
        <w:pStyle w:val="BodyText"/>
        <w:spacing w:line="20" w:lineRule="exact"/>
        <w:ind w:left="1026"/>
        <w:rPr>
          <w:rFonts w:ascii="Arial"/>
          <w:sz w:val="2"/>
        </w:rPr>
      </w:pPr>
      <w:r>
        <w:rPr>
          <w:rFonts w:ascii="Arial"/>
          <w:sz w:val="2"/>
        </w:rPr>
        <w:pict>
          <v:group style="width:650.9pt;height:.5pt;mso-position-horizontal-relative:char;mso-position-vertical-relative:line" coordorigin="0,0" coordsize="13018,10">
            <v:line style="position:absolute" from="0,5" to="13018,5" stroked="true" strokeweight=".481pt" strokecolor="#d9d9d9">
              <v:stroke dashstyle="solid"/>
            </v:line>
          </v:group>
        </w:pict>
      </w:r>
      <w:r>
        <w:rPr>
          <w:rFonts w:ascii="Arial"/>
          <w:sz w:val="2"/>
        </w:rPr>
      </w:r>
    </w:p>
    <w:p>
      <w:pPr>
        <w:spacing w:after="0" w:line="20" w:lineRule="exact"/>
        <w:rPr>
          <w:rFonts w:ascii="Arial"/>
          <w:sz w:val="2"/>
        </w:rPr>
        <w:sectPr>
          <w:pgSz w:w="15840" w:h="12240" w:orient="landscape"/>
          <w:pgMar w:header="0" w:footer="1012"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rect style="position:absolute;margin-left:78.839996pt;margin-top:317.160004pt;width:9.24pt;height:9.24pt;mso-position-horizontal-relative:page;mso-position-vertical-relative:page;z-index:-270904320" filled="false" stroked="true" strokeweight=".72pt" strokecolor="#000000">
            <v:stroke dashstyle="solid"/>
            <w10:wrap type="none"/>
          </v:rect>
        </w:pict>
      </w:r>
      <w:r>
        <w:rPr/>
        <w:pict>
          <v:rect style="position:absolute;margin-left:78.839996pt;margin-top:349.320007pt;width:9.24pt;height:9.24pt;mso-position-horizontal-relative:page;mso-position-vertical-relative:page;z-index:-270901248" filled="false" stroked="true" strokeweight=".72pt" strokecolor="#000000">
            <v:stroke dashstyle="solid"/>
            <w10:wrap type="none"/>
          </v:rect>
        </w:pict>
      </w:r>
      <w:r>
        <w:rPr/>
        <w:pict>
          <v:group style="position:absolute;margin-left:78.480003pt;margin-top:372pt;width:10pt;height:21.5pt;mso-position-horizontal-relative:page;mso-position-vertical-relative:page;z-index:-270900224" coordorigin="1570,7440" coordsize="200,430">
            <v:rect style="position:absolute;left:1576;top:7447;width:185;height:185" filled="false" stroked="true" strokeweight=".72pt" strokecolor="#000000">
              <v:stroke dashstyle="solid"/>
            </v:rect>
            <v:rect style="position:absolute;left:1576;top:7677;width:185;height:185" filled="false" stroked="true" strokeweight=".72pt" strokecolor="#000000">
              <v:stroke dashstyle="solid"/>
            </v:rect>
            <w10:wrap type="none"/>
          </v:group>
        </w:pict>
      </w:r>
      <w:r>
        <w:rPr/>
        <w:pict>
          <v:rect style="position:absolute;margin-left:353.279999pt;margin-top:350.160004pt;width:9.24pt;height:9.24pt;mso-position-horizontal-relative:page;mso-position-vertical-relative:page;z-index:-270899200" filled="false" stroked="true" strokeweight=".72pt" strokecolor="#000000">
            <v:stroke dashstyle="solid"/>
            <w10:wrap type="none"/>
          </v:rect>
        </w:pict>
      </w:r>
      <w:r>
        <w:rPr/>
        <w:pict>
          <v:rect style="position:absolute;margin-left:353.279999pt;margin-top:379.920013pt;width:9.24pt;height:9.24pt;mso-position-horizontal-relative:page;mso-position-vertical-relative:page;z-index:-270898176" filled="false" stroked="true" strokeweight=".72pt" strokecolor="#000000">
            <v:stroke dashstyle="solid"/>
            <w10:wrap type="none"/>
          </v:rect>
        </w:pict>
      </w:r>
      <w:r>
        <w:rPr/>
        <w:pict>
          <v:group style="position:absolute;margin-left:78.480003pt;margin-top:415.679993pt;width:10pt;height:21.4pt;mso-position-horizontal-relative:page;mso-position-vertical-relative:page;z-index:-270897152" coordorigin="1570,8314" coordsize="200,428">
            <v:rect style="position:absolute;left:1576;top:8320;width:185;height:185" filled="false" stroked="true" strokeweight=".72pt" strokecolor="#000000">
              <v:stroke dashstyle="solid"/>
            </v:rect>
            <v:rect style="position:absolute;left:1576;top:8548;width:185;height:185" filled="false" stroked="true" strokeweight=".72pt" strokecolor="#000000">
              <v:stroke dashstyle="solid"/>
            </v:rect>
            <w10:wrap type="none"/>
          </v:group>
        </w:pict>
      </w:r>
      <w:r>
        <w:rPr/>
        <w:pict>
          <v:rect style="position:absolute;margin-left:353.279999pt;margin-top:416.76001pt;width:9.24pt;height:9.24pt;mso-position-horizontal-relative:page;mso-position-vertical-relative:page;z-index:-270896128" filled="false" stroked="true" strokeweight=".72pt" strokecolor="#000000">
            <v:stroke dashstyle="solid"/>
            <w10:wrap type="none"/>
          </v:rect>
        </w:pict>
      </w:r>
      <w:r>
        <w:rPr/>
        <w:pict>
          <v:rect style="position:absolute;margin-left:353.279999pt;margin-top:430.679993pt;width:9.24pt;height:9.24pt;mso-position-horizontal-relative:page;mso-position-vertical-relative:page;z-index:-270895104" filled="false" stroked="true" strokeweight=".72pt" strokecolor="#000000">
            <v:stroke dashstyle="solid"/>
            <w10:wrap type="none"/>
          </v:rect>
        </w:pict>
      </w:r>
      <w:r>
        <w:rPr/>
        <w:pict>
          <v:group style="position:absolute;margin-left:78.480003pt;margin-top:459.600006pt;width:10pt;height:21.5pt;mso-position-horizontal-relative:page;mso-position-vertical-relative:page;z-index:-270894080" coordorigin="1570,9192" coordsize="200,430">
            <v:rect style="position:absolute;left:1576;top:9199;width:185;height:185" filled="false" stroked="true" strokeweight=".72pt" strokecolor="#000000">
              <v:stroke dashstyle="solid"/>
            </v:rect>
            <v:rect style="position:absolute;left:1576;top:9429;width:185;height:185" filled="false" stroked="true" strokeweight=".72pt" strokecolor="#000000">
              <v:stroke dashstyle="solid"/>
            </v:rect>
            <w10:wrap type="none"/>
          </v:group>
        </w:pict>
      </w:r>
      <w:r>
        <w:rPr/>
        <w:pict>
          <v:rect style="position:absolute;margin-left:78.839996pt;margin-top:494.399994pt;width:9.24pt;height:9.24pt;mso-position-horizontal-relative:page;mso-position-vertical-relative:page;z-index:-270893056" filled="false" stroked="true" strokeweight=".72pt" strokecolor="#000000">
            <v:stroke dashstyle="solid"/>
            <w10:wrap type="none"/>
          </v:rect>
        </w:pict>
      </w:r>
      <w:r>
        <w:rPr/>
        <w:pict>
          <v:rect style="position:absolute;margin-left:353.279999pt;margin-top:460.799988pt;width:9.24pt;height:9.24pt;mso-position-horizontal-relative:page;mso-position-vertical-relative:page;z-index:-270892032" filled="false" stroked="true" strokeweight=".72pt" strokecolor="#000000">
            <v:stroke dashstyle="solid"/>
            <w10:wrap type="none"/>
          </v:rect>
        </w:pict>
      </w:r>
      <w:r>
        <w:rPr/>
        <w:pict>
          <v:rect style="position:absolute;margin-left:353.279999pt;margin-top:490.440002pt;width:9.24pt;height:9.24pt;mso-position-horizontal-relative:page;mso-position-vertical-relative:page;z-index:-270891008" filled="false" stroked="true" strokeweight=".72pt" strokecolor="#000000">
            <v:stroke dashstyle="solid"/>
            <w10:wrap type="none"/>
          </v:rect>
        </w:pict>
      </w:r>
      <w:r>
        <w:rPr/>
        <w:pict>
          <v:rect style="position:absolute;margin-left:78.839996pt;margin-top:523.559998pt;width:9.24pt;height:9.24pt;mso-position-horizontal-relative:page;mso-position-vertical-relative:page;z-index:-270889984" filled="false" stroked="true" strokeweight=".72pt" strokecolor="#000000">
            <v:stroke dashstyle="solid"/>
            <w10:wrap type="none"/>
          </v:rect>
        </w:pict>
      </w:r>
      <w:r>
        <w:rPr/>
        <w:pict>
          <v:rect style="position:absolute;margin-left:353.279999pt;margin-top:527.400024pt;width:9.24pt;height:9.24pt;mso-position-horizontal-relative:page;mso-position-vertical-relative:page;z-index:-270888960" filled="false" stroked="true" strokeweight=".72pt" strokecolor="#000000">
            <v:stroke dashstyle="solid"/>
            <w10:wrap type="none"/>
          </v:rect>
        </w:pict>
      </w:r>
      <w:r>
        <w:rPr/>
        <w:t>Washington State</w:t>
      </w:r>
    </w:p>
    <w:p>
      <w:pPr>
        <w:pStyle w:val="Heading8"/>
      </w:pPr>
      <w:r>
        <w:rPr/>
        <w:t>Revised Transition Plan for New HCBS Rules</w:t>
      </w:r>
    </w:p>
    <w:p>
      <w:pPr>
        <w:pStyle w:val="Heading8"/>
      </w:pPr>
      <w:r>
        <w:rPr/>
        <w:t>To be Submitted to CMS in May 2017—Posted for Public Comment on March 15,</w:t>
      </w:r>
      <w:r>
        <w:rPr>
          <w:spacing w:val="-31"/>
        </w:rPr>
        <w:t> </w:t>
      </w:r>
      <w:r>
        <w:rPr/>
        <w:t>2017</w:t>
      </w:r>
    </w:p>
    <w:p>
      <w:pPr>
        <w:pStyle w:val="BodyText"/>
        <w:spacing w:before="5"/>
        <w:rPr>
          <w:b/>
          <w:sz w:val="13"/>
        </w:rPr>
      </w:pPr>
      <w:r>
        <w:rPr/>
        <w:drawing>
          <wp:anchor distT="0" distB="0" distL="0" distR="0" allowOverlap="1" layoutInCell="1" locked="0" behindDoc="0" simplePos="0" relativeHeight="359">
            <wp:simplePos x="0" y="0"/>
            <wp:positionH relativeFrom="page">
              <wp:posOffset>987425</wp:posOffset>
            </wp:positionH>
            <wp:positionV relativeFrom="paragraph">
              <wp:posOffset>132293</wp:posOffset>
            </wp:positionV>
            <wp:extent cx="953494" cy="327660"/>
            <wp:effectExtent l="0" t="0" r="0" b="0"/>
            <wp:wrapTopAndBottom/>
            <wp:docPr id="29" name="image24.png"/>
            <wp:cNvGraphicFramePr>
              <a:graphicFrameLocks noChangeAspect="1"/>
            </wp:cNvGraphicFramePr>
            <a:graphic>
              <a:graphicData uri="http://schemas.openxmlformats.org/drawingml/2006/picture">
                <pic:pic>
                  <pic:nvPicPr>
                    <pic:cNvPr id="30" name="image24.png"/>
                    <pic:cNvPicPr/>
                  </pic:nvPicPr>
                  <pic:blipFill>
                    <a:blip r:embed="rId183" cstate="print"/>
                    <a:stretch>
                      <a:fillRect/>
                    </a:stretch>
                  </pic:blipFill>
                  <pic:spPr>
                    <a:xfrm>
                      <a:off x="0" y="0"/>
                      <a:ext cx="953494" cy="327660"/>
                    </a:xfrm>
                    <a:prstGeom prst="rect">
                      <a:avLst/>
                    </a:prstGeom>
                  </pic:spPr>
                </pic:pic>
              </a:graphicData>
            </a:graphic>
          </wp:anchor>
        </w:drawing>
      </w:r>
      <w:r>
        <w:rPr/>
        <w:pict>
          <v:shape style="position:absolute;margin-left:170.880005pt;margin-top:10.166797pt;width:441.15pt;height:77.9pt;mso-position-horizontal-relative:page;mso-position-vertical-relative:paragraph;z-index:-251658240;mso-wrap-distance-left:0;mso-wrap-distance-right:0"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851"/>
                    <w:gridCol w:w="2964"/>
                  </w:tblGrid>
                  <w:tr>
                    <w:trPr>
                      <w:trHeight w:val="513" w:hRule="atLeast"/>
                    </w:trPr>
                    <w:tc>
                      <w:tcPr>
                        <w:tcW w:w="5851" w:type="dxa"/>
                      </w:tcPr>
                      <w:p>
                        <w:pPr>
                          <w:pStyle w:val="TableParagraph"/>
                          <w:spacing w:before="18"/>
                          <w:ind w:left="115"/>
                          <w:rPr>
                            <w:rFonts w:ascii="Arial" w:hAnsi="Arial"/>
                            <w:sz w:val="16"/>
                          </w:rPr>
                        </w:pPr>
                        <w:r>
                          <w:rPr>
                            <w:rFonts w:ascii="Arial" w:hAnsi="Arial"/>
                            <w:sz w:val="16"/>
                          </w:rPr>
                          <w:t>ADULT FAMILY HOME’S (AFH) NAME</w:t>
                        </w:r>
                      </w:p>
                    </w:tc>
                    <w:tc>
                      <w:tcPr>
                        <w:tcW w:w="2964" w:type="dxa"/>
                      </w:tcPr>
                      <w:p>
                        <w:pPr>
                          <w:pStyle w:val="TableParagraph"/>
                          <w:spacing w:before="18"/>
                          <w:ind w:left="112"/>
                          <w:rPr>
                            <w:rFonts w:ascii="Arial"/>
                            <w:sz w:val="16"/>
                          </w:rPr>
                        </w:pPr>
                        <w:r>
                          <w:rPr>
                            <w:rFonts w:ascii="Arial"/>
                            <w:sz w:val="16"/>
                          </w:rPr>
                          <w:t>LICENSE NUMBER</w:t>
                        </w:r>
                      </w:p>
                    </w:tc>
                  </w:tr>
                  <w:tr>
                    <w:trPr>
                      <w:trHeight w:val="513" w:hRule="atLeast"/>
                    </w:trPr>
                    <w:tc>
                      <w:tcPr>
                        <w:tcW w:w="5851" w:type="dxa"/>
                      </w:tcPr>
                      <w:p>
                        <w:pPr>
                          <w:pStyle w:val="TableParagraph"/>
                          <w:spacing w:before="18"/>
                          <w:ind w:left="115"/>
                          <w:rPr>
                            <w:rFonts w:ascii="Arial" w:hAnsi="Arial"/>
                            <w:sz w:val="16"/>
                          </w:rPr>
                        </w:pPr>
                        <w:r>
                          <w:rPr>
                            <w:rFonts w:ascii="Arial" w:hAnsi="Arial"/>
                            <w:sz w:val="16"/>
                          </w:rPr>
                          <w:t>PROVIDER / LICENSEE’S NAME</w:t>
                        </w:r>
                      </w:p>
                    </w:tc>
                    <w:tc>
                      <w:tcPr>
                        <w:tcW w:w="2964" w:type="dxa"/>
                      </w:tcPr>
                      <w:p>
                        <w:pPr>
                          <w:pStyle w:val="TableParagraph"/>
                          <w:spacing w:before="18"/>
                          <w:ind w:left="112"/>
                          <w:rPr>
                            <w:rFonts w:ascii="Arial"/>
                            <w:sz w:val="16"/>
                          </w:rPr>
                        </w:pPr>
                        <w:r>
                          <w:rPr>
                            <w:rFonts w:ascii="Arial"/>
                            <w:sz w:val="16"/>
                          </w:rPr>
                          <w:t>INSPECTION DATE</w:t>
                        </w:r>
                      </w:p>
                    </w:tc>
                  </w:tr>
                  <w:tr>
                    <w:trPr>
                      <w:trHeight w:val="511" w:hRule="atLeast"/>
                    </w:trPr>
                    <w:tc>
                      <w:tcPr>
                        <w:tcW w:w="8815" w:type="dxa"/>
                        <w:gridSpan w:val="2"/>
                      </w:tcPr>
                      <w:p>
                        <w:pPr>
                          <w:pStyle w:val="TableParagraph"/>
                          <w:spacing w:before="18"/>
                          <w:ind w:left="115"/>
                          <w:rPr>
                            <w:rFonts w:ascii="Arial" w:hAnsi="Arial"/>
                            <w:sz w:val="16"/>
                          </w:rPr>
                        </w:pPr>
                        <w:r>
                          <w:rPr>
                            <w:rFonts w:ascii="Arial" w:hAnsi="Arial"/>
                            <w:sz w:val="16"/>
                          </w:rPr>
                          <w:t>LICENSOR’S NAME</w:t>
                        </w:r>
                      </w:p>
                    </w:tc>
                  </w:tr>
                </w:tbl>
                <w:p>
                  <w:pPr>
                    <w:pStyle w:val="BodyText"/>
                  </w:pPr>
                </w:p>
              </w:txbxContent>
            </v:textbox>
            <w10:wrap type="topAndBottom"/>
          </v:shape>
        </w:pict>
      </w:r>
    </w:p>
    <w:p>
      <w:pPr>
        <w:spacing w:line="183" w:lineRule="exact" w:before="89"/>
        <w:ind w:left="756" w:right="2957" w:firstLine="0"/>
        <w:jc w:val="center"/>
        <w:rPr>
          <w:rFonts w:ascii="Arial"/>
          <w:sz w:val="16"/>
        </w:rPr>
      </w:pPr>
      <w:r>
        <w:rPr>
          <w:rFonts w:ascii="Arial"/>
          <w:sz w:val="16"/>
        </w:rPr>
        <w:t>AGING AND LONG-TERM SUPPORT ADMINISTRATION</w:t>
      </w:r>
      <w:r>
        <w:rPr>
          <w:rFonts w:ascii="Arial"/>
          <w:spacing w:val="-21"/>
          <w:sz w:val="16"/>
        </w:rPr>
        <w:t> </w:t>
      </w:r>
      <w:r>
        <w:rPr>
          <w:rFonts w:ascii="Arial"/>
          <w:sz w:val="16"/>
        </w:rPr>
        <w:t>(ALTSA)</w:t>
      </w:r>
    </w:p>
    <w:p>
      <w:pPr>
        <w:tabs>
          <w:tab w:pos="4844" w:val="left" w:leader="none"/>
          <w:tab w:pos="5619" w:val="left" w:leader="none"/>
        </w:tabs>
        <w:spacing w:before="0"/>
        <w:ind w:left="3011" w:right="5215" w:firstLine="0"/>
        <w:jc w:val="center"/>
        <w:rPr>
          <w:rFonts w:ascii="Arial"/>
          <w:b/>
          <w:sz w:val="28"/>
        </w:rPr>
      </w:pPr>
      <w:r>
        <w:rPr/>
        <w:pict>
          <v:rect style="position:absolute;margin-left:347.76001pt;margin-top:21.051825pt;width:9.24pt;height:9.24pt;mso-position-horizontal-relative:page;mso-position-vertical-relative:paragraph;z-index:-270909440" filled="false" stroked="true" strokeweight=".72pt" strokecolor="#000000">
            <v:stroke dashstyle="solid"/>
            <w10:wrap type="none"/>
          </v:rect>
        </w:pict>
      </w:r>
      <w:r>
        <w:rPr/>
        <w:pict>
          <v:rect style="position:absolute;margin-left:386.519989pt;margin-top:21.051825pt;width:9.24pt;height:9.24pt;mso-position-horizontal-relative:page;mso-position-vertical-relative:paragraph;z-index:-270908416" filled="false" stroked="true" strokeweight=".72pt" strokecolor="#000000">
            <v:stroke dashstyle="solid"/>
            <w10:wrap type="none"/>
          </v:rect>
        </w:pict>
      </w:r>
      <w:r>
        <w:rPr/>
        <w:pict>
          <v:group style="position:absolute;margin-left:78.480003pt;margin-top:36.291824pt;width:10pt;height:21.5pt;mso-position-horizontal-relative:page;mso-position-vertical-relative:paragraph;z-index:-270907392" coordorigin="1570,726" coordsize="200,430">
            <v:rect style="position:absolute;left:1576;top:733;width:185;height:185" filled="false" stroked="true" strokeweight=".72pt" strokecolor="#000000">
              <v:stroke dashstyle="solid"/>
            </v:rect>
            <v:rect style="position:absolute;left:1576;top:963;width:185;height:185" filled="false" stroked="true" strokeweight=".72pt" strokecolor="#000000">
              <v:stroke dashstyle="solid"/>
            </v:rect>
            <w10:wrap type="none"/>
          </v:group>
        </w:pict>
      </w:r>
      <w:r>
        <w:rPr/>
        <w:pict>
          <v:rect style="position:absolute;margin-left:353.279999pt;margin-top:38.691826pt;width:9.24pt;height:9.24pt;mso-position-horizontal-relative:page;mso-position-vertical-relative:paragraph;z-index:-270906368" filled="false" stroked="true" strokeweight=".72pt" strokecolor="#000000">
            <v:stroke dashstyle="solid"/>
            <w10:wrap type="none"/>
          </v:rect>
        </w:pict>
      </w:r>
      <w:r>
        <w:rPr/>
        <w:pict>
          <v:group style="position:absolute;margin-left:78.480003pt;margin-top:91.491821pt;width:10pt;height:33pt;mso-position-horizontal-relative:page;mso-position-vertical-relative:paragraph;z-index:-270905344" coordorigin="1570,1830" coordsize="200,660">
            <v:rect style="position:absolute;left:1576;top:1837;width:185;height:185" filled="false" stroked="true" strokeweight=".72pt" strokecolor="#000000">
              <v:stroke dashstyle="solid"/>
            </v:rect>
            <v:rect style="position:absolute;left:1576;top:2067;width:185;height:185" filled="false" stroked="true" strokeweight=".72pt" strokecolor="#000000">
              <v:stroke dashstyle="solid"/>
            </v:rect>
            <v:rect style="position:absolute;left:1576;top:2297;width:185;height:185" filled="false" stroked="true" strokeweight=".72pt" strokecolor="#000000">
              <v:stroke dashstyle="solid"/>
            </v:rect>
            <w10:wrap type="none"/>
          </v:group>
        </w:pict>
      </w:r>
      <w:r>
        <w:rPr/>
        <w:pict>
          <v:rect style="position:absolute;margin-left:353.279999pt;margin-top:92.691826pt;width:9.24pt;height:9.24pt;mso-position-horizontal-relative:page;mso-position-vertical-relative:paragraph;z-index:-270903296" filled="false" stroked="true" strokeweight=".72pt" strokecolor="#000000">
            <v:stroke dashstyle="solid"/>
            <w10:wrap type="none"/>
          </v:rect>
        </w:pict>
      </w:r>
      <w:r>
        <w:rPr/>
        <w:pict>
          <v:rect style="position:absolute;margin-left:353.279999pt;margin-top:122.451828pt;width:9.24pt;height:9.24pt;mso-position-horizontal-relative:page;mso-position-vertical-relative:paragraph;z-index:-270902272" filled="false" stroked="true" strokeweight=".72pt" strokecolor="#000000">
            <v:stroke dashstyle="solid"/>
            <w10:wrap type="none"/>
          </v:rect>
        </w:pict>
      </w:r>
      <w:r>
        <w:rPr>
          <w:rFonts w:ascii="Arial"/>
          <w:b/>
          <w:sz w:val="28"/>
        </w:rPr>
        <w:t>Comprehensive Resident / Representative</w:t>
      </w:r>
      <w:r>
        <w:rPr>
          <w:rFonts w:ascii="Arial"/>
          <w:b/>
          <w:spacing w:val="-27"/>
          <w:sz w:val="28"/>
        </w:rPr>
        <w:t> </w:t>
      </w:r>
      <w:r>
        <w:rPr>
          <w:rFonts w:ascii="Arial"/>
          <w:b/>
          <w:sz w:val="28"/>
        </w:rPr>
        <w:t>Interview (Resident:</w:t>
        <w:tab/>
        <w:t>1</w:t>
        <w:tab/>
        <w:t>2)</w:t>
      </w:r>
    </w:p>
    <w:p>
      <w:pPr>
        <w:pStyle w:val="BodyText"/>
        <w:spacing w:before="7"/>
        <w:rPr>
          <w:rFonts w:ascii="Arial"/>
          <w:b/>
          <w:sz w:val="5"/>
        </w:rPr>
      </w:pPr>
    </w:p>
    <w:tbl>
      <w:tblPr>
        <w:tblW w:w="0" w:type="auto"/>
        <w:jc w:val="left"/>
        <w:tblInd w:w="10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491"/>
        <w:gridCol w:w="5304"/>
      </w:tblGrid>
      <w:tr>
        <w:trPr>
          <w:trHeight w:val="748" w:hRule="atLeast"/>
        </w:trPr>
        <w:tc>
          <w:tcPr>
            <w:tcW w:w="5491" w:type="dxa"/>
          </w:tcPr>
          <w:p>
            <w:pPr>
              <w:pStyle w:val="TableParagraph"/>
              <w:ind w:left="539" w:right="857" w:hanging="1"/>
              <w:rPr>
                <w:rFonts w:ascii="Arial"/>
                <w:sz w:val="20"/>
              </w:rPr>
            </w:pPr>
            <w:r>
              <w:rPr>
                <w:rFonts w:ascii="Arial"/>
                <w:sz w:val="20"/>
              </w:rPr>
              <w:t>How does the staff treat you? Speak to you? Do you have any concerns about how you are treated?</w:t>
            </w:r>
          </w:p>
        </w:tc>
        <w:tc>
          <w:tcPr>
            <w:tcW w:w="5304" w:type="dxa"/>
          </w:tcPr>
          <w:p>
            <w:pPr>
              <w:pStyle w:val="TableParagraph"/>
              <w:spacing w:before="38"/>
              <w:ind w:left="537"/>
              <w:rPr>
                <w:rFonts w:ascii="Arial"/>
                <w:sz w:val="20"/>
              </w:rPr>
            </w:pPr>
            <w:r>
              <w:rPr>
                <w:rFonts w:ascii="Arial"/>
                <w:sz w:val="20"/>
              </w:rPr>
              <w:t>No Concerns</w:t>
            </w:r>
          </w:p>
        </w:tc>
      </w:tr>
      <w:tr>
        <w:trPr>
          <w:trHeight w:val="282" w:hRule="atLeast"/>
        </w:trPr>
        <w:tc>
          <w:tcPr>
            <w:tcW w:w="10795" w:type="dxa"/>
            <w:gridSpan w:val="2"/>
            <w:shd w:val="clear" w:color="auto" w:fill="DEEAF6"/>
          </w:tcPr>
          <w:p>
            <w:pPr>
              <w:pStyle w:val="TableParagraph"/>
              <w:tabs>
                <w:tab w:pos="530" w:val="left" w:leader="none"/>
              </w:tabs>
              <w:spacing w:before="33"/>
              <w:ind w:left="115"/>
              <w:rPr>
                <w:rFonts w:ascii="Arial"/>
                <w:b/>
                <w:sz w:val="20"/>
              </w:rPr>
            </w:pPr>
            <w:r>
              <w:rPr>
                <w:rFonts w:ascii="Arial"/>
                <w:b/>
                <w:sz w:val="20"/>
              </w:rPr>
              <w:t>Q.</w:t>
              <w:tab/>
              <w:t>Homelike</w:t>
            </w:r>
            <w:r>
              <w:rPr>
                <w:rFonts w:ascii="Arial"/>
                <w:b/>
                <w:spacing w:val="-2"/>
                <w:sz w:val="20"/>
              </w:rPr>
              <w:t> </w:t>
            </w:r>
            <w:r>
              <w:rPr>
                <w:rFonts w:ascii="Arial"/>
                <w:b/>
                <w:sz w:val="20"/>
              </w:rPr>
              <w:t>Environment</w:t>
            </w:r>
          </w:p>
        </w:tc>
      </w:tr>
      <w:tr>
        <w:trPr>
          <w:trHeight w:val="1269" w:hRule="atLeast"/>
        </w:trPr>
        <w:tc>
          <w:tcPr>
            <w:tcW w:w="5491" w:type="dxa"/>
          </w:tcPr>
          <w:p>
            <w:pPr>
              <w:pStyle w:val="TableParagraph"/>
              <w:spacing w:before="59"/>
              <w:ind w:left="539" w:right="2535"/>
              <w:rPr>
                <w:rFonts w:ascii="Arial"/>
                <w:sz w:val="20"/>
              </w:rPr>
            </w:pPr>
            <w:r>
              <w:rPr>
                <w:rFonts w:ascii="Arial"/>
                <w:sz w:val="20"/>
              </w:rPr>
              <w:t>What is your room like? Are you comfortable</w:t>
            </w:r>
            <w:r>
              <w:rPr>
                <w:rFonts w:ascii="Arial"/>
                <w:spacing w:val="-15"/>
                <w:sz w:val="20"/>
              </w:rPr>
              <w:t> </w:t>
            </w:r>
            <w:r>
              <w:rPr>
                <w:rFonts w:ascii="Arial"/>
                <w:sz w:val="20"/>
              </w:rPr>
              <w:t>there?</w:t>
            </w:r>
          </w:p>
          <w:p>
            <w:pPr>
              <w:pStyle w:val="TableParagraph"/>
              <w:spacing w:before="1"/>
              <w:ind w:left="539" w:right="246"/>
              <w:rPr>
                <w:rFonts w:ascii="Arial"/>
                <w:sz w:val="20"/>
              </w:rPr>
            </w:pPr>
            <w:r>
              <w:rPr>
                <w:rFonts w:ascii="Arial"/>
                <w:sz w:val="20"/>
              </w:rPr>
              <w:t>What personal items were you allowed to bring when you came here?</w:t>
            </w:r>
          </w:p>
          <w:p>
            <w:pPr>
              <w:pStyle w:val="TableParagraph"/>
              <w:spacing w:line="228" w:lineRule="exact"/>
              <w:ind w:left="539"/>
              <w:rPr>
                <w:rFonts w:ascii="Arial"/>
                <w:sz w:val="20"/>
              </w:rPr>
            </w:pPr>
            <w:r>
              <w:rPr>
                <w:rFonts w:ascii="Arial"/>
                <w:sz w:val="20"/>
              </w:rPr>
              <w:t>Is the temperature here comfortable to you?</w:t>
            </w:r>
          </w:p>
        </w:tc>
        <w:tc>
          <w:tcPr>
            <w:tcW w:w="5304" w:type="dxa"/>
          </w:tcPr>
          <w:p>
            <w:pPr>
              <w:pStyle w:val="TableParagraph"/>
              <w:spacing w:before="76"/>
              <w:ind w:left="537"/>
              <w:rPr>
                <w:rFonts w:ascii="Arial"/>
                <w:sz w:val="20"/>
              </w:rPr>
            </w:pPr>
            <w:r>
              <w:rPr>
                <w:rFonts w:ascii="Arial"/>
                <w:sz w:val="20"/>
              </w:rPr>
              <w:t>Other:</w:t>
            </w:r>
          </w:p>
          <w:p>
            <w:pPr>
              <w:pStyle w:val="TableParagraph"/>
              <w:spacing w:before="9"/>
              <w:rPr>
                <w:rFonts w:ascii="Arial"/>
                <w:b/>
                <w:sz w:val="31"/>
              </w:rPr>
            </w:pPr>
          </w:p>
          <w:p>
            <w:pPr>
              <w:pStyle w:val="TableParagraph"/>
              <w:ind w:left="537"/>
              <w:rPr>
                <w:rFonts w:ascii="Arial"/>
                <w:sz w:val="20"/>
              </w:rPr>
            </w:pPr>
            <w:r>
              <w:rPr>
                <w:rFonts w:ascii="Arial"/>
                <w:sz w:val="20"/>
              </w:rPr>
              <w:t>No Concerns</w:t>
            </w:r>
          </w:p>
        </w:tc>
      </w:tr>
      <w:tr>
        <w:trPr>
          <w:trHeight w:val="283" w:hRule="atLeast"/>
        </w:trPr>
        <w:tc>
          <w:tcPr>
            <w:tcW w:w="10795" w:type="dxa"/>
            <w:gridSpan w:val="2"/>
            <w:shd w:val="clear" w:color="auto" w:fill="DEEAF6"/>
          </w:tcPr>
          <w:p>
            <w:pPr>
              <w:pStyle w:val="TableParagraph"/>
              <w:tabs>
                <w:tab w:pos="530" w:val="left" w:leader="none"/>
              </w:tabs>
              <w:spacing w:before="33"/>
              <w:ind w:left="115"/>
              <w:rPr>
                <w:rFonts w:ascii="Arial"/>
                <w:b/>
                <w:sz w:val="20"/>
              </w:rPr>
            </w:pPr>
            <w:r>
              <w:rPr>
                <w:rFonts w:ascii="Arial"/>
                <w:b/>
                <w:sz w:val="20"/>
              </w:rPr>
              <w:t>R.</w:t>
              <w:tab/>
              <w:t>Response to Concerns</w:t>
            </w:r>
          </w:p>
        </w:tc>
      </w:tr>
      <w:tr>
        <w:trPr>
          <w:trHeight w:val="1041" w:hRule="atLeast"/>
        </w:trPr>
        <w:tc>
          <w:tcPr>
            <w:tcW w:w="5491" w:type="dxa"/>
          </w:tcPr>
          <w:p>
            <w:pPr>
              <w:pStyle w:val="TableParagraph"/>
              <w:spacing w:before="59"/>
              <w:ind w:left="539" w:right="235"/>
              <w:rPr>
                <w:rFonts w:ascii="Arial" w:hAnsi="Arial"/>
                <w:sz w:val="20"/>
              </w:rPr>
            </w:pPr>
            <w:r>
              <w:rPr>
                <w:rFonts w:ascii="Arial" w:hAnsi="Arial"/>
                <w:sz w:val="20"/>
              </w:rPr>
              <w:t>Do you feel like you can tell someone if you don’t like it here?</w:t>
            </w:r>
          </w:p>
          <w:p>
            <w:pPr>
              <w:pStyle w:val="TableParagraph"/>
              <w:spacing w:before="1"/>
              <w:ind w:left="539" w:right="857"/>
              <w:rPr>
                <w:rFonts w:ascii="Arial"/>
                <w:sz w:val="20"/>
              </w:rPr>
            </w:pPr>
            <w:r>
              <w:rPr>
                <w:rFonts w:ascii="Arial"/>
                <w:sz w:val="20"/>
              </w:rPr>
              <w:t>Who would you talk to if you had concerns? What do you think they would do about it?</w:t>
            </w:r>
          </w:p>
        </w:tc>
        <w:tc>
          <w:tcPr>
            <w:tcW w:w="5304" w:type="dxa"/>
          </w:tcPr>
          <w:p>
            <w:pPr>
              <w:pStyle w:val="TableParagraph"/>
              <w:spacing w:before="76"/>
              <w:ind w:left="537"/>
              <w:rPr>
                <w:rFonts w:ascii="Arial"/>
                <w:sz w:val="20"/>
              </w:rPr>
            </w:pPr>
            <w:r>
              <w:rPr>
                <w:rFonts w:ascii="Arial"/>
                <w:sz w:val="20"/>
              </w:rPr>
              <w:t>Other:</w:t>
            </w:r>
          </w:p>
          <w:p>
            <w:pPr>
              <w:pStyle w:val="TableParagraph"/>
              <w:spacing w:before="9"/>
              <w:rPr>
                <w:rFonts w:ascii="Arial"/>
                <w:b/>
                <w:sz w:val="31"/>
              </w:rPr>
            </w:pPr>
          </w:p>
          <w:p>
            <w:pPr>
              <w:pStyle w:val="TableParagraph"/>
              <w:ind w:left="537"/>
              <w:rPr>
                <w:rFonts w:ascii="Arial"/>
                <w:sz w:val="20"/>
              </w:rPr>
            </w:pPr>
            <w:r>
              <w:rPr>
                <w:rFonts w:ascii="Arial"/>
                <w:sz w:val="20"/>
              </w:rPr>
              <w:t>No Concerns</w:t>
            </w:r>
          </w:p>
        </w:tc>
      </w:tr>
      <w:tr>
        <w:trPr>
          <w:trHeight w:val="283" w:hRule="atLeast"/>
        </w:trPr>
        <w:tc>
          <w:tcPr>
            <w:tcW w:w="10795" w:type="dxa"/>
            <w:gridSpan w:val="2"/>
            <w:shd w:val="clear" w:color="auto" w:fill="DEEAF6"/>
          </w:tcPr>
          <w:p>
            <w:pPr>
              <w:pStyle w:val="TableParagraph"/>
              <w:tabs>
                <w:tab w:pos="530" w:val="left" w:leader="none"/>
              </w:tabs>
              <w:spacing w:before="33"/>
              <w:ind w:left="115"/>
              <w:rPr>
                <w:rFonts w:ascii="Arial"/>
                <w:b/>
                <w:sz w:val="20"/>
              </w:rPr>
            </w:pPr>
            <w:r>
              <w:rPr>
                <w:rFonts w:ascii="Arial"/>
                <w:b/>
                <w:sz w:val="20"/>
              </w:rPr>
              <w:t>S.</w:t>
              <w:tab/>
              <w:t>Sense of Well-Being and</w:t>
            </w:r>
            <w:r>
              <w:rPr>
                <w:rFonts w:ascii="Arial"/>
                <w:b/>
                <w:spacing w:val="2"/>
                <w:sz w:val="20"/>
              </w:rPr>
              <w:t> </w:t>
            </w:r>
            <w:r>
              <w:rPr>
                <w:rFonts w:ascii="Arial"/>
                <w:b/>
                <w:sz w:val="20"/>
              </w:rPr>
              <w:t>Safety</w:t>
            </w:r>
          </w:p>
        </w:tc>
      </w:tr>
      <w:tr>
        <w:trPr>
          <w:trHeight w:val="585" w:hRule="atLeast"/>
        </w:trPr>
        <w:tc>
          <w:tcPr>
            <w:tcW w:w="5491" w:type="dxa"/>
          </w:tcPr>
          <w:p>
            <w:pPr>
              <w:pStyle w:val="TableParagraph"/>
              <w:spacing w:line="229" w:lineRule="exact" w:before="59"/>
              <w:ind w:left="539"/>
              <w:rPr>
                <w:rFonts w:ascii="Arial"/>
                <w:sz w:val="20"/>
              </w:rPr>
            </w:pPr>
            <w:r>
              <w:rPr>
                <w:rFonts w:ascii="Arial"/>
                <w:sz w:val="20"/>
              </w:rPr>
              <w:t>Do you feel safe here?</w:t>
            </w:r>
          </w:p>
          <w:p>
            <w:pPr>
              <w:pStyle w:val="TableParagraph"/>
              <w:spacing w:line="229" w:lineRule="exact"/>
              <w:ind w:left="539"/>
              <w:rPr>
                <w:rFonts w:ascii="Arial"/>
                <w:sz w:val="20"/>
              </w:rPr>
            </w:pPr>
            <w:r>
              <w:rPr>
                <w:rFonts w:ascii="Arial"/>
                <w:sz w:val="20"/>
              </w:rPr>
              <w:t>Does anything make you feel uncomfortable here?</w:t>
            </w:r>
          </w:p>
        </w:tc>
        <w:tc>
          <w:tcPr>
            <w:tcW w:w="5304" w:type="dxa"/>
          </w:tcPr>
          <w:p>
            <w:pPr>
              <w:pStyle w:val="TableParagraph"/>
              <w:spacing w:before="74"/>
              <w:ind w:left="537"/>
              <w:rPr>
                <w:rFonts w:ascii="Arial"/>
                <w:sz w:val="20"/>
              </w:rPr>
            </w:pPr>
            <w:r>
              <w:rPr>
                <w:rFonts w:ascii="Arial"/>
                <w:sz w:val="20"/>
              </w:rPr>
              <w:t>Other:</w:t>
            </w:r>
          </w:p>
          <w:p>
            <w:pPr>
              <w:pStyle w:val="TableParagraph"/>
              <w:spacing w:line="213" w:lineRule="exact" w:before="48"/>
              <w:ind w:left="537"/>
              <w:rPr>
                <w:rFonts w:ascii="Arial"/>
                <w:sz w:val="20"/>
              </w:rPr>
            </w:pPr>
            <w:r>
              <w:rPr>
                <w:rFonts w:ascii="Arial"/>
                <w:sz w:val="20"/>
              </w:rPr>
              <w:t>No Concerns</w:t>
            </w:r>
          </w:p>
        </w:tc>
      </w:tr>
      <w:tr>
        <w:trPr>
          <w:trHeight w:val="282" w:hRule="atLeast"/>
        </w:trPr>
        <w:tc>
          <w:tcPr>
            <w:tcW w:w="10795" w:type="dxa"/>
            <w:gridSpan w:val="2"/>
            <w:shd w:val="clear" w:color="auto" w:fill="DEEAF6"/>
          </w:tcPr>
          <w:p>
            <w:pPr>
              <w:pStyle w:val="TableParagraph"/>
              <w:tabs>
                <w:tab w:pos="530" w:val="left" w:leader="none"/>
              </w:tabs>
              <w:spacing w:before="33"/>
              <w:ind w:left="115"/>
              <w:rPr>
                <w:rFonts w:ascii="Arial"/>
                <w:b/>
                <w:sz w:val="20"/>
              </w:rPr>
            </w:pPr>
            <w:r>
              <w:rPr>
                <w:rFonts w:ascii="Arial"/>
                <w:b/>
                <w:sz w:val="20"/>
              </w:rPr>
              <w:t>T.</w:t>
              <w:tab/>
              <w:t>Meals / Snacks /</w:t>
            </w:r>
            <w:r>
              <w:rPr>
                <w:rFonts w:ascii="Arial"/>
                <w:b/>
                <w:spacing w:val="-3"/>
                <w:sz w:val="20"/>
              </w:rPr>
              <w:t> </w:t>
            </w:r>
            <w:r>
              <w:rPr>
                <w:rFonts w:ascii="Arial"/>
                <w:b/>
                <w:sz w:val="20"/>
              </w:rPr>
              <w:t>Preferences</w:t>
            </w:r>
          </w:p>
        </w:tc>
      </w:tr>
      <w:tr>
        <w:trPr>
          <w:trHeight w:val="1039" w:hRule="atLeast"/>
        </w:trPr>
        <w:tc>
          <w:tcPr>
            <w:tcW w:w="5491" w:type="dxa"/>
          </w:tcPr>
          <w:p>
            <w:pPr>
              <w:pStyle w:val="TableParagraph"/>
              <w:spacing w:before="59"/>
              <w:ind w:left="539"/>
              <w:rPr>
                <w:rFonts w:ascii="Arial"/>
                <w:sz w:val="20"/>
              </w:rPr>
            </w:pPr>
            <w:r>
              <w:rPr>
                <w:rFonts w:ascii="Arial"/>
                <w:sz w:val="20"/>
              </w:rPr>
              <w:t>How is the food here?</w:t>
            </w:r>
          </w:p>
          <w:p>
            <w:pPr>
              <w:pStyle w:val="TableParagraph"/>
              <w:spacing w:before="1"/>
              <w:ind w:left="539" w:right="379"/>
              <w:rPr>
                <w:rFonts w:ascii="Arial" w:hAnsi="Arial"/>
                <w:sz w:val="20"/>
              </w:rPr>
            </w:pPr>
            <w:r>
              <w:rPr>
                <w:rFonts w:ascii="Arial" w:hAnsi="Arial"/>
                <w:sz w:val="20"/>
              </w:rPr>
              <w:t>If you can’t eat something or don’t like something, what kind of replacement does the home offer you? How often do you get the foods you like to eat?</w:t>
            </w:r>
          </w:p>
        </w:tc>
        <w:tc>
          <w:tcPr>
            <w:tcW w:w="5304" w:type="dxa"/>
          </w:tcPr>
          <w:p>
            <w:pPr>
              <w:pStyle w:val="TableParagraph"/>
              <w:spacing w:before="76"/>
              <w:ind w:left="537"/>
              <w:rPr>
                <w:rFonts w:ascii="Arial"/>
                <w:sz w:val="20"/>
              </w:rPr>
            </w:pPr>
            <w:r>
              <w:rPr>
                <w:rFonts w:ascii="Arial"/>
                <w:sz w:val="20"/>
              </w:rPr>
              <w:t>Other:</w:t>
            </w:r>
          </w:p>
          <w:p>
            <w:pPr>
              <w:pStyle w:val="TableParagraph"/>
              <w:spacing w:before="6"/>
              <w:rPr>
                <w:rFonts w:ascii="Arial"/>
                <w:b/>
                <w:sz w:val="31"/>
              </w:rPr>
            </w:pPr>
          </w:p>
          <w:p>
            <w:pPr>
              <w:pStyle w:val="TableParagraph"/>
              <w:ind w:left="537"/>
              <w:rPr>
                <w:rFonts w:ascii="Arial"/>
                <w:sz w:val="20"/>
              </w:rPr>
            </w:pPr>
            <w:r>
              <w:rPr>
                <w:rFonts w:ascii="Arial"/>
                <w:sz w:val="20"/>
              </w:rPr>
              <w:t>No Concerns</w:t>
            </w:r>
          </w:p>
        </w:tc>
      </w:tr>
      <w:tr>
        <w:trPr>
          <w:trHeight w:val="283" w:hRule="atLeast"/>
        </w:trPr>
        <w:tc>
          <w:tcPr>
            <w:tcW w:w="10795" w:type="dxa"/>
            <w:gridSpan w:val="2"/>
            <w:shd w:val="clear" w:color="auto" w:fill="DEEAF6"/>
          </w:tcPr>
          <w:p>
            <w:pPr>
              <w:pStyle w:val="TableParagraph"/>
              <w:tabs>
                <w:tab w:pos="532" w:val="left" w:leader="none"/>
              </w:tabs>
              <w:spacing w:before="33"/>
              <w:ind w:left="115"/>
              <w:rPr>
                <w:rFonts w:ascii="Arial"/>
                <w:b/>
                <w:sz w:val="20"/>
              </w:rPr>
            </w:pPr>
            <w:r>
              <w:rPr>
                <w:rFonts w:ascii="Arial"/>
                <w:b/>
                <w:sz w:val="20"/>
              </w:rPr>
              <w:t>U.</w:t>
              <w:tab/>
              <w:t>Activities</w:t>
            </w:r>
          </w:p>
        </w:tc>
      </w:tr>
      <w:tr>
        <w:trPr>
          <w:trHeight w:val="316" w:hRule="atLeast"/>
        </w:trPr>
        <w:tc>
          <w:tcPr>
            <w:tcW w:w="5491" w:type="dxa"/>
          </w:tcPr>
          <w:p>
            <w:pPr>
              <w:pStyle w:val="TableParagraph"/>
              <w:spacing w:line="229" w:lineRule="exact"/>
              <w:ind w:left="539"/>
              <w:rPr>
                <w:rFonts w:ascii="Arial"/>
                <w:sz w:val="20"/>
              </w:rPr>
            </w:pPr>
            <w:r>
              <w:rPr>
                <w:rFonts w:ascii="Arial"/>
                <w:sz w:val="20"/>
              </w:rPr>
              <w:t>What activities are offered to you by the home?</w:t>
            </w:r>
          </w:p>
        </w:tc>
        <w:tc>
          <w:tcPr>
            <w:tcW w:w="5304" w:type="dxa"/>
          </w:tcPr>
          <w:p>
            <w:pPr>
              <w:pStyle w:val="TableParagraph"/>
              <w:spacing w:line="220" w:lineRule="exact" w:before="76"/>
              <w:ind w:left="537"/>
              <w:rPr>
                <w:rFonts w:ascii="Arial"/>
                <w:sz w:val="20"/>
              </w:rPr>
            </w:pPr>
            <w:r>
              <w:rPr>
                <w:rFonts w:ascii="Arial"/>
                <w:sz w:val="20"/>
              </w:rPr>
              <w:t>Other:</w:t>
            </w:r>
          </w:p>
        </w:tc>
      </w:tr>
    </w:tbl>
    <w:p>
      <w:pPr>
        <w:pStyle w:val="BodyText"/>
        <w:spacing w:before="5"/>
        <w:rPr>
          <w:rFonts w:ascii="Arial"/>
          <w:b/>
          <w:sz w:val="12"/>
        </w:rPr>
      </w:pPr>
      <w:r>
        <w:rPr/>
        <w:pict>
          <v:shape style="position:absolute;margin-left:70.559998pt;margin-top:9.392829pt;width:650.9pt;height:.1pt;mso-position-horizontal-relative:page;mso-position-vertical-relative:paragraph;z-index:-251289600;mso-wrap-distance-left:0;mso-wrap-distance-right:0" coordorigin="1411,188" coordsize="13018,0" path="m1411,188l14429,188e" filled="false" stroked="true" strokeweight=".481pt" strokecolor="#d9d9d9">
            <v:path arrowok="t"/>
            <v:stroke dashstyle="solid"/>
            <w10:wrap type="topAndBottom"/>
          </v:shape>
        </w:pict>
      </w:r>
    </w:p>
    <w:p>
      <w:pPr>
        <w:spacing w:after="0"/>
        <w:rPr>
          <w:rFonts w:ascii="Arial"/>
          <w:sz w:val="12"/>
        </w:rPr>
        <w:sectPr>
          <w:pgSz w:w="15840" w:h="12240" w:orient="landscape"/>
          <w:pgMar w:header="0" w:footer="1012"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rect style="position:absolute;margin-left:78.839996pt;margin-top:325.679993pt;width:9.24pt;height:9.24pt;mso-position-horizontal-relative:page;mso-position-vertical-relative:page;z-index:-270878720" filled="false" stroked="true" strokeweight=".72pt" strokecolor="#000000">
            <v:stroke dashstyle="solid"/>
            <w10:wrap type="none"/>
          </v:rect>
        </w:pict>
      </w:r>
      <w:r>
        <w:rPr/>
        <w:pict>
          <v:rect style="position:absolute;margin-left:78.839996pt;margin-top:371.76001pt;width:9.24pt;height:9.24pt;mso-position-horizontal-relative:page;mso-position-vertical-relative:page;z-index:-270877696" filled="false" stroked="true" strokeweight=".72pt" strokecolor="#000000">
            <v:stroke dashstyle="solid"/>
            <w10:wrap type="none"/>
          </v:rect>
        </w:pict>
      </w:r>
      <w:r>
        <w:rPr/>
        <w:pict>
          <v:rect style="position:absolute;margin-left:353.279999pt;margin-top:333.239990pt;width:9.24pt;height:9.24pt;mso-position-horizontal-relative:page;mso-position-vertical-relative:page;z-index:-270875648" filled="false" stroked="true" strokeweight=".72pt" strokecolor="#000000">
            <v:stroke dashstyle="solid"/>
            <w10:wrap type="none"/>
          </v:rect>
        </w:pict>
      </w:r>
      <w:r>
        <w:rPr/>
        <w:t>Washington State</w:t>
      </w:r>
    </w:p>
    <w:p>
      <w:pPr>
        <w:pStyle w:val="Heading8"/>
      </w:pPr>
      <w:r>
        <w:rPr/>
        <w:t>Revised Transition Plan for New HCBS Rules</w:t>
      </w:r>
    </w:p>
    <w:p>
      <w:pPr>
        <w:pStyle w:val="Heading8"/>
      </w:pPr>
      <w:r>
        <w:rPr/>
        <w:t>To be Submitted to CMS in May 2017—Posted for Public Comment on March 15,</w:t>
      </w:r>
      <w:r>
        <w:rPr>
          <w:spacing w:val="-31"/>
        </w:rPr>
        <w:t> </w:t>
      </w:r>
      <w:r>
        <w:rPr/>
        <w:t>2017</w:t>
      </w:r>
    </w:p>
    <w:p>
      <w:pPr>
        <w:pStyle w:val="BodyText"/>
        <w:spacing w:before="5"/>
        <w:rPr>
          <w:b/>
          <w:sz w:val="13"/>
        </w:rPr>
      </w:pPr>
      <w:r>
        <w:rPr/>
        <w:drawing>
          <wp:anchor distT="0" distB="0" distL="0" distR="0" allowOverlap="1" layoutInCell="1" locked="0" behindDoc="0" simplePos="0" relativeHeight="382">
            <wp:simplePos x="0" y="0"/>
            <wp:positionH relativeFrom="page">
              <wp:posOffset>987425</wp:posOffset>
            </wp:positionH>
            <wp:positionV relativeFrom="paragraph">
              <wp:posOffset>132293</wp:posOffset>
            </wp:positionV>
            <wp:extent cx="953494" cy="327660"/>
            <wp:effectExtent l="0" t="0" r="0" b="0"/>
            <wp:wrapTopAndBottom/>
            <wp:docPr id="31" name="image24.png"/>
            <wp:cNvGraphicFramePr>
              <a:graphicFrameLocks noChangeAspect="1"/>
            </wp:cNvGraphicFramePr>
            <a:graphic>
              <a:graphicData uri="http://schemas.openxmlformats.org/drawingml/2006/picture">
                <pic:pic>
                  <pic:nvPicPr>
                    <pic:cNvPr id="32" name="image24.png"/>
                    <pic:cNvPicPr/>
                  </pic:nvPicPr>
                  <pic:blipFill>
                    <a:blip r:embed="rId183" cstate="print"/>
                    <a:stretch>
                      <a:fillRect/>
                    </a:stretch>
                  </pic:blipFill>
                  <pic:spPr>
                    <a:xfrm>
                      <a:off x="0" y="0"/>
                      <a:ext cx="953494" cy="327660"/>
                    </a:xfrm>
                    <a:prstGeom prst="rect">
                      <a:avLst/>
                    </a:prstGeom>
                  </pic:spPr>
                </pic:pic>
              </a:graphicData>
            </a:graphic>
          </wp:anchor>
        </w:drawing>
      </w:r>
      <w:r>
        <w:rPr/>
        <w:pict>
          <v:shape style="position:absolute;margin-left:170.880005pt;margin-top:10.166797pt;width:441.15pt;height:77.9pt;mso-position-horizontal-relative:page;mso-position-vertical-relative:paragraph;z-index:-251658240;mso-wrap-distance-left:0;mso-wrap-distance-right:0"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851"/>
                    <w:gridCol w:w="2964"/>
                  </w:tblGrid>
                  <w:tr>
                    <w:trPr>
                      <w:trHeight w:val="513" w:hRule="atLeast"/>
                    </w:trPr>
                    <w:tc>
                      <w:tcPr>
                        <w:tcW w:w="5851" w:type="dxa"/>
                      </w:tcPr>
                      <w:p>
                        <w:pPr>
                          <w:pStyle w:val="TableParagraph"/>
                          <w:spacing w:before="18"/>
                          <w:ind w:left="115"/>
                          <w:rPr>
                            <w:rFonts w:ascii="Arial" w:hAnsi="Arial"/>
                            <w:sz w:val="16"/>
                          </w:rPr>
                        </w:pPr>
                        <w:r>
                          <w:rPr>
                            <w:rFonts w:ascii="Arial" w:hAnsi="Arial"/>
                            <w:sz w:val="16"/>
                          </w:rPr>
                          <w:t>ADULT FAMILY HOME’S (AFH) NAME</w:t>
                        </w:r>
                      </w:p>
                    </w:tc>
                    <w:tc>
                      <w:tcPr>
                        <w:tcW w:w="2964" w:type="dxa"/>
                      </w:tcPr>
                      <w:p>
                        <w:pPr>
                          <w:pStyle w:val="TableParagraph"/>
                          <w:spacing w:before="18"/>
                          <w:ind w:left="112"/>
                          <w:rPr>
                            <w:rFonts w:ascii="Arial"/>
                            <w:sz w:val="16"/>
                          </w:rPr>
                        </w:pPr>
                        <w:r>
                          <w:rPr>
                            <w:rFonts w:ascii="Arial"/>
                            <w:sz w:val="16"/>
                          </w:rPr>
                          <w:t>LICENSE NUMBER</w:t>
                        </w:r>
                      </w:p>
                    </w:tc>
                  </w:tr>
                  <w:tr>
                    <w:trPr>
                      <w:trHeight w:val="513" w:hRule="atLeast"/>
                    </w:trPr>
                    <w:tc>
                      <w:tcPr>
                        <w:tcW w:w="5851" w:type="dxa"/>
                      </w:tcPr>
                      <w:p>
                        <w:pPr>
                          <w:pStyle w:val="TableParagraph"/>
                          <w:spacing w:before="18"/>
                          <w:ind w:left="115"/>
                          <w:rPr>
                            <w:rFonts w:ascii="Arial" w:hAnsi="Arial"/>
                            <w:sz w:val="16"/>
                          </w:rPr>
                        </w:pPr>
                        <w:r>
                          <w:rPr>
                            <w:rFonts w:ascii="Arial" w:hAnsi="Arial"/>
                            <w:sz w:val="16"/>
                          </w:rPr>
                          <w:t>PROVIDER / LICENSEE’S NAME</w:t>
                        </w:r>
                      </w:p>
                    </w:tc>
                    <w:tc>
                      <w:tcPr>
                        <w:tcW w:w="2964" w:type="dxa"/>
                      </w:tcPr>
                      <w:p>
                        <w:pPr>
                          <w:pStyle w:val="TableParagraph"/>
                          <w:spacing w:before="18"/>
                          <w:ind w:left="112"/>
                          <w:rPr>
                            <w:rFonts w:ascii="Arial"/>
                            <w:sz w:val="16"/>
                          </w:rPr>
                        </w:pPr>
                        <w:r>
                          <w:rPr>
                            <w:rFonts w:ascii="Arial"/>
                            <w:sz w:val="16"/>
                          </w:rPr>
                          <w:t>INSPECTION DATE</w:t>
                        </w:r>
                      </w:p>
                    </w:tc>
                  </w:tr>
                  <w:tr>
                    <w:trPr>
                      <w:trHeight w:val="511" w:hRule="atLeast"/>
                    </w:trPr>
                    <w:tc>
                      <w:tcPr>
                        <w:tcW w:w="8815" w:type="dxa"/>
                        <w:gridSpan w:val="2"/>
                      </w:tcPr>
                      <w:p>
                        <w:pPr>
                          <w:pStyle w:val="TableParagraph"/>
                          <w:spacing w:before="18"/>
                          <w:ind w:left="115"/>
                          <w:rPr>
                            <w:rFonts w:ascii="Arial" w:hAnsi="Arial"/>
                            <w:sz w:val="16"/>
                          </w:rPr>
                        </w:pPr>
                        <w:r>
                          <w:rPr>
                            <w:rFonts w:ascii="Arial" w:hAnsi="Arial"/>
                            <w:sz w:val="16"/>
                          </w:rPr>
                          <w:t>LICENSOR’S NAME</w:t>
                        </w:r>
                      </w:p>
                    </w:tc>
                  </w:tr>
                </w:tbl>
                <w:p>
                  <w:pPr>
                    <w:pStyle w:val="BodyText"/>
                  </w:pPr>
                </w:p>
              </w:txbxContent>
            </v:textbox>
            <w10:wrap type="topAndBottom"/>
          </v:shape>
        </w:pict>
      </w:r>
    </w:p>
    <w:p>
      <w:pPr>
        <w:spacing w:line="183" w:lineRule="exact" w:before="89"/>
        <w:ind w:left="756" w:right="2957" w:firstLine="0"/>
        <w:jc w:val="center"/>
        <w:rPr>
          <w:rFonts w:ascii="Arial"/>
          <w:sz w:val="16"/>
        </w:rPr>
      </w:pPr>
      <w:r>
        <w:rPr>
          <w:rFonts w:ascii="Arial"/>
          <w:sz w:val="16"/>
        </w:rPr>
        <w:t>AGING AND LONG-TERM SUPPORT ADMINISTRATION</w:t>
      </w:r>
      <w:r>
        <w:rPr>
          <w:rFonts w:ascii="Arial"/>
          <w:spacing w:val="-21"/>
          <w:sz w:val="16"/>
        </w:rPr>
        <w:t> </w:t>
      </w:r>
      <w:r>
        <w:rPr>
          <w:rFonts w:ascii="Arial"/>
          <w:sz w:val="16"/>
        </w:rPr>
        <w:t>(ALTSA)</w:t>
      </w:r>
    </w:p>
    <w:p>
      <w:pPr>
        <w:tabs>
          <w:tab w:pos="4844" w:val="left" w:leader="none"/>
          <w:tab w:pos="5619" w:val="left" w:leader="none"/>
        </w:tabs>
        <w:spacing w:before="0"/>
        <w:ind w:left="3011" w:right="5215" w:firstLine="0"/>
        <w:jc w:val="center"/>
        <w:rPr>
          <w:rFonts w:ascii="Arial"/>
          <w:b/>
          <w:sz w:val="28"/>
        </w:rPr>
      </w:pPr>
      <w:r>
        <w:rPr/>
        <w:pict>
          <v:rect style="position:absolute;margin-left:347.76001pt;margin-top:21.051825pt;width:9.24pt;height:9.24pt;mso-position-horizontal-relative:page;mso-position-vertical-relative:paragraph;z-index:-270885888" filled="false" stroked="true" strokeweight=".72pt" strokecolor="#000000">
            <v:stroke dashstyle="solid"/>
            <w10:wrap type="none"/>
          </v:rect>
        </w:pict>
      </w:r>
      <w:r>
        <w:rPr/>
        <w:pict>
          <v:rect style="position:absolute;margin-left:386.519989pt;margin-top:21.051825pt;width:9.24pt;height:9.24pt;mso-position-horizontal-relative:page;mso-position-vertical-relative:paragraph;z-index:-270884864" filled="false" stroked="true" strokeweight=".72pt" strokecolor="#000000">
            <v:stroke dashstyle="solid"/>
            <w10:wrap type="none"/>
          </v:rect>
        </w:pict>
      </w:r>
      <w:r>
        <w:rPr/>
        <w:pict>
          <v:rect style="position:absolute;margin-left:78.839996pt;margin-top:36.651825pt;width:9.24pt;height:9.24pt;mso-position-horizontal-relative:page;mso-position-vertical-relative:paragraph;z-index:-270883840" filled="false" stroked="true" strokeweight=".72pt" strokecolor="#000000">
            <v:stroke dashstyle="solid"/>
            <w10:wrap type="none"/>
          </v:rect>
        </w:pict>
      </w:r>
      <w:r>
        <w:rPr/>
        <w:pict>
          <v:rect style="position:absolute;margin-left:78.839996pt;margin-top:59.691826pt;width:9.24pt;height:9.24pt;mso-position-horizontal-relative:page;mso-position-vertical-relative:paragraph;z-index:-270882816" filled="false" stroked="true" strokeweight=".72pt" strokecolor="#000000">
            <v:stroke dashstyle="solid"/>
            <w10:wrap type="none"/>
          </v:rect>
        </w:pict>
      </w:r>
      <w:r>
        <w:rPr/>
        <w:pict>
          <v:rect style="position:absolute;margin-left:78.839996pt;margin-top:82.731827pt;width:9.24pt;height:9.24pt;mso-position-horizontal-relative:page;mso-position-vertical-relative:paragraph;z-index:-270881792" filled="false" stroked="true" strokeweight=".72pt" strokecolor="#000000">
            <v:stroke dashstyle="solid"/>
            <w10:wrap type="none"/>
          </v:rect>
        </w:pict>
      </w:r>
      <w:r>
        <w:rPr/>
        <w:pict>
          <v:rect style="position:absolute;margin-left:353.279999pt;margin-top:54.411823pt;width:9.24pt;height:9.24pt;mso-position-horizontal-relative:page;mso-position-vertical-relative:paragraph;z-index:-270880768" filled="false" stroked="true" strokeweight=".72pt" strokecolor="#000000">
            <v:stroke dashstyle="solid"/>
            <w10:wrap type="none"/>
          </v:rect>
        </w:pict>
      </w:r>
      <w:r>
        <w:rPr/>
        <w:pict>
          <v:rect style="position:absolute;margin-left:78.839996pt;margin-top:123.291824pt;width:9.24pt;height:9.24pt;mso-position-horizontal-relative:page;mso-position-vertical-relative:paragraph;z-index:-270879744" filled="false" stroked="true" strokeweight=".72pt" strokecolor="#000000">
            <v:stroke dashstyle="solid"/>
            <w10:wrap type="none"/>
          </v:rect>
        </w:pict>
      </w:r>
      <w:r>
        <w:rPr/>
        <w:pict>
          <v:rect style="position:absolute;margin-left:353.279999pt;margin-top:124.131828pt;width:9.24pt;height:9.24pt;mso-position-horizontal-relative:page;mso-position-vertical-relative:paragraph;z-index:-270876672" filled="false" stroked="true" strokeweight=".72pt" strokecolor="#000000">
            <v:stroke dashstyle="solid"/>
            <w10:wrap type="none"/>
          </v:rect>
        </w:pict>
      </w:r>
      <w:r>
        <w:rPr>
          <w:rFonts w:ascii="Arial"/>
          <w:b/>
          <w:sz w:val="28"/>
        </w:rPr>
        <w:t>Comprehensive Resident / Representative</w:t>
      </w:r>
      <w:r>
        <w:rPr>
          <w:rFonts w:ascii="Arial"/>
          <w:b/>
          <w:spacing w:val="-27"/>
          <w:sz w:val="28"/>
        </w:rPr>
        <w:t> </w:t>
      </w:r>
      <w:r>
        <w:rPr>
          <w:rFonts w:ascii="Arial"/>
          <w:b/>
          <w:sz w:val="28"/>
        </w:rPr>
        <w:t>Interview (Resident:</w:t>
        <w:tab/>
        <w:t>1</w:t>
        <w:tab/>
        <w:t>2)</w:t>
      </w:r>
    </w:p>
    <w:p>
      <w:pPr>
        <w:pStyle w:val="BodyText"/>
        <w:spacing w:before="7"/>
        <w:rPr>
          <w:rFonts w:ascii="Arial"/>
          <w:b/>
          <w:sz w:val="5"/>
        </w:rPr>
      </w:pPr>
    </w:p>
    <w:tbl>
      <w:tblPr>
        <w:tblW w:w="0" w:type="auto"/>
        <w:jc w:val="left"/>
        <w:tblInd w:w="10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980"/>
        <w:gridCol w:w="3511"/>
        <w:gridCol w:w="2340"/>
        <w:gridCol w:w="2964"/>
      </w:tblGrid>
      <w:tr>
        <w:trPr>
          <w:trHeight w:val="1379" w:hRule="atLeast"/>
        </w:trPr>
        <w:tc>
          <w:tcPr>
            <w:tcW w:w="5491" w:type="dxa"/>
            <w:gridSpan w:val="2"/>
          </w:tcPr>
          <w:p>
            <w:pPr>
              <w:pStyle w:val="TableParagraph"/>
              <w:ind w:left="539" w:right="213"/>
              <w:rPr>
                <w:rFonts w:ascii="Arial"/>
                <w:sz w:val="20"/>
              </w:rPr>
            </w:pPr>
            <w:r>
              <w:rPr>
                <w:rFonts w:ascii="Arial"/>
                <w:sz w:val="20"/>
              </w:rPr>
              <w:t>What kinds of things did you do for fun and relaxation before you came here?</w:t>
            </w:r>
          </w:p>
          <w:p>
            <w:pPr>
              <w:pStyle w:val="TableParagraph"/>
              <w:ind w:left="539" w:right="357"/>
              <w:rPr>
                <w:rFonts w:ascii="Arial"/>
                <w:sz w:val="20"/>
              </w:rPr>
            </w:pPr>
            <w:r>
              <w:rPr>
                <w:rFonts w:ascii="Arial"/>
                <w:sz w:val="20"/>
              </w:rPr>
              <w:t>Are there activities you would like to do that you are not offered?</w:t>
            </w:r>
          </w:p>
          <w:p>
            <w:pPr>
              <w:pStyle w:val="TableParagraph"/>
              <w:spacing w:line="230" w:lineRule="atLeast"/>
              <w:ind w:left="539" w:right="590"/>
              <w:rPr>
                <w:rFonts w:ascii="Arial"/>
                <w:sz w:val="20"/>
              </w:rPr>
            </w:pPr>
            <w:r>
              <w:rPr>
                <w:rFonts w:ascii="Arial"/>
                <w:sz w:val="20"/>
              </w:rPr>
              <w:t>Is there anything you wanted to do and the home helped you do it?</w:t>
            </w:r>
          </w:p>
        </w:tc>
        <w:tc>
          <w:tcPr>
            <w:tcW w:w="5304" w:type="dxa"/>
            <w:gridSpan w:val="2"/>
          </w:tcPr>
          <w:p>
            <w:pPr>
              <w:pStyle w:val="TableParagraph"/>
              <w:spacing w:before="7"/>
              <w:rPr>
                <w:rFonts w:ascii="Arial"/>
                <w:b/>
                <w:sz w:val="30"/>
              </w:rPr>
            </w:pPr>
          </w:p>
          <w:p>
            <w:pPr>
              <w:pStyle w:val="TableParagraph"/>
              <w:ind w:left="537"/>
              <w:rPr>
                <w:rFonts w:ascii="Arial"/>
                <w:sz w:val="20"/>
              </w:rPr>
            </w:pPr>
            <w:r>
              <w:rPr>
                <w:rFonts w:ascii="Arial"/>
                <w:sz w:val="20"/>
              </w:rPr>
              <w:t>No Concerns</w:t>
            </w:r>
          </w:p>
        </w:tc>
      </w:tr>
      <w:tr>
        <w:trPr>
          <w:trHeight w:val="283" w:hRule="atLeast"/>
        </w:trPr>
        <w:tc>
          <w:tcPr>
            <w:tcW w:w="10795" w:type="dxa"/>
            <w:gridSpan w:val="4"/>
            <w:shd w:val="clear" w:color="auto" w:fill="DEEAF6"/>
          </w:tcPr>
          <w:p>
            <w:pPr>
              <w:pStyle w:val="TableParagraph"/>
              <w:tabs>
                <w:tab w:pos="530" w:val="left" w:leader="none"/>
              </w:tabs>
              <w:spacing w:before="33"/>
              <w:ind w:left="115"/>
              <w:rPr>
                <w:rFonts w:ascii="Arial"/>
                <w:b/>
                <w:sz w:val="20"/>
              </w:rPr>
            </w:pPr>
            <w:r>
              <w:rPr>
                <w:rFonts w:ascii="Arial"/>
                <w:b/>
                <w:sz w:val="20"/>
              </w:rPr>
              <w:t>V.</w:t>
              <w:tab/>
              <w:t>Notice</w:t>
            </w:r>
          </w:p>
        </w:tc>
      </w:tr>
      <w:tr>
        <w:trPr>
          <w:trHeight w:val="1727" w:hRule="atLeast"/>
        </w:trPr>
        <w:tc>
          <w:tcPr>
            <w:tcW w:w="5491" w:type="dxa"/>
            <w:gridSpan w:val="2"/>
          </w:tcPr>
          <w:p>
            <w:pPr>
              <w:pStyle w:val="TableParagraph"/>
              <w:spacing w:before="57"/>
              <w:ind w:left="539" w:right="368"/>
              <w:rPr>
                <w:rFonts w:ascii="Arial"/>
                <w:sz w:val="20"/>
              </w:rPr>
            </w:pPr>
            <w:r>
              <w:rPr>
                <w:rFonts w:ascii="Arial"/>
                <w:sz w:val="20"/>
              </w:rPr>
              <w:t>Do you handle your own finances or does someone help you with that?</w:t>
            </w:r>
          </w:p>
          <w:p>
            <w:pPr>
              <w:pStyle w:val="TableParagraph"/>
              <w:spacing w:before="1"/>
              <w:ind w:left="539" w:right="380"/>
              <w:rPr>
                <w:rFonts w:ascii="Arial" w:hAnsi="Arial"/>
                <w:sz w:val="20"/>
              </w:rPr>
            </w:pPr>
            <w:r>
              <w:rPr>
                <w:rFonts w:ascii="Arial" w:hAnsi="Arial"/>
                <w:sz w:val="20"/>
              </w:rPr>
              <w:t>What were you told about paying for your care here and the home’s policy about admitting and keeping residents whose stay is paid for by the state (Medicaid)?</w:t>
            </w:r>
          </w:p>
          <w:p>
            <w:pPr>
              <w:pStyle w:val="TableParagraph"/>
              <w:spacing w:before="1"/>
              <w:ind w:left="539"/>
              <w:rPr>
                <w:rFonts w:ascii="Arial"/>
                <w:sz w:val="20"/>
              </w:rPr>
            </w:pPr>
            <w:r>
              <w:rPr>
                <w:rFonts w:ascii="Arial"/>
                <w:sz w:val="20"/>
              </w:rPr>
              <w:t>When and how were you told about this?</w:t>
            </w:r>
          </w:p>
        </w:tc>
        <w:tc>
          <w:tcPr>
            <w:tcW w:w="5304" w:type="dxa"/>
            <w:gridSpan w:val="2"/>
          </w:tcPr>
          <w:p>
            <w:pPr>
              <w:pStyle w:val="TableParagraph"/>
              <w:spacing w:before="74"/>
              <w:ind w:left="537"/>
              <w:rPr>
                <w:rFonts w:ascii="Arial"/>
                <w:sz w:val="20"/>
              </w:rPr>
            </w:pPr>
            <w:r>
              <w:rPr>
                <w:rFonts w:ascii="Arial"/>
                <w:sz w:val="20"/>
              </w:rPr>
              <w:t>Other:</w:t>
            </w:r>
          </w:p>
          <w:p>
            <w:pPr>
              <w:pStyle w:val="TableParagraph"/>
              <w:spacing w:before="8"/>
              <w:rPr>
                <w:rFonts w:ascii="Arial"/>
                <w:b/>
                <w:sz w:val="31"/>
              </w:rPr>
            </w:pPr>
          </w:p>
          <w:p>
            <w:pPr>
              <w:pStyle w:val="TableParagraph"/>
              <w:ind w:left="537"/>
              <w:rPr>
                <w:rFonts w:ascii="Arial"/>
                <w:sz w:val="20"/>
              </w:rPr>
            </w:pPr>
            <w:r>
              <w:rPr>
                <w:rFonts w:ascii="Arial"/>
                <w:sz w:val="20"/>
              </w:rPr>
              <w:t>No Concerns</w:t>
            </w:r>
          </w:p>
        </w:tc>
      </w:tr>
      <w:tr>
        <w:trPr>
          <w:trHeight w:val="513" w:hRule="atLeast"/>
        </w:trPr>
        <w:tc>
          <w:tcPr>
            <w:tcW w:w="1980" w:type="dxa"/>
            <w:vMerge w:val="restart"/>
            <w:tcBorders>
              <w:left w:val="nil"/>
              <w:bottom w:val="nil"/>
            </w:tcBorders>
          </w:tcPr>
          <w:p>
            <w:pPr>
              <w:pStyle w:val="TableParagraph"/>
              <w:rPr>
                <w:rFonts w:ascii="Times New Roman"/>
                <w:sz w:val="20"/>
              </w:rPr>
            </w:pPr>
          </w:p>
        </w:tc>
        <w:tc>
          <w:tcPr>
            <w:tcW w:w="5851" w:type="dxa"/>
            <w:gridSpan w:val="2"/>
          </w:tcPr>
          <w:p>
            <w:pPr>
              <w:pStyle w:val="TableParagraph"/>
              <w:rPr>
                <w:rFonts w:ascii="Times New Roman"/>
                <w:sz w:val="20"/>
              </w:rPr>
            </w:pPr>
          </w:p>
        </w:tc>
        <w:tc>
          <w:tcPr>
            <w:tcW w:w="2964" w:type="dxa"/>
          </w:tcPr>
          <w:p>
            <w:pPr>
              <w:pStyle w:val="TableParagraph"/>
              <w:rPr>
                <w:rFonts w:ascii="Times New Roman"/>
                <w:sz w:val="20"/>
              </w:rPr>
            </w:pPr>
          </w:p>
        </w:tc>
      </w:tr>
      <w:tr>
        <w:trPr>
          <w:trHeight w:val="513" w:hRule="atLeast"/>
        </w:trPr>
        <w:tc>
          <w:tcPr>
            <w:tcW w:w="1980" w:type="dxa"/>
            <w:vMerge/>
            <w:tcBorders>
              <w:top w:val="nil"/>
              <w:left w:val="nil"/>
              <w:bottom w:val="nil"/>
            </w:tcBorders>
          </w:tcPr>
          <w:p>
            <w:pPr>
              <w:rPr>
                <w:sz w:val="2"/>
                <w:szCs w:val="2"/>
              </w:rPr>
            </w:pPr>
          </w:p>
        </w:tc>
        <w:tc>
          <w:tcPr>
            <w:tcW w:w="5851" w:type="dxa"/>
            <w:gridSpan w:val="2"/>
          </w:tcPr>
          <w:p>
            <w:pPr>
              <w:pStyle w:val="TableParagraph"/>
              <w:rPr>
                <w:rFonts w:ascii="Times New Roman"/>
                <w:sz w:val="20"/>
              </w:rPr>
            </w:pPr>
          </w:p>
        </w:tc>
        <w:tc>
          <w:tcPr>
            <w:tcW w:w="2964" w:type="dxa"/>
          </w:tcPr>
          <w:p>
            <w:pPr>
              <w:pStyle w:val="TableParagraph"/>
              <w:rPr>
                <w:rFonts w:ascii="Times New Roman"/>
                <w:sz w:val="20"/>
              </w:rPr>
            </w:pPr>
          </w:p>
        </w:tc>
      </w:tr>
      <w:tr>
        <w:trPr>
          <w:trHeight w:val="513" w:hRule="atLeast"/>
        </w:trPr>
        <w:tc>
          <w:tcPr>
            <w:tcW w:w="1980" w:type="dxa"/>
            <w:vMerge/>
            <w:tcBorders>
              <w:top w:val="nil"/>
              <w:left w:val="nil"/>
              <w:bottom w:val="nil"/>
            </w:tcBorders>
          </w:tcPr>
          <w:p>
            <w:pPr>
              <w:rPr>
                <w:sz w:val="2"/>
                <w:szCs w:val="2"/>
              </w:rPr>
            </w:pPr>
          </w:p>
        </w:tc>
        <w:tc>
          <w:tcPr>
            <w:tcW w:w="8815" w:type="dxa"/>
            <w:gridSpan w:val="3"/>
          </w:tcPr>
          <w:p>
            <w:pPr>
              <w:pStyle w:val="TableParagraph"/>
              <w:rPr>
                <w:rFonts w:ascii="Times New Roman"/>
                <w:sz w:val="20"/>
              </w:rPr>
            </w:pPr>
          </w:p>
        </w:tc>
      </w:tr>
    </w:tbl>
    <w:p>
      <w:pPr>
        <w:pStyle w:val="BodyText"/>
        <w:spacing w:before="6"/>
        <w:rPr>
          <w:rFonts w:ascii="Arial"/>
          <w:b/>
          <w:sz w:val="29"/>
        </w:rPr>
      </w:pPr>
      <w:r>
        <w:rPr/>
        <w:pict>
          <v:group style="position:absolute;margin-left:70.559998pt;margin-top:19.112829pt;width:650.9pt;height:66pt;mso-position-horizontal-relative:page;mso-position-vertical-relative:paragraph;z-index:-251266048;mso-wrap-distance-left:0;mso-wrap-distance-right:0" coordorigin="1411,382" coordsize="13018,1320">
            <v:line style="position:absolute" from="1411,1697" to="14429,1697" stroked="true" strokeweight=".481pt" strokecolor="#d9d9d9">
              <v:stroke dashstyle="solid"/>
            </v:line>
            <v:rect style="position:absolute;left:1442;top:382;width:5;height:5" filled="true" fillcolor="#000000" stroked="false">
              <v:fill type="solid"/>
            </v:rect>
            <v:line style="position:absolute" from="1447,385" to="3418,385" stroked="true" strokeweight=".24pt" strokecolor="#000000">
              <v:stroke dashstyle="solid"/>
            </v:line>
            <v:line style="position:absolute" from="3422,385" to="12233,385" stroked="true" strokeweight=".24pt" strokecolor="#000000">
              <v:stroke dashstyle="solid"/>
            </v:line>
            <v:line style="position:absolute" from="3420,382" to="3420,905" stroked="true" strokeweight=".239pt" strokecolor="#000000">
              <v:stroke dashstyle="solid"/>
            </v:line>
            <v:line style="position:absolute" from="1442,903" to="3418,903" stroked="true" strokeweight=".24pt" strokecolor="#000000">
              <v:stroke dashstyle="solid"/>
            </v:line>
            <v:line style="position:absolute" from="3422,903" to="9089,903" stroked="true" strokeweight=".24pt" strokecolor="#000000">
              <v:stroke dashstyle="solid"/>
            </v:line>
            <v:line style="position:absolute" from="9094,903" to="12233,903" stroked="true" strokeweight=".24pt" strokecolor="#000000">
              <v:stroke dashstyle="solid"/>
            </v:line>
            <v:line style="position:absolute" from="9091,901" to="9091,1424" stroked="true" strokeweight=".24pt" strokecolor="#000000">
              <v:stroke dashstyle="solid"/>
            </v:line>
            <v:rect style="position:absolute;left:12120;top:1423;width:113;height:250" filled="true" fillcolor="#deeaf6" stroked="false">
              <v:fill type="solid"/>
            </v:rect>
            <v:rect style="position:absolute;left:1442;top:1423;width:113;height:250" filled="true" fillcolor="#deeaf6" stroked="false">
              <v:fill type="solid"/>
            </v:rect>
            <v:rect style="position:absolute;left:1555;top:1423;width:10565;height:250" filled="true" fillcolor="#deeaf6" stroked="false">
              <v:fill type="solid"/>
            </v:rect>
            <v:line style="position:absolute" from="1442,1421" to="9089,1421" stroked="true" strokeweight=".24pt" strokecolor="#000000">
              <v:stroke dashstyle="solid"/>
            </v:line>
            <v:line style="position:absolute" from="9094,1421" to="12233,1421" stroked="true" strokeweight=".24pt" strokecolor="#000000">
              <v:stroke dashstyle="solid"/>
            </v:line>
            <v:line style="position:absolute" from="1440,382" to="1440,1678" stroked="true" strokeweight=".239pt" strokecolor="#000000">
              <v:stroke dashstyle="solid"/>
            </v:line>
            <v:line style="position:absolute" from="1442,1676" to="12233,1676" stroked="true" strokeweight=".239pt" strokecolor="#000000">
              <v:stroke dashstyle="solid"/>
            </v:line>
            <v:line style="position:absolute" from="12235,382" to="12235,1678" stroked="true" strokeweight=".24pt" strokecolor="#000000">
              <v:stroke dashstyle="solid"/>
            </v:line>
            <w10:wrap type="topAndBottom"/>
          </v:group>
        </w:pict>
      </w:r>
    </w:p>
    <w:p>
      <w:pPr>
        <w:spacing w:after="0"/>
        <w:rPr>
          <w:rFonts w:ascii="Arial"/>
          <w:sz w:val="29"/>
        </w:rPr>
        <w:sectPr>
          <w:footerReference w:type="default" r:id="rId184"/>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w:t>
      </w:r>
      <w:r>
        <w:rPr>
          <w:spacing w:val="-31"/>
        </w:rPr>
        <w:t> </w:t>
      </w:r>
      <w:r>
        <w:rPr/>
        <w:t>2017</w:t>
      </w:r>
    </w:p>
    <w:p>
      <w:pPr>
        <w:pStyle w:val="BodyText"/>
        <w:spacing w:before="5"/>
        <w:rPr>
          <w:b/>
          <w:sz w:val="13"/>
        </w:rPr>
      </w:pPr>
      <w:r>
        <w:rPr/>
        <w:drawing>
          <wp:anchor distT="0" distB="0" distL="0" distR="0" allowOverlap="1" layoutInCell="1" locked="0" behindDoc="0" simplePos="0" relativeHeight="395">
            <wp:simplePos x="0" y="0"/>
            <wp:positionH relativeFrom="page">
              <wp:posOffset>987425</wp:posOffset>
            </wp:positionH>
            <wp:positionV relativeFrom="paragraph">
              <wp:posOffset>132293</wp:posOffset>
            </wp:positionV>
            <wp:extent cx="953494" cy="327660"/>
            <wp:effectExtent l="0" t="0" r="0" b="0"/>
            <wp:wrapTopAndBottom/>
            <wp:docPr id="33" name="image24.png"/>
            <wp:cNvGraphicFramePr>
              <a:graphicFrameLocks noChangeAspect="1"/>
            </wp:cNvGraphicFramePr>
            <a:graphic>
              <a:graphicData uri="http://schemas.openxmlformats.org/drawingml/2006/picture">
                <pic:pic>
                  <pic:nvPicPr>
                    <pic:cNvPr id="34" name="image24.png"/>
                    <pic:cNvPicPr/>
                  </pic:nvPicPr>
                  <pic:blipFill>
                    <a:blip r:embed="rId183" cstate="print"/>
                    <a:stretch>
                      <a:fillRect/>
                    </a:stretch>
                  </pic:blipFill>
                  <pic:spPr>
                    <a:xfrm>
                      <a:off x="0" y="0"/>
                      <a:ext cx="953494" cy="327660"/>
                    </a:xfrm>
                    <a:prstGeom prst="rect">
                      <a:avLst/>
                    </a:prstGeom>
                  </pic:spPr>
                </pic:pic>
              </a:graphicData>
            </a:graphic>
          </wp:anchor>
        </w:drawing>
      </w:r>
      <w:r>
        <w:rPr/>
        <w:pict>
          <v:shape style="position:absolute;margin-left:170.880005pt;margin-top:10.166797pt;width:441.15pt;height:77.9pt;mso-position-horizontal-relative:page;mso-position-vertical-relative:paragraph;z-index:-251658240;mso-wrap-distance-left:0;mso-wrap-distance-right:0"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851"/>
                    <w:gridCol w:w="2964"/>
                  </w:tblGrid>
                  <w:tr>
                    <w:trPr>
                      <w:trHeight w:val="513" w:hRule="atLeast"/>
                    </w:trPr>
                    <w:tc>
                      <w:tcPr>
                        <w:tcW w:w="5851" w:type="dxa"/>
                      </w:tcPr>
                      <w:p>
                        <w:pPr>
                          <w:pStyle w:val="TableParagraph"/>
                          <w:spacing w:before="18"/>
                          <w:ind w:left="115"/>
                          <w:rPr>
                            <w:rFonts w:ascii="Arial" w:hAnsi="Arial"/>
                            <w:sz w:val="16"/>
                          </w:rPr>
                        </w:pPr>
                        <w:r>
                          <w:rPr>
                            <w:rFonts w:ascii="Arial" w:hAnsi="Arial"/>
                            <w:sz w:val="16"/>
                          </w:rPr>
                          <w:t>ADULT FAMILY HOME’S (AFH) NAME</w:t>
                        </w:r>
                      </w:p>
                    </w:tc>
                    <w:tc>
                      <w:tcPr>
                        <w:tcW w:w="2964" w:type="dxa"/>
                      </w:tcPr>
                      <w:p>
                        <w:pPr>
                          <w:pStyle w:val="TableParagraph"/>
                          <w:spacing w:before="18"/>
                          <w:ind w:left="112"/>
                          <w:rPr>
                            <w:rFonts w:ascii="Arial"/>
                            <w:sz w:val="16"/>
                          </w:rPr>
                        </w:pPr>
                        <w:r>
                          <w:rPr>
                            <w:rFonts w:ascii="Arial"/>
                            <w:sz w:val="16"/>
                          </w:rPr>
                          <w:t>LICENSE NUMBER</w:t>
                        </w:r>
                      </w:p>
                    </w:tc>
                  </w:tr>
                  <w:tr>
                    <w:trPr>
                      <w:trHeight w:val="513" w:hRule="atLeast"/>
                    </w:trPr>
                    <w:tc>
                      <w:tcPr>
                        <w:tcW w:w="5851" w:type="dxa"/>
                      </w:tcPr>
                      <w:p>
                        <w:pPr>
                          <w:pStyle w:val="TableParagraph"/>
                          <w:spacing w:before="18"/>
                          <w:ind w:left="115"/>
                          <w:rPr>
                            <w:rFonts w:ascii="Arial" w:hAnsi="Arial"/>
                            <w:sz w:val="16"/>
                          </w:rPr>
                        </w:pPr>
                        <w:r>
                          <w:rPr>
                            <w:rFonts w:ascii="Arial" w:hAnsi="Arial"/>
                            <w:sz w:val="16"/>
                          </w:rPr>
                          <w:t>PROVIDER / LICENSEE’S NAME</w:t>
                        </w:r>
                      </w:p>
                    </w:tc>
                    <w:tc>
                      <w:tcPr>
                        <w:tcW w:w="2964" w:type="dxa"/>
                      </w:tcPr>
                      <w:p>
                        <w:pPr>
                          <w:pStyle w:val="TableParagraph"/>
                          <w:spacing w:before="18"/>
                          <w:ind w:left="112"/>
                          <w:rPr>
                            <w:rFonts w:ascii="Arial"/>
                            <w:sz w:val="16"/>
                          </w:rPr>
                        </w:pPr>
                        <w:r>
                          <w:rPr>
                            <w:rFonts w:ascii="Arial"/>
                            <w:sz w:val="16"/>
                          </w:rPr>
                          <w:t>INSPECTION DATE</w:t>
                        </w:r>
                      </w:p>
                    </w:tc>
                  </w:tr>
                  <w:tr>
                    <w:trPr>
                      <w:trHeight w:val="511" w:hRule="atLeast"/>
                    </w:trPr>
                    <w:tc>
                      <w:tcPr>
                        <w:tcW w:w="8815" w:type="dxa"/>
                        <w:gridSpan w:val="2"/>
                      </w:tcPr>
                      <w:p>
                        <w:pPr>
                          <w:pStyle w:val="TableParagraph"/>
                          <w:spacing w:before="18"/>
                          <w:ind w:left="115"/>
                          <w:rPr>
                            <w:rFonts w:ascii="Arial" w:hAnsi="Arial"/>
                            <w:sz w:val="16"/>
                          </w:rPr>
                        </w:pPr>
                        <w:r>
                          <w:rPr>
                            <w:rFonts w:ascii="Arial" w:hAnsi="Arial"/>
                            <w:sz w:val="16"/>
                          </w:rPr>
                          <w:t>LICENSOR’S NAME</w:t>
                        </w:r>
                      </w:p>
                    </w:tc>
                  </w:tr>
                </w:tbl>
                <w:p>
                  <w:pPr>
                    <w:pStyle w:val="BodyText"/>
                  </w:pPr>
                </w:p>
              </w:txbxContent>
            </v:textbox>
            <w10:wrap type="topAndBottom"/>
          </v:shape>
        </w:pict>
      </w:r>
    </w:p>
    <w:p>
      <w:pPr>
        <w:spacing w:line="183" w:lineRule="exact" w:before="89"/>
        <w:ind w:left="756" w:right="2957" w:firstLine="0"/>
        <w:jc w:val="center"/>
        <w:rPr>
          <w:rFonts w:ascii="Arial"/>
          <w:sz w:val="16"/>
        </w:rPr>
      </w:pPr>
      <w:r>
        <w:rPr>
          <w:rFonts w:ascii="Arial"/>
          <w:sz w:val="16"/>
        </w:rPr>
        <w:t>AGING AND LONG-TERM SUPPORT ADMINISTRATION</w:t>
      </w:r>
      <w:r>
        <w:rPr>
          <w:rFonts w:ascii="Arial"/>
          <w:spacing w:val="-21"/>
          <w:sz w:val="16"/>
        </w:rPr>
        <w:t> </w:t>
      </w:r>
      <w:r>
        <w:rPr>
          <w:rFonts w:ascii="Arial"/>
          <w:sz w:val="16"/>
        </w:rPr>
        <w:t>(ALTSA)</w:t>
      </w:r>
    </w:p>
    <w:p>
      <w:pPr>
        <w:tabs>
          <w:tab w:pos="4844" w:val="left" w:leader="none"/>
          <w:tab w:pos="5619" w:val="left" w:leader="none"/>
        </w:tabs>
        <w:spacing w:before="0"/>
        <w:ind w:left="3011" w:right="5215" w:firstLine="0"/>
        <w:jc w:val="center"/>
        <w:rPr>
          <w:rFonts w:ascii="Arial"/>
          <w:b/>
          <w:sz w:val="28"/>
        </w:rPr>
      </w:pPr>
      <w:r>
        <w:rPr/>
        <w:pict>
          <v:rect style="position:absolute;margin-left:347.76001pt;margin-top:21.051825pt;width:9.24pt;height:9.24pt;mso-position-horizontal-relative:page;mso-position-vertical-relative:paragraph;z-index:-270872576" filled="false" stroked="true" strokeweight=".72pt" strokecolor="#000000">
            <v:stroke dashstyle="solid"/>
            <w10:wrap type="none"/>
          </v:rect>
        </w:pict>
      </w:r>
      <w:r>
        <w:rPr/>
        <w:pict>
          <v:rect style="position:absolute;margin-left:386.519989pt;margin-top:21.051825pt;width:9.24pt;height:9.24pt;mso-position-horizontal-relative:page;mso-position-vertical-relative:paragraph;z-index:-270871552" filled="false" stroked="true" strokeweight=".72pt" strokecolor="#000000">
            <v:stroke dashstyle="solid"/>
            <w10:wrap type="none"/>
          </v:rect>
        </w:pict>
      </w:r>
      <w:r>
        <w:rPr>
          <w:rFonts w:ascii="Arial"/>
          <w:b/>
          <w:sz w:val="28"/>
        </w:rPr>
        <w:t>Comprehensive Resident / Representative</w:t>
      </w:r>
      <w:r>
        <w:rPr>
          <w:rFonts w:ascii="Arial"/>
          <w:b/>
          <w:spacing w:val="-27"/>
          <w:sz w:val="28"/>
        </w:rPr>
        <w:t> </w:t>
      </w:r>
      <w:r>
        <w:rPr>
          <w:rFonts w:ascii="Arial"/>
          <w:b/>
          <w:sz w:val="28"/>
        </w:rPr>
        <w:t>Interview (Resident:</w:t>
        <w:tab/>
        <w:t>1</w:t>
        <w:tab/>
        <w:t>2)</w:t>
      </w:r>
    </w:p>
    <w:p>
      <w:pPr>
        <w:pStyle w:val="BodyText"/>
        <w:spacing w:before="7"/>
        <w:rPr>
          <w:rFonts w:ascii="Arial"/>
          <w:b/>
          <w:sz w:val="5"/>
        </w:rPr>
      </w:pPr>
    </w:p>
    <w:tbl>
      <w:tblPr>
        <w:tblW w:w="0" w:type="auto"/>
        <w:jc w:val="left"/>
        <w:tblInd w:w="10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491"/>
        <w:gridCol w:w="5304"/>
      </w:tblGrid>
      <w:tr>
        <w:trPr>
          <w:trHeight w:val="268" w:hRule="atLeast"/>
        </w:trPr>
        <w:tc>
          <w:tcPr>
            <w:tcW w:w="5491" w:type="dxa"/>
          </w:tcPr>
          <w:p>
            <w:pPr>
              <w:pStyle w:val="TableParagraph"/>
              <w:rPr>
                <w:rFonts w:ascii="Times New Roman"/>
                <w:sz w:val="18"/>
              </w:rPr>
            </w:pPr>
          </w:p>
        </w:tc>
        <w:tc>
          <w:tcPr>
            <w:tcW w:w="5304" w:type="dxa"/>
          </w:tcPr>
          <w:p>
            <w:pPr>
              <w:pStyle w:val="TableParagraph"/>
              <w:rPr>
                <w:rFonts w:ascii="Times New Roman"/>
                <w:sz w:val="18"/>
              </w:rPr>
            </w:pPr>
          </w:p>
        </w:tc>
      </w:tr>
      <w:tr>
        <w:trPr>
          <w:trHeight w:val="290" w:hRule="atLeast"/>
        </w:trPr>
        <w:tc>
          <w:tcPr>
            <w:tcW w:w="10795" w:type="dxa"/>
            <w:gridSpan w:val="2"/>
          </w:tcPr>
          <w:p>
            <w:pPr>
              <w:pStyle w:val="TableParagraph"/>
              <w:rPr>
                <w:rFonts w:ascii="Times New Roman"/>
                <w:sz w:val="20"/>
              </w:rPr>
            </w:pPr>
          </w:p>
        </w:tc>
      </w:tr>
      <w:tr>
        <w:trPr>
          <w:trHeight w:val="340" w:hRule="atLeast"/>
        </w:trPr>
        <w:tc>
          <w:tcPr>
            <w:tcW w:w="10795" w:type="dxa"/>
            <w:gridSpan w:val="2"/>
          </w:tcPr>
          <w:p>
            <w:pPr>
              <w:pStyle w:val="TableParagraph"/>
              <w:spacing w:before="57"/>
              <w:ind w:left="115"/>
              <w:rPr>
                <w:rFonts w:ascii="Arial"/>
                <w:sz w:val="20"/>
              </w:rPr>
            </w:pPr>
            <w:r>
              <w:rPr>
                <w:rFonts w:ascii="Arial"/>
                <w:sz w:val="20"/>
              </w:rPr>
              <w:t>W.</w:t>
            </w:r>
          </w:p>
        </w:tc>
      </w:tr>
      <w:tr>
        <w:trPr>
          <w:trHeight w:val="270" w:hRule="atLeast"/>
        </w:trPr>
        <w:tc>
          <w:tcPr>
            <w:tcW w:w="5491" w:type="dxa"/>
          </w:tcPr>
          <w:p>
            <w:pPr>
              <w:pStyle w:val="TableParagraph"/>
              <w:rPr>
                <w:rFonts w:ascii="Times New Roman"/>
                <w:sz w:val="20"/>
              </w:rPr>
            </w:pPr>
          </w:p>
        </w:tc>
        <w:tc>
          <w:tcPr>
            <w:tcW w:w="5304" w:type="dxa"/>
          </w:tcPr>
          <w:p>
            <w:pPr>
              <w:pStyle w:val="TableParagraph"/>
              <w:rPr>
                <w:rFonts w:ascii="Times New Roman"/>
                <w:sz w:val="20"/>
              </w:rPr>
            </w:pPr>
          </w:p>
        </w:tc>
      </w:tr>
      <w:tr>
        <w:trPr>
          <w:trHeight w:val="282" w:hRule="atLeast"/>
        </w:trPr>
        <w:tc>
          <w:tcPr>
            <w:tcW w:w="10795" w:type="dxa"/>
            <w:gridSpan w:val="2"/>
            <w:shd w:val="clear" w:color="auto" w:fill="DEEAF6"/>
          </w:tcPr>
          <w:p>
            <w:pPr>
              <w:pStyle w:val="TableParagraph"/>
              <w:spacing w:before="23"/>
              <w:ind w:left="115"/>
              <w:rPr>
                <w:rFonts w:ascii="Arial"/>
                <w:b/>
                <w:sz w:val="20"/>
              </w:rPr>
            </w:pPr>
            <w:r>
              <w:rPr>
                <w:rFonts w:ascii="Arial"/>
                <w:b/>
                <w:sz w:val="20"/>
              </w:rPr>
              <w:t>X.</w:t>
            </w:r>
          </w:p>
        </w:tc>
      </w:tr>
      <w:tr>
        <w:trPr>
          <w:trHeight w:val="271" w:hRule="atLeast"/>
        </w:trPr>
        <w:tc>
          <w:tcPr>
            <w:tcW w:w="5491" w:type="dxa"/>
          </w:tcPr>
          <w:p>
            <w:pPr>
              <w:pStyle w:val="TableParagraph"/>
              <w:rPr>
                <w:rFonts w:ascii="Times New Roman"/>
                <w:sz w:val="20"/>
              </w:rPr>
            </w:pPr>
          </w:p>
        </w:tc>
        <w:tc>
          <w:tcPr>
            <w:tcW w:w="5304" w:type="dxa"/>
          </w:tcPr>
          <w:p>
            <w:pPr>
              <w:pStyle w:val="TableParagraph"/>
              <w:rPr>
                <w:rFonts w:ascii="Times New Roman"/>
                <w:sz w:val="20"/>
              </w:rPr>
            </w:pPr>
          </w:p>
        </w:tc>
      </w:tr>
      <w:tr>
        <w:trPr>
          <w:trHeight w:val="283" w:hRule="atLeast"/>
        </w:trPr>
        <w:tc>
          <w:tcPr>
            <w:tcW w:w="10795" w:type="dxa"/>
            <w:gridSpan w:val="2"/>
            <w:shd w:val="clear" w:color="auto" w:fill="DEEAF6"/>
          </w:tcPr>
          <w:p>
            <w:pPr>
              <w:pStyle w:val="TableParagraph"/>
              <w:spacing w:before="23"/>
              <w:ind w:left="115"/>
              <w:rPr>
                <w:rFonts w:ascii="Arial"/>
                <w:b/>
                <w:sz w:val="20"/>
              </w:rPr>
            </w:pPr>
            <w:r>
              <w:rPr>
                <w:rFonts w:ascii="Arial"/>
                <w:b/>
                <w:sz w:val="20"/>
              </w:rPr>
              <w:t>Y.</w:t>
            </w:r>
          </w:p>
        </w:tc>
      </w:tr>
      <w:tr>
        <w:trPr>
          <w:trHeight w:val="268" w:hRule="atLeast"/>
        </w:trPr>
        <w:tc>
          <w:tcPr>
            <w:tcW w:w="5491" w:type="dxa"/>
          </w:tcPr>
          <w:p>
            <w:pPr>
              <w:pStyle w:val="TableParagraph"/>
              <w:rPr>
                <w:rFonts w:ascii="Times New Roman"/>
                <w:sz w:val="18"/>
              </w:rPr>
            </w:pPr>
          </w:p>
        </w:tc>
        <w:tc>
          <w:tcPr>
            <w:tcW w:w="5304" w:type="dxa"/>
          </w:tcPr>
          <w:p>
            <w:pPr>
              <w:pStyle w:val="TableParagraph"/>
              <w:rPr>
                <w:rFonts w:ascii="Times New Roman"/>
                <w:sz w:val="18"/>
              </w:rPr>
            </w:pPr>
          </w:p>
        </w:tc>
      </w:tr>
      <w:tr>
        <w:trPr>
          <w:trHeight w:val="283" w:hRule="atLeast"/>
        </w:trPr>
        <w:tc>
          <w:tcPr>
            <w:tcW w:w="10795" w:type="dxa"/>
            <w:gridSpan w:val="2"/>
            <w:shd w:val="clear" w:color="auto" w:fill="DEEAF6"/>
          </w:tcPr>
          <w:p>
            <w:pPr>
              <w:pStyle w:val="TableParagraph"/>
              <w:spacing w:before="23"/>
              <w:ind w:left="115"/>
              <w:rPr>
                <w:rFonts w:ascii="Arial"/>
                <w:b/>
                <w:sz w:val="20"/>
              </w:rPr>
            </w:pPr>
            <w:r>
              <w:rPr>
                <w:rFonts w:ascii="Arial"/>
                <w:b/>
                <w:sz w:val="20"/>
              </w:rPr>
              <w:t>Z.</w:t>
            </w:r>
          </w:p>
        </w:tc>
      </w:tr>
      <w:tr>
        <w:trPr>
          <w:trHeight w:val="271" w:hRule="atLeast"/>
        </w:trPr>
        <w:tc>
          <w:tcPr>
            <w:tcW w:w="5491" w:type="dxa"/>
          </w:tcPr>
          <w:p>
            <w:pPr>
              <w:pStyle w:val="TableParagraph"/>
              <w:rPr>
                <w:rFonts w:ascii="Times New Roman"/>
                <w:sz w:val="20"/>
              </w:rPr>
            </w:pPr>
          </w:p>
        </w:tc>
        <w:tc>
          <w:tcPr>
            <w:tcW w:w="5304" w:type="dxa"/>
          </w:tcPr>
          <w:p>
            <w:pPr>
              <w:pStyle w:val="TableParagraph"/>
              <w:rPr>
                <w:rFonts w:ascii="Times New Roman"/>
                <w:sz w:val="20"/>
              </w:rPr>
            </w:pPr>
          </w:p>
        </w:tc>
      </w:tr>
      <w:tr>
        <w:trPr>
          <w:trHeight w:val="282" w:hRule="atLeast"/>
        </w:trPr>
        <w:tc>
          <w:tcPr>
            <w:tcW w:w="10795" w:type="dxa"/>
            <w:gridSpan w:val="2"/>
            <w:shd w:val="clear" w:color="auto" w:fill="DEEAF6"/>
          </w:tcPr>
          <w:p>
            <w:pPr>
              <w:pStyle w:val="TableParagraph"/>
              <w:spacing w:before="23"/>
              <w:ind w:left="115"/>
              <w:rPr>
                <w:rFonts w:ascii="Arial"/>
                <w:b/>
                <w:sz w:val="20"/>
              </w:rPr>
            </w:pPr>
            <w:r>
              <w:rPr>
                <w:rFonts w:ascii="Arial"/>
                <w:b/>
                <w:sz w:val="20"/>
              </w:rPr>
              <w:t>AA.</w:t>
            </w:r>
          </w:p>
        </w:tc>
      </w:tr>
      <w:tr>
        <w:trPr>
          <w:trHeight w:val="290" w:hRule="atLeast"/>
        </w:trPr>
        <w:tc>
          <w:tcPr>
            <w:tcW w:w="5491" w:type="dxa"/>
          </w:tcPr>
          <w:p>
            <w:pPr>
              <w:pStyle w:val="TableParagraph"/>
              <w:rPr>
                <w:rFonts w:ascii="Times New Roman"/>
                <w:sz w:val="20"/>
              </w:rPr>
            </w:pPr>
          </w:p>
        </w:tc>
        <w:tc>
          <w:tcPr>
            <w:tcW w:w="5304" w:type="dxa"/>
          </w:tcPr>
          <w:p>
            <w:pPr>
              <w:pStyle w:val="TableParagraph"/>
              <w:rPr>
                <w:rFonts w:ascii="Times New Roman"/>
                <w:sz w:val="20"/>
              </w:rPr>
            </w:pPr>
          </w:p>
        </w:tc>
      </w:tr>
      <w:tr>
        <w:trPr>
          <w:trHeight w:val="283" w:hRule="atLeast"/>
        </w:trPr>
        <w:tc>
          <w:tcPr>
            <w:tcW w:w="10795" w:type="dxa"/>
            <w:gridSpan w:val="2"/>
            <w:shd w:val="clear" w:color="auto" w:fill="DEEAF6"/>
          </w:tcPr>
          <w:p>
            <w:pPr>
              <w:pStyle w:val="TableParagraph"/>
              <w:spacing w:before="23"/>
              <w:ind w:left="115"/>
              <w:rPr>
                <w:rFonts w:ascii="Arial"/>
                <w:b/>
                <w:sz w:val="20"/>
              </w:rPr>
            </w:pPr>
            <w:r>
              <w:rPr>
                <w:rFonts w:ascii="Arial"/>
                <w:b/>
                <w:sz w:val="20"/>
              </w:rPr>
              <w:t>BB.</w:t>
            </w:r>
          </w:p>
        </w:tc>
      </w:tr>
      <w:tr>
        <w:trPr>
          <w:trHeight w:val="290" w:hRule="atLeast"/>
        </w:trPr>
        <w:tc>
          <w:tcPr>
            <w:tcW w:w="5491" w:type="dxa"/>
          </w:tcPr>
          <w:p>
            <w:pPr>
              <w:pStyle w:val="TableParagraph"/>
              <w:rPr>
                <w:rFonts w:ascii="Times New Roman"/>
                <w:sz w:val="20"/>
              </w:rPr>
            </w:pPr>
          </w:p>
        </w:tc>
        <w:tc>
          <w:tcPr>
            <w:tcW w:w="5304" w:type="dxa"/>
          </w:tcPr>
          <w:p>
            <w:pPr>
              <w:pStyle w:val="TableParagraph"/>
              <w:rPr>
                <w:rFonts w:ascii="Times New Roman"/>
                <w:sz w:val="20"/>
              </w:rPr>
            </w:pPr>
          </w:p>
        </w:tc>
      </w:tr>
      <w:tr>
        <w:trPr>
          <w:trHeight w:val="282" w:hRule="atLeast"/>
        </w:trPr>
        <w:tc>
          <w:tcPr>
            <w:tcW w:w="10795" w:type="dxa"/>
            <w:gridSpan w:val="2"/>
            <w:shd w:val="clear" w:color="auto" w:fill="DEEAF6"/>
          </w:tcPr>
          <w:p>
            <w:pPr>
              <w:pStyle w:val="TableParagraph"/>
              <w:spacing w:before="21"/>
              <w:ind w:left="115"/>
              <w:rPr>
                <w:rFonts w:ascii="Arial"/>
                <w:b/>
                <w:sz w:val="20"/>
              </w:rPr>
            </w:pPr>
            <w:r>
              <w:rPr>
                <w:rFonts w:ascii="Arial"/>
                <w:b/>
                <w:sz w:val="20"/>
              </w:rPr>
              <w:t>CC.</w:t>
            </w:r>
          </w:p>
        </w:tc>
      </w:tr>
      <w:tr>
        <w:trPr>
          <w:trHeight w:val="287" w:hRule="atLeast"/>
        </w:trPr>
        <w:tc>
          <w:tcPr>
            <w:tcW w:w="5491" w:type="dxa"/>
          </w:tcPr>
          <w:p>
            <w:pPr>
              <w:pStyle w:val="TableParagraph"/>
              <w:rPr>
                <w:rFonts w:ascii="Times New Roman"/>
                <w:sz w:val="20"/>
              </w:rPr>
            </w:pPr>
          </w:p>
        </w:tc>
        <w:tc>
          <w:tcPr>
            <w:tcW w:w="5304" w:type="dxa"/>
          </w:tcPr>
          <w:p>
            <w:pPr>
              <w:pStyle w:val="TableParagraph"/>
              <w:rPr>
                <w:rFonts w:ascii="Times New Roman"/>
                <w:sz w:val="20"/>
              </w:rPr>
            </w:pPr>
          </w:p>
        </w:tc>
      </w:tr>
      <w:tr>
        <w:trPr>
          <w:trHeight w:val="283" w:hRule="atLeast"/>
        </w:trPr>
        <w:tc>
          <w:tcPr>
            <w:tcW w:w="10795" w:type="dxa"/>
            <w:gridSpan w:val="2"/>
            <w:shd w:val="clear" w:color="auto" w:fill="DEEAF6"/>
          </w:tcPr>
          <w:p>
            <w:pPr>
              <w:pStyle w:val="TableParagraph"/>
              <w:spacing w:before="23"/>
              <w:ind w:left="115"/>
              <w:rPr>
                <w:rFonts w:ascii="Arial"/>
                <w:b/>
                <w:sz w:val="20"/>
              </w:rPr>
            </w:pPr>
            <w:r>
              <w:rPr>
                <w:rFonts w:ascii="Arial"/>
                <w:b/>
                <w:sz w:val="20"/>
              </w:rPr>
              <w:t>DD.</w:t>
            </w:r>
          </w:p>
        </w:tc>
      </w:tr>
      <w:tr>
        <w:trPr>
          <w:trHeight w:val="271" w:hRule="atLeast"/>
        </w:trPr>
        <w:tc>
          <w:tcPr>
            <w:tcW w:w="5491" w:type="dxa"/>
          </w:tcPr>
          <w:p>
            <w:pPr>
              <w:pStyle w:val="TableParagraph"/>
              <w:rPr>
                <w:rFonts w:ascii="Times New Roman"/>
                <w:sz w:val="20"/>
              </w:rPr>
            </w:pPr>
          </w:p>
        </w:tc>
        <w:tc>
          <w:tcPr>
            <w:tcW w:w="5304" w:type="dxa"/>
          </w:tcPr>
          <w:p>
            <w:pPr>
              <w:pStyle w:val="TableParagraph"/>
              <w:rPr>
                <w:rFonts w:ascii="Times New Roman"/>
                <w:sz w:val="20"/>
              </w:rPr>
            </w:pPr>
          </w:p>
        </w:tc>
      </w:tr>
      <w:tr>
        <w:trPr>
          <w:trHeight w:val="282" w:hRule="atLeast"/>
        </w:trPr>
        <w:tc>
          <w:tcPr>
            <w:tcW w:w="10795" w:type="dxa"/>
            <w:gridSpan w:val="2"/>
            <w:shd w:val="clear" w:color="auto" w:fill="DEEAF6"/>
          </w:tcPr>
          <w:p>
            <w:pPr>
              <w:pStyle w:val="TableParagraph"/>
              <w:spacing w:before="23"/>
              <w:ind w:left="115"/>
              <w:rPr>
                <w:rFonts w:ascii="Arial"/>
                <w:b/>
                <w:sz w:val="20"/>
              </w:rPr>
            </w:pPr>
            <w:r>
              <w:rPr>
                <w:rFonts w:ascii="Arial"/>
                <w:b/>
                <w:sz w:val="20"/>
              </w:rPr>
              <w:t>EE.</w:t>
            </w:r>
          </w:p>
        </w:tc>
      </w:tr>
      <w:tr>
        <w:trPr>
          <w:trHeight w:val="290" w:hRule="atLeast"/>
        </w:trPr>
        <w:tc>
          <w:tcPr>
            <w:tcW w:w="5491" w:type="dxa"/>
          </w:tcPr>
          <w:p>
            <w:pPr>
              <w:pStyle w:val="TableParagraph"/>
              <w:rPr>
                <w:rFonts w:ascii="Times New Roman"/>
                <w:sz w:val="20"/>
              </w:rPr>
            </w:pPr>
          </w:p>
        </w:tc>
        <w:tc>
          <w:tcPr>
            <w:tcW w:w="5304" w:type="dxa"/>
          </w:tcPr>
          <w:p>
            <w:pPr>
              <w:pStyle w:val="TableParagraph"/>
              <w:rPr>
                <w:rFonts w:ascii="Times New Roman"/>
                <w:sz w:val="20"/>
              </w:rPr>
            </w:pPr>
          </w:p>
        </w:tc>
      </w:tr>
      <w:tr>
        <w:trPr>
          <w:trHeight w:val="282" w:hRule="atLeast"/>
        </w:trPr>
        <w:tc>
          <w:tcPr>
            <w:tcW w:w="10795" w:type="dxa"/>
            <w:gridSpan w:val="2"/>
            <w:shd w:val="clear" w:color="auto" w:fill="DEEAF6"/>
          </w:tcPr>
          <w:p>
            <w:pPr>
              <w:pStyle w:val="TableParagraph"/>
              <w:spacing w:before="23"/>
              <w:ind w:left="115"/>
              <w:rPr>
                <w:rFonts w:ascii="Arial"/>
                <w:b/>
                <w:sz w:val="20"/>
              </w:rPr>
            </w:pPr>
            <w:r>
              <w:rPr>
                <w:rFonts w:ascii="Arial"/>
                <w:b/>
                <w:sz w:val="20"/>
              </w:rPr>
              <w:t>FF.</w:t>
            </w:r>
          </w:p>
        </w:tc>
      </w:tr>
      <w:tr>
        <w:trPr>
          <w:trHeight w:val="270" w:hRule="atLeast"/>
        </w:trPr>
        <w:tc>
          <w:tcPr>
            <w:tcW w:w="5491" w:type="dxa"/>
          </w:tcPr>
          <w:p>
            <w:pPr>
              <w:pStyle w:val="TableParagraph"/>
              <w:rPr>
                <w:rFonts w:ascii="Times New Roman"/>
                <w:sz w:val="20"/>
              </w:rPr>
            </w:pPr>
          </w:p>
        </w:tc>
        <w:tc>
          <w:tcPr>
            <w:tcW w:w="5304" w:type="dxa"/>
          </w:tcPr>
          <w:p>
            <w:pPr>
              <w:pStyle w:val="TableParagraph"/>
              <w:rPr>
                <w:rFonts w:ascii="Times New Roman"/>
                <w:sz w:val="20"/>
              </w:rPr>
            </w:pPr>
          </w:p>
        </w:tc>
      </w:tr>
    </w:tbl>
    <w:p>
      <w:pPr>
        <w:pStyle w:val="BodyText"/>
        <w:spacing w:before="11"/>
        <w:rPr>
          <w:rFonts w:ascii="Arial"/>
          <w:b/>
          <w:sz w:val="23"/>
        </w:rPr>
      </w:pPr>
      <w:r>
        <w:rPr/>
        <w:pict>
          <v:shape style="position:absolute;margin-left:70.559998pt;margin-top:15.992829pt;width:650.9pt;height:.1pt;mso-position-horizontal-relative:page;mso-position-vertical-relative:paragraph;z-index:-251252736;mso-wrap-distance-left:0;mso-wrap-distance-right:0" coordorigin="1411,320" coordsize="13018,0" path="m1411,320l14429,320e" filled="false" stroked="true" strokeweight=".481pt" strokecolor="#d9d9d9">
            <v:path arrowok="t"/>
            <v:stroke dashstyle="solid"/>
            <w10:wrap type="topAndBottom"/>
          </v:shape>
        </w:pict>
      </w:r>
    </w:p>
    <w:p>
      <w:pPr>
        <w:spacing w:after="0"/>
        <w:rPr>
          <w:rFonts w:ascii="Arial"/>
          <w:sz w:val="23"/>
        </w:rPr>
        <w:sectPr>
          <w:footerReference w:type="default" r:id="rId185"/>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231"/>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w:t>
      </w:r>
      <w:r>
        <w:rPr>
          <w:spacing w:val="-31"/>
        </w:rPr>
        <w:t> </w:t>
      </w:r>
      <w:r>
        <w:rPr/>
        <w:t>2017</w:t>
      </w:r>
    </w:p>
    <w:p>
      <w:pPr>
        <w:pStyle w:val="BodyText"/>
        <w:spacing w:before="5"/>
        <w:rPr>
          <w:b/>
          <w:sz w:val="13"/>
        </w:rPr>
      </w:pPr>
      <w:r>
        <w:rPr/>
        <w:drawing>
          <wp:anchor distT="0" distB="0" distL="0" distR="0" allowOverlap="1" layoutInCell="1" locked="0" behindDoc="0" simplePos="0" relativeHeight="399">
            <wp:simplePos x="0" y="0"/>
            <wp:positionH relativeFrom="page">
              <wp:posOffset>987425</wp:posOffset>
            </wp:positionH>
            <wp:positionV relativeFrom="paragraph">
              <wp:posOffset>132293</wp:posOffset>
            </wp:positionV>
            <wp:extent cx="953494" cy="327660"/>
            <wp:effectExtent l="0" t="0" r="0" b="0"/>
            <wp:wrapTopAndBottom/>
            <wp:docPr id="35" name="image24.png"/>
            <wp:cNvGraphicFramePr>
              <a:graphicFrameLocks noChangeAspect="1"/>
            </wp:cNvGraphicFramePr>
            <a:graphic>
              <a:graphicData uri="http://schemas.openxmlformats.org/drawingml/2006/picture">
                <pic:pic>
                  <pic:nvPicPr>
                    <pic:cNvPr id="36" name="image24.png"/>
                    <pic:cNvPicPr/>
                  </pic:nvPicPr>
                  <pic:blipFill>
                    <a:blip r:embed="rId183" cstate="print"/>
                    <a:stretch>
                      <a:fillRect/>
                    </a:stretch>
                  </pic:blipFill>
                  <pic:spPr>
                    <a:xfrm>
                      <a:off x="0" y="0"/>
                      <a:ext cx="953494" cy="327660"/>
                    </a:xfrm>
                    <a:prstGeom prst="rect">
                      <a:avLst/>
                    </a:prstGeom>
                  </pic:spPr>
                </pic:pic>
              </a:graphicData>
            </a:graphic>
          </wp:anchor>
        </w:drawing>
      </w:r>
      <w:r>
        <w:rPr/>
        <w:pict>
          <v:shape style="position:absolute;margin-left:170.880005pt;margin-top:10.166797pt;width:441.15pt;height:77.9pt;mso-position-horizontal-relative:page;mso-position-vertical-relative:paragraph;z-index:-251658240;mso-wrap-distance-left:0;mso-wrap-distance-right:0"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851"/>
                    <w:gridCol w:w="2964"/>
                  </w:tblGrid>
                  <w:tr>
                    <w:trPr>
                      <w:trHeight w:val="513" w:hRule="atLeast"/>
                    </w:trPr>
                    <w:tc>
                      <w:tcPr>
                        <w:tcW w:w="5851" w:type="dxa"/>
                      </w:tcPr>
                      <w:p>
                        <w:pPr>
                          <w:pStyle w:val="TableParagraph"/>
                          <w:spacing w:before="18"/>
                          <w:ind w:left="115"/>
                          <w:rPr>
                            <w:rFonts w:ascii="Arial" w:hAnsi="Arial"/>
                            <w:sz w:val="16"/>
                          </w:rPr>
                        </w:pPr>
                        <w:r>
                          <w:rPr>
                            <w:rFonts w:ascii="Arial" w:hAnsi="Arial"/>
                            <w:sz w:val="16"/>
                          </w:rPr>
                          <w:t>ADULT FAMILY HOME’S (AFH) NAME</w:t>
                        </w:r>
                      </w:p>
                    </w:tc>
                    <w:tc>
                      <w:tcPr>
                        <w:tcW w:w="2964" w:type="dxa"/>
                      </w:tcPr>
                      <w:p>
                        <w:pPr>
                          <w:pStyle w:val="TableParagraph"/>
                          <w:spacing w:before="18"/>
                          <w:ind w:left="112"/>
                          <w:rPr>
                            <w:rFonts w:ascii="Arial"/>
                            <w:sz w:val="16"/>
                          </w:rPr>
                        </w:pPr>
                        <w:r>
                          <w:rPr>
                            <w:rFonts w:ascii="Arial"/>
                            <w:sz w:val="16"/>
                          </w:rPr>
                          <w:t>LICENSE NUMBER</w:t>
                        </w:r>
                      </w:p>
                    </w:tc>
                  </w:tr>
                  <w:tr>
                    <w:trPr>
                      <w:trHeight w:val="513" w:hRule="atLeast"/>
                    </w:trPr>
                    <w:tc>
                      <w:tcPr>
                        <w:tcW w:w="5851" w:type="dxa"/>
                      </w:tcPr>
                      <w:p>
                        <w:pPr>
                          <w:pStyle w:val="TableParagraph"/>
                          <w:spacing w:before="18"/>
                          <w:ind w:left="115"/>
                          <w:rPr>
                            <w:rFonts w:ascii="Arial" w:hAnsi="Arial"/>
                            <w:sz w:val="16"/>
                          </w:rPr>
                        </w:pPr>
                        <w:r>
                          <w:rPr>
                            <w:rFonts w:ascii="Arial" w:hAnsi="Arial"/>
                            <w:sz w:val="16"/>
                          </w:rPr>
                          <w:t>PROVIDER / LICENSEE’S NAME</w:t>
                        </w:r>
                      </w:p>
                    </w:tc>
                    <w:tc>
                      <w:tcPr>
                        <w:tcW w:w="2964" w:type="dxa"/>
                      </w:tcPr>
                      <w:p>
                        <w:pPr>
                          <w:pStyle w:val="TableParagraph"/>
                          <w:spacing w:before="18"/>
                          <w:ind w:left="112"/>
                          <w:rPr>
                            <w:rFonts w:ascii="Arial"/>
                            <w:sz w:val="16"/>
                          </w:rPr>
                        </w:pPr>
                        <w:r>
                          <w:rPr>
                            <w:rFonts w:ascii="Arial"/>
                            <w:sz w:val="16"/>
                          </w:rPr>
                          <w:t>INSPECTION DATE</w:t>
                        </w:r>
                      </w:p>
                    </w:tc>
                  </w:tr>
                  <w:tr>
                    <w:trPr>
                      <w:trHeight w:val="511" w:hRule="atLeast"/>
                    </w:trPr>
                    <w:tc>
                      <w:tcPr>
                        <w:tcW w:w="8815" w:type="dxa"/>
                        <w:gridSpan w:val="2"/>
                      </w:tcPr>
                      <w:p>
                        <w:pPr>
                          <w:pStyle w:val="TableParagraph"/>
                          <w:spacing w:before="18"/>
                          <w:ind w:left="115"/>
                          <w:rPr>
                            <w:rFonts w:ascii="Arial" w:hAnsi="Arial"/>
                            <w:sz w:val="16"/>
                          </w:rPr>
                        </w:pPr>
                        <w:r>
                          <w:rPr>
                            <w:rFonts w:ascii="Arial" w:hAnsi="Arial"/>
                            <w:sz w:val="16"/>
                          </w:rPr>
                          <w:t>LICENSOR’S NAME</w:t>
                        </w:r>
                      </w:p>
                    </w:tc>
                  </w:tr>
                </w:tbl>
                <w:p>
                  <w:pPr>
                    <w:pStyle w:val="BodyText"/>
                  </w:pPr>
                </w:p>
              </w:txbxContent>
            </v:textbox>
            <w10:wrap type="topAndBottom"/>
          </v:shape>
        </w:pict>
      </w:r>
    </w:p>
    <w:p>
      <w:pPr>
        <w:spacing w:line="183" w:lineRule="exact" w:before="89"/>
        <w:ind w:left="756" w:right="2957" w:firstLine="0"/>
        <w:jc w:val="center"/>
        <w:rPr>
          <w:rFonts w:ascii="Arial"/>
          <w:sz w:val="16"/>
        </w:rPr>
      </w:pPr>
      <w:r>
        <w:rPr>
          <w:rFonts w:ascii="Arial"/>
          <w:sz w:val="16"/>
        </w:rPr>
        <w:t>AGING AND LONG-TERM SUPPORT ADMINISTRATION</w:t>
      </w:r>
      <w:r>
        <w:rPr>
          <w:rFonts w:ascii="Arial"/>
          <w:spacing w:val="-21"/>
          <w:sz w:val="16"/>
        </w:rPr>
        <w:t> </w:t>
      </w:r>
      <w:r>
        <w:rPr>
          <w:rFonts w:ascii="Arial"/>
          <w:sz w:val="16"/>
        </w:rPr>
        <w:t>(ALTSA)</w:t>
      </w:r>
    </w:p>
    <w:p>
      <w:pPr>
        <w:tabs>
          <w:tab w:pos="4844" w:val="left" w:leader="none"/>
          <w:tab w:pos="5619" w:val="left" w:leader="none"/>
        </w:tabs>
        <w:spacing w:before="0"/>
        <w:ind w:left="3011" w:right="5215" w:firstLine="0"/>
        <w:jc w:val="center"/>
        <w:rPr>
          <w:rFonts w:ascii="Arial"/>
          <w:b/>
          <w:sz w:val="28"/>
        </w:rPr>
      </w:pPr>
      <w:r>
        <w:rPr/>
        <w:pict>
          <v:rect style="position:absolute;margin-left:347.76001pt;margin-top:21.051825pt;width:9.24pt;height:9.24pt;mso-position-horizontal-relative:page;mso-position-vertical-relative:paragraph;z-index:-270868480" filled="false" stroked="true" strokeweight=".72pt" strokecolor="#000000">
            <v:stroke dashstyle="solid"/>
            <w10:wrap type="none"/>
          </v:rect>
        </w:pict>
      </w:r>
      <w:r>
        <w:rPr/>
        <w:pict>
          <v:rect style="position:absolute;margin-left:386.519989pt;margin-top:21.051825pt;width:9.24pt;height:9.24pt;mso-position-horizontal-relative:page;mso-position-vertical-relative:paragraph;z-index:-270867456" filled="false" stroked="true" strokeweight=".72pt" strokecolor="#000000">
            <v:stroke dashstyle="solid"/>
            <w10:wrap type="none"/>
          </v:rect>
        </w:pict>
      </w:r>
      <w:r>
        <w:rPr>
          <w:rFonts w:ascii="Arial"/>
          <w:b/>
          <w:sz w:val="28"/>
        </w:rPr>
        <w:t>Comprehensive Resident / Representative</w:t>
      </w:r>
      <w:r>
        <w:rPr>
          <w:rFonts w:ascii="Arial"/>
          <w:b/>
          <w:spacing w:val="-27"/>
          <w:sz w:val="28"/>
        </w:rPr>
        <w:t> </w:t>
      </w:r>
      <w:r>
        <w:rPr>
          <w:rFonts w:ascii="Arial"/>
          <w:b/>
          <w:sz w:val="28"/>
        </w:rPr>
        <w:t>Interview (Resident:</w:t>
        <w:tab/>
        <w:t>1</w:t>
        <w:tab/>
        <w:t>2)</w:t>
      </w:r>
    </w:p>
    <w:p>
      <w:pPr>
        <w:pStyle w:val="BodyText"/>
        <w:spacing w:before="7"/>
        <w:rPr>
          <w:rFonts w:ascii="Arial"/>
          <w:b/>
          <w:sz w:val="5"/>
        </w:rPr>
      </w:pPr>
    </w:p>
    <w:tbl>
      <w:tblPr>
        <w:tblW w:w="0" w:type="auto"/>
        <w:jc w:val="left"/>
        <w:tblInd w:w="10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491"/>
        <w:gridCol w:w="5304"/>
      </w:tblGrid>
      <w:tr>
        <w:trPr>
          <w:trHeight w:val="282" w:hRule="atLeast"/>
        </w:trPr>
        <w:tc>
          <w:tcPr>
            <w:tcW w:w="10795" w:type="dxa"/>
            <w:gridSpan w:val="2"/>
            <w:shd w:val="clear" w:color="auto" w:fill="DEEAF6"/>
          </w:tcPr>
          <w:p>
            <w:pPr>
              <w:pStyle w:val="TableParagraph"/>
              <w:spacing w:before="23"/>
              <w:ind w:left="115"/>
              <w:rPr>
                <w:rFonts w:ascii="Arial"/>
                <w:b/>
                <w:sz w:val="20"/>
              </w:rPr>
            </w:pPr>
            <w:r>
              <w:rPr>
                <w:rFonts w:ascii="Arial"/>
                <w:b/>
                <w:sz w:val="20"/>
              </w:rPr>
              <w:t>GG.</w:t>
            </w:r>
          </w:p>
        </w:tc>
      </w:tr>
      <w:tr>
        <w:trPr>
          <w:trHeight w:val="290" w:hRule="atLeast"/>
        </w:trPr>
        <w:tc>
          <w:tcPr>
            <w:tcW w:w="5491" w:type="dxa"/>
          </w:tcPr>
          <w:p>
            <w:pPr>
              <w:pStyle w:val="TableParagraph"/>
              <w:rPr>
                <w:rFonts w:ascii="Times New Roman"/>
                <w:sz w:val="20"/>
              </w:rPr>
            </w:pPr>
          </w:p>
        </w:tc>
        <w:tc>
          <w:tcPr>
            <w:tcW w:w="5304" w:type="dxa"/>
          </w:tcPr>
          <w:p>
            <w:pPr>
              <w:pStyle w:val="TableParagraph"/>
              <w:rPr>
                <w:rFonts w:ascii="Times New Roman"/>
                <w:sz w:val="20"/>
              </w:rPr>
            </w:pPr>
          </w:p>
        </w:tc>
      </w:tr>
    </w:tbl>
    <w:p>
      <w:pPr>
        <w:spacing w:before="3"/>
        <w:ind w:left="2919" w:right="2957" w:firstLine="0"/>
        <w:jc w:val="center"/>
        <w:rPr>
          <w:b/>
          <w:sz w:val="28"/>
        </w:rPr>
      </w:pPr>
      <w:bookmarkStart w:name="_bookmark61" w:id="222"/>
      <w:bookmarkEnd w:id="222"/>
      <w:r>
        <w:rPr/>
      </w:r>
      <w:r>
        <w:rPr>
          <w:b/>
          <w:sz w:val="28"/>
        </w:rPr>
        <w:t>WA.0409</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5"/>
        </w:rPr>
      </w:pPr>
      <w:r>
        <w:rPr/>
        <w:pict>
          <v:shape style="position:absolute;margin-left:70.559998pt;margin-top:17.958298pt;width:650.9pt;height:.1pt;mso-position-horizontal-relative:page;mso-position-vertical-relative:paragraph;z-index:-251248640;mso-wrap-distance-left:0;mso-wrap-distance-right:0" coordorigin="1411,359" coordsize="13018,0" path="m1411,359l14429,359e" filled="false" stroked="true" strokeweight=".481pt" strokecolor="#d9d9d9">
            <v:path arrowok="t"/>
            <v:stroke dashstyle="solid"/>
            <w10:wrap type="topAndBottom"/>
          </v:shape>
        </w:pict>
      </w:r>
    </w:p>
    <w:p>
      <w:pPr>
        <w:spacing w:after="0"/>
        <w:rPr>
          <w:sz w:val="2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bookmarkStart w:name="_bookmark62" w:id="223"/>
      <w:bookmarkEnd w:id="223"/>
      <w:r>
        <w:rPr>
          <w:b w:val="0"/>
        </w:rPr>
      </w: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5"/>
        <w:rPr>
          <w:b/>
          <w:sz w:val="13"/>
        </w:rPr>
      </w:pPr>
      <w:r>
        <w:rPr/>
        <w:drawing>
          <wp:anchor distT="0" distB="0" distL="0" distR="0" allowOverlap="1" layoutInCell="1" locked="0" behindDoc="0" simplePos="0" relativeHeight="403">
            <wp:simplePos x="0" y="0"/>
            <wp:positionH relativeFrom="page">
              <wp:posOffset>3152775</wp:posOffset>
            </wp:positionH>
            <wp:positionV relativeFrom="paragraph">
              <wp:posOffset>129118</wp:posOffset>
            </wp:positionV>
            <wp:extent cx="3754209" cy="4895850"/>
            <wp:effectExtent l="0" t="0" r="0" b="0"/>
            <wp:wrapTopAndBottom/>
            <wp:docPr id="37" name="image25.png"/>
            <wp:cNvGraphicFramePr>
              <a:graphicFrameLocks noChangeAspect="1"/>
            </wp:cNvGraphicFramePr>
            <a:graphic>
              <a:graphicData uri="http://schemas.openxmlformats.org/drawingml/2006/picture">
                <pic:pic>
                  <pic:nvPicPr>
                    <pic:cNvPr id="38" name="image25.png"/>
                    <pic:cNvPicPr/>
                  </pic:nvPicPr>
                  <pic:blipFill>
                    <a:blip r:embed="rId186" cstate="print"/>
                    <a:stretch>
                      <a:fillRect/>
                    </a:stretch>
                  </pic:blipFill>
                  <pic:spPr>
                    <a:xfrm>
                      <a:off x="0" y="0"/>
                      <a:ext cx="3754209" cy="489585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8"/>
        </w:rPr>
      </w:pPr>
      <w:r>
        <w:rPr/>
        <w:pict>
          <v:shape style="position:absolute;margin-left:70.559998pt;margin-top:13.534344pt;width:650.9pt;height:.1pt;mso-position-horizontal-relative:page;mso-position-vertical-relative:paragraph;z-index:-251244544;mso-wrap-distance-left:0;mso-wrap-distance-right:0" coordorigin="1411,271" coordsize="13018,0" path="m1411,271l14429,271e" filled="false" stroked="true" strokeweight=".481pt" strokecolor="#d9d9d9">
            <v:path arrowok="t"/>
            <v:stroke dashstyle="solid"/>
            <w10:wrap type="topAndBottom"/>
          </v:shape>
        </w:pict>
      </w:r>
    </w:p>
    <w:p>
      <w:pPr>
        <w:spacing w:after="0"/>
        <w:rPr>
          <w:sz w:val="1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5"/>
        <w:rPr>
          <w:b/>
          <w:sz w:val="13"/>
        </w:rPr>
      </w:pPr>
      <w:r>
        <w:rPr/>
        <w:drawing>
          <wp:anchor distT="0" distB="0" distL="0" distR="0" allowOverlap="1" layoutInCell="1" locked="0" behindDoc="0" simplePos="0" relativeHeight="405">
            <wp:simplePos x="0" y="0"/>
            <wp:positionH relativeFrom="page">
              <wp:posOffset>3009900</wp:posOffset>
            </wp:positionH>
            <wp:positionV relativeFrom="paragraph">
              <wp:posOffset>129118</wp:posOffset>
            </wp:positionV>
            <wp:extent cx="4032095" cy="5078158"/>
            <wp:effectExtent l="0" t="0" r="0" b="0"/>
            <wp:wrapTopAndBottom/>
            <wp:docPr id="39" name="image26.jpeg"/>
            <wp:cNvGraphicFramePr>
              <a:graphicFrameLocks noChangeAspect="1"/>
            </wp:cNvGraphicFramePr>
            <a:graphic>
              <a:graphicData uri="http://schemas.openxmlformats.org/drawingml/2006/picture">
                <pic:pic>
                  <pic:nvPicPr>
                    <pic:cNvPr id="40" name="image26.jpeg"/>
                    <pic:cNvPicPr/>
                  </pic:nvPicPr>
                  <pic:blipFill>
                    <a:blip r:embed="rId187" cstate="print"/>
                    <a:stretch>
                      <a:fillRect/>
                    </a:stretch>
                  </pic:blipFill>
                  <pic:spPr>
                    <a:xfrm>
                      <a:off x="0" y="0"/>
                      <a:ext cx="4032095" cy="5078158"/>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5"/>
        </w:rPr>
      </w:pPr>
      <w:r>
        <w:rPr/>
        <w:pict>
          <v:shape style="position:absolute;margin-left:70.559998pt;margin-top:11.386375pt;width:650.9pt;height:.1pt;mso-position-horizontal-relative:page;mso-position-vertical-relative:paragraph;z-index:-251242496;mso-wrap-distance-left:0;mso-wrap-distance-right:0" coordorigin="1411,228" coordsize="13018,0" path="m1411,228l14429,228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19" w:right="2957" w:firstLine="0"/>
        <w:jc w:val="center"/>
        <w:rPr>
          <w:b/>
          <w:sz w:val="28"/>
        </w:rPr>
      </w:pPr>
      <w:r>
        <w:rPr/>
        <w:drawing>
          <wp:anchor distT="0" distB="0" distL="0" distR="0" allowOverlap="1" layoutInCell="1" locked="0" behindDoc="0" simplePos="0" relativeHeight="407">
            <wp:simplePos x="0" y="0"/>
            <wp:positionH relativeFrom="page">
              <wp:posOffset>3114675</wp:posOffset>
            </wp:positionH>
            <wp:positionV relativeFrom="paragraph">
              <wp:posOffset>248539</wp:posOffset>
            </wp:positionV>
            <wp:extent cx="3823079" cy="4961001"/>
            <wp:effectExtent l="0" t="0" r="0" b="0"/>
            <wp:wrapTopAndBottom/>
            <wp:docPr id="41" name="image27.jpeg"/>
            <wp:cNvGraphicFramePr>
              <a:graphicFrameLocks noChangeAspect="1"/>
            </wp:cNvGraphicFramePr>
            <a:graphic>
              <a:graphicData uri="http://schemas.openxmlformats.org/drawingml/2006/picture">
                <pic:pic>
                  <pic:nvPicPr>
                    <pic:cNvPr id="42" name="image27.jpeg"/>
                    <pic:cNvPicPr/>
                  </pic:nvPicPr>
                  <pic:blipFill>
                    <a:blip r:embed="rId188" cstate="print"/>
                    <a:stretch>
                      <a:fillRect/>
                    </a:stretch>
                  </pic:blipFill>
                  <pic:spPr>
                    <a:xfrm>
                      <a:off x="0" y="0"/>
                      <a:ext cx="3823079" cy="4961001"/>
                    </a:xfrm>
                    <a:prstGeom prst="rect">
                      <a:avLst/>
                    </a:prstGeom>
                  </pic:spPr>
                </pic:pic>
              </a:graphicData>
            </a:graphic>
          </wp:anchor>
        </w:drawing>
      </w:r>
      <w:bookmarkStart w:name="WA.0410" w:id="224"/>
      <w:bookmarkEnd w:id="224"/>
      <w:r>
        <w:rPr/>
      </w:r>
      <w:bookmarkStart w:name="_bookmark63" w:id="225"/>
      <w:bookmarkEnd w:id="225"/>
      <w:r>
        <w:rPr/>
      </w:r>
      <w:r>
        <w:rPr>
          <w:b/>
          <w:sz w:val="28"/>
          <w:u w:val="single"/>
        </w:rPr>
        <w:t>WA.0410</w:t>
      </w:r>
    </w:p>
    <w:p>
      <w:pPr>
        <w:pStyle w:val="BodyText"/>
        <w:rPr>
          <w:b/>
          <w:sz w:val="20"/>
        </w:rPr>
      </w:pPr>
    </w:p>
    <w:p>
      <w:pPr>
        <w:pStyle w:val="BodyText"/>
        <w:rPr>
          <w:b/>
          <w:sz w:val="20"/>
        </w:rPr>
      </w:pPr>
    </w:p>
    <w:p>
      <w:pPr>
        <w:pStyle w:val="BodyText"/>
        <w:rPr>
          <w:b/>
          <w:sz w:val="20"/>
        </w:rPr>
      </w:pPr>
    </w:p>
    <w:p>
      <w:pPr>
        <w:pStyle w:val="BodyText"/>
        <w:spacing w:before="11"/>
        <w:rPr>
          <w:b/>
          <w:sz w:val="17"/>
        </w:rPr>
      </w:pPr>
      <w:r>
        <w:rPr/>
        <w:pict>
          <v:shape style="position:absolute;margin-left:70.559998pt;margin-top:13.138406pt;width:650.9pt;height:.1pt;mso-position-horizontal-relative:page;mso-position-vertical-relative:paragraph;z-index:-251240448;mso-wrap-distance-left:0;mso-wrap-distance-right:0" coordorigin="1411,263" coordsize="13018,0" path="m1411,263l14429,263e" filled="false" stroked="true" strokeweight=".481pt" strokecolor="#d9d9d9">
            <v:path arrowok="t"/>
            <v:stroke dashstyle="solid"/>
            <w10:wrap type="topAndBottom"/>
          </v:shape>
        </w:pict>
      </w:r>
    </w:p>
    <w:p>
      <w:pPr>
        <w:spacing w:after="0"/>
        <w:rPr>
          <w:sz w:val="17"/>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5"/>
        <w:rPr>
          <w:b/>
          <w:sz w:val="13"/>
        </w:rPr>
      </w:pPr>
      <w:r>
        <w:rPr/>
        <w:drawing>
          <wp:anchor distT="0" distB="0" distL="0" distR="0" allowOverlap="1" layoutInCell="1" locked="0" behindDoc="0" simplePos="0" relativeHeight="409">
            <wp:simplePos x="0" y="0"/>
            <wp:positionH relativeFrom="page">
              <wp:posOffset>2996882</wp:posOffset>
            </wp:positionH>
            <wp:positionV relativeFrom="paragraph">
              <wp:posOffset>129118</wp:posOffset>
            </wp:positionV>
            <wp:extent cx="4055907" cy="5217604"/>
            <wp:effectExtent l="0" t="0" r="0" b="0"/>
            <wp:wrapTopAndBottom/>
            <wp:docPr id="43" name="image28.jpeg"/>
            <wp:cNvGraphicFramePr>
              <a:graphicFrameLocks noChangeAspect="1"/>
            </wp:cNvGraphicFramePr>
            <a:graphic>
              <a:graphicData uri="http://schemas.openxmlformats.org/drawingml/2006/picture">
                <pic:pic>
                  <pic:nvPicPr>
                    <pic:cNvPr id="44" name="image28.jpeg"/>
                    <pic:cNvPicPr/>
                  </pic:nvPicPr>
                  <pic:blipFill>
                    <a:blip r:embed="rId189" cstate="print"/>
                    <a:stretch>
                      <a:fillRect/>
                    </a:stretch>
                  </pic:blipFill>
                  <pic:spPr>
                    <a:xfrm>
                      <a:off x="0" y="0"/>
                      <a:ext cx="4055907" cy="5217604"/>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17"/>
        </w:rPr>
      </w:pPr>
      <w:r>
        <w:rPr/>
        <w:pict>
          <v:shape style="position:absolute;margin-left:70.559998pt;margin-top:12.613406pt;width:650.9pt;height:.1pt;mso-position-horizontal-relative:page;mso-position-vertical-relative:paragraph;z-index:-251238400;mso-wrap-distance-left:0;mso-wrap-distance-right:0" coordorigin="1411,252" coordsize="13018,0" path="m1411,252l14429,252e" filled="false" stroked="true" strokeweight=".481pt" strokecolor="#d9d9d9">
            <v:path arrowok="t"/>
            <v:stroke dashstyle="solid"/>
            <w10:wrap type="topAndBottom"/>
          </v:shape>
        </w:pict>
      </w:r>
    </w:p>
    <w:p>
      <w:pPr>
        <w:spacing w:after="0"/>
        <w:rPr>
          <w:sz w:val="17"/>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19" w:right="2957" w:firstLine="0"/>
        <w:jc w:val="center"/>
        <w:rPr>
          <w:b/>
          <w:sz w:val="28"/>
        </w:rPr>
      </w:pPr>
      <w:r>
        <w:rPr/>
        <w:drawing>
          <wp:anchor distT="0" distB="0" distL="0" distR="0" allowOverlap="1" layoutInCell="1" locked="0" behindDoc="0" simplePos="0" relativeHeight="411">
            <wp:simplePos x="0" y="0"/>
            <wp:positionH relativeFrom="page">
              <wp:posOffset>3057525</wp:posOffset>
            </wp:positionH>
            <wp:positionV relativeFrom="paragraph">
              <wp:posOffset>248539</wp:posOffset>
            </wp:positionV>
            <wp:extent cx="3963453" cy="5057775"/>
            <wp:effectExtent l="0" t="0" r="0" b="0"/>
            <wp:wrapTopAndBottom/>
            <wp:docPr id="45" name="image29.jpeg"/>
            <wp:cNvGraphicFramePr>
              <a:graphicFrameLocks noChangeAspect="1"/>
            </wp:cNvGraphicFramePr>
            <a:graphic>
              <a:graphicData uri="http://schemas.openxmlformats.org/drawingml/2006/picture">
                <pic:pic>
                  <pic:nvPicPr>
                    <pic:cNvPr id="46" name="image29.jpeg"/>
                    <pic:cNvPicPr/>
                  </pic:nvPicPr>
                  <pic:blipFill>
                    <a:blip r:embed="rId190" cstate="print"/>
                    <a:stretch>
                      <a:fillRect/>
                    </a:stretch>
                  </pic:blipFill>
                  <pic:spPr>
                    <a:xfrm>
                      <a:off x="0" y="0"/>
                      <a:ext cx="3963453" cy="5057775"/>
                    </a:xfrm>
                    <a:prstGeom prst="rect">
                      <a:avLst/>
                    </a:prstGeom>
                  </pic:spPr>
                </pic:pic>
              </a:graphicData>
            </a:graphic>
          </wp:anchor>
        </w:drawing>
      </w:r>
      <w:bookmarkStart w:name="WA.0411" w:id="226"/>
      <w:bookmarkEnd w:id="226"/>
      <w:r>
        <w:rPr/>
      </w:r>
      <w:bookmarkStart w:name="_bookmark64" w:id="227"/>
      <w:bookmarkEnd w:id="227"/>
      <w:r>
        <w:rPr/>
      </w:r>
      <w:r>
        <w:rPr>
          <w:b/>
          <w:sz w:val="28"/>
          <w:u w:val="single"/>
        </w:rPr>
        <w:t>WA.0411</w:t>
      </w:r>
    </w:p>
    <w:p>
      <w:pPr>
        <w:pStyle w:val="BodyText"/>
        <w:rPr>
          <w:b/>
          <w:sz w:val="20"/>
        </w:rPr>
      </w:pPr>
    </w:p>
    <w:p>
      <w:pPr>
        <w:pStyle w:val="BodyText"/>
        <w:rPr>
          <w:b/>
          <w:sz w:val="20"/>
        </w:rPr>
      </w:pPr>
    </w:p>
    <w:p>
      <w:pPr>
        <w:pStyle w:val="BodyText"/>
        <w:spacing w:before="5"/>
        <w:rPr>
          <w:b/>
          <w:sz w:val="25"/>
        </w:rPr>
      </w:pPr>
      <w:r>
        <w:rPr/>
        <w:pict>
          <v:shape style="position:absolute;margin-left:70.559998pt;margin-top:17.725437pt;width:650.9pt;height:.1pt;mso-position-horizontal-relative:page;mso-position-vertical-relative:paragraph;z-index:-251236352;mso-wrap-distance-left:0;mso-wrap-distance-right:0" coordorigin="1411,355" coordsize="13018,0" path="m1411,355l14429,355e" filled="false" stroked="true" strokeweight=".481pt" strokecolor="#d9d9d9">
            <v:path arrowok="t"/>
            <v:stroke dashstyle="solid"/>
            <w10:wrap type="topAndBottom"/>
          </v:shape>
        </w:pict>
      </w:r>
    </w:p>
    <w:p>
      <w:pPr>
        <w:spacing w:after="0"/>
        <w:rPr>
          <w:sz w:val="2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5"/>
        <w:rPr>
          <w:b/>
          <w:sz w:val="13"/>
        </w:rPr>
      </w:pPr>
      <w:r>
        <w:rPr/>
        <w:drawing>
          <wp:anchor distT="0" distB="0" distL="0" distR="0" allowOverlap="1" layoutInCell="1" locked="0" behindDoc="0" simplePos="0" relativeHeight="413">
            <wp:simplePos x="0" y="0"/>
            <wp:positionH relativeFrom="page">
              <wp:posOffset>2876550</wp:posOffset>
            </wp:positionH>
            <wp:positionV relativeFrom="paragraph">
              <wp:posOffset>129118</wp:posOffset>
            </wp:positionV>
            <wp:extent cx="4272887" cy="5474208"/>
            <wp:effectExtent l="0" t="0" r="0" b="0"/>
            <wp:wrapTopAndBottom/>
            <wp:docPr id="47" name="image30.jpeg"/>
            <wp:cNvGraphicFramePr>
              <a:graphicFrameLocks noChangeAspect="1"/>
            </wp:cNvGraphicFramePr>
            <a:graphic>
              <a:graphicData uri="http://schemas.openxmlformats.org/drawingml/2006/picture">
                <pic:pic>
                  <pic:nvPicPr>
                    <pic:cNvPr id="48" name="image30.jpeg"/>
                    <pic:cNvPicPr/>
                  </pic:nvPicPr>
                  <pic:blipFill>
                    <a:blip r:embed="rId191" cstate="print"/>
                    <a:stretch>
                      <a:fillRect/>
                    </a:stretch>
                  </pic:blipFill>
                  <pic:spPr>
                    <a:xfrm>
                      <a:off x="0" y="0"/>
                      <a:ext cx="4272887" cy="5474208"/>
                    </a:xfrm>
                    <a:prstGeom prst="rect">
                      <a:avLst/>
                    </a:prstGeom>
                  </pic:spPr>
                </pic:pic>
              </a:graphicData>
            </a:graphic>
          </wp:anchor>
        </w:drawing>
      </w:r>
    </w:p>
    <w:p>
      <w:pPr>
        <w:pStyle w:val="BodyText"/>
        <w:rPr>
          <w:b/>
          <w:sz w:val="20"/>
        </w:rPr>
      </w:pPr>
    </w:p>
    <w:p>
      <w:pPr>
        <w:pStyle w:val="BodyText"/>
        <w:spacing w:before="11"/>
        <w:rPr>
          <w:b/>
          <w:sz w:val="23"/>
        </w:rPr>
      </w:pPr>
      <w:r>
        <w:rPr/>
        <w:pict>
          <v:shape style="position:absolute;margin-left:70.559998pt;margin-top:16.822468pt;width:650.9pt;height:.1pt;mso-position-horizontal-relative:page;mso-position-vertical-relative:paragraph;z-index:-251234304;mso-wrap-distance-left:0;mso-wrap-distance-right:0" coordorigin="1411,336" coordsize="13018,0" path="m1411,336l14429,336e" filled="false" stroked="true" strokeweight=".481pt" strokecolor="#d9d9d9">
            <v:path arrowok="t"/>
            <v:stroke dashstyle="solid"/>
            <w10:wrap type="topAndBottom"/>
          </v:shape>
        </w:pict>
      </w:r>
    </w:p>
    <w:p>
      <w:pPr>
        <w:spacing w:after="0"/>
        <w:rPr>
          <w:sz w:val="23"/>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0"/>
        <w:rPr>
          <w:b/>
          <w:sz w:val="16"/>
        </w:rPr>
      </w:pPr>
    </w:p>
    <w:p>
      <w:pPr>
        <w:spacing w:before="0"/>
        <w:ind w:left="2920" w:right="2957" w:firstLine="0"/>
        <w:jc w:val="center"/>
        <w:rPr>
          <w:b/>
          <w:sz w:val="28"/>
        </w:rPr>
      </w:pPr>
      <w:r>
        <w:rPr/>
        <w:pict>
          <v:group style="position:absolute;margin-left:275.25pt;margin-top:20.293051pt;width:241.5pt;height:181.5pt;mso-position-horizontal-relative:page;mso-position-vertical-relative:paragraph;z-index:-251233280;mso-wrap-distance-left:0;mso-wrap-distance-right:0" coordorigin="5505,406" coordsize="4830,3630">
            <v:shape style="position:absolute;left:5520;top:420;width:4800;height:3600" type="#_x0000_t75" stroked="false">
              <v:imagedata r:id="rId192" o:title=""/>
            </v:shape>
            <v:rect style="position:absolute;left:5512;top:413;width:4815;height:3615" filled="false" stroked="true" strokeweight=".75pt" strokecolor="#92d050">
              <v:stroke dashstyle="solid"/>
            </v:rect>
            <w10:wrap type="topAndBottom"/>
          </v:group>
        </w:pict>
      </w:r>
      <w:r>
        <w:rPr/>
        <w:pict>
          <v:group style="position:absolute;margin-left:275.25pt;margin-top:215.307053pt;width:241.25pt;height:181.5pt;mso-position-horizontal-relative:page;mso-position-vertical-relative:paragraph;z-index:-251232256;mso-wrap-distance-left:0;mso-wrap-distance-right:0" coordorigin="5505,4306" coordsize="4825,3630">
            <v:shape style="position:absolute;left:5520;top:4321;width:4795;height:3600" type="#_x0000_t75" stroked="false">
              <v:imagedata r:id="rId193" o:title=""/>
            </v:shape>
            <v:rect style="position:absolute;left:5512;top:4313;width:4810;height:3615" filled="false" stroked="true" strokeweight=".75pt" strokecolor="#92d050">
              <v:stroke dashstyle="solid"/>
            </v:rect>
            <w10:wrap type="topAndBottom"/>
          </v:group>
        </w:pict>
      </w:r>
      <w:bookmarkStart w:name="DDA Residential Provider Training" w:id="228"/>
      <w:bookmarkEnd w:id="228"/>
      <w:r>
        <w:rPr/>
      </w:r>
      <w:bookmarkStart w:name="_bookmark65" w:id="229"/>
      <w:bookmarkEnd w:id="229"/>
      <w:r>
        <w:rPr/>
      </w:r>
      <w:r>
        <w:rPr>
          <w:b/>
          <w:sz w:val="28"/>
          <w:u w:val="single"/>
        </w:rPr>
        <w:t>DDA Residential Provider Training</w:t>
      </w:r>
    </w:p>
    <w:p>
      <w:pPr>
        <w:pStyle w:val="BodyText"/>
        <w:spacing w:before="5"/>
        <w:rPr>
          <w:b/>
          <w:sz w:val="16"/>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9"/>
        </w:rPr>
      </w:pPr>
      <w:r>
        <w:rPr/>
        <w:pict>
          <v:shape style="position:absolute;margin-left:70.559998pt;margin-top:14.306375pt;width:650.9pt;height:.1pt;mso-position-horizontal-relative:page;mso-position-vertical-relative:paragraph;z-index:-251231232;mso-wrap-distance-left:0;mso-wrap-distance-right:0" coordorigin="1411,286" coordsize="13018,0" path="m1411,286l14429,286e" filled="false" stroked="true" strokeweight=".481pt" strokecolor="#d9d9d9">
            <v:path arrowok="t"/>
            <v:stroke dashstyle="solid"/>
            <w10:wrap type="topAndBottom"/>
          </v:shape>
        </w:pict>
      </w:r>
    </w:p>
    <w:p>
      <w:pPr>
        <w:spacing w:after="0"/>
        <w:rPr>
          <w:sz w:val="1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7"/>
        <w:rPr>
          <w:b/>
          <w:sz w:val="14"/>
        </w:rPr>
      </w:pPr>
      <w:r>
        <w:rPr/>
        <w:pict>
          <v:group style="position:absolute;margin-left:275.25pt;margin-top:10.916797pt;width:241.25pt;height:181.5pt;mso-position-horizontal-relative:page;mso-position-vertical-relative:paragraph;z-index:-251230208;mso-wrap-distance-left:0;mso-wrap-distance-right:0" coordorigin="5505,218" coordsize="4825,3630">
            <v:shape style="position:absolute;left:5520;top:233;width:4795;height:3600" type="#_x0000_t75" stroked="false">
              <v:imagedata r:id="rId193" o:title=""/>
            </v:shape>
            <v:rect style="position:absolute;left:5512;top:225;width:4810;height:3615" filled="false" stroked="true" strokeweight=".75pt" strokecolor="#92d050">
              <v:stroke dashstyle="solid"/>
            </v:rect>
            <w10:wrap type="topAndBottom"/>
          </v:group>
        </w:pict>
      </w:r>
      <w:r>
        <w:rPr/>
        <w:pict>
          <v:group style="position:absolute;margin-left:275.25pt;margin-top:205.930801pt;width:241.25pt;height:181.5pt;mso-position-horizontal-relative:page;mso-position-vertical-relative:paragraph;z-index:-251229184;mso-wrap-distance-left:0;mso-wrap-distance-right:0" coordorigin="5505,4119" coordsize="4825,3630">
            <v:shape style="position:absolute;left:5520;top:4133;width:4795;height:3600" type="#_x0000_t75" stroked="false">
              <v:imagedata r:id="rId195" o:title=""/>
            </v:shape>
            <v:rect style="position:absolute;left:5512;top:4126;width:4810;height:3615" filled="false" stroked="true" strokeweight=".75pt" strokecolor="#92d050">
              <v:stroke dashstyle="solid"/>
            </v:rect>
            <w10:wrap type="topAndBottom"/>
          </v:group>
        </w:pict>
      </w:r>
    </w:p>
    <w:p>
      <w:pPr>
        <w:pStyle w:val="BodyText"/>
        <w:spacing w:before="6"/>
        <w:rPr>
          <w:b/>
          <w:sz w:val="16"/>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2"/>
        </w:rPr>
      </w:pPr>
      <w:r>
        <w:rPr/>
        <w:pict>
          <v:shape style="position:absolute;margin-left:70.559998pt;margin-top:9.545313pt;width:650.9pt;height:.1pt;mso-position-horizontal-relative:page;mso-position-vertical-relative:paragraph;z-index:-251228160;mso-wrap-distance-left:0;mso-wrap-distance-right:0" coordorigin="1411,191" coordsize="13018,0" path="m1411,191l14429,191e" filled="false" stroked="true" strokeweight=".481pt" strokecolor="#d9d9d9">
            <v:path arrowok="t"/>
            <v:stroke dashstyle="solid"/>
            <w10:wrap type="topAndBottom"/>
          </v:shape>
        </w:pict>
      </w:r>
    </w:p>
    <w:p>
      <w:pPr>
        <w:spacing w:after="0"/>
        <w:rPr>
          <w:sz w:val="12"/>
        </w:rPr>
        <w:sectPr>
          <w:footerReference w:type="default" r:id="rId194"/>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7"/>
        <w:rPr>
          <w:b/>
          <w:sz w:val="14"/>
        </w:rPr>
      </w:pPr>
      <w:r>
        <w:rPr/>
        <w:pict>
          <v:group style="position:absolute;margin-left:275.25pt;margin-top:10.916797pt;width:241.25pt;height:181.5pt;mso-position-horizontal-relative:page;mso-position-vertical-relative:paragraph;z-index:-251227136;mso-wrap-distance-left:0;mso-wrap-distance-right:0" coordorigin="5505,218" coordsize="4825,3630">
            <v:shape style="position:absolute;left:5520;top:233;width:4795;height:3600" type="#_x0000_t75" stroked="false">
              <v:imagedata r:id="rId197" o:title=""/>
            </v:shape>
            <v:rect style="position:absolute;left:5512;top:225;width:4810;height:3615" filled="false" stroked="true" strokeweight=".75pt" strokecolor="#92d050">
              <v:stroke dashstyle="solid"/>
            </v:rect>
            <w10:wrap type="topAndBottom"/>
          </v:group>
        </w:pict>
      </w:r>
      <w:r>
        <w:rPr/>
        <w:pict>
          <v:group style="position:absolute;margin-left:275.25pt;margin-top:205.930801pt;width:241.25pt;height:181.5pt;mso-position-horizontal-relative:page;mso-position-vertical-relative:paragraph;z-index:-251226112;mso-wrap-distance-left:0;mso-wrap-distance-right:0" coordorigin="5505,4119" coordsize="4825,3630">
            <v:shape style="position:absolute;left:5520;top:4133;width:4795;height:3600" type="#_x0000_t75" stroked="false">
              <v:imagedata r:id="rId198" o:title=""/>
            </v:shape>
            <v:rect style="position:absolute;left:5512;top:4126;width:4810;height:3615" filled="false" stroked="true" strokeweight=".75pt" strokecolor="#92d050">
              <v:stroke dashstyle="solid"/>
            </v:rect>
            <w10:wrap type="topAndBottom"/>
          </v:group>
        </w:pict>
      </w:r>
    </w:p>
    <w:p>
      <w:pPr>
        <w:pStyle w:val="BodyText"/>
        <w:spacing w:before="6"/>
        <w:rPr>
          <w:b/>
          <w:sz w:val="16"/>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2"/>
        </w:rPr>
      </w:pPr>
      <w:r>
        <w:rPr/>
        <w:pict>
          <v:shape style="position:absolute;margin-left:70.559998pt;margin-top:9.545313pt;width:650.9pt;height:.1pt;mso-position-horizontal-relative:page;mso-position-vertical-relative:paragraph;z-index:-251225088;mso-wrap-distance-left:0;mso-wrap-distance-right:0" coordorigin="1411,191" coordsize="13018,0" path="m1411,191l14429,191e" filled="false" stroked="true" strokeweight=".481pt" strokecolor="#d9d9d9">
            <v:path arrowok="t"/>
            <v:stroke dashstyle="solid"/>
            <w10:wrap type="topAndBottom"/>
          </v:shape>
        </w:pict>
      </w:r>
    </w:p>
    <w:p>
      <w:pPr>
        <w:spacing w:after="0"/>
        <w:rPr>
          <w:sz w:val="12"/>
        </w:rPr>
        <w:sectPr>
          <w:footerReference w:type="default" r:id="rId196"/>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241"/>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7"/>
        <w:rPr>
          <w:b/>
          <w:sz w:val="14"/>
        </w:rPr>
      </w:pPr>
      <w:r>
        <w:rPr/>
        <w:pict>
          <v:group style="position:absolute;margin-left:275.25pt;margin-top:10.916797pt;width:241.25pt;height:181.5pt;mso-position-horizontal-relative:page;mso-position-vertical-relative:paragraph;z-index:-251224064;mso-wrap-distance-left:0;mso-wrap-distance-right:0" coordorigin="5505,218" coordsize="4825,3630">
            <v:shape style="position:absolute;left:5520;top:233;width:4795;height:3600" type="#_x0000_t75" stroked="false">
              <v:imagedata r:id="rId199" o:title=""/>
            </v:shape>
            <v:rect style="position:absolute;left:5512;top:225;width:4810;height:3615" filled="false" stroked="true" strokeweight=".75pt" strokecolor="#92d050">
              <v:stroke dashstyle="solid"/>
            </v:rect>
            <w10:wrap type="topAndBottom"/>
          </v:group>
        </w:pict>
      </w:r>
      <w:r>
        <w:rPr/>
        <w:pict>
          <v:group style="position:absolute;margin-left:275.25pt;margin-top:205.930801pt;width:241.5pt;height:181.5pt;mso-position-horizontal-relative:page;mso-position-vertical-relative:paragraph;z-index:-251223040;mso-wrap-distance-left:0;mso-wrap-distance-right:0" coordorigin="5505,4119" coordsize="4830,3630">
            <v:shape style="position:absolute;left:5520;top:4133;width:4800;height:3600" type="#_x0000_t75" stroked="false">
              <v:imagedata r:id="rId200" o:title=""/>
            </v:shape>
            <v:rect style="position:absolute;left:5512;top:4126;width:4815;height:3615" filled="false" stroked="true" strokeweight=".75pt" strokecolor="#92d050">
              <v:stroke dashstyle="solid"/>
            </v:rect>
            <w10:wrap type="topAndBottom"/>
          </v:group>
        </w:pict>
      </w:r>
    </w:p>
    <w:p>
      <w:pPr>
        <w:pStyle w:val="BodyText"/>
        <w:spacing w:before="6"/>
        <w:rPr>
          <w:b/>
          <w:sz w:val="16"/>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2"/>
        </w:rPr>
      </w:pPr>
      <w:r>
        <w:rPr/>
        <w:pict>
          <v:shape style="position:absolute;margin-left:70.559998pt;margin-top:9.538313pt;width:650.9pt;height:.1pt;mso-position-horizontal-relative:page;mso-position-vertical-relative:paragraph;z-index:-251222016;mso-wrap-distance-left:0;mso-wrap-distance-right:0" coordorigin="1411,191" coordsize="13018,0" path="m1411,191l14429,191e" filled="false" stroked="true" strokeweight=".481pt" strokecolor="#d9d9d9">
            <v:path arrowok="t"/>
            <v:stroke dashstyle="solid"/>
            <w10:wrap type="topAndBottom"/>
          </v:shape>
        </w:pict>
      </w:r>
    </w:p>
    <w:p>
      <w:pPr>
        <w:spacing w:after="0"/>
        <w:rPr>
          <w:sz w:val="1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7"/>
        <w:rPr>
          <w:b/>
          <w:sz w:val="14"/>
        </w:rPr>
      </w:pPr>
      <w:r>
        <w:rPr/>
        <w:pict>
          <v:group style="position:absolute;margin-left:275.25pt;margin-top:10.916797pt;width:241.25pt;height:181.5pt;mso-position-horizontal-relative:page;mso-position-vertical-relative:paragraph;z-index:-251220992;mso-wrap-distance-left:0;mso-wrap-distance-right:0" coordorigin="5505,218" coordsize="4825,3630">
            <v:shape style="position:absolute;left:5520;top:233;width:4795;height:3600" type="#_x0000_t75" stroked="false">
              <v:imagedata r:id="rId201" o:title=""/>
            </v:shape>
            <v:rect style="position:absolute;left:5512;top:225;width:4810;height:3615" filled="false" stroked="true" strokeweight=".75pt" strokecolor="#92d050">
              <v:stroke dashstyle="solid"/>
            </v:rect>
            <w10:wrap type="topAndBottom"/>
          </v:group>
        </w:pict>
      </w:r>
      <w:r>
        <w:rPr/>
        <w:pict>
          <v:group style="position:absolute;margin-left:275.25pt;margin-top:205.930801pt;width:241.5pt;height:181.5pt;mso-position-horizontal-relative:page;mso-position-vertical-relative:paragraph;z-index:-251219968;mso-wrap-distance-left:0;mso-wrap-distance-right:0" coordorigin="5505,4119" coordsize="4830,3630">
            <v:shape style="position:absolute;left:5520;top:4133;width:4800;height:3600" type="#_x0000_t75" stroked="false">
              <v:imagedata r:id="rId202" o:title=""/>
            </v:shape>
            <v:rect style="position:absolute;left:5512;top:4126;width:4815;height:3615" filled="false" stroked="true" strokeweight=".75pt" strokecolor="#92d050">
              <v:stroke dashstyle="solid"/>
            </v:rect>
            <w10:wrap type="topAndBottom"/>
          </v:group>
        </w:pict>
      </w:r>
    </w:p>
    <w:p>
      <w:pPr>
        <w:pStyle w:val="BodyText"/>
        <w:spacing w:before="6"/>
        <w:rPr>
          <w:b/>
          <w:sz w:val="16"/>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2"/>
        </w:rPr>
      </w:pPr>
      <w:r>
        <w:rPr/>
        <w:pict>
          <v:shape style="position:absolute;margin-left:70.559998pt;margin-top:9.538313pt;width:650.9pt;height:.1pt;mso-position-horizontal-relative:page;mso-position-vertical-relative:paragraph;z-index:-251218944;mso-wrap-distance-left:0;mso-wrap-distance-right:0" coordorigin="1411,191" coordsize="13018,0" path="m1411,191l14429,191e" filled="false" stroked="true" strokeweight=".481pt" strokecolor="#d9d9d9">
            <v:path arrowok="t"/>
            <v:stroke dashstyle="solid"/>
            <w10:wrap type="topAndBottom"/>
          </v:shape>
        </w:pict>
      </w:r>
    </w:p>
    <w:p>
      <w:pPr>
        <w:spacing w:after="0"/>
        <w:rPr>
          <w:sz w:val="1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7"/>
        <w:rPr>
          <w:b/>
          <w:sz w:val="14"/>
        </w:rPr>
      </w:pPr>
      <w:r>
        <w:rPr/>
        <w:pict>
          <v:group style="position:absolute;margin-left:275.25pt;margin-top:10.916797pt;width:241.25pt;height:181.5pt;mso-position-horizontal-relative:page;mso-position-vertical-relative:paragraph;z-index:-251217920;mso-wrap-distance-left:0;mso-wrap-distance-right:0" coordorigin="5505,218" coordsize="4825,3630">
            <v:shape style="position:absolute;left:5520;top:233;width:4795;height:3600" type="#_x0000_t75" stroked="false">
              <v:imagedata r:id="rId203" o:title=""/>
            </v:shape>
            <v:rect style="position:absolute;left:5512;top:225;width:4810;height:3615" filled="false" stroked="true" strokeweight=".75pt" strokecolor="#92d050">
              <v:stroke dashstyle="solid"/>
            </v:rect>
            <w10:wrap type="topAndBottom"/>
          </v:group>
        </w:pict>
      </w:r>
      <w:r>
        <w:rPr/>
        <w:pict>
          <v:group style="position:absolute;margin-left:275.25pt;margin-top:205.930801pt;width:241.5pt;height:181.5pt;mso-position-horizontal-relative:page;mso-position-vertical-relative:paragraph;z-index:-251216896;mso-wrap-distance-left:0;mso-wrap-distance-right:0" coordorigin="5505,4119" coordsize="4830,3630">
            <v:shape style="position:absolute;left:5520;top:4133;width:4580;height:3600" type="#_x0000_t75" stroked="false">
              <v:imagedata r:id="rId204" o:title=""/>
            </v:shape>
            <v:rect style="position:absolute;left:5512;top:4126;width:4815;height:3615" filled="false" stroked="true" strokeweight=".75pt" strokecolor="#92d050">
              <v:stroke dashstyle="solid"/>
            </v:rect>
            <w10:wrap type="topAndBottom"/>
          </v:group>
        </w:pict>
      </w:r>
    </w:p>
    <w:p>
      <w:pPr>
        <w:pStyle w:val="BodyText"/>
        <w:spacing w:before="6"/>
        <w:rPr>
          <w:b/>
          <w:sz w:val="16"/>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2"/>
        </w:rPr>
      </w:pPr>
      <w:r>
        <w:rPr/>
        <w:pict>
          <v:shape style="position:absolute;margin-left:70.559998pt;margin-top:9.538313pt;width:650.9pt;height:.1pt;mso-position-horizontal-relative:page;mso-position-vertical-relative:paragraph;z-index:-251215872;mso-wrap-distance-left:0;mso-wrap-distance-right:0" coordorigin="1411,191" coordsize="13018,0" path="m1411,191l14429,191e" filled="false" stroked="true" strokeweight=".481pt" strokecolor="#d9d9d9">
            <v:path arrowok="t"/>
            <v:stroke dashstyle="solid"/>
            <w10:wrap type="topAndBottom"/>
          </v:shape>
        </w:pict>
      </w:r>
    </w:p>
    <w:p>
      <w:pPr>
        <w:spacing w:after="0"/>
        <w:rPr>
          <w:sz w:val="1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7"/>
        <w:rPr>
          <w:b/>
          <w:sz w:val="14"/>
        </w:rPr>
      </w:pPr>
      <w:r>
        <w:rPr/>
        <w:pict>
          <v:group style="position:absolute;margin-left:275.25pt;margin-top:10.916797pt;width:241.25pt;height:181.5pt;mso-position-horizontal-relative:page;mso-position-vertical-relative:paragraph;z-index:-251214848;mso-wrap-distance-left:0;mso-wrap-distance-right:0" coordorigin="5505,218" coordsize="4825,3630">
            <v:shape style="position:absolute;left:5520;top:233;width:4795;height:3600" type="#_x0000_t75" stroked="false">
              <v:imagedata r:id="rId205" o:title=""/>
            </v:shape>
            <v:rect style="position:absolute;left:5512;top:225;width:4810;height:3615" filled="false" stroked="true" strokeweight=".75pt" strokecolor="#92d050">
              <v:stroke dashstyle="solid"/>
            </v:rect>
            <w10:wrap type="topAndBottom"/>
          </v:group>
        </w:pict>
      </w:r>
      <w:r>
        <w:rPr/>
        <w:pict>
          <v:group style="position:absolute;margin-left:275.25pt;margin-top:205.930801pt;width:241.5pt;height:181.5pt;mso-position-horizontal-relative:page;mso-position-vertical-relative:paragraph;z-index:-251213824;mso-wrap-distance-left:0;mso-wrap-distance-right:0" coordorigin="5505,4119" coordsize="4830,3630">
            <v:shape style="position:absolute;left:5520;top:4133;width:4800;height:3600" type="#_x0000_t75" stroked="false">
              <v:imagedata r:id="rId206" o:title=""/>
            </v:shape>
            <v:rect style="position:absolute;left:5512;top:4126;width:4815;height:3615" filled="false" stroked="true" strokeweight=".75pt" strokecolor="#92d050">
              <v:stroke dashstyle="solid"/>
            </v:rect>
            <w10:wrap type="topAndBottom"/>
          </v:group>
        </w:pict>
      </w:r>
    </w:p>
    <w:p>
      <w:pPr>
        <w:pStyle w:val="BodyText"/>
        <w:spacing w:before="6"/>
        <w:rPr>
          <w:b/>
          <w:sz w:val="16"/>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2"/>
        </w:rPr>
      </w:pPr>
      <w:r>
        <w:rPr/>
        <w:pict>
          <v:shape style="position:absolute;margin-left:70.559998pt;margin-top:9.538313pt;width:650.9pt;height:.1pt;mso-position-horizontal-relative:page;mso-position-vertical-relative:paragraph;z-index:-251212800;mso-wrap-distance-left:0;mso-wrap-distance-right:0" coordorigin="1411,191" coordsize="13018,0" path="m1411,191l14429,191e" filled="false" stroked="true" strokeweight=".481pt" strokecolor="#d9d9d9">
            <v:path arrowok="t"/>
            <v:stroke dashstyle="solid"/>
            <w10:wrap type="topAndBottom"/>
          </v:shape>
        </w:pict>
      </w:r>
    </w:p>
    <w:p>
      <w:pPr>
        <w:spacing w:after="0"/>
        <w:rPr>
          <w:sz w:val="12"/>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4"/>
        <w:rPr>
          <w:b/>
          <w:sz w:val="12"/>
        </w:rPr>
      </w:pPr>
    </w:p>
    <w:p>
      <w:pPr>
        <w:pStyle w:val="Heading2"/>
        <w:ind w:left="2921" w:right="2956"/>
      </w:pPr>
      <w:bookmarkStart w:name="ALTSA and DDA HCBS Settings" w:id="230"/>
      <w:bookmarkEnd w:id="230"/>
      <w:r>
        <w:rPr>
          <w:b w:val="0"/>
        </w:rPr>
      </w:r>
      <w:bookmarkStart w:name="_bookmark66" w:id="231"/>
      <w:bookmarkEnd w:id="231"/>
      <w:r>
        <w:rPr>
          <w:b w:val="0"/>
        </w:rPr>
      </w:r>
      <w:r>
        <w:rPr/>
        <w:t>ALTSA and DDA HCBS Settings</w:t>
      </w:r>
    </w:p>
    <w:p>
      <w:pPr>
        <w:pStyle w:val="BodyText"/>
        <w:rPr>
          <w:b/>
          <w:sz w:val="20"/>
        </w:rPr>
      </w:pPr>
    </w:p>
    <w:p>
      <w:pPr>
        <w:pStyle w:val="BodyText"/>
        <w:spacing w:before="7"/>
        <w:rPr>
          <w:b/>
          <w:sz w:val="27"/>
        </w:rPr>
      </w:pPr>
    </w:p>
    <w:tbl>
      <w:tblPr>
        <w:tblW w:w="0" w:type="auto"/>
        <w:jc w:val="left"/>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74"/>
        <w:gridCol w:w="751"/>
        <w:gridCol w:w="780"/>
        <w:gridCol w:w="720"/>
        <w:gridCol w:w="720"/>
        <w:gridCol w:w="766"/>
        <w:gridCol w:w="951"/>
        <w:gridCol w:w="1395"/>
        <w:gridCol w:w="1417"/>
        <w:gridCol w:w="1189"/>
        <w:gridCol w:w="1160"/>
        <w:gridCol w:w="1453"/>
      </w:tblGrid>
      <w:tr>
        <w:trPr>
          <w:trHeight w:val="537" w:hRule="atLeast"/>
        </w:trPr>
        <w:tc>
          <w:tcPr>
            <w:tcW w:w="2474" w:type="dxa"/>
            <w:vMerge w:val="restart"/>
            <w:shd w:val="clear" w:color="auto" w:fill="DFD6E7"/>
          </w:tcPr>
          <w:p>
            <w:pPr>
              <w:pStyle w:val="TableParagraph"/>
              <w:rPr>
                <w:rFonts w:ascii="Times New Roman"/>
                <w:sz w:val="22"/>
              </w:rPr>
            </w:pPr>
          </w:p>
        </w:tc>
        <w:tc>
          <w:tcPr>
            <w:tcW w:w="3737" w:type="dxa"/>
            <w:gridSpan w:val="5"/>
            <w:shd w:val="clear" w:color="auto" w:fill="C3DFF1"/>
          </w:tcPr>
          <w:p>
            <w:pPr>
              <w:pStyle w:val="TableParagraph"/>
              <w:spacing w:line="268" w:lineRule="exact"/>
              <w:ind w:left="974"/>
              <w:rPr>
                <w:b/>
                <w:sz w:val="22"/>
              </w:rPr>
            </w:pPr>
            <w:r>
              <w:rPr>
                <w:b/>
                <w:sz w:val="22"/>
              </w:rPr>
              <w:t>DDA 1915c Waivers</w:t>
            </w:r>
          </w:p>
        </w:tc>
        <w:tc>
          <w:tcPr>
            <w:tcW w:w="3763" w:type="dxa"/>
            <w:gridSpan w:val="3"/>
            <w:shd w:val="clear" w:color="auto" w:fill="FACA9A"/>
          </w:tcPr>
          <w:p>
            <w:pPr>
              <w:pStyle w:val="TableParagraph"/>
              <w:spacing w:line="268" w:lineRule="exact"/>
              <w:ind w:left="904"/>
              <w:rPr>
                <w:b/>
                <w:sz w:val="22"/>
              </w:rPr>
            </w:pPr>
            <w:r>
              <w:rPr>
                <w:b/>
                <w:sz w:val="22"/>
              </w:rPr>
              <w:t>ALTSA 1915c Waivers</w:t>
            </w:r>
          </w:p>
        </w:tc>
        <w:tc>
          <w:tcPr>
            <w:tcW w:w="1189" w:type="dxa"/>
            <w:shd w:val="clear" w:color="auto" w:fill="D9EAD4"/>
          </w:tcPr>
          <w:p>
            <w:pPr>
              <w:pStyle w:val="TableParagraph"/>
              <w:spacing w:line="268" w:lineRule="exact"/>
              <w:ind w:left="129"/>
              <w:rPr>
                <w:b/>
                <w:sz w:val="22"/>
              </w:rPr>
            </w:pPr>
            <w:r>
              <w:rPr>
                <w:b/>
                <w:sz w:val="22"/>
              </w:rPr>
              <w:t>State</w:t>
            </w:r>
            <w:r>
              <w:rPr>
                <w:b/>
                <w:spacing w:val="-2"/>
                <w:sz w:val="22"/>
              </w:rPr>
              <w:t> </w:t>
            </w:r>
            <w:r>
              <w:rPr>
                <w:b/>
                <w:sz w:val="22"/>
              </w:rPr>
              <w:t>Plan</w:t>
            </w:r>
          </w:p>
          <w:p>
            <w:pPr>
              <w:pStyle w:val="TableParagraph"/>
              <w:spacing w:line="249" w:lineRule="exact"/>
              <w:ind w:left="156"/>
              <w:rPr>
                <w:b/>
                <w:sz w:val="22"/>
              </w:rPr>
            </w:pPr>
            <w:r>
              <w:rPr>
                <w:b/>
                <w:sz w:val="22"/>
              </w:rPr>
              <w:t>Programs</w:t>
            </w:r>
          </w:p>
        </w:tc>
        <w:tc>
          <w:tcPr>
            <w:tcW w:w="2613" w:type="dxa"/>
            <w:gridSpan w:val="2"/>
            <w:shd w:val="clear" w:color="auto" w:fill="FCE4CC"/>
          </w:tcPr>
          <w:p>
            <w:pPr>
              <w:pStyle w:val="TableParagraph"/>
              <w:spacing w:line="268" w:lineRule="exact"/>
              <w:ind w:left="110" w:right="110"/>
              <w:jc w:val="center"/>
              <w:rPr>
                <w:b/>
                <w:sz w:val="22"/>
              </w:rPr>
            </w:pPr>
            <w:r>
              <w:rPr>
                <w:b/>
                <w:sz w:val="22"/>
              </w:rPr>
              <w:t>Statewide Transition Plan</w:t>
            </w:r>
          </w:p>
          <w:p>
            <w:pPr>
              <w:pStyle w:val="TableParagraph"/>
              <w:spacing w:line="249" w:lineRule="exact"/>
              <w:ind w:left="108" w:right="110"/>
              <w:jc w:val="center"/>
              <w:rPr>
                <w:b/>
                <w:sz w:val="22"/>
              </w:rPr>
            </w:pPr>
            <w:r>
              <w:rPr>
                <w:b/>
                <w:sz w:val="22"/>
              </w:rPr>
              <w:t>Status</w:t>
            </w:r>
          </w:p>
        </w:tc>
      </w:tr>
      <w:tr>
        <w:trPr>
          <w:trHeight w:val="1074" w:hRule="atLeast"/>
        </w:trPr>
        <w:tc>
          <w:tcPr>
            <w:tcW w:w="2474" w:type="dxa"/>
            <w:vMerge/>
            <w:tcBorders>
              <w:top w:val="nil"/>
            </w:tcBorders>
            <w:shd w:val="clear" w:color="auto" w:fill="DFD6E7"/>
          </w:tcPr>
          <w:p>
            <w:pPr>
              <w:rPr>
                <w:sz w:val="2"/>
                <w:szCs w:val="2"/>
              </w:rPr>
            </w:pPr>
          </w:p>
        </w:tc>
        <w:tc>
          <w:tcPr>
            <w:tcW w:w="751" w:type="dxa"/>
            <w:shd w:val="clear" w:color="auto" w:fill="C3DFF1"/>
          </w:tcPr>
          <w:p>
            <w:pPr>
              <w:pStyle w:val="TableParagraph"/>
              <w:ind w:left="146" w:right="78" w:hanging="39"/>
              <w:rPr>
                <w:b/>
                <w:sz w:val="22"/>
              </w:rPr>
            </w:pPr>
            <w:r>
              <w:rPr>
                <w:b/>
                <w:sz w:val="22"/>
              </w:rPr>
              <w:t>BASIC PLUS</w:t>
            </w:r>
          </w:p>
        </w:tc>
        <w:tc>
          <w:tcPr>
            <w:tcW w:w="780" w:type="dxa"/>
            <w:shd w:val="clear" w:color="auto" w:fill="C3DFF1"/>
          </w:tcPr>
          <w:p>
            <w:pPr>
              <w:pStyle w:val="TableParagraph"/>
              <w:spacing w:line="268" w:lineRule="exact"/>
              <w:ind w:left="122" w:right="110"/>
              <w:jc w:val="center"/>
              <w:rPr>
                <w:b/>
                <w:sz w:val="22"/>
              </w:rPr>
            </w:pPr>
            <w:r>
              <w:rPr>
                <w:b/>
                <w:sz w:val="22"/>
              </w:rPr>
              <w:t>CORE</w:t>
            </w:r>
          </w:p>
        </w:tc>
        <w:tc>
          <w:tcPr>
            <w:tcW w:w="720" w:type="dxa"/>
            <w:shd w:val="clear" w:color="auto" w:fill="C3DFF1"/>
          </w:tcPr>
          <w:p>
            <w:pPr>
              <w:pStyle w:val="TableParagraph"/>
              <w:spacing w:line="268" w:lineRule="exact"/>
              <w:ind w:left="242"/>
              <w:rPr>
                <w:b/>
                <w:sz w:val="22"/>
              </w:rPr>
            </w:pPr>
            <w:r>
              <w:rPr>
                <w:b/>
                <w:sz w:val="22"/>
              </w:rPr>
              <w:t>CP</w:t>
            </w:r>
          </w:p>
        </w:tc>
        <w:tc>
          <w:tcPr>
            <w:tcW w:w="720" w:type="dxa"/>
            <w:shd w:val="clear" w:color="auto" w:fill="C3DFF1"/>
          </w:tcPr>
          <w:p>
            <w:pPr>
              <w:pStyle w:val="TableParagraph"/>
              <w:spacing w:line="268" w:lineRule="exact"/>
              <w:ind w:left="111" w:right="97"/>
              <w:jc w:val="center"/>
              <w:rPr>
                <w:b/>
                <w:sz w:val="22"/>
              </w:rPr>
            </w:pPr>
            <w:r>
              <w:rPr>
                <w:b/>
                <w:sz w:val="22"/>
              </w:rPr>
              <w:t>CIIBS</w:t>
            </w:r>
          </w:p>
        </w:tc>
        <w:tc>
          <w:tcPr>
            <w:tcW w:w="766" w:type="dxa"/>
            <w:shd w:val="clear" w:color="auto" w:fill="C3DFF1"/>
          </w:tcPr>
          <w:p>
            <w:pPr>
              <w:pStyle w:val="TableParagraph"/>
              <w:spacing w:line="268" w:lineRule="exact"/>
              <w:ind w:right="236"/>
              <w:jc w:val="right"/>
              <w:rPr>
                <w:b/>
                <w:sz w:val="22"/>
              </w:rPr>
            </w:pPr>
            <w:r>
              <w:rPr>
                <w:b/>
                <w:sz w:val="22"/>
              </w:rPr>
              <w:t>IFS</w:t>
            </w:r>
          </w:p>
        </w:tc>
        <w:tc>
          <w:tcPr>
            <w:tcW w:w="951" w:type="dxa"/>
            <w:shd w:val="clear" w:color="auto" w:fill="FACA9A"/>
          </w:tcPr>
          <w:p>
            <w:pPr>
              <w:pStyle w:val="TableParagraph"/>
              <w:spacing w:line="268" w:lineRule="exact"/>
              <w:ind w:left="161" w:right="146"/>
              <w:jc w:val="center"/>
              <w:rPr>
                <w:b/>
                <w:sz w:val="22"/>
              </w:rPr>
            </w:pPr>
            <w:r>
              <w:rPr>
                <w:b/>
                <w:sz w:val="22"/>
              </w:rPr>
              <w:t>COPES</w:t>
            </w:r>
          </w:p>
        </w:tc>
        <w:tc>
          <w:tcPr>
            <w:tcW w:w="1395" w:type="dxa"/>
            <w:shd w:val="clear" w:color="auto" w:fill="FACA9A"/>
          </w:tcPr>
          <w:p>
            <w:pPr>
              <w:pStyle w:val="TableParagraph"/>
              <w:ind w:left="107" w:right="95"/>
              <w:jc w:val="center"/>
              <w:rPr>
                <w:b/>
                <w:sz w:val="22"/>
              </w:rPr>
            </w:pPr>
            <w:r>
              <w:rPr>
                <w:b/>
                <w:sz w:val="22"/>
              </w:rPr>
              <w:t>RESIDENTIAL SUPPORT WAIVER</w:t>
            </w:r>
          </w:p>
        </w:tc>
        <w:tc>
          <w:tcPr>
            <w:tcW w:w="1417" w:type="dxa"/>
            <w:shd w:val="clear" w:color="auto" w:fill="FACA9A"/>
          </w:tcPr>
          <w:p>
            <w:pPr>
              <w:pStyle w:val="TableParagraph"/>
              <w:ind w:left="245" w:right="236" w:hanging="2"/>
              <w:jc w:val="center"/>
              <w:rPr>
                <w:b/>
                <w:sz w:val="22"/>
              </w:rPr>
            </w:pPr>
            <w:r>
              <w:rPr>
                <w:b/>
                <w:sz w:val="22"/>
              </w:rPr>
              <w:t>NEW FREEDOM WAIVER</w:t>
            </w:r>
          </w:p>
        </w:tc>
        <w:tc>
          <w:tcPr>
            <w:tcW w:w="1189" w:type="dxa"/>
            <w:shd w:val="clear" w:color="auto" w:fill="D9EAD4"/>
          </w:tcPr>
          <w:p>
            <w:pPr>
              <w:pStyle w:val="TableParagraph"/>
              <w:ind w:left="122" w:right="116"/>
              <w:jc w:val="center"/>
              <w:rPr>
                <w:b/>
                <w:sz w:val="22"/>
              </w:rPr>
            </w:pPr>
            <w:r>
              <w:rPr>
                <w:b/>
                <w:sz w:val="22"/>
              </w:rPr>
              <w:t>1915k CFC HCS &amp; DDA</w:t>
            </w:r>
          </w:p>
        </w:tc>
        <w:tc>
          <w:tcPr>
            <w:tcW w:w="1160" w:type="dxa"/>
            <w:shd w:val="clear" w:color="auto" w:fill="FCE4CC"/>
          </w:tcPr>
          <w:p>
            <w:pPr>
              <w:pStyle w:val="TableParagraph"/>
              <w:spacing w:line="268" w:lineRule="exact"/>
              <w:ind w:left="85" w:right="82"/>
              <w:jc w:val="center"/>
              <w:rPr>
                <w:b/>
                <w:sz w:val="22"/>
              </w:rPr>
            </w:pPr>
            <w:r>
              <w:rPr>
                <w:b/>
                <w:sz w:val="22"/>
              </w:rPr>
              <w:t>INCLUDED</w:t>
            </w:r>
          </w:p>
        </w:tc>
        <w:tc>
          <w:tcPr>
            <w:tcW w:w="1453" w:type="dxa"/>
            <w:shd w:val="clear" w:color="auto" w:fill="FCE4CC"/>
          </w:tcPr>
          <w:p>
            <w:pPr>
              <w:pStyle w:val="TableParagraph"/>
              <w:spacing w:line="268" w:lineRule="exact"/>
              <w:ind w:left="211"/>
              <w:rPr>
                <w:b/>
                <w:sz w:val="22"/>
              </w:rPr>
            </w:pPr>
            <w:r>
              <w:rPr>
                <w:b/>
                <w:sz w:val="22"/>
              </w:rPr>
              <w:t>APPROVED</w:t>
            </w:r>
          </w:p>
          <w:p>
            <w:pPr>
              <w:pStyle w:val="TableParagraph"/>
              <w:spacing w:line="270" w:lineRule="atLeast"/>
              <w:ind w:left="163" w:right="144" w:hanging="17"/>
              <w:jc w:val="both"/>
              <w:rPr>
                <w:b/>
                <w:sz w:val="22"/>
              </w:rPr>
            </w:pPr>
            <w:r>
              <w:rPr>
                <w:b/>
                <w:sz w:val="22"/>
              </w:rPr>
              <w:t>Through CFC and/or RSW and/or IFS</w:t>
            </w:r>
          </w:p>
        </w:tc>
      </w:tr>
      <w:tr>
        <w:trPr>
          <w:trHeight w:val="265" w:hRule="atLeast"/>
        </w:trPr>
        <w:tc>
          <w:tcPr>
            <w:tcW w:w="2474" w:type="dxa"/>
          </w:tcPr>
          <w:p>
            <w:pPr>
              <w:pStyle w:val="TableParagraph"/>
              <w:spacing w:line="246" w:lineRule="exact"/>
              <w:ind w:left="107"/>
              <w:rPr>
                <w:b/>
                <w:sz w:val="22"/>
              </w:rPr>
            </w:pPr>
            <w:r>
              <w:rPr>
                <w:b/>
                <w:sz w:val="22"/>
              </w:rPr>
              <w:t>Private Homes</w:t>
            </w:r>
          </w:p>
        </w:tc>
        <w:tc>
          <w:tcPr>
            <w:tcW w:w="751" w:type="dxa"/>
          </w:tcPr>
          <w:p>
            <w:pPr>
              <w:pStyle w:val="TableParagraph"/>
              <w:spacing w:line="246" w:lineRule="exact"/>
              <w:ind w:left="7"/>
              <w:jc w:val="center"/>
              <w:rPr>
                <w:sz w:val="22"/>
              </w:rPr>
            </w:pPr>
            <w:r>
              <w:rPr>
                <w:w w:val="100"/>
                <w:sz w:val="22"/>
              </w:rPr>
              <w:t>X</w:t>
            </w:r>
          </w:p>
        </w:tc>
        <w:tc>
          <w:tcPr>
            <w:tcW w:w="780" w:type="dxa"/>
          </w:tcPr>
          <w:p>
            <w:pPr>
              <w:pStyle w:val="TableParagraph"/>
              <w:spacing w:line="246" w:lineRule="exact"/>
              <w:ind w:left="7"/>
              <w:jc w:val="center"/>
              <w:rPr>
                <w:sz w:val="22"/>
              </w:rPr>
            </w:pPr>
            <w:r>
              <w:rPr>
                <w:w w:val="100"/>
                <w:sz w:val="22"/>
              </w:rPr>
              <w:t>X</w:t>
            </w:r>
          </w:p>
        </w:tc>
        <w:tc>
          <w:tcPr>
            <w:tcW w:w="720" w:type="dxa"/>
          </w:tcPr>
          <w:p>
            <w:pPr>
              <w:pStyle w:val="TableParagraph"/>
              <w:spacing w:line="246" w:lineRule="exact"/>
              <w:ind w:left="302"/>
              <w:rPr>
                <w:sz w:val="22"/>
              </w:rPr>
            </w:pPr>
            <w:r>
              <w:rPr>
                <w:w w:val="100"/>
                <w:sz w:val="22"/>
              </w:rPr>
              <w:t>X</w:t>
            </w:r>
          </w:p>
        </w:tc>
        <w:tc>
          <w:tcPr>
            <w:tcW w:w="720" w:type="dxa"/>
          </w:tcPr>
          <w:p>
            <w:pPr>
              <w:pStyle w:val="TableParagraph"/>
              <w:spacing w:line="246" w:lineRule="exact"/>
              <w:ind w:left="10"/>
              <w:jc w:val="center"/>
              <w:rPr>
                <w:sz w:val="22"/>
              </w:rPr>
            </w:pPr>
            <w:r>
              <w:rPr>
                <w:w w:val="100"/>
                <w:sz w:val="22"/>
              </w:rPr>
              <w:t>X</w:t>
            </w:r>
          </w:p>
        </w:tc>
        <w:tc>
          <w:tcPr>
            <w:tcW w:w="766" w:type="dxa"/>
          </w:tcPr>
          <w:p>
            <w:pPr>
              <w:pStyle w:val="TableParagraph"/>
              <w:spacing w:line="246" w:lineRule="exact"/>
              <w:ind w:right="312"/>
              <w:jc w:val="right"/>
              <w:rPr>
                <w:sz w:val="22"/>
              </w:rPr>
            </w:pPr>
            <w:r>
              <w:rPr>
                <w:w w:val="100"/>
                <w:sz w:val="22"/>
              </w:rPr>
              <w:t>X</w:t>
            </w:r>
          </w:p>
        </w:tc>
        <w:tc>
          <w:tcPr>
            <w:tcW w:w="951" w:type="dxa"/>
          </w:tcPr>
          <w:p>
            <w:pPr>
              <w:pStyle w:val="TableParagraph"/>
              <w:spacing w:line="246" w:lineRule="exact"/>
              <w:ind w:left="8"/>
              <w:jc w:val="center"/>
              <w:rPr>
                <w:sz w:val="22"/>
              </w:rPr>
            </w:pPr>
            <w:r>
              <w:rPr>
                <w:w w:val="100"/>
                <w:sz w:val="22"/>
              </w:rPr>
              <w:t>X</w:t>
            </w:r>
          </w:p>
        </w:tc>
        <w:tc>
          <w:tcPr>
            <w:tcW w:w="1395" w:type="dxa"/>
          </w:tcPr>
          <w:p>
            <w:pPr>
              <w:pStyle w:val="TableParagraph"/>
              <w:rPr>
                <w:rFonts w:ascii="Times New Roman"/>
                <w:sz w:val="18"/>
              </w:rPr>
            </w:pPr>
          </w:p>
        </w:tc>
        <w:tc>
          <w:tcPr>
            <w:tcW w:w="1417" w:type="dxa"/>
          </w:tcPr>
          <w:p>
            <w:pPr>
              <w:pStyle w:val="TableParagraph"/>
              <w:spacing w:line="246" w:lineRule="exact"/>
              <w:ind w:left="649"/>
              <w:rPr>
                <w:sz w:val="22"/>
              </w:rPr>
            </w:pPr>
            <w:r>
              <w:rPr>
                <w:w w:val="100"/>
                <w:sz w:val="22"/>
              </w:rPr>
              <w:t>X</w:t>
            </w:r>
          </w:p>
        </w:tc>
        <w:tc>
          <w:tcPr>
            <w:tcW w:w="1189" w:type="dxa"/>
          </w:tcPr>
          <w:p>
            <w:pPr>
              <w:pStyle w:val="TableParagraph"/>
              <w:spacing w:line="246" w:lineRule="exact"/>
              <w:ind w:left="1"/>
              <w:jc w:val="center"/>
              <w:rPr>
                <w:sz w:val="22"/>
              </w:rPr>
            </w:pPr>
            <w:r>
              <w:rPr>
                <w:w w:val="100"/>
                <w:sz w:val="22"/>
              </w:rPr>
              <w:t>X</w:t>
            </w:r>
          </w:p>
        </w:tc>
        <w:tc>
          <w:tcPr>
            <w:tcW w:w="1160" w:type="dxa"/>
          </w:tcPr>
          <w:p>
            <w:pPr>
              <w:pStyle w:val="TableParagraph"/>
              <w:rPr>
                <w:rFonts w:ascii="Times New Roman"/>
                <w:sz w:val="18"/>
              </w:rPr>
            </w:pPr>
          </w:p>
        </w:tc>
        <w:tc>
          <w:tcPr>
            <w:tcW w:w="1453" w:type="dxa"/>
          </w:tcPr>
          <w:p>
            <w:pPr>
              <w:pStyle w:val="TableParagraph"/>
              <w:spacing w:line="246" w:lineRule="exact"/>
              <w:ind w:right="1"/>
              <w:jc w:val="center"/>
              <w:rPr>
                <w:sz w:val="22"/>
              </w:rPr>
            </w:pPr>
            <w:r>
              <w:rPr>
                <w:w w:val="100"/>
                <w:sz w:val="22"/>
              </w:rPr>
              <w:t>X</w:t>
            </w:r>
          </w:p>
        </w:tc>
      </w:tr>
      <w:tr>
        <w:trPr>
          <w:trHeight w:val="268" w:hRule="atLeast"/>
        </w:trPr>
        <w:tc>
          <w:tcPr>
            <w:tcW w:w="2474" w:type="dxa"/>
          </w:tcPr>
          <w:p>
            <w:pPr>
              <w:pStyle w:val="TableParagraph"/>
              <w:spacing w:line="248" w:lineRule="exact"/>
              <w:ind w:left="107"/>
              <w:rPr>
                <w:b/>
                <w:sz w:val="22"/>
              </w:rPr>
            </w:pPr>
            <w:r>
              <w:rPr>
                <w:b/>
                <w:sz w:val="22"/>
              </w:rPr>
              <w:t>Adult Day Care</w:t>
            </w:r>
          </w:p>
        </w:tc>
        <w:tc>
          <w:tcPr>
            <w:tcW w:w="751" w:type="dxa"/>
          </w:tcPr>
          <w:p>
            <w:pPr>
              <w:pStyle w:val="TableParagraph"/>
              <w:rPr>
                <w:rFonts w:ascii="Times New Roman"/>
                <w:sz w:val="18"/>
              </w:rPr>
            </w:pPr>
          </w:p>
        </w:tc>
        <w:tc>
          <w:tcPr>
            <w:tcW w:w="780" w:type="dxa"/>
          </w:tcPr>
          <w:p>
            <w:pPr>
              <w:pStyle w:val="TableParagraph"/>
              <w:rPr>
                <w:rFonts w:ascii="Times New Roman"/>
                <w:sz w:val="18"/>
              </w:rPr>
            </w:pPr>
          </w:p>
        </w:tc>
        <w:tc>
          <w:tcPr>
            <w:tcW w:w="720" w:type="dxa"/>
          </w:tcPr>
          <w:p>
            <w:pPr>
              <w:pStyle w:val="TableParagraph"/>
              <w:rPr>
                <w:rFonts w:ascii="Times New Roman"/>
                <w:sz w:val="18"/>
              </w:rPr>
            </w:pPr>
          </w:p>
        </w:tc>
        <w:tc>
          <w:tcPr>
            <w:tcW w:w="720" w:type="dxa"/>
          </w:tcPr>
          <w:p>
            <w:pPr>
              <w:pStyle w:val="TableParagraph"/>
              <w:rPr>
                <w:rFonts w:ascii="Times New Roman"/>
                <w:sz w:val="18"/>
              </w:rPr>
            </w:pPr>
          </w:p>
        </w:tc>
        <w:tc>
          <w:tcPr>
            <w:tcW w:w="766" w:type="dxa"/>
          </w:tcPr>
          <w:p>
            <w:pPr>
              <w:pStyle w:val="TableParagraph"/>
              <w:rPr>
                <w:rFonts w:ascii="Times New Roman"/>
                <w:sz w:val="18"/>
              </w:rPr>
            </w:pPr>
          </w:p>
        </w:tc>
        <w:tc>
          <w:tcPr>
            <w:tcW w:w="951" w:type="dxa"/>
          </w:tcPr>
          <w:p>
            <w:pPr>
              <w:pStyle w:val="TableParagraph"/>
              <w:spacing w:line="248" w:lineRule="exact"/>
              <w:ind w:left="8"/>
              <w:jc w:val="center"/>
              <w:rPr>
                <w:sz w:val="22"/>
              </w:rPr>
            </w:pPr>
            <w:r>
              <w:rPr>
                <w:w w:val="100"/>
                <w:sz w:val="22"/>
              </w:rPr>
              <w:t>X</w:t>
            </w:r>
          </w:p>
        </w:tc>
        <w:tc>
          <w:tcPr>
            <w:tcW w:w="1395" w:type="dxa"/>
          </w:tcPr>
          <w:p>
            <w:pPr>
              <w:pStyle w:val="TableParagraph"/>
              <w:rPr>
                <w:rFonts w:ascii="Times New Roman"/>
                <w:sz w:val="18"/>
              </w:rPr>
            </w:pPr>
          </w:p>
        </w:tc>
        <w:tc>
          <w:tcPr>
            <w:tcW w:w="1417" w:type="dxa"/>
          </w:tcPr>
          <w:p>
            <w:pPr>
              <w:pStyle w:val="TableParagraph"/>
              <w:rPr>
                <w:rFonts w:ascii="Times New Roman"/>
                <w:sz w:val="18"/>
              </w:rPr>
            </w:pPr>
          </w:p>
        </w:tc>
        <w:tc>
          <w:tcPr>
            <w:tcW w:w="1189" w:type="dxa"/>
          </w:tcPr>
          <w:p>
            <w:pPr>
              <w:pStyle w:val="TableParagraph"/>
              <w:rPr>
                <w:rFonts w:ascii="Times New Roman"/>
                <w:sz w:val="18"/>
              </w:rPr>
            </w:pPr>
          </w:p>
        </w:tc>
        <w:tc>
          <w:tcPr>
            <w:tcW w:w="1160" w:type="dxa"/>
          </w:tcPr>
          <w:p>
            <w:pPr>
              <w:pStyle w:val="TableParagraph"/>
              <w:spacing w:line="248" w:lineRule="exact"/>
              <w:jc w:val="center"/>
              <w:rPr>
                <w:sz w:val="22"/>
              </w:rPr>
            </w:pPr>
            <w:r>
              <w:rPr>
                <w:w w:val="100"/>
                <w:sz w:val="22"/>
              </w:rPr>
              <w:t>X</w:t>
            </w:r>
          </w:p>
        </w:tc>
        <w:tc>
          <w:tcPr>
            <w:tcW w:w="1453" w:type="dxa"/>
          </w:tcPr>
          <w:p>
            <w:pPr>
              <w:pStyle w:val="TableParagraph"/>
              <w:rPr>
                <w:rFonts w:ascii="Times New Roman"/>
                <w:sz w:val="18"/>
              </w:rPr>
            </w:pPr>
          </w:p>
        </w:tc>
      </w:tr>
      <w:tr>
        <w:trPr>
          <w:trHeight w:val="268" w:hRule="atLeast"/>
        </w:trPr>
        <w:tc>
          <w:tcPr>
            <w:tcW w:w="2474" w:type="dxa"/>
          </w:tcPr>
          <w:p>
            <w:pPr>
              <w:pStyle w:val="TableParagraph"/>
              <w:spacing w:line="248" w:lineRule="exact"/>
              <w:ind w:left="107"/>
              <w:rPr>
                <w:b/>
                <w:sz w:val="22"/>
              </w:rPr>
            </w:pPr>
            <w:r>
              <w:rPr>
                <w:b/>
                <w:sz w:val="22"/>
              </w:rPr>
              <w:t>Adult Day Health</w:t>
            </w:r>
          </w:p>
        </w:tc>
        <w:tc>
          <w:tcPr>
            <w:tcW w:w="751" w:type="dxa"/>
          </w:tcPr>
          <w:p>
            <w:pPr>
              <w:pStyle w:val="TableParagraph"/>
              <w:rPr>
                <w:rFonts w:ascii="Times New Roman"/>
                <w:sz w:val="18"/>
              </w:rPr>
            </w:pPr>
          </w:p>
        </w:tc>
        <w:tc>
          <w:tcPr>
            <w:tcW w:w="780" w:type="dxa"/>
          </w:tcPr>
          <w:p>
            <w:pPr>
              <w:pStyle w:val="TableParagraph"/>
              <w:rPr>
                <w:rFonts w:ascii="Times New Roman"/>
                <w:sz w:val="18"/>
              </w:rPr>
            </w:pPr>
          </w:p>
        </w:tc>
        <w:tc>
          <w:tcPr>
            <w:tcW w:w="720" w:type="dxa"/>
          </w:tcPr>
          <w:p>
            <w:pPr>
              <w:pStyle w:val="TableParagraph"/>
              <w:rPr>
                <w:rFonts w:ascii="Times New Roman"/>
                <w:sz w:val="18"/>
              </w:rPr>
            </w:pPr>
          </w:p>
        </w:tc>
        <w:tc>
          <w:tcPr>
            <w:tcW w:w="720" w:type="dxa"/>
          </w:tcPr>
          <w:p>
            <w:pPr>
              <w:pStyle w:val="TableParagraph"/>
              <w:rPr>
                <w:rFonts w:ascii="Times New Roman"/>
                <w:sz w:val="18"/>
              </w:rPr>
            </w:pPr>
          </w:p>
        </w:tc>
        <w:tc>
          <w:tcPr>
            <w:tcW w:w="766" w:type="dxa"/>
          </w:tcPr>
          <w:p>
            <w:pPr>
              <w:pStyle w:val="TableParagraph"/>
              <w:rPr>
                <w:rFonts w:ascii="Times New Roman"/>
                <w:sz w:val="18"/>
              </w:rPr>
            </w:pPr>
          </w:p>
        </w:tc>
        <w:tc>
          <w:tcPr>
            <w:tcW w:w="951" w:type="dxa"/>
          </w:tcPr>
          <w:p>
            <w:pPr>
              <w:pStyle w:val="TableParagraph"/>
              <w:spacing w:line="248" w:lineRule="exact"/>
              <w:ind w:left="8"/>
              <w:jc w:val="center"/>
              <w:rPr>
                <w:sz w:val="22"/>
              </w:rPr>
            </w:pPr>
            <w:r>
              <w:rPr>
                <w:w w:val="100"/>
                <w:sz w:val="22"/>
              </w:rPr>
              <w:t>X</w:t>
            </w:r>
          </w:p>
        </w:tc>
        <w:tc>
          <w:tcPr>
            <w:tcW w:w="1395" w:type="dxa"/>
          </w:tcPr>
          <w:p>
            <w:pPr>
              <w:pStyle w:val="TableParagraph"/>
              <w:spacing w:line="248" w:lineRule="exact"/>
              <w:ind w:left="5"/>
              <w:jc w:val="center"/>
              <w:rPr>
                <w:sz w:val="22"/>
              </w:rPr>
            </w:pPr>
            <w:r>
              <w:rPr>
                <w:w w:val="100"/>
                <w:sz w:val="22"/>
              </w:rPr>
              <w:t>X</w:t>
            </w:r>
          </w:p>
        </w:tc>
        <w:tc>
          <w:tcPr>
            <w:tcW w:w="1417" w:type="dxa"/>
          </w:tcPr>
          <w:p>
            <w:pPr>
              <w:pStyle w:val="TableParagraph"/>
              <w:rPr>
                <w:rFonts w:ascii="Times New Roman"/>
                <w:sz w:val="18"/>
              </w:rPr>
            </w:pPr>
          </w:p>
        </w:tc>
        <w:tc>
          <w:tcPr>
            <w:tcW w:w="1189" w:type="dxa"/>
          </w:tcPr>
          <w:p>
            <w:pPr>
              <w:pStyle w:val="TableParagraph"/>
              <w:rPr>
                <w:rFonts w:ascii="Times New Roman"/>
                <w:sz w:val="18"/>
              </w:rPr>
            </w:pPr>
          </w:p>
        </w:tc>
        <w:tc>
          <w:tcPr>
            <w:tcW w:w="1160" w:type="dxa"/>
          </w:tcPr>
          <w:p>
            <w:pPr>
              <w:pStyle w:val="TableParagraph"/>
              <w:rPr>
                <w:rFonts w:ascii="Times New Roman"/>
                <w:sz w:val="18"/>
              </w:rPr>
            </w:pPr>
          </w:p>
        </w:tc>
        <w:tc>
          <w:tcPr>
            <w:tcW w:w="1453" w:type="dxa"/>
          </w:tcPr>
          <w:p>
            <w:pPr>
              <w:pStyle w:val="TableParagraph"/>
              <w:spacing w:line="248" w:lineRule="exact"/>
              <w:ind w:right="1"/>
              <w:jc w:val="center"/>
              <w:rPr>
                <w:sz w:val="22"/>
              </w:rPr>
            </w:pPr>
            <w:r>
              <w:rPr>
                <w:w w:val="100"/>
                <w:sz w:val="22"/>
              </w:rPr>
              <w:t>X</w:t>
            </w:r>
          </w:p>
        </w:tc>
      </w:tr>
      <w:tr>
        <w:trPr>
          <w:trHeight w:val="268" w:hRule="atLeast"/>
        </w:trPr>
        <w:tc>
          <w:tcPr>
            <w:tcW w:w="2474" w:type="dxa"/>
          </w:tcPr>
          <w:p>
            <w:pPr>
              <w:pStyle w:val="TableParagraph"/>
              <w:spacing w:line="248" w:lineRule="exact"/>
              <w:ind w:left="107"/>
              <w:rPr>
                <w:b/>
                <w:sz w:val="22"/>
              </w:rPr>
            </w:pPr>
            <w:r>
              <w:rPr>
                <w:b/>
                <w:sz w:val="22"/>
              </w:rPr>
              <w:t>Adult Family Home</w:t>
            </w:r>
          </w:p>
        </w:tc>
        <w:tc>
          <w:tcPr>
            <w:tcW w:w="751" w:type="dxa"/>
          </w:tcPr>
          <w:p>
            <w:pPr>
              <w:pStyle w:val="TableParagraph"/>
              <w:rPr>
                <w:rFonts w:ascii="Times New Roman"/>
                <w:sz w:val="18"/>
              </w:rPr>
            </w:pPr>
          </w:p>
        </w:tc>
        <w:tc>
          <w:tcPr>
            <w:tcW w:w="780" w:type="dxa"/>
          </w:tcPr>
          <w:p>
            <w:pPr>
              <w:pStyle w:val="TableParagraph"/>
              <w:rPr>
                <w:rFonts w:ascii="Times New Roman"/>
                <w:sz w:val="18"/>
              </w:rPr>
            </w:pPr>
          </w:p>
        </w:tc>
        <w:tc>
          <w:tcPr>
            <w:tcW w:w="720" w:type="dxa"/>
          </w:tcPr>
          <w:p>
            <w:pPr>
              <w:pStyle w:val="TableParagraph"/>
              <w:rPr>
                <w:rFonts w:ascii="Times New Roman"/>
                <w:sz w:val="18"/>
              </w:rPr>
            </w:pPr>
          </w:p>
        </w:tc>
        <w:tc>
          <w:tcPr>
            <w:tcW w:w="720" w:type="dxa"/>
          </w:tcPr>
          <w:p>
            <w:pPr>
              <w:pStyle w:val="TableParagraph"/>
              <w:rPr>
                <w:rFonts w:ascii="Times New Roman"/>
                <w:sz w:val="18"/>
              </w:rPr>
            </w:pPr>
          </w:p>
        </w:tc>
        <w:tc>
          <w:tcPr>
            <w:tcW w:w="766" w:type="dxa"/>
          </w:tcPr>
          <w:p>
            <w:pPr>
              <w:pStyle w:val="TableParagraph"/>
              <w:rPr>
                <w:rFonts w:ascii="Times New Roman"/>
                <w:sz w:val="18"/>
              </w:rPr>
            </w:pPr>
          </w:p>
        </w:tc>
        <w:tc>
          <w:tcPr>
            <w:tcW w:w="951" w:type="dxa"/>
          </w:tcPr>
          <w:p>
            <w:pPr>
              <w:pStyle w:val="TableParagraph"/>
              <w:rPr>
                <w:rFonts w:ascii="Times New Roman"/>
                <w:sz w:val="18"/>
              </w:rPr>
            </w:pPr>
          </w:p>
        </w:tc>
        <w:tc>
          <w:tcPr>
            <w:tcW w:w="1395" w:type="dxa"/>
          </w:tcPr>
          <w:p>
            <w:pPr>
              <w:pStyle w:val="TableParagraph"/>
              <w:spacing w:line="248" w:lineRule="exact"/>
              <w:ind w:left="5"/>
              <w:jc w:val="center"/>
              <w:rPr>
                <w:sz w:val="22"/>
              </w:rPr>
            </w:pPr>
            <w:r>
              <w:rPr>
                <w:w w:val="100"/>
                <w:sz w:val="22"/>
              </w:rPr>
              <w:t>X</w:t>
            </w:r>
          </w:p>
        </w:tc>
        <w:tc>
          <w:tcPr>
            <w:tcW w:w="1417" w:type="dxa"/>
          </w:tcPr>
          <w:p>
            <w:pPr>
              <w:pStyle w:val="TableParagraph"/>
              <w:rPr>
                <w:rFonts w:ascii="Times New Roman"/>
                <w:sz w:val="18"/>
              </w:rPr>
            </w:pPr>
          </w:p>
        </w:tc>
        <w:tc>
          <w:tcPr>
            <w:tcW w:w="1189" w:type="dxa"/>
          </w:tcPr>
          <w:p>
            <w:pPr>
              <w:pStyle w:val="TableParagraph"/>
              <w:spacing w:line="248" w:lineRule="exact"/>
              <w:ind w:left="1"/>
              <w:jc w:val="center"/>
              <w:rPr>
                <w:sz w:val="22"/>
              </w:rPr>
            </w:pPr>
            <w:r>
              <w:rPr>
                <w:w w:val="100"/>
                <w:sz w:val="22"/>
              </w:rPr>
              <w:t>X</w:t>
            </w:r>
          </w:p>
        </w:tc>
        <w:tc>
          <w:tcPr>
            <w:tcW w:w="1160" w:type="dxa"/>
          </w:tcPr>
          <w:p>
            <w:pPr>
              <w:pStyle w:val="TableParagraph"/>
              <w:rPr>
                <w:rFonts w:ascii="Times New Roman"/>
                <w:sz w:val="18"/>
              </w:rPr>
            </w:pPr>
          </w:p>
        </w:tc>
        <w:tc>
          <w:tcPr>
            <w:tcW w:w="1453" w:type="dxa"/>
          </w:tcPr>
          <w:p>
            <w:pPr>
              <w:pStyle w:val="TableParagraph"/>
              <w:spacing w:line="248" w:lineRule="exact"/>
              <w:ind w:right="1"/>
              <w:jc w:val="center"/>
              <w:rPr>
                <w:sz w:val="22"/>
              </w:rPr>
            </w:pPr>
            <w:r>
              <w:rPr>
                <w:w w:val="100"/>
                <w:sz w:val="22"/>
              </w:rPr>
              <w:t>X</w:t>
            </w:r>
          </w:p>
        </w:tc>
      </w:tr>
      <w:tr>
        <w:trPr>
          <w:trHeight w:val="537" w:hRule="atLeast"/>
        </w:trPr>
        <w:tc>
          <w:tcPr>
            <w:tcW w:w="2474" w:type="dxa"/>
          </w:tcPr>
          <w:p>
            <w:pPr>
              <w:pStyle w:val="TableParagraph"/>
              <w:spacing w:line="268" w:lineRule="exact"/>
              <w:ind w:left="107"/>
              <w:rPr>
                <w:b/>
                <w:sz w:val="22"/>
              </w:rPr>
            </w:pPr>
            <w:r>
              <w:rPr>
                <w:b/>
                <w:sz w:val="22"/>
              </w:rPr>
              <w:t>Enhanced</w:t>
            </w:r>
            <w:r>
              <w:rPr>
                <w:b/>
                <w:spacing w:val="-2"/>
                <w:sz w:val="22"/>
              </w:rPr>
              <w:t> </w:t>
            </w:r>
            <w:r>
              <w:rPr>
                <w:b/>
                <w:sz w:val="22"/>
              </w:rPr>
              <w:t>Adult</w:t>
            </w:r>
          </w:p>
          <w:p>
            <w:pPr>
              <w:pStyle w:val="TableParagraph"/>
              <w:spacing w:line="249" w:lineRule="exact"/>
              <w:ind w:left="107"/>
              <w:rPr>
                <w:b/>
                <w:sz w:val="22"/>
              </w:rPr>
            </w:pPr>
            <w:r>
              <w:rPr>
                <w:b/>
                <w:sz w:val="22"/>
              </w:rPr>
              <w:t>Residential</w:t>
            </w:r>
            <w:r>
              <w:rPr>
                <w:b/>
                <w:spacing w:val="-3"/>
                <w:sz w:val="22"/>
              </w:rPr>
              <w:t> </w:t>
            </w:r>
            <w:r>
              <w:rPr>
                <w:b/>
                <w:sz w:val="22"/>
              </w:rPr>
              <w:t>Care</w:t>
            </w:r>
          </w:p>
        </w:tc>
        <w:tc>
          <w:tcPr>
            <w:tcW w:w="751" w:type="dxa"/>
          </w:tcPr>
          <w:p>
            <w:pPr>
              <w:pStyle w:val="TableParagraph"/>
              <w:rPr>
                <w:rFonts w:ascii="Times New Roman"/>
                <w:sz w:val="22"/>
              </w:rPr>
            </w:pPr>
          </w:p>
        </w:tc>
        <w:tc>
          <w:tcPr>
            <w:tcW w:w="780" w:type="dxa"/>
          </w:tcPr>
          <w:p>
            <w:pPr>
              <w:pStyle w:val="TableParagraph"/>
              <w:rPr>
                <w:rFonts w:ascii="Times New Roman"/>
                <w:sz w:val="22"/>
              </w:rPr>
            </w:pPr>
          </w:p>
        </w:tc>
        <w:tc>
          <w:tcPr>
            <w:tcW w:w="720" w:type="dxa"/>
          </w:tcPr>
          <w:p>
            <w:pPr>
              <w:pStyle w:val="TableParagraph"/>
              <w:rPr>
                <w:rFonts w:ascii="Times New Roman"/>
                <w:sz w:val="22"/>
              </w:rPr>
            </w:pPr>
          </w:p>
        </w:tc>
        <w:tc>
          <w:tcPr>
            <w:tcW w:w="720" w:type="dxa"/>
          </w:tcPr>
          <w:p>
            <w:pPr>
              <w:pStyle w:val="TableParagraph"/>
              <w:rPr>
                <w:rFonts w:ascii="Times New Roman"/>
                <w:sz w:val="22"/>
              </w:rPr>
            </w:pPr>
          </w:p>
        </w:tc>
        <w:tc>
          <w:tcPr>
            <w:tcW w:w="766" w:type="dxa"/>
          </w:tcPr>
          <w:p>
            <w:pPr>
              <w:pStyle w:val="TableParagraph"/>
              <w:rPr>
                <w:rFonts w:ascii="Times New Roman"/>
                <w:sz w:val="22"/>
              </w:rPr>
            </w:pPr>
          </w:p>
        </w:tc>
        <w:tc>
          <w:tcPr>
            <w:tcW w:w="951" w:type="dxa"/>
          </w:tcPr>
          <w:p>
            <w:pPr>
              <w:pStyle w:val="TableParagraph"/>
              <w:rPr>
                <w:rFonts w:ascii="Times New Roman"/>
                <w:sz w:val="22"/>
              </w:rPr>
            </w:pPr>
          </w:p>
        </w:tc>
        <w:tc>
          <w:tcPr>
            <w:tcW w:w="1395" w:type="dxa"/>
          </w:tcPr>
          <w:p>
            <w:pPr>
              <w:pStyle w:val="TableParagraph"/>
              <w:spacing w:line="268" w:lineRule="exact"/>
              <w:ind w:left="5"/>
              <w:jc w:val="center"/>
              <w:rPr>
                <w:sz w:val="22"/>
              </w:rPr>
            </w:pPr>
            <w:r>
              <w:rPr>
                <w:w w:val="100"/>
                <w:sz w:val="22"/>
              </w:rPr>
              <w:t>X</w:t>
            </w:r>
          </w:p>
        </w:tc>
        <w:tc>
          <w:tcPr>
            <w:tcW w:w="1417" w:type="dxa"/>
          </w:tcPr>
          <w:p>
            <w:pPr>
              <w:pStyle w:val="TableParagraph"/>
              <w:rPr>
                <w:rFonts w:ascii="Times New Roman"/>
                <w:sz w:val="22"/>
              </w:rPr>
            </w:pPr>
          </w:p>
        </w:tc>
        <w:tc>
          <w:tcPr>
            <w:tcW w:w="1189" w:type="dxa"/>
          </w:tcPr>
          <w:p>
            <w:pPr>
              <w:pStyle w:val="TableParagraph"/>
              <w:spacing w:line="268" w:lineRule="exact"/>
              <w:ind w:left="1"/>
              <w:jc w:val="center"/>
              <w:rPr>
                <w:sz w:val="22"/>
              </w:rPr>
            </w:pPr>
            <w:r>
              <w:rPr>
                <w:w w:val="100"/>
                <w:sz w:val="22"/>
              </w:rPr>
              <w:t>X</w:t>
            </w:r>
          </w:p>
        </w:tc>
        <w:tc>
          <w:tcPr>
            <w:tcW w:w="1160" w:type="dxa"/>
          </w:tcPr>
          <w:p>
            <w:pPr>
              <w:pStyle w:val="TableParagraph"/>
              <w:rPr>
                <w:rFonts w:ascii="Times New Roman"/>
                <w:sz w:val="22"/>
              </w:rPr>
            </w:pPr>
          </w:p>
        </w:tc>
        <w:tc>
          <w:tcPr>
            <w:tcW w:w="1453" w:type="dxa"/>
          </w:tcPr>
          <w:p>
            <w:pPr>
              <w:pStyle w:val="TableParagraph"/>
              <w:spacing w:line="268" w:lineRule="exact"/>
              <w:ind w:right="1"/>
              <w:jc w:val="center"/>
              <w:rPr>
                <w:sz w:val="22"/>
              </w:rPr>
            </w:pPr>
            <w:r>
              <w:rPr>
                <w:w w:val="100"/>
                <w:sz w:val="22"/>
              </w:rPr>
              <w:t>X</w:t>
            </w:r>
          </w:p>
        </w:tc>
      </w:tr>
      <w:tr>
        <w:trPr>
          <w:trHeight w:val="268" w:hRule="atLeast"/>
        </w:trPr>
        <w:tc>
          <w:tcPr>
            <w:tcW w:w="2474" w:type="dxa"/>
          </w:tcPr>
          <w:p>
            <w:pPr>
              <w:pStyle w:val="TableParagraph"/>
              <w:spacing w:line="248" w:lineRule="exact"/>
              <w:ind w:left="107"/>
              <w:rPr>
                <w:b/>
                <w:sz w:val="22"/>
              </w:rPr>
            </w:pPr>
            <w:r>
              <w:rPr>
                <w:b/>
                <w:sz w:val="22"/>
              </w:rPr>
              <w:t>Adult Residential Care</w:t>
            </w:r>
          </w:p>
        </w:tc>
        <w:tc>
          <w:tcPr>
            <w:tcW w:w="751" w:type="dxa"/>
          </w:tcPr>
          <w:p>
            <w:pPr>
              <w:pStyle w:val="TableParagraph"/>
              <w:rPr>
                <w:rFonts w:ascii="Times New Roman"/>
                <w:sz w:val="18"/>
              </w:rPr>
            </w:pPr>
          </w:p>
        </w:tc>
        <w:tc>
          <w:tcPr>
            <w:tcW w:w="780" w:type="dxa"/>
          </w:tcPr>
          <w:p>
            <w:pPr>
              <w:pStyle w:val="TableParagraph"/>
              <w:rPr>
                <w:rFonts w:ascii="Times New Roman"/>
                <w:sz w:val="18"/>
              </w:rPr>
            </w:pPr>
          </w:p>
        </w:tc>
        <w:tc>
          <w:tcPr>
            <w:tcW w:w="720" w:type="dxa"/>
          </w:tcPr>
          <w:p>
            <w:pPr>
              <w:pStyle w:val="TableParagraph"/>
              <w:rPr>
                <w:rFonts w:ascii="Times New Roman"/>
                <w:sz w:val="18"/>
              </w:rPr>
            </w:pPr>
          </w:p>
        </w:tc>
        <w:tc>
          <w:tcPr>
            <w:tcW w:w="720" w:type="dxa"/>
          </w:tcPr>
          <w:p>
            <w:pPr>
              <w:pStyle w:val="TableParagraph"/>
              <w:rPr>
                <w:rFonts w:ascii="Times New Roman"/>
                <w:sz w:val="18"/>
              </w:rPr>
            </w:pPr>
          </w:p>
        </w:tc>
        <w:tc>
          <w:tcPr>
            <w:tcW w:w="766" w:type="dxa"/>
          </w:tcPr>
          <w:p>
            <w:pPr>
              <w:pStyle w:val="TableParagraph"/>
              <w:rPr>
                <w:rFonts w:ascii="Times New Roman"/>
                <w:sz w:val="18"/>
              </w:rPr>
            </w:pPr>
          </w:p>
        </w:tc>
        <w:tc>
          <w:tcPr>
            <w:tcW w:w="951" w:type="dxa"/>
          </w:tcPr>
          <w:p>
            <w:pPr>
              <w:pStyle w:val="TableParagraph"/>
              <w:rPr>
                <w:rFonts w:ascii="Times New Roman"/>
                <w:sz w:val="18"/>
              </w:rPr>
            </w:pPr>
          </w:p>
        </w:tc>
        <w:tc>
          <w:tcPr>
            <w:tcW w:w="1395" w:type="dxa"/>
          </w:tcPr>
          <w:p>
            <w:pPr>
              <w:pStyle w:val="TableParagraph"/>
              <w:rPr>
                <w:rFonts w:ascii="Times New Roman"/>
                <w:sz w:val="18"/>
              </w:rPr>
            </w:pPr>
          </w:p>
        </w:tc>
        <w:tc>
          <w:tcPr>
            <w:tcW w:w="1417" w:type="dxa"/>
          </w:tcPr>
          <w:p>
            <w:pPr>
              <w:pStyle w:val="TableParagraph"/>
              <w:rPr>
                <w:rFonts w:ascii="Times New Roman"/>
                <w:sz w:val="18"/>
              </w:rPr>
            </w:pPr>
          </w:p>
        </w:tc>
        <w:tc>
          <w:tcPr>
            <w:tcW w:w="1189" w:type="dxa"/>
          </w:tcPr>
          <w:p>
            <w:pPr>
              <w:pStyle w:val="TableParagraph"/>
              <w:spacing w:line="248" w:lineRule="exact"/>
              <w:ind w:left="1"/>
              <w:jc w:val="center"/>
              <w:rPr>
                <w:sz w:val="22"/>
              </w:rPr>
            </w:pPr>
            <w:r>
              <w:rPr>
                <w:w w:val="100"/>
                <w:sz w:val="22"/>
              </w:rPr>
              <w:t>X</w:t>
            </w:r>
          </w:p>
        </w:tc>
        <w:tc>
          <w:tcPr>
            <w:tcW w:w="1160" w:type="dxa"/>
          </w:tcPr>
          <w:p>
            <w:pPr>
              <w:pStyle w:val="TableParagraph"/>
              <w:rPr>
                <w:rFonts w:ascii="Times New Roman"/>
                <w:sz w:val="18"/>
              </w:rPr>
            </w:pPr>
          </w:p>
        </w:tc>
        <w:tc>
          <w:tcPr>
            <w:tcW w:w="1453" w:type="dxa"/>
          </w:tcPr>
          <w:p>
            <w:pPr>
              <w:pStyle w:val="TableParagraph"/>
              <w:spacing w:line="248" w:lineRule="exact"/>
              <w:ind w:right="1"/>
              <w:jc w:val="center"/>
              <w:rPr>
                <w:sz w:val="22"/>
              </w:rPr>
            </w:pPr>
            <w:r>
              <w:rPr>
                <w:w w:val="100"/>
                <w:sz w:val="22"/>
              </w:rPr>
              <w:t>X</w:t>
            </w:r>
          </w:p>
        </w:tc>
      </w:tr>
      <w:tr>
        <w:trPr>
          <w:trHeight w:val="268" w:hRule="atLeast"/>
        </w:trPr>
        <w:tc>
          <w:tcPr>
            <w:tcW w:w="2474" w:type="dxa"/>
          </w:tcPr>
          <w:p>
            <w:pPr>
              <w:pStyle w:val="TableParagraph"/>
              <w:spacing w:line="248" w:lineRule="exact"/>
              <w:ind w:left="107"/>
              <w:rPr>
                <w:b/>
                <w:sz w:val="22"/>
              </w:rPr>
            </w:pPr>
            <w:r>
              <w:rPr>
                <w:b/>
                <w:sz w:val="22"/>
              </w:rPr>
              <w:t>Assisted Living facility</w:t>
            </w:r>
          </w:p>
        </w:tc>
        <w:tc>
          <w:tcPr>
            <w:tcW w:w="751" w:type="dxa"/>
          </w:tcPr>
          <w:p>
            <w:pPr>
              <w:pStyle w:val="TableParagraph"/>
              <w:rPr>
                <w:rFonts w:ascii="Times New Roman"/>
                <w:sz w:val="18"/>
              </w:rPr>
            </w:pPr>
          </w:p>
        </w:tc>
        <w:tc>
          <w:tcPr>
            <w:tcW w:w="780" w:type="dxa"/>
          </w:tcPr>
          <w:p>
            <w:pPr>
              <w:pStyle w:val="TableParagraph"/>
              <w:rPr>
                <w:rFonts w:ascii="Times New Roman"/>
                <w:sz w:val="18"/>
              </w:rPr>
            </w:pPr>
          </w:p>
        </w:tc>
        <w:tc>
          <w:tcPr>
            <w:tcW w:w="720" w:type="dxa"/>
          </w:tcPr>
          <w:p>
            <w:pPr>
              <w:pStyle w:val="TableParagraph"/>
              <w:rPr>
                <w:rFonts w:ascii="Times New Roman"/>
                <w:sz w:val="18"/>
              </w:rPr>
            </w:pPr>
          </w:p>
        </w:tc>
        <w:tc>
          <w:tcPr>
            <w:tcW w:w="720" w:type="dxa"/>
          </w:tcPr>
          <w:p>
            <w:pPr>
              <w:pStyle w:val="TableParagraph"/>
              <w:rPr>
                <w:rFonts w:ascii="Times New Roman"/>
                <w:sz w:val="18"/>
              </w:rPr>
            </w:pPr>
          </w:p>
        </w:tc>
        <w:tc>
          <w:tcPr>
            <w:tcW w:w="766" w:type="dxa"/>
          </w:tcPr>
          <w:p>
            <w:pPr>
              <w:pStyle w:val="TableParagraph"/>
              <w:rPr>
                <w:rFonts w:ascii="Times New Roman"/>
                <w:sz w:val="18"/>
              </w:rPr>
            </w:pPr>
          </w:p>
        </w:tc>
        <w:tc>
          <w:tcPr>
            <w:tcW w:w="951" w:type="dxa"/>
          </w:tcPr>
          <w:p>
            <w:pPr>
              <w:pStyle w:val="TableParagraph"/>
              <w:rPr>
                <w:rFonts w:ascii="Times New Roman"/>
                <w:sz w:val="18"/>
              </w:rPr>
            </w:pPr>
          </w:p>
        </w:tc>
        <w:tc>
          <w:tcPr>
            <w:tcW w:w="1395" w:type="dxa"/>
          </w:tcPr>
          <w:p>
            <w:pPr>
              <w:pStyle w:val="TableParagraph"/>
              <w:spacing w:line="248" w:lineRule="exact"/>
              <w:ind w:left="5"/>
              <w:jc w:val="center"/>
              <w:rPr>
                <w:sz w:val="22"/>
              </w:rPr>
            </w:pPr>
            <w:r>
              <w:rPr>
                <w:w w:val="100"/>
                <w:sz w:val="22"/>
              </w:rPr>
              <w:t>X</w:t>
            </w:r>
          </w:p>
        </w:tc>
        <w:tc>
          <w:tcPr>
            <w:tcW w:w="1417" w:type="dxa"/>
          </w:tcPr>
          <w:p>
            <w:pPr>
              <w:pStyle w:val="TableParagraph"/>
              <w:rPr>
                <w:rFonts w:ascii="Times New Roman"/>
                <w:sz w:val="18"/>
              </w:rPr>
            </w:pPr>
          </w:p>
        </w:tc>
        <w:tc>
          <w:tcPr>
            <w:tcW w:w="1189" w:type="dxa"/>
          </w:tcPr>
          <w:p>
            <w:pPr>
              <w:pStyle w:val="TableParagraph"/>
              <w:spacing w:line="248" w:lineRule="exact"/>
              <w:ind w:left="1"/>
              <w:jc w:val="center"/>
              <w:rPr>
                <w:sz w:val="22"/>
              </w:rPr>
            </w:pPr>
            <w:r>
              <w:rPr>
                <w:w w:val="100"/>
                <w:sz w:val="22"/>
              </w:rPr>
              <w:t>X</w:t>
            </w:r>
          </w:p>
        </w:tc>
        <w:tc>
          <w:tcPr>
            <w:tcW w:w="1160" w:type="dxa"/>
          </w:tcPr>
          <w:p>
            <w:pPr>
              <w:pStyle w:val="TableParagraph"/>
              <w:rPr>
                <w:rFonts w:ascii="Times New Roman"/>
                <w:sz w:val="18"/>
              </w:rPr>
            </w:pPr>
          </w:p>
        </w:tc>
        <w:tc>
          <w:tcPr>
            <w:tcW w:w="1453" w:type="dxa"/>
          </w:tcPr>
          <w:p>
            <w:pPr>
              <w:pStyle w:val="TableParagraph"/>
              <w:spacing w:line="248" w:lineRule="exact"/>
              <w:ind w:right="1"/>
              <w:jc w:val="center"/>
              <w:rPr>
                <w:sz w:val="22"/>
              </w:rPr>
            </w:pPr>
            <w:r>
              <w:rPr>
                <w:w w:val="100"/>
                <w:sz w:val="22"/>
              </w:rPr>
              <w:t>X</w:t>
            </w:r>
          </w:p>
        </w:tc>
      </w:tr>
      <w:tr>
        <w:trPr>
          <w:trHeight w:val="268" w:hRule="atLeast"/>
        </w:trPr>
        <w:tc>
          <w:tcPr>
            <w:tcW w:w="2474" w:type="dxa"/>
          </w:tcPr>
          <w:p>
            <w:pPr>
              <w:pStyle w:val="TableParagraph"/>
              <w:spacing w:line="248" w:lineRule="exact"/>
              <w:ind w:left="107"/>
              <w:rPr>
                <w:b/>
                <w:sz w:val="22"/>
              </w:rPr>
            </w:pPr>
            <w:r>
              <w:rPr>
                <w:b/>
                <w:sz w:val="22"/>
              </w:rPr>
              <w:t>Enhanced Service facility</w:t>
            </w:r>
          </w:p>
        </w:tc>
        <w:tc>
          <w:tcPr>
            <w:tcW w:w="751" w:type="dxa"/>
          </w:tcPr>
          <w:p>
            <w:pPr>
              <w:pStyle w:val="TableParagraph"/>
              <w:rPr>
                <w:rFonts w:ascii="Times New Roman"/>
                <w:sz w:val="18"/>
              </w:rPr>
            </w:pPr>
          </w:p>
        </w:tc>
        <w:tc>
          <w:tcPr>
            <w:tcW w:w="780" w:type="dxa"/>
          </w:tcPr>
          <w:p>
            <w:pPr>
              <w:pStyle w:val="TableParagraph"/>
              <w:rPr>
                <w:rFonts w:ascii="Times New Roman"/>
                <w:sz w:val="18"/>
              </w:rPr>
            </w:pPr>
          </w:p>
        </w:tc>
        <w:tc>
          <w:tcPr>
            <w:tcW w:w="720" w:type="dxa"/>
          </w:tcPr>
          <w:p>
            <w:pPr>
              <w:pStyle w:val="TableParagraph"/>
              <w:rPr>
                <w:rFonts w:ascii="Times New Roman"/>
                <w:sz w:val="18"/>
              </w:rPr>
            </w:pPr>
          </w:p>
        </w:tc>
        <w:tc>
          <w:tcPr>
            <w:tcW w:w="720" w:type="dxa"/>
          </w:tcPr>
          <w:p>
            <w:pPr>
              <w:pStyle w:val="TableParagraph"/>
              <w:rPr>
                <w:rFonts w:ascii="Times New Roman"/>
                <w:sz w:val="18"/>
              </w:rPr>
            </w:pPr>
          </w:p>
        </w:tc>
        <w:tc>
          <w:tcPr>
            <w:tcW w:w="766" w:type="dxa"/>
          </w:tcPr>
          <w:p>
            <w:pPr>
              <w:pStyle w:val="TableParagraph"/>
              <w:rPr>
                <w:rFonts w:ascii="Times New Roman"/>
                <w:sz w:val="18"/>
              </w:rPr>
            </w:pPr>
          </w:p>
        </w:tc>
        <w:tc>
          <w:tcPr>
            <w:tcW w:w="951" w:type="dxa"/>
          </w:tcPr>
          <w:p>
            <w:pPr>
              <w:pStyle w:val="TableParagraph"/>
              <w:rPr>
                <w:rFonts w:ascii="Times New Roman"/>
                <w:sz w:val="18"/>
              </w:rPr>
            </w:pPr>
          </w:p>
        </w:tc>
        <w:tc>
          <w:tcPr>
            <w:tcW w:w="1395" w:type="dxa"/>
          </w:tcPr>
          <w:p>
            <w:pPr>
              <w:pStyle w:val="TableParagraph"/>
              <w:spacing w:line="248" w:lineRule="exact"/>
              <w:ind w:left="5"/>
              <w:jc w:val="center"/>
              <w:rPr>
                <w:sz w:val="22"/>
              </w:rPr>
            </w:pPr>
            <w:r>
              <w:rPr>
                <w:w w:val="100"/>
                <w:sz w:val="22"/>
              </w:rPr>
              <w:t>X</w:t>
            </w:r>
          </w:p>
        </w:tc>
        <w:tc>
          <w:tcPr>
            <w:tcW w:w="1417" w:type="dxa"/>
          </w:tcPr>
          <w:p>
            <w:pPr>
              <w:pStyle w:val="TableParagraph"/>
              <w:rPr>
                <w:rFonts w:ascii="Times New Roman"/>
                <w:sz w:val="18"/>
              </w:rPr>
            </w:pPr>
          </w:p>
        </w:tc>
        <w:tc>
          <w:tcPr>
            <w:tcW w:w="1189" w:type="dxa"/>
          </w:tcPr>
          <w:p>
            <w:pPr>
              <w:pStyle w:val="TableParagraph"/>
              <w:rPr>
                <w:rFonts w:ascii="Times New Roman"/>
                <w:sz w:val="18"/>
              </w:rPr>
            </w:pPr>
          </w:p>
        </w:tc>
        <w:tc>
          <w:tcPr>
            <w:tcW w:w="1160" w:type="dxa"/>
          </w:tcPr>
          <w:p>
            <w:pPr>
              <w:pStyle w:val="TableParagraph"/>
              <w:rPr>
                <w:rFonts w:ascii="Times New Roman"/>
                <w:sz w:val="18"/>
              </w:rPr>
            </w:pPr>
          </w:p>
        </w:tc>
        <w:tc>
          <w:tcPr>
            <w:tcW w:w="1453" w:type="dxa"/>
          </w:tcPr>
          <w:p>
            <w:pPr>
              <w:pStyle w:val="TableParagraph"/>
              <w:spacing w:line="248" w:lineRule="exact"/>
              <w:ind w:right="1"/>
              <w:jc w:val="center"/>
              <w:rPr>
                <w:sz w:val="22"/>
              </w:rPr>
            </w:pPr>
            <w:r>
              <w:rPr>
                <w:w w:val="100"/>
                <w:sz w:val="22"/>
              </w:rPr>
              <w:t>X</w:t>
            </w:r>
          </w:p>
        </w:tc>
      </w:tr>
      <w:tr>
        <w:trPr>
          <w:trHeight w:val="537" w:hRule="atLeast"/>
        </w:trPr>
        <w:tc>
          <w:tcPr>
            <w:tcW w:w="2474" w:type="dxa"/>
          </w:tcPr>
          <w:p>
            <w:pPr>
              <w:pStyle w:val="TableParagraph"/>
              <w:spacing w:line="268" w:lineRule="exact"/>
              <w:ind w:left="107"/>
              <w:rPr>
                <w:b/>
                <w:sz w:val="22"/>
              </w:rPr>
            </w:pPr>
            <w:r>
              <w:rPr>
                <w:b/>
                <w:sz w:val="22"/>
              </w:rPr>
              <w:t>Vehicle Modification</w:t>
            </w:r>
          </w:p>
          <w:p>
            <w:pPr>
              <w:pStyle w:val="TableParagraph"/>
              <w:spacing w:line="249" w:lineRule="exact"/>
              <w:ind w:left="107"/>
              <w:rPr>
                <w:b/>
                <w:sz w:val="22"/>
              </w:rPr>
            </w:pPr>
            <w:r>
              <w:rPr>
                <w:b/>
                <w:sz w:val="22"/>
              </w:rPr>
              <w:t>Providers</w:t>
            </w:r>
          </w:p>
        </w:tc>
        <w:tc>
          <w:tcPr>
            <w:tcW w:w="751" w:type="dxa"/>
          </w:tcPr>
          <w:p>
            <w:pPr>
              <w:pStyle w:val="TableParagraph"/>
              <w:rPr>
                <w:rFonts w:ascii="Times New Roman"/>
                <w:sz w:val="22"/>
              </w:rPr>
            </w:pPr>
          </w:p>
        </w:tc>
        <w:tc>
          <w:tcPr>
            <w:tcW w:w="780" w:type="dxa"/>
          </w:tcPr>
          <w:p>
            <w:pPr>
              <w:pStyle w:val="TableParagraph"/>
              <w:rPr>
                <w:rFonts w:ascii="Times New Roman"/>
                <w:sz w:val="22"/>
              </w:rPr>
            </w:pPr>
          </w:p>
        </w:tc>
        <w:tc>
          <w:tcPr>
            <w:tcW w:w="720" w:type="dxa"/>
          </w:tcPr>
          <w:p>
            <w:pPr>
              <w:pStyle w:val="TableParagraph"/>
              <w:rPr>
                <w:rFonts w:ascii="Times New Roman"/>
                <w:sz w:val="22"/>
              </w:rPr>
            </w:pPr>
          </w:p>
        </w:tc>
        <w:tc>
          <w:tcPr>
            <w:tcW w:w="720" w:type="dxa"/>
          </w:tcPr>
          <w:p>
            <w:pPr>
              <w:pStyle w:val="TableParagraph"/>
              <w:spacing w:line="268" w:lineRule="exact"/>
              <w:ind w:left="10"/>
              <w:jc w:val="center"/>
              <w:rPr>
                <w:sz w:val="22"/>
              </w:rPr>
            </w:pPr>
            <w:r>
              <w:rPr>
                <w:w w:val="100"/>
                <w:sz w:val="22"/>
              </w:rPr>
              <w:t>X</w:t>
            </w:r>
          </w:p>
        </w:tc>
        <w:tc>
          <w:tcPr>
            <w:tcW w:w="766" w:type="dxa"/>
          </w:tcPr>
          <w:p>
            <w:pPr>
              <w:pStyle w:val="TableParagraph"/>
              <w:spacing w:line="268" w:lineRule="exact"/>
              <w:ind w:right="312"/>
              <w:jc w:val="right"/>
              <w:rPr>
                <w:sz w:val="22"/>
              </w:rPr>
            </w:pPr>
            <w:r>
              <w:rPr>
                <w:w w:val="100"/>
                <w:sz w:val="22"/>
              </w:rPr>
              <w:t>X</w:t>
            </w: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spacing w:line="268" w:lineRule="exact"/>
              <w:ind w:left="649"/>
              <w:rPr>
                <w:sz w:val="22"/>
              </w:rPr>
            </w:pPr>
            <w:r>
              <w:rPr>
                <w:w w:val="100"/>
                <w:sz w:val="22"/>
              </w:rPr>
              <w:t>X</w:t>
            </w:r>
          </w:p>
        </w:tc>
        <w:tc>
          <w:tcPr>
            <w:tcW w:w="1189" w:type="dxa"/>
          </w:tcPr>
          <w:p>
            <w:pPr>
              <w:pStyle w:val="TableParagraph"/>
              <w:rPr>
                <w:rFonts w:ascii="Times New Roman"/>
                <w:sz w:val="22"/>
              </w:rPr>
            </w:pPr>
          </w:p>
        </w:tc>
        <w:tc>
          <w:tcPr>
            <w:tcW w:w="1160" w:type="dxa"/>
          </w:tcPr>
          <w:p>
            <w:pPr>
              <w:pStyle w:val="TableParagraph"/>
              <w:spacing w:line="268" w:lineRule="exact"/>
              <w:jc w:val="center"/>
              <w:rPr>
                <w:sz w:val="22"/>
              </w:rPr>
            </w:pPr>
            <w:r>
              <w:rPr>
                <w:w w:val="100"/>
                <w:sz w:val="22"/>
              </w:rPr>
              <w:t>X</w:t>
            </w:r>
          </w:p>
        </w:tc>
        <w:tc>
          <w:tcPr>
            <w:tcW w:w="1453" w:type="dxa"/>
          </w:tcPr>
          <w:p>
            <w:pPr>
              <w:pStyle w:val="TableParagraph"/>
              <w:rPr>
                <w:rFonts w:ascii="Times New Roman"/>
                <w:sz w:val="22"/>
              </w:rPr>
            </w:pPr>
          </w:p>
        </w:tc>
      </w:tr>
      <w:tr>
        <w:trPr>
          <w:trHeight w:val="537" w:hRule="atLeast"/>
        </w:trPr>
        <w:tc>
          <w:tcPr>
            <w:tcW w:w="2474" w:type="dxa"/>
          </w:tcPr>
          <w:p>
            <w:pPr>
              <w:pStyle w:val="TableParagraph"/>
              <w:spacing w:line="268" w:lineRule="exact"/>
              <w:ind w:left="107"/>
              <w:rPr>
                <w:b/>
                <w:sz w:val="22"/>
              </w:rPr>
            </w:pPr>
            <w:r>
              <w:rPr>
                <w:b/>
                <w:sz w:val="22"/>
              </w:rPr>
              <w:t>Community Healthcare</w:t>
            </w:r>
          </w:p>
          <w:p>
            <w:pPr>
              <w:pStyle w:val="TableParagraph"/>
              <w:spacing w:line="249" w:lineRule="exact"/>
              <w:ind w:left="107"/>
              <w:rPr>
                <w:b/>
                <w:sz w:val="22"/>
              </w:rPr>
            </w:pPr>
            <w:r>
              <w:rPr>
                <w:b/>
                <w:sz w:val="22"/>
              </w:rPr>
              <w:t>Providers</w:t>
            </w:r>
          </w:p>
        </w:tc>
        <w:tc>
          <w:tcPr>
            <w:tcW w:w="751" w:type="dxa"/>
          </w:tcPr>
          <w:p>
            <w:pPr>
              <w:pStyle w:val="TableParagraph"/>
              <w:rPr>
                <w:rFonts w:ascii="Times New Roman"/>
                <w:sz w:val="22"/>
              </w:rPr>
            </w:pPr>
          </w:p>
        </w:tc>
        <w:tc>
          <w:tcPr>
            <w:tcW w:w="780" w:type="dxa"/>
          </w:tcPr>
          <w:p>
            <w:pPr>
              <w:pStyle w:val="TableParagraph"/>
              <w:rPr>
                <w:rFonts w:ascii="Times New Roman"/>
                <w:sz w:val="22"/>
              </w:rPr>
            </w:pPr>
          </w:p>
        </w:tc>
        <w:tc>
          <w:tcPr>
            <w:tcW w:w="720" w:type="dxa"/>
          </w:tcPr>
          <w:p>
            <w:pPr>
              <w:pStyle w:val="TableParagraph"/>
              <w:rPr>
                <w:rFonts w:ascii="Times New Roman"/>
                <w:sz w:val="22"/>
              </w:rPr>
            </w:pPr>
          </w:p>
        </w:tc>
        <w:tc>
          <w:tcPr>
            <w:tcW w:w="720" w:type="dxa"/>
          </w:tcPr>
          <w:p>
            <w:pPr>
              <w:pStyle w:val="TableParagraph"/>
              <w:rPr>
                <w:rFonts w:ascii="Times New Roman"/>
                <w:sz w:val="22"/>
              </w:rPr>
            </w:pPr>
          </w:p>
        </w:tc>
        <w:tc>
          <w:tcPr>
            <w:tcW w:w="766" w:type="dxa"/>
          </w:tcPr>
          <w:p>
            <w:pPr>
              <w:pStyle w:val="TableParagraph"/>
              <w:rPr>
                <w:rFonts w:ascii="Times New Roman"/>
                <w:sz w:val="22"/>
              </w:rPr>
            </w:pP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spacing w:line="268" w:lineRule="exact"/>
              <w:ind w:left="649"/>
              <w:rPr>
                <w:sz w:val="22"/>
              </w:rPr>
            </w:pPr>
            <w:r>
              <w:rPr>
                <w:w w:val="100"/>
                <w:sz w:val="22"/>
              </w:rPr>
              <w:t>X</w:t>
            </w:r>
          </w:p>
        </w:tc>
        <w:tc>
          <w:tcPr>
            <w:tcW w:w="1189" w:type="dxa"/>
          </w:tcPr>
          <w:p>
            <w:pPr>
              <w:pStyle w:val="TableParagraph"/>
              <w:rPr>
                <w:rFonts w:ascii="Times New Roman"/>
                <w:sz w:val="22"/>
              </w:rPr>
            </w:pPr>
          </w:p>
        </w:tc>
        <w:tc>
          <w:tcPr>
            <w:tcW w:w="1160" w:type="dxa"/>
          </w:tcPr>
          <w:p>
            <w:pPr>
              <w:pStyle w:val="TableParagraph"/>
              <w:spacing w:line="268" w:lineRule="exact"/>
              <w:jc w:val="center"/>
              <w:rPr>
                <w:sz w:val="22"/>
              </w:rPr>
            </w:pPr>
            <w:r>
              <w:rPr>
                <w:w w:val="100"/>
                <w:sz w:val="22"/>
              </w:rPr>
              <w:t>X</w:t>
            </w:r>
          </w:p>
        </w:tc>
        <w:tc>
          <w:tcPr>
            <w:tcW w:w="1453" w:type="dxa"/>
          </w:tcPr>
          <w:p>
            <w:pPr>
              <w:pStyle w:val="TableParagraph"/>
              <w:rPr>
                <w:rFonts w:ascii="Times New Roman"/>
                <w:sz w:val="22"/>
              </w:rPr>
            </w:pPr>
          </w:p>
        </w:tc>
      </w:tr>
      <w:tr>
        <w:trPr>
          <w:trHeight w:val="268" w:hRule="atLeast"/>
        </w:trPr>
        <w:tc>
          <w:tcPr>
            <w:tcW w:w="2474" w:type="dxa"/>
          </w:tcPr>
          <w:p>
            <w:pPr>
              <w:pStyle w:val="TableParagraph"/>
              <w:spacing w:line="248" w:lineRule="exact"/>
              <w:ind w:left="107"/>
              <w:rPr>
                <w:b/>
                <w:sz w:val="22"/>
              </w:rPr>
            </w:pPr>
            <w:r>
              <w:rPr>
                <w:b/>
                <w:sz w:val="22"/>
              </w:rPr>
              <w:t>Dental Providers</w:t>
            </w:r>
          </w:p>
        </w:tc>
        <w:tc>
          <w:tcPr>
            <w:tcW w:w="751" w:type="dxa"/>
          </w:tcPr>
          <w:p>
            <w:pPr>
              <w:pStyle w:val="TableParagraph"/>
              <w:rPr>
                <w:rFonts w:ascii="Times New Roman"/>
                <w:sz w:val="18"/>
              </w:rPr>
            </w:pPr>
          </w:p>
        </w:tc>
        <w:tc>
          <w:tcPr>
            <w:tcW w:w="780" w:type="dxa"/>
          </w:tcPr>
          <w:p>
            <w:pPr>
              <w:pStyle w:val="TableParagraph"/>
              <w:rPr>
                <w:rFonts w:ascii="Times New Roman"/>
                <w:sz w:val="18"/>
              </w:rPr>
            </w:pPr>
          </w:p>
        </w:tc>
        <w:tc>
          <w:tcPr>
            <w:tcW w:w="720" w:type="dxa"/>
          </w:tcPr>
          <w:p>
            <w:pPr>
              <w:pStyle w:val="TableParagraph"/>
              <w:rPr>
                <w:rFonts w:ascii="Times New Roman"/>
                <w:sz w:val="18"/>
              </w:rPr>
            </w:pPr>
          </w:p>
        </w:tc>
        <w:tc>
          <w:tcPr>
            <w:tcW w:w="720" w:type="dxa"/>
          </w:tcPr>
          <w:p>
            <w:pPr>
              <w:pStyle w:val="TableParagraph"/>
              <w:rPr>
                <w:rFonts w:ascii="Times New Roman"/>
                <w:sz w:val="18"/>
              </w:rPr>
            </w:pPr>
          </w:p>
        </w:tc>
        <w:tc>
          <w:tcPr>
            <w:tcW w:w="766" w:type="dxa"/>
          </w:tcPr>
          <w:p>
            <w:pPr>
              <w:pStyle w:val="TableParagraph"/>
              <w:rPr>
                <w:rFonts w:ascii="Times New Roman"/>
                <w:sz w:val="18"/>
              </w:rPr>
            </w:pPr>
          </w:p>
        </w:tc>
        <w:tc>
          <w:tcPr>
            <w:tcW w:w="951" w:type="dxa"/>
          </w:tcPr>
          <w:p>
            <w:pPr>
              <w:pStyle w:val="TableParagraph"/>
              <w:rPr>
                <w:rFonts w:ascii="Times New Roman"/>
                <w:sz w:val="18"/>
              </w:rPr>
            </w:pPr>
          </w:p>
        </w:tc>
        <w:tc>
          <w:tcPr>
            <w:tcW w:w="1395" w:type="dxa"/>
          </w:tcPr>
          <w:p>
            <w:pPr>
              <w:pStyle w:val="TableParagraph"/>
              <w:rPr>
                <w:rFonts w:ascii="Times New Roman"/>
                <w:sz w:val="18"/>
              </w:rPr>
            </w:pPr>
          </w:p>
        </w:tc>
        <w:tc>
          <w:tcPr>
            <w:tcW w:w="1417" w:type="dxa"/>
          </w:tcPr>
          <w:p>
            <w:pPr>
              <w:pStyle w:val="TableParagraph"/>
              <w:spacing w:line="248" w:lineRule="exact"/>
              <w:ind w:left="649"/>
              <w:rPr>
                <w:sz w:val="22"/>
              </w:rPr>
            </w:pPr>
            <w:r>
              <w:rPr>
                <w:w w:val="100"/>
                <w:sz w:val="22"/>
              </w:rPr>
              <w:t>X</w:t>
            </w:r>
          </w:p>
        </w:tc>
        <w:tc>
          <w:tcPr>
            <w:tcW w:w="1189" w:type="dxa"/>
          </w:tcPr>
          <w:p>
            <w:pPr>
              <w:pStyle w:val="TableParagraph"/>
              <w:rPr>
                <w:rFonts w:ascii="Times New Roman"/>
                <w:sz w:val="18"/>
              </w:rPr>
            </w:pPr>
          </w:p>
        </w:tc>
        <w:tc>
          <w:tcPr>
            <w:tcW w:w="1160" w:type="dxa"/>
          </w:tcPr>
          <w:p>
            <w:pPr>
              <w:pStyle w:val="TableParagraph"/>
              <w:spacing w:line="248" w:lineRule="exact"/>
              <w:jc w:val="center"/>
              <w:rPr>
                <w:sz w:val="22"/>
              </w:rPr>
            </w:pPr>
            <w:r>
              <w:rPr>
                <w:w w:val="100"/>
                <w:sz w:val="22"/>
              </w:rPr>
              <w:t>X</w:t>
            </w:r>
          </w:p>
        </w:tc>
        <w:tc>
          <w:tcPr>
            <w:tcW w:w="1453" w:type="dxa"/>
          </w:tcPr>
          <w:p>
            <w:pPr>
              <w:pStyle w:val="TableParagraph"/>
              <w:rPr>
                <w:rFonts w:ascii="Times New Roman"/>
                <w:sz w:val="18"/>
              </w:rPr>
            </w:pPr>
          </w:p>
        </w:tc>
      </w:tr>
      <w:tr>
        <w:trPr>
          <w:trHeight w:val="537" w:hRule="atLeast"/>
        </w:trPr>
        <w:tc>
          <w:tcPr>
            <w:tcW w:w="2474" w:type="dxa"/>
          </w:tcPr>
          <w:p>
            <w:pPr>
              <w:pStyle w:val="TableParagraph"/>
              <w:spacing w:line="268" w:lineRule="exact"/>
              <w:ind w:left="107"/>
              <w:rPr>
                <w:b/>
                <w:sz w:val="22"/>
              </w:rPr>
            </w:pPr>
            <w:r>
              <w:rPr>
                <w:b/>
                <w:sz w:val="22"/>
              </w:rPr>
              <w:t>DDA Group Training</w:t>
            </w:r>
          </w:p>
          <w:p>
            <w:pPr>
              <w:pStyle w:val="TableParagraph"/>
              <w:spacing w:line="249" w:lineRule="exact"/>
              <w:ind w:left="107"/>
              <w:rPr>
                <w:b/>
                <w:sz w:val="22"/>
              </w:rPr>
            </w:pPr>
            <w:r>
              <w:rPr>
                <w:b/>
                <w:sz w:val="22"/>
              </w:rPr>
              <w:t>Homes</w:t>
            </w:r>
          </w:p>
        </w:tc>
        <w:tc>
          <w:tcPr>
            <w:tcW w:w="751" w:type="dxa"/>
          </w:tcPr>
          <w:p>
            <w:pPr>
              <w:pStyle w:val="TableParagraph"/>
              <w:rPr>
                <w:rFonts w:ascii="Times New Roman"/>
                <w:sz w:val="22"/>
              </w:rPr>
            </w:pPr>
          </w:p>
        </w:tc>
        <w:tc>
          <w:tcPr>
            <w:tcW w:w="780" w:type="dxa"/>
          </w:tcPr>
          <w:p>
            <w:pPr>
              <w:pStyle w:val="TableParagraph"/>
              <w:spacing w:line="268" w:lineRule="exact"/>
              <w:ind w:left="7"/>
              <w:jc w:val="center"/>
              <w:rPr>
                <w:sz w:val="22"/>
              </w:rPr>
            </w:pPr>
            <w:r>
              <w:rPr>
                <w:w w:val="100"/>
                <w:sz w:val="22"/>
              </w:rPr>
              <w:t>X</w:t>
            </w:r>
          </w:p>
        </w:tc>
        <w:tc>
          <w:tcPr>
            <w:tcW w:w="720" w:type="dxa"/>
          </w:tcPr>
          <w:p>
            <w:pPr>
              <w:pStyle w:val="TableParagraph"/>
              <w:rPr>
                <w:rFonts w:ascii="Times New Roman"/>
                <w:sz w:val="22"/>
              </w:rPr>
            </w:pPr>
          </w:p>
        </w:tc>
        <w:tc>
          <w:tcPr>
            <w:tcW w:w="720" w:type="dxa"/>
          </w:tcPr>
          <w:p>
            <w:pPr>
              <w:pStyle w:val="TableParagraph"/>
              <w:rPr>
                <w:rFonts w:ascii="Times New Roman"/>
                <w:sz w:val="22"/>
              </w:rPr>
            </w:pPr>
          </w:p>
        </w:tc>
        <w:tc>
          <w:tcPr>
            <w:tcW w:w="766" w:type="dxa"/>
          </w:tcPr>
          <w:p>
            <w:pPr>
              <w:pStyle w:val="TableParagraph"/>
              <w:rPr>
                <w:rFonts w:ascii="Times New Roman"/>
                <w:sz w:val="22"/>
              </w:rPr>
            </w:pP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spacing w:line="268" w:lineRule="exact"/>
              <w:jc w:val="center"/>
              <w:rPr>
                <w:sz w:val="22"/>
              </w:rPr>
            </w:pPr>
            <w:r>
              <w:rPr>
                <w:w w:val="100"/>
                <w:sz w:val="22"/>
              </w:rPr>
              <w:t>X</w:t>
            </w:r>
          </w:p>
        </w:tc>
        <w:tc>
          <w:tcPr>
            <w:tcW w:w="1453" w:type="dxa"/>
          </w:tcPr>
          <w:p>
            <w:pPr>
              <w:pStyle w:val="TableParagraph"/>
              <w:rPr>
                <w:rFonts w:ascii="Times New Roman"/>
                <w:sz w:val="22"/>
              </w:rPr>
            </w:pPr>
          </w:p>
        </w:tc>
      </w:tr>
      <w:tr>
        <w:trPr>
          <w:trHeight w:val="268" w:hRule="atLeast"/>
        </w:trPr>
        <w:tc>
          <w:tcPr>
            <w:tcW w:w="2474" w:type="dxa"/>
          </w:tcPr>
          <w:p>
            <w:pPr>
              <w:pStyle w:val="TableParagraph"/>
              <w:spacing w:line="248" w:lineRule="exact"/>
              <w:ind w:left="107"/>
              <w:rPr>
                <w:b/>
                <w:sz w:val="22"/>
              </w:rPr>
            </w:pPr>
            <w:r>
              <w:rPr>
                <w:b/>
                <w:sz w:val="22"/>
              </w:rPr>
              <w:t>DDA Companion Homes</w:t>
            </w:r>
          </w:p>
        </w:tc>
        <w:tc>
          <w:tcPr>
            <w:tcW w:w="751" w:type="dxa"/>
          </w:tcPr>
          <w:p>
            <w:pPr>
              <w:pStyle w:val="TableParagraph"/>
              <w:rPr>
                <w:rFonts w:ascii="Times New Roman"/>
                <w:sz w:val="18"/>
              </w:rPr>
            </w:pPr>
          </w:p>
        </w:tc>
        <w:tc>
          <w:tcPr>
            <w:tcW w:w="780" w:type="dxa"/>
          </w:tcPr>
          <w:p>
            <w:pPr>
              <w:pStyle w:val="TableParagraph"/>
              <w:spacing w:line="248" w:lineRule="exact"/>
              <w:ind w:left="7"/>
              <w:jc w:val="center"/>
              <w:rPr>
                <w:sz w:val="22"/>
              </w:rPr>
            </w:pPr>
            <w:r>
              <w:rPr>
                <w:w w:val="100"/>
                <w:sz w:val="22"/>
              </w:rPr>
              <w:t>X</w:t>
            </w:r>
          </w:p>
        </w:tc>
        <w:tc>
          <w:tcPr>
            <w:tcW w:w="720" w:type="dxa"/>
          </w:tcPr>
          <w:p>
            <w:pPr>
              <w:pStyle w:val="TableParagraph"/>
              <w:rPr>
                <w:rFonts w:ascii="Times New Roman"/>
                <w:sz w:val="18"/>
              </w:rPr>
            </w:pPr>
          </w:p>
        </w:tc>
        <w:tc>
          <w:tcPr>
            <w:tcW w:w="720" w:type="dxa"/>
          </w:tcPr>
          <w:p>
            <w:pPr>
              <w:pStyle w:val="TableParagraph"/>
              <w:rPr>
                <w:rFonts w:ascii="Times New Roman"/>
                <w:sz w:val="18"/>
              </w:rPr>
            </w:pPr>
          </w:p>
        </w:tc>
        <w:tc>
          <w:tcPr>
            <w:tcW w:w="766" w:type="dxa"/>
          </w:tcPr>
          <w:p>
            <w:pPr>
              <w:pStyle w:val="TableParagraph"/>
              <w:rPr>
                <w:rFonts w:ascii="Times New Roman"/>
                <w:sz w:val="18"/>
              </w:rPr>
            </w:pPr>
          </w:p>
        </w:tc>
        <w:tc>
          <w:tcPr>
            <w:tcW w:w="951" w:type="dxa"/>
          </w:tcPr>
          <w:p>
            <w:pPr>
              <w:pStyle w:val="TableParagraph"/>
              <w:rPr>
                <w:rFonts w:ascii="Times New Roman"/>
                <w:sz w:val="18"/>
              </w:rPr>
            </w:pPr>
          </w:p>
        </w:tc>
        <w:tc>
          <w:tcPr>
            <w:tcW w:w="1395" w:type="dxa"/>
          </w:tcPr>
          <w:p>
            <w:pPr>
              <w:pStyle w:val="TableParagraph"/>
              <w:rPr>
                <w:rFonts w:ascii="Times New Roman"/>
                <w:sz w:val="18"/>
              </w:rPr>
            </w:pPr>
          </w:p>
        </w:tc>
        <w:tc>
          <w:tcPr>
            <w:tcW w:w="1417" w:type="dxa"/>
          </w:tcPr>
          <w:p>
            <w:pPr>
              <w:pStyle w:val="TableParagraph"/>
              <w:rPr>
                <w:rFonts w:ascii="Times New Roman"/>
                <w:sz w:val="18"/>
              </w:rPr>
            </w:pPr>
          </w:p>
        </w:tc>
        <w:tc>
          <w:tcPr>
            <w:tcW w:w="1189" w:type="dxa"/>
          </w:tcPr>
          <w:p>
            <w:pPr>
              <w:pStyle w:val="TableParagraph"/>
              <w:rPr>
                <w:rFonts w:ascii="Times New Roman"/>
                <w:sz w:val="18"/>
              </w:rPr>
            </w:pPr>
          </w:p>
        </w:tc>
        <w:tc>
          <w:tcPr>
            <w:tcW w:w="1160" w:type="dxa"/>
          </w:tcPr>
          <w:p>
            <w:pPr>
              <w:pStyle w:val="TableParagraph"/>
              <w:spacing w:line="248" w:lineRule="exact"/>
              <w:jc w:val="center"/>
              <w:rPr>
                <w:sz w:val="22"/>
              </w:rPr>
            </w:pPr>
            <w:r>
              <w:rPr>
                <w:w w:val="100"/>
                <w:sz w:val="22"/>
              </w:rPr>
              <w:t>X</w:t>
            </w:r>
          </w:p>
        </w:tc>
        <w:tc>
          <w:tcPr>
            <w:tcW w:w="1453" w:type="dxa"/>
          </w:tcPr>
          <w:p>
            <w:pPr>
              <w:pStyle w:val="TableParagraph"/>
              <w:rPr>
                <w:rFonts w:ascii="Times New Roman"/>
                <w:sz w:val="18"/>
              </w:rPr>
            </w:pPr>
          </w:p>
        </w:tc>
      </w:tr>
      <w:tr>
        <w:trPr>
          <w:trHeight w:val="268" w:hRule="atLeast"/>
        </w:trPr>
        <w:tc>
          <w:tcPr>
            <w:tcW w:w="2474" w:type="dxa"/>
          </w:tcPr>
          <w:p>
            <w:pPr>
              <w:pStyle w:val="TableParagraph"/>
              <w:spacing w:line="248" w:lineRule="exact"/>
              <w:ind w:left="107"/>
              <w:rPr>
                <w:b/>
                <w:sz w:val="22"/>
              </w:rPr>
            </w:pPr>
            <w:r>
              <w:rPr>
                <w:b/>
                <w:sz w:val="22"/>
              </w:rPr>
              <w:t>DDA Group Homes</w:t>
            </w:r>
          </w:p>
        </w:tc>
        <w:tc>
          <w:tcPr>
            <w:tcW w:w="751" w:type="dxa"/>
          </w:tcPr>
          <w:p>
            <w:pPr>
              <w:pStyle w:val="TableParagraph"/>
              <w:rPr>
                <w:rFonts w:ascii="Times New Roman"/>
                <w:sz w:val="18"/>
              </w:rPr>
            </w:pPr>
          </w:p>
        </w:tc>
        <w:tc>
          <w:tcPr>
            <w:tcW w:w="780" w:type="dxa"/>
          </w:tcPr>
          <w:p>
            <w:pPr>
              <w:pStyle w:val="TableParagraph"/>
              <w:spacing w:line="248" w:lineRule="exact"/>
              <w:ind w:left="7"/>
              <w:jc w:val="center"/>
              <w:rPr>
                <w:sz w:val="22"/>
              </w:rPr>
            </w:pPr>
            <w:r>
              <w:rPr>
                <w:w w:val="100"/>
                <w:sz w:val="22"/>
              </w:rPr>
              <w:t>X</w:t>
            </w:r>
          </w:p>
        </w:tc>
        <w:tc>
          <w:tcPr>
            <w:tcW w:w="720" w:type="dxa"/>
          </w:tcPr>
          <w:p>
            <w:pPr>
              <w:pStyle w:val="TableParagraph"/>
              <w:rPr>
                <w:rFonts w:ascii="Times New Roman"/>
                <w:sz w:val="18"/>
              </w:rPr>
            </w:pPr>
          </w:p>
        </w:tc>
        <w:tc>
          <w:tcPr>
            <w:tcW w:w="720" w:type="dxa"/>
          </w:tcPr>
          <w:p>
            <w:pPr>
              <w:pStyle w:val="TableParagraph"/>
              <w:rPr>
                <w:rFonts w:ascii="Times New Roman"/>
                <w:sz w:val="18"/>
              </w:rPr>
            </w:pPr>
          </w:p>
        </w:tc>
        <w:tc>
          <w:tcPr>
            <w:tcW w:w="766" w:type="dxa"/>
          </w:tcPr>
          <w:p>
            <w:pPr>
              <w:pStyle w:val="TableParagraph"/>
              <w:rPr>
                <w:rFonts w:ascii="Times New Roman"/>
                <w:sz w:val="18"/>
              </w:rPr>
            </w:pPr>
          </w:p>
        </w:tc>
        <w:tc>
          <w:tcPr>
            <w:tcW w:w="951" w:type="dxa"/>
          </w:tcPr>
          <w:p>
            <w:pPr>
              <w:pStyle w:val="TableParagraph"/>
              <w:rPr>
                <w:rFonts w:ascii="Times New Roman"/>
                <w:sz w:val="18"/>
              </w:rPr>
            </w:pPr>
          </w:p>
        </w:tc>
        <w:tc>
          <w:tcPr>
            <w:tcW w:w="1395" w:type="dxa"/>
          </w:tcPr>
          <w:p>
            <w:pPr>
              <w:pStyle w:val="TableParagraph"/>
              <w:rPr>
                <w:rFonts w:ascii="Times New Roman"/>
                <w:sz w:val="18"/>
              </w:rPr>
            </w:pPr>
          </w:p>
        </w:tc>
        <w:tc>
          <w:tcPr>
            <w:tcW w:w="1417" w:type="dxa"/>
          </w:tcPr>
          <w:p>
            <w:pPr>
              <w:pStyle w:val="TableParagraph"/>
              <w:rPr>
                <w:rFonts w:ascii="Times New Roman"/>
                <w:sz w:val="18"/>
              </w:rPr>
            </w:pPr>
          </w:p>
        </w:tc>
        <w:tc>
          <w:tcPr>
            <w:tcW w:w="1189" w:type="dxa"/>
          </w:tcPr>
          <w:p>
            <w:pPr>
              <w:pStyle w:val="TableParagraph"/>
              <w:rPr>
                <w:rFonts w:ascii="Times New Roman"/>
                <w:sz w:val="18"/>
              </w:rPr>
            </w:pPr>
          </w:p>
        </w:tc>
        <w:tc>
          <w:tcPr>
            <w:tcW w:w="1160" w:type="dxa"/>
          </w:tcPr>
          <w:p>
            <w:pPr>
              <w:pStyle w:val="TableParagraph"/>
              <w:spacing w:line="248" w:lineRule="exact"/>
              <w:jc w:val="center"/>
              <w:rPr>
                <w:sz w:val="22"/>
              </w:rPr>
            </w:pPr>
            <w:r>
              <w:rPr>
                <w:w w:val="100"/>
                <w:sz w:val="22"/>
              </w:rPr>
              <w:t>X</w:t>
            </w:r>
          </w:p>
        </w:tc>
        <w:tc>
          <w:tcPr>
            <w:tcW w:w="1453" w:type="dxa"/>
          </w:tcPr>
          <w:p>
            <w:pPr>
              <w:pStyle w:val="TableParagraph"/>
              <w:rPr>
                <w:rFonts w:ascii="Times New Roman"/>
                <w:sz w:val="18"/>
              </w:rPr>
            </w:pPr>
          </w:p>
        </w:tc>
      </w:tr>
      <w:tr>
        <w:trPr>
          <w:trHeight w:val="1074" w:hRule="atLeast"/>
        </w:trPr>
        <w:tc>
          <w:tcPr>
            <w:tcW w:w="2474" w:type="dxa"/>
          </w:tcPr>
          <w:p>
            <w:pPr>
              <w:pStyle w:val="TableParagraph"/>
              <w:ind w:left="107" w:right="131"/>
              <w:rPr>
                <w:b/>
                <w:sz w:val="22"/>
              </w:rPr>
            </w:pPr>
            <w:r>
              <w:rPr>
                <w:b/>
                <w:sz w:val="22"/>
              </w:rPr>
              <w:t>Licensed Staffed Residential, Child Foster Care and Group Care</w:t>
            </w:r>
          </w:p>
          <w:p>
            <w:pPr>
              <w:pStyle w:val="TableParagraph"/>
              <w:spacing w:line="249" w:lineRule="exact"/>
              <w:ind w:left="107"/>
              <w:rPr>
                <w:b/>
                <w:sz w:val="22"/>
              </w:rPr>
            </w:pPr>
            <w:r>
              <w:rPr>
                <w:b/>
                <w:sz w:val="22"/>
              </w:rPr>
              <w:t>Facilities</w:t>
            </w:r>
          </w:p>
        </w:tc>
        <w:tc>
          <w:tcPr>
            <w:tcW w:w="751" w:type="dxa"/>
          </w:tcPr>
          <w:p>
            <w:pPr>
              <w:pStyle w:val="TableParagraph"/>
              <w:rPr>
                <w:rFonts w:ascii="Times New Roman"/>
                <w:sz w:val="22"/>
              </w:rPr>
            </w:pPr>
          </w:p>
        </w:tc>
        <w:tc>
          <w:tcPr>
            <w:tcW w:w="780" w:type="dxa"/>
          </w:tcPr>
          <w:p>
            <w:pPr>
              <w:pStyle w:val="TableParagraph"/>
              <w:spacing w:line="268" w:lineRule="exact"/>
              <w:ind w:left="7"/>
              <w:jc w:val="center"/>
              <w:rPr>
                <w:sz w:val="22"/>
              </w:rPr>
            </w:pPr>
            <w:r>
              <w:rPr>
                <w:w w:val="100"/>
                <w:sz w:val="22"/>
              </w:rPr>
              <w:t>X</w:t>
            </w:r>
          </w:p>
        </w:tc>
        <w:tc>
          <w:tcPr>
            <w:tcW w:w="720" w:type="dxa"/>
          </w:tcPr>
          <w:p>
            <w:pPr>
              <w:pStyle w:val="TableParagraph"/>
              <w:rPr>
                <w:rFonts w:ascii="Times New Roman"/>
                <w:sz w:val="22"/>
              </w:rPr>
            </w:pPr>
          </w:p>
        </w:tc>
        <w:tc>
          <w:tcPr>
            <w:tcW w:w="720" w:type="dxa"/>
          </w:tcPr>
          <w:p>
            <w:pPr>
              <w:pStyle w:val="TableParagraph"/>
              <w:rPr>
                <w:rFonts w:ascii="Times New Roman"/>
                <w:sz w:val="22"/>
              </w:rPr>
            </w:pPr>
          </w:p>
        </w:tc>
        <w:tc>
          <w:tcPr>
            <w:tcW w:w="766" w:type="dxa"/>
          </w:tcPr>
          <w:p>
            <w:pPr>
              <w:pStyle w:val="TableParagraph"/>
              <w:rPr>
                <w:rFonts w:ascii="Times New Roman"/>
                <w:sz w:val="22"/>
              </w:rPr>
            </w:pP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spacing w:line="268" w:lineRule="exact"/>
              <w:jc w:val="center"/>
              <w:rPr>
                <w:sz w:val="22"/>
              </w:rPr>
            </w:pPr>
            <w:r>
              <w:rPr>
                <w:w w:val="100"/>
                <w:sz w:val="22"/>
              </w:rPr>
              <w:t>X</w:t>
            </w:r>
          </w:p>
        </w:tc>
        <w:tc>
          <w:tcPr>
            <w:tcW w:w="1453" w:type="dxa"/>
          </w:tcPr>
          <w:p>
            <w:pPr>
              <w:pStyle w:val="TableParagraph"/>
              <w:rPr>
                <w:rFonts w:ascii="Times New Roman"/>
                <w:sz w:val="22"/>
              </w:rPr>
            </w:pPr>
          </w:p>
        </w:tc>
      </w:tr>
      <w:tr>
        <w:trPr>
          <w:trHeight w:val="537" w:hRule="atLeast"/>
        </w:trPr>
        <w:tc>
          <w:tcPr>
            <w:tcW w:w="2474" w:type="dxa"/>
          </w:tcPr>
          <w:p>
            <w:pPr>
              <w:pStyle w:val="TableParagraph"/>
              <w:spacing w:line="268" w:lineRule="exact"/>
              <w:ind w:left="107"/>
              <w:rPr>
                <w:b/>
                <w:sz w:val="22"/>
              </w:rPr>
            </w:pPr>
            <w:r>
              <w:rPr>
                <w:b/>
                <w:sz w:val="22"/>
              </w:rPr>
              <w:t>Veterinarians for Service</w:t>
            </w:r>
          </w:p>
          <w:p>
            <w:pPr>
              <w:pStyle w:val="TableParagraph"/>
              <w:spacing w:line="249" w:lineRule="exact"/>
              <w:ind w:left="107"/>
              <w:rPr>
                <w:b/>
                <w:sz w:val="22"/>
              </w:rPr>
            </w:pPr>
            <w:r>
              <w:rPr>
                <w:b/>
                <w:sz w:val="22"/>
              </w:rPr>
              <w:t>Animals</w:t>
            </w:r>
          </w:p>
        </w:tc>
        <w:tc>
          <w:tcPr>
            <w:tcW w:w="751" w:type="dxa"/>
          </w:tcPr>
          <w:p>
            <w:pPr>
              <w:pStyle w:val="TableParagraph"/>
              <w:rPr>
                <w:rFonts w:ascii="Times New Roman"/>
                <w:sz w:val="22"/>
              </w:rPr>
            </w:pPr>
          </w:p>
        </w:tc>
        <w:tc>
          <w:tcPr>
            <w:tcW w:w="780" w:type="dxa"/>
          </w:tcPr>
          <w:p>
            <w:pPr>
              <w:pStyle w:val="TableParagraph"/>
              <w:rPr>
                <w:rFonts w:ascii="Times New Roman"/>
                <w:sz w:val="22"/>
              </w:rPr>
            </w:pPr>
          </w:p>
        </w:tc>
        <w:tc>
          <w:tcPr>
            <w:tcW w:w="720" w:type="dxa"/>
          </w:tcPr>
          <w:p>
            <w:pPr>
              <w:pStyle w:val="TableParagraph"/>
              <w:rPr>
                <w:rFonts w:ascii="Times New Roman"/>
                <w:sz w:val="22"/>
              </w:rPr>
            </w:pPr>
          </w:p>
        </w:tc>
        <w:tc>
          <w:tcPr>
            <w:tcW w:w="720" w:type="dxa"/>
          </w:tcPr>
          <w:p>
            <w:pPr>
              <w:pStyle w:val="TableParagraph"/>
              <w:rPr>
                <w:rFonts w:ascii="Times New Roman"/>
                <w:sz w:val="22"/>
              </w:rPr>
            </w:pPr>
          </w:p>
        </w:tc>
        <w:tc>
          <w:tcPr>
            <w:tcW w:w="766" w:type="dxa"/>
          </w:tcPr>
          <w:p>
            <w:pPr>
              <w:pStyle w:val="TableParagraph"/>
              <w:rPr>
                <w:rFonts w:ascii="Times New Roman"/>
                <w:sz w:val="22"/>
              </w:rPr>
            </w:pP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spacing w:line="268" w:lineRule="exact"/>
              <w:ind w:left="649"/>
              <w:rPr>
                <w:sz w:val="22"/>
              </w:rPr>
            </w:pPr>
            <w:r>
              <w:rPr>
                <w:w w:val="100"/>
                <w:sz w:val="22"/>
              </w:rPr>
              <w:t>X</w:t>
            </w:r>
          </w:p>
        </w:tc>
        <w:tc>
          <w:tcPr>
            <w:tcW w:w="1189" w:type="dxa"/>
          </w:tcPr>
          <w:p>
            <w:pPr>
              <w:pStyle w:val="TableParagraph"/>
              <w:rPr>
                <w:rFonts w:ascii="Times New Roman"/>
                <w:sz w:val="22"/>
              </w:rPr>
            </w:pPr>
          </w:p>
        </w:tc>
        <w:tc>
          <w:tcPr>
            <w:tcW w:w="1160" w:type="dxa"/>
          </w:tcPr>
          <w:p>
            <w:pPr>
              <w:pStyle w:val="TableParagraph"/>
              <w:spacing w:line="268" w:lineRule="exact"/>
              <w:jc w:val="center"/>
              <w:rPr>
                <w:sz w:val="22"/>
              </w:rPr>
            </w:pPr>
            <w:r>
              <w:rPr>
                <w:w w:val="100"/>
                <w:sz w:val="22"/>
              </w:rPr>
              <w:t>X</w:t>
            </w:r>
          </w:p>
        </w:tc>
        <w:tc>
          <w:tcPr>
            <w:tcW w:w="1453" w:type="dxa"/>
          </w:tcPr>
          <w:p>
            <w:pPr>
              <w:pStyle w:val="TableParagraph"/>
              <w:rPr>
                <w:rFonts w:ascii="Times New Roman"/>
                <w:sz w:val="22"/>
              </w:rPr>
            </w:pPr>
          </w:p>
        </w:tc>
      </w:tr>
    </w:tbl>
    <w:p>
      <w:pPr>
        <w:pStyle w:val="BodyText"/>
        <w:spacing w:before="5"/>
        <w:rPr>
          <w:b/>
          <w:sz w:val="5"/>
        </w:rPr>
      </w:pPr>
      <w:r>
        <w:rPr/>
        <w:pict>
          <v:shape style="position:absolute;margin-left:70.559998pt;margin-top:5.5195pt;width:650.9pt;height:.1pt;mso-position-horizontal-relative:page;mso-position-vertical-relative:paragraph;z-index:-251211776;mso-wrap-distance-left:0;mso-wrap-distance-right:0" coordorigin="1411,110" coordsize="13018,0" path="m1411,110l14429,110e" filled="false" stroked="true" strokeweight=".481pt" strokecolor="#d9d9d9">
            <v:path arrowok="t"/>
            <v:stroke dashstyle="solid"/>
            <w10:wrap type="topAndBottom"/>
          </v:shape>
        </w:pict>
      </w:r>
    </w:p>
    <w:p>
      <w:pPr>
        <w:spacing w:after="0"/>
        <w:rPr>
          <w:sz w:val="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74"/>
        <w:gridCol w:w="751"/>
        <w:gridCol w:w="780"/>
        <w:gridCol w:w="720"/>
        <w:gridCol w:w="720"/>
        <w:gridCol w:w="766"/>
        <w:gridCol w:w="951"/>
        <w:gridCol w:w="1395"/>
        <w:gridCol w:w="1417"/>
        <w:gridCol w:w="1189"/>
        <w:gridCol w:w="1160"/>
        <w:gridCol w:w="1453"/>
      </w:tblGrid>
      <w:tr>
        <w:trPr>
          <w:trHeight w:val="537" w:hRule="atLeast"/>
        </w:trPr>
        <w:tc>
          <w:tcPr>
            <w:tcW w:w="2474" w:type="dxa"/>
          </w:tcPr>
          <w:p>
            <w:pPr>
              <w:pStyle w:val="TableParagraph"/>
              <w:spacing w:line="268" w:lineRule="exact"/>
              <w:ind w:left="107"/>
              <w:rPr>
                <w:b/>
                <w:sz w:val="22"/>
              </w:rPr>
            </w:pPr>
            <w:r>
              <w:rPr>
                <w:b/>
                <w:sz w:val="22"/>
              </w:rPr>
              <w:t>Transportation</w:t>
            </w:r>
          </w:p>
          <w:p>
            <w:pPr>
              <w:pStyle w:val="TableParagraph"/>
              <w:spacing w:line="249" w:lineRule="exact"/>
              <w:ind w:left="107"/>
              <w:rPr>
                <w:b/>
                <w:sz w:val="22"/>
              </w:rPr>
            </w:pPr>
            <w:r>
              <w:rPr>
                <w:b/>
                <w:sz w:val="22"/>
              </w:rPr>
              <w:t>Providers</w:t>
            </w:r>
          </w:p>
        </w:tc>
        <w:tc>
          <w:tcPr>
            <w:tcW w:w="751" w:type="dxa"/>
          </w:tcPr>
          <w:p>
            <w:pPr>
              <w:pStyle w:val="TableParagraph"/>
              <w:spacing w:line="268" w:lineRule="exact"/>
              <w:ind w:left="7"/>
              <w:jc w:val="center"/>
              <w:rPr>
                <w:sz w:val="22"/>
              </w:rPr>
            </w:pPr>
            <w:r>
              <w:rPr>
                <w:w w:val="100"/>
                <w:sz w:val="22"/>
              </w:rPr>
              <w:t>X</w:t>
            </w:r>
          </w:p>
        </w:tc>
        <w:tc>
          <w:tcPr>
            <w:tcW w:w="780" w:type="dxa"/>
          </w:tcPr>
          <w:p>
            <w:pPr>
              <w:pStyle w:val="TableParagraph"/>
              <w:spacing w:line="268" w:lineRule="exact"/>
              <w:ind w:left="7"/>
              <w:jc w:val="center"/>
              <w:rPr>
                <w:sz w:val="22"/>
              </w:rPr>
            </w:pPr>
            <w:r>
              <w:rPr>
                <w:w w:val="100"/>
                <w:sz w:val="22"/>
              </w:rPr>
              <w:t>X</w:t>
            </w:r>
          </w:p>
        </w:tc>
        <w:tc>
          <w:tcPr>
            <w:tcW w:w="720" w:type="dxa"/>
          </w:tcPr>
          <w:p>
            <w:pPr>
              <w:pStyle w:val="TableParagraph"/>
              <w:spacing w:line="268" w:lineRule="exact"/>
              <w:ind w:left="10"/>
              <w:jc w:val="center"/>
              <w:rPr>
                <w:sz w:val="22"/>
              </w:rPr>
            </w:pPr>
            <w:r>
              <w:rPr>
                <w:w w:val="100"/>
                <w:sz w:val="22"/>
              </w:rPr>
              <w:t>X</w:t>
            </w:r>
          </w:p>
        </w:tc>
        <w:tc>
          <w:tcPr>
            <w:tcW w:w="720" w:type="dxa"/>
          </w:tcPr>
          <w:p>
            <w:pPr>
              <w:pStyle w:val="TableParagraph"/>
              <w:spacing w:line="268" w:lineRule="exact"/>
              <w:ind w:left="10"/>
              <w:jc w:val="center"/>
              <w:rPr>
                <w:sz w:val="22"/>
              </w:rPr>
            </w:pPr>
            <w:r>
              <w:rPr>
                <w:w w:val="100"/>
                <w:sz w:val="22"/>
              </w:rPr>
              <w:t>X</w:t>
            </w:r>
          </w:p>
        </w:tc>
        <w:tc>
          <w:tcPr>
            <w:tcW w:w="766" w:type="dxa"/>
          </w:tcPr>
          <w:p>
            <w:pPr>
              <w:pStyle w:val="TableParagraph"/>
              <w:spacing w:line="268" w:lineRule="exact"/>
              <w:ind w:left="12"/>
              <w:jc w:val="center"/>
              <w:rPr>
                <w:sz w:val="22"/>
              </w:rPr>
            </w:pPr>
            <w:r>
              <w:rPr>
                <w:w w:val="100"/>
                <w:sz w:val="22"/>
              </w:rPr>
              <w:t>X</w:t>
            </w: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spacing w:line="268" w:lineRule="exact"/>
              <w:jc w:val="center"/>
              <w:rPr>
                <w:sz w:val="22"/>
              </w:rPr>
            </w:pPr>
            <w:r>
              <w:rPr>
                <w:w w:val="100"/>
                <w:sz w:val="22"/>
              </w:rPr>
              <w:t>X</w:t>
            </w:r>
          </w:p>
        </w:tc>
        <w:tc>
          <w:tcPr>
            <w:tcW w:w="1453" w:type="dxa"/>
          </w:tcPr>
          <w:p>
            <w:pPr>
              <w:pStyle w:val="TableParagraph"/>
              <w:spacing w:line="268" w:lineRule="exact"/>
              <w:ind w:right="1"/>
              <w:jc w:val="center"/>
              <w:rPr>
                <w:sz w:val="22"/>
              </w:rPr>
            </w:pPr>
            <w:r>
              <w:rPr>
                <w:w w:val="100"/>
                <w:sz w:val="22"/>
              </w:rPr>
              <w:t>X</w:t>
            </w:r>
          </w:p>
        </w:tc>
      </w:tr>
      <w:tr>
        <w:trPr>
          <w:trHeight w:val="805" w:hRule="atLeast"/>
        </w:trPr>
        <w:tc>
          <w:tcPr>
            <w:tcW w:w="2474" w:type="dxa"/>
          </w:tcPr>
          <w:p>
            <w:pPr>
              <w:pStyle w:val="TableParagraph"/>
              <w:ind w:left="107" w:right="162"/>
              <w:rPr>
                <w:b/>
                <w:sz w:val="22"/>
              </w:rPr>
            </w:pPr>
            <w:r>
              <w:rPr>
                <w:b/>
                <w:sz w:val="22"/>
              </w:rPr>
              <w:t>DDA Individual Supported Employment</w:t>
            </w:r>
          </w:p>
          <w:p>
            <w:pPr>
              <w:pStyle w:val="TableParagraph"/>
              <w:spacing w:line="249" w:lineRule="exact"/>
              <w:ind w:left="107"/>
              <w:rPr>
                <w:b/>
                <w:sz w:val="22"/>
              </w:rPr>
            </w:pPr>
            <w:r>
              <w:rPr>
                <w:b/>
                <w:sz w:val="22"/>
              </w:rPr>
              <w:t>work sites</w:t>
            </w:r>
          </w:p>
        </w:tc>
        <w:tc>
          <w:tcPr>
            <w:tcW w:w="751" w:type="dxa"/>
          </w:tcPr>
          <w:p>
            <w:pPr>
              <w:pStyle w:val="TableParagraph"/>
              <w:spacing w:line="268" w:lineRule="exact"/>
              <w:ind w:left="7"/>
              <w:jc w:val="center"/>
              <w:rPr>
                <w:sz w:val="22"/>
              </w:rPr>
            </w:pPr>
            <w:r>
              <w:rPr>
                <w:w w:val="100"/>
                <w:sz w:val="22"/>
              </w:rPr>
              <w:t>X</w:t>
            </w:r>
          </w:p>
        </w:tc>
        <w:tc>
          <w:tcPr>
            <w:tcW w:w="780" w:type="dxa"/>
          </w:tcPr>
          <w:p>
            <w:pPr>
              <w:pStyle w:val="TableParagraph"/>
              <w:spacing w:line="268" w:lineRule="exact"/>
              <w:ind w:left="7"/>
              <w:jc w:val="center"/>
              <w:rPr>
                <w:sz w:val="22"/>
              </w:rPr>
            </w:pPr>
            <w:r>
              <w:rPr>
                <w:w w:val="100"/>
                <w:sz w:val="22"/>
              </w:rPr>
              <w:t>X</w:t>
            </w:r>
          </w:p>
        </w:tc>
        <w:tc>
          <w:tcPr>
            <w:tcW w:w="720" w:type="dxa"/>
          </w:tcPr>
          <w:p>
            <w:pPr>
              <w:pStyle w:val="TableParagraph"/>
              <w:spacing w:line="268" w:lineRule="exact"/>
              <w:ind w:left="10"/>
              <w:jc w:val="center"/>
              <w:rPr>
                <w:sz w:val="22"/>
              </w:rPr>
            </w:pPr>
            <w:r>
              <w:rPr>
                <w:w w:val="100"/>
                <w:sz w:val="22"/>
              </w:rPr>
              <w:t>X</w:t>
            </w:r>
          </w:p>
        </w:tc>
        <w:tc>
          <w:tcPr>
            <w:tcW w:w="720" w:type="dxa"/>
          </w:tcPr>
          <w:p>
            <w:pPr>
              <w:pStyle w:val="TableParagraph"/>
              <w:rPr>
                <w:rFonts w:ascii="Times New Roman"/>
                <w:sz w:val="22"/>
              </w:rPr>
            </w:pPr>
          </w:p>
        </w:tc>
        <w:tc>
          <w:tcPr>
            <w:tcW w:w="766" w:type="dxa"/>
          </w:tcPr>
          <w:p>
            <w:pPr>
              <w:pStyle w:val="TableParagraph"/>
              <w:rPr>
                <w:rFonts w:ascii="Times New Roman"/>
                <w:sz w:val="22"/>
              </w:rPr>
            </w:pP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spacing w:line="268" w:lineRule="exact"/>
              <w:jc w:val="center"/>
              <w:rPr>
                <w:sz w:val="22"/>
              </w:rPr>
            </w:pPr>
            <w:r>
              <w:rPr>
                <w:w w:val="100"/>
                <w:sz w:val="22"/>
              </w:rPr>
              <w:t>X</w:t>
            </w:r>
          </w:p>
        </w:tc>
        <w:tc>
          <w:tcPr>
            <w:tcW w:w="1453" w:type="dxa"/>
          </w:tcPr>
          <w:p>
            <w:pPr>
              <w:pStyle w:val="TableParagraph"/>
              <w:rPr>
                <w:rFonts w:ascii="Times New Roman"/>
                <w:sz w:val="22"/>
              </w:rPr>
            </w:pPr>
          </w:p>
        </w:tc>
      </w:tr>
      <w:tr>
        <w:trPr>
          <w:trHeight w:val="537" w:hRule="atLeast"/>
        </w:trPr>
        <w:tc>
          <w:tcPr>
            <w:tcW w:w="2474" w:type="dxa"/>
          </w:tcPr>
          <w:p>
            <w:pPr>
              <w:pStyle w:val="TableParagraph"/>
              <w:spacing w:line="268" w:lineRule="exact"/>
              <w:ind w:left="107"/>
              <w:rPr>
                <w:b/>
                <w:sz w:val="22"/>
              </w:rPr>
            </w:pPr>
            <w:r>
              <w:rPr>
                <w:b/>
                <w:sz w:val="22"/>
              </w:rPr>
              <w:t>DDA Group Supported</w:t>
            </w:r>
          </w:p>
          <w:p>
            <w:pPr>
              <w:pStyle w:val="TableParagraph"/>
              <w:spacing w:line="249" w:lineRule="exact"/>
              <w:ind w:left="107"/>
              <w:rPr>
                <w:b/>
                <w:sz w:val="22"/>
              </w:rPr>
            </w:pPr>
            <w:r>
              <w:rPr>
                <w:b/>
                <w:sz w:val="22"/>
              </w:rPr>
              <w:t>Employment work sites</w:t>
            </w:r>
          </w:p>
        </w:tc>
        <w:tc>
          <w:tcPr>
            <w:tcW w:w="751" w:type="dxa"/>
          </w:tcPr>
          <w:p>
            <w:pPr>
              <w:pStyle w:val="TableParagraph"/>
              <w:spacing w:line="268" w:lineRule="exact"/>
              <w:ind w:left="7"/>
              <w:jc w:val="center"/>
              <w:rPr>
                <w:sz w:val="22"/>
              </w:rPr>
            </w:pPr>
            <w:r>
              <w:rPr>
                <w:w w:val="100"/>
                <w:sz w:val="22"/>
              </w:rPr>
              <w:t>X</w:t>
            </w:r>
          </w:p>
        </w:tc>
        <w:tc>
          <w:tcPr>
            <w:tcW w:w="780" w:type="dxa"/>
          </w:tcPr>
          <w:p>
            <w:pPr>
              <w:pStyle w:val="TableParagraph"/>
              <w:spacing w:line="268" w:lineRule="exact"/>
              <w:ind w:left="7"/>
              <w:jc w:val="center"/>
              <w:rPr>
                <w:sz w:val="22"/>
              </w:rPr>
            </w:pPr>
            <w:r>
              <w:rPr>
                <w:w w:val="100"/>
                <w:sz w:val="22"/>
              </w:rPr>
              <w:t>X</w:t>
            </w:r>
          </w:p>
        </w:tc>
        <w:tc>
          <w:tcPr>
            <w:tcW w:w="720" w:type="dxa"/>
          </w:tcPr>
          <w:p>
            <w:pPr>
              <w:pStyle w:val="TableParagraph"/>
              <w:spacing w:line="268" w:lineRule="exact"/>
              <w:ind w:left="10"/>
              <w:jc w:val="center"/>
              <w:rPr>
                <w:sz w:val="22"/>
              </w:rPr>
            </w:pPr>
            <w:r>
              <w:rPr>
                <w:w w:val="100"/>
                <w:sz w:val="22"/>
              </w:rPr>
              <w:t>X</w:t>
            </w:r>
          </w:p>
        </w:tc>
        <w:tc>
          <w:tcPr>
            <w:tcW w:w="720" w:type="dxa"/>
          </w:tcPr>
          <w:p>
            <w:pPr>
              <w:pStyle w:val="TableParagraph"/>
              <w:rPr>
                <w:rFonts w:ascii="Times New Roman"/>
                <w:sz w:val="22"/>
              </w:rPr>
            </w:pPr>
          </w:p>
        </w:tc>
        <w:tc>
          <w:tcPr>
            <w:tcW w:w="766" w:type="dxa"/>
          </w:tcPr>
          <w:p>
            <w:pPr>
              <w:pStyle w:val="TableParagraph"/>
              <w:rPr>
                <w:rFonts w:ascii="Times New Roman"/>
                <w:sz w:val="22"/>
              </w:rPr>
            </w:pP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spacing w:line="268" w:lineRule="exact"/>
              <w:jc w:val="center"/>
              <w:rPr>
                <w:sz w:val="22"/>
              </w:rPr>
            </w:pPr>
            <w:r>
              <w:rPr>
                <w:w w:val="100"/>
                <w:sz w:val="22"/>
              </w:rPr>
              <w:t>X</w:t>
            </w:r>
          </w:p>
        </w:tc>
        <w:tc>
          <w:tcPr>
            <w:tcW w:w="1453" w:type="dxa"/>
          </w:tcPr>
          <w:p>
            <w:pPr>
              <w:pStyle w:val="TableParagraph"/>
              <w:rPr>
                <w:rFonts w:ascii="Times New Roman"/>
                <w:sz w:val="22"/>
              </w:rPr>
            </w:pPr>
          </w:p>
        </w:tc>
      </w:tr>
      <w:tr>
        <w:trPr>
          <w:trHeight w:val="537" w:hRule="atLeast"/>
        </w:trPr>
        <w:tc>
          <w:tcPr>
            <w:tcW w:w="2474" w:type="dxa"/>
          </w:tcPr>
          <w:p>
            <w:pPr>
              <w:pStyle w:val="TableParagraph"/>
              <w:spacing w:line="268" w:lineRule="exact"/>
              <w:ind w:left="107"/>
              <w:rPr>
                <w:b/>
                <w:sz w:val="22"/>
              </w:rPr>
            </w:pPr>
            <w:r>
              <w:rPr>
                <w:b/>
                <w:sz w:val="22"/>
              </w:rPr>
              <w:t>DDA Community</w:t>
            </w:r>
          </w:p>
          <w:p>
            <w:pPr>
              <w:pStyle w:val="TableParagraph"/>
              <w:spacing w:line="249" w:lineRule="exact"/>
              <w:ind w:left="107"/>
              <w:rPr>
                <w:b/>
                <w:sz w:val="22"/>
              </w:rPr>
            </w:pPr>
            <w:r>
              <w:rPr>
                <w:b/>
                <w:sz w:val="22"/>
              </w:rPr>
              <w:t>Inclusion</w:t>
            </w:r>
          </w:p>
        </w:tc>
        <w:tc>
          <w:tcPr>
            <w:tcW w:w="751" w:type="dxa"/>
          </w:tcPr>
          <w:p>
            <w:pPr>
              <w:pStyle w:val="TableParagraph"/>
              <w:spacing w:line="268" w:lineRule="exact"/>
              <w:ind w:left="7"/>
              <w:jc w:val="center"/>
              <w:rPr>
                <w:sz w:val="22"/>
              </w:rPr>
            </w:pPr>
            <w:r>
              <w:rPr>
                <w:w w:val="100"/>
                <w:sz w:val="22"/>
              </w:rPr>
              <w:t>X</w:t>
            </w:r>
          </w:p>
        </w:tc>
        <w:tc>
          <w:tcPr>
            <w:tcW w:w="780" w:type="dxa"/>
          </w:tcPr>
          <w:p>
            <w:pPr>
              <w:pStyle w:val="TableParagraph"/>
              <w:spacing w:line="268" w:lineRule="exact"/>
              <w:ind w:left="7"/>
              <w:jc w:val="center"/>
              <w:rPr>
                <w:sz w:val="22"/>
              </w:rPr>
            </w:pPr>
            <w:r>
              <w:rPr>
                <w:w w:val="100"/>
                <w:sz w:val="22"/>
              </w:rPr>
              <w:t>X</w:t>
            </w:r>
          </w:p>
        </w:tc>
        <w:tc>
          <w:tcPr>
            <w:tcW w:w="720" w:type="dxa"/>
          </w:tcPr>
          <w:p>
            <w:pPr>
              <w:pStyle w:val="TableParagraph"/>
              <w:rPr>
                <w:rFonts w:ascii="Times New Roman"/>
                <w:sz w:val="22"/>
              </w:rPr>
            </w:pPr>
          </w:p>
        </w:tc>
        <w:tc>
          <w:tcPr>
            <w:tcW w:w="720" w:type="dxa"/>
          </w:tcPr>
          <w:p>
            <w:pPr>
              <w:pStyle w:val="TableParagraph"/>
              <w:rPr>
                <w:rFonts w:ascii="Times New Roman"/>
                <w:sz w:val="22"/>
              </w:rPr>
            </w:pPr>
          </w:p>
        </w:tc>
        <w:tc>
          <w:tcPr>
            <w:tcW w:w="766" w:type="dxa"/>
          </w:tcPr>
          <w:p>
            <w:pPr>
              <w:pStyle w:val="TableParagraph"/>
              <w:rPr>
                <w:rFonts w:ascii="Times New Roman"/>
                <w:sz w:val="22"/>
              </w:rPr>
            </w:pP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spacing w:line="268" w:lineRule="exact"/>
              <w:jc w:val="center"/>
              <w:rPr>
                <w:sz w:val="22"/>
              </w:rPr>
            </w:pPr>
            <w:r>
              <w:rPr>
                <w:w w:val="100"/>
                <w:sz w:val="22"/>
              </w:rPr>
              <w:t>X</w:t>
            </w:r>
          </w:p>
        </w:tc>
        <w:tc>
          <w:tcPr>
            <w:tcW w:w="1453" w:type="dxa"/>
          </w:tcPr>
          <w:p>
            <w:pPr>
              <w:pStyle w:val="TableParagraph"/>
              <w:rPr>
                <w:rFonts w:ascii="Times New Roman"/>
                <w:sz w:val="22"/>
              </w:rPr>
            </w:pPr>
          </w:p>
        </w:tc>
      </w:tr>
      <w:tr>
        <w:trPr>
          <w:trHeight w:val="806" w:hRule="atLeast"/>
        </w:trPr>
        <w:tc>
          <w:tcPr>
            <w:tcW w:w="2474" w:type="dxa"/>
          </w:tcPr>
          <w:p>
            <w:pPr>
              <w:pStyle w:val="TableParagraph"/>
              <w:spacing w:line="268" w:lineRule="exact"/>
              <w:ind w:left="107"/>
              <w:rPr>
                <w:b/>
                <w:sz w:val="22"/>
              </w:rPr>
            </w:pPr>
            <w:r>
              <w:rPr>
                <w:b/>
                <w:sz w:val="22"/>
              </w:rPr>
              <w:t>DDA Behavioral Health</w:t>
            </w:r>
          </w:p>
          <w:p>
            <w:pPr>
              <w:pStyle w:val="TableParagraph"/>
              <w:spacing w:line="270" w:lineRule="atLeast"/>
              <w:ind w:left="107" w:right="543"/>
              <w:rPr>
                <w:b/>
                <w:sz w:val="22"/>
              </w:rPr>
            </w:pPr>
            <w:r>
              <w:rPr>
                <w:b/>
                <w:sz w:val="22"/>
              </w:rPr>
              <w:t>Crisis Bed Diversion Services</w:t>
            </w:r>
          </w:p>
        </w:tc>
        <w:tc>
          <w:tcPr>
            <w:tcW w:w="751" w:type="dxa"/>
          </w:tcPr>
          <w:p>
            <w:pPr>
              <w:pStyle w:val="TableParagraph"/>
              <w:spacing w:line="268" w:lineRule="exact"/>
              <w:ind w:left="7"/>
              <w:jc w:val="center"/>
              <w:rPr>
                <w:sz w:val="22"/>
              </w:rPr>
            </w:pPr>
            <w:r>
              <w:rPr>
                <w:w w:val="100"/>
                <w:sz w:val="22"/>
              </w:rPr>
              <w:t>X</w:t>
            </w:r>
          </w:p>
        </w:tc>
        <w:tc>
          <w:tcPr>
            <w:tcW w:w="780" w:type="dxa"/>
          </w:tcPr>
          <w:p>
            <w:pPr>
              <w:pStyle w:val="TableParagraph"/>
              <w:spacing w:line="268" w:lineRule="exact"/>
              <w:ind w:left="7"/>
              <w:jc w:val="center"/>
              <w:rPr>
                <w:sz w:val="22"/>
              </w:rPr>
            </w:pPr>
            <w:r>
              <w:rPr>
                <w:w w:val="100"/>
                <w:sz w:val="22"/>
              </w:rPr>
              <w:t>X</w:t>
            </w:r>
          </w:p>
        </w:tc>
        <w:tc>
          <w:tcPr>
            <w:tcW w:w="720" w:type="dxa"/>
          </w:tcPr>
          <w:p>
            <w:pPr>
              <w:pStyle w:val="TableParagraph"/>
              <w:spacing w:line="268" w:lineRule="exact"/>
              <w:ind w:left="10"/>
              <w:jc w:val="center"/>
              <w:rPr>
                <w:sz w:val="22"/>
              </w:rPr>
            </w:pPr>
            <w:r>
              <w:rPr>
                <w:w w:val="100"/>
                <w:sz w:val="22"/>
              </w:rPr>
              <w:t>X</w:t>
            </w:r>
          </w:p>
        </w:tc>
        <w:tc>
          <w:tcPr>
            <w:tcW w:w="720" w:type="dxa"/>
          </w:tcPr>
          <w:p>
            <w:pPr>
              <w:pStyle w:val="TableParagraph"/>
              <w:spacing w:line="268" w:lineRule="exact"/>
              <w:ind w:left="10"/>
              <w:jc w:val="center"/>
              <w:rPr>
                <w:sz w:val="22"/>
              </w:rPr>
            </w:pPr>
            <w:r>
              <w:rPr>
                <w:w w:val="100"/>
                <w:sz w:val="22"/>
              </w:rPr>
              <w:t>X</w:t>
            </w:r>
          </w:p>
        </w:tc>
        <w:tc>
          <w:tcPr>
            <w:tcW w:w="766" w:type="dxa"/>
          </w:tcPr>
          <w:p>
            <w:pPr>
              <w:pStyle w:val="TableParagraph"/>
              <w:rPr>
                <w:rFonts w:ascii="Times New Roman"/>
                <w:sz w:val="22"/>
              </w:rPr>
            </w:pP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spacing w:line="268" w:lineRule="exact"/>
              <w:jc w:val="center"/>
              <w:rPr>
                <w:sz w:val="22"/>
              </w:rPr>
            </w:pPr>
            <w:r>
              <w:rPr>
                <w:w w:val="100"/>
                <w:sz w:val="22"/>
              </w:rPr>
              <w:t>X</w:t>
            </w:r>
          </w:p>
        </w:tc>
        <w:tc>
          <w:tcPr>
            <w:tcW w:w="1453" w:type="dxa"/>
          </w:tcPr>
          <w:p>
            <w:pPr>
              <w:pStyle w:val="TableParagraph"/>
              <w:rPr>
                <w:rFonts w:ascii="Times New Roman"/>
                <w:sz w:val="22"/>
              </w:rPr>
            </w:pPr>
          </w:p>
        </w:tc>
      </w:tr>
      <w:tr>
        <w:trPr>
          <w:trHeight w:val="801" w:hRule="atLeast"/>
        </w:trPr>
        <w:tc>
          <w:tcPr>
            <w:tcW w:w="2474" w:type="dxa"/>
          </w:tcPr>
          <w:p>
            <w:pPr>
              <w:pStyle w:val="TableParagraph"/>
              <w:ind w:left="107" w:right="563"/>
              <w:rPr>
                <w:b/>
                <w:sz w:val="22"/>
              </w:rPr>
            </w:pPr>
            <w:r>
              <w:rPr>
                <w:b/>
                <w:sz w:val="22"/>
              </w:rPr>
              <w:t>DDA Specialized Psychiatric Services</w:t>
            </w:r>
          </w:p>
          <w:p>
            <w:pPr>
              <w:pStyle w:val="TableParagraph"/>
              <w:spacing w:line="247" w:lineRule="exact"/>
              <w:ind w:left="107"/>
              <w:rPr>
                <w:b/>
                <w:sz w:val="22"/>
              </w:rPr>
            </w:pPr>
            <w:r>
              <w:rPr>
                <w:b/>
                <w:sz w:val="22"/>
              </w:rPr>
              <w:t>Providers</w:t>
            </w:r>
          </w:p>
        </w:tc>
        <w:tc>
          <w:tcPr>
            <w:tcW w:w="751" w:type="dxa"/>
          </w:tcPr>
          <w:p>
            <w:pPr>
              <w:pStyle w:val="TableParagraph"/>
              <w:spacing w:line="266" w:lineRule="exact"/>
              <w:ind w:left="7"/>
              <w:jc w:val="center"/>
              <w:rPr>
                <w:sz w:val="22"/>
              </w:rPr>
            </w:pPr>
            <w:r>
              <w:rPr>
                <w:w w:val="100"/>
                <w:sz w:val="22"/>
              </w:rPr>
              <w:t>X</w:t>
            </w:r>
          </w:p>
        </w:tc>
        <w:tc>
          <w:tcPr>
            <w:tcW w:w="780" w:type="dxa"/>
          </w:tcPr>
          <w:p>
            <w:pPr>
              <w:pStyle w:val="TableParagraph"/>
              <w:spacing w:line="266" w:lineRule="exact"/>
              <w:ind w:left="7"/>
              <w:jc w:val="center"/>
              <w:rPr>
                <w:sz w:val="22"/>
              </w:rPr>
            </w:pPr>
            <w:r>
              <w:rPr>
                <w:w w:val="100"/>
                <w:sz w:val="22"/>
              </w:rPr>
              <w:t>X</w:t>
            </w:r>
          </w:p>
        </w:tc>
        <w:tc>
          <w:tcPr>
            <w:tcW w:w="720" w:type="dxa"/>
          </w:tcPr>
          <w:p>
            <w:pPr>
              <w:pStyle w:val="TableParagraph"/>
              <w:spacing w:line="266" w:lineRule="exact"/>
              <w:ind w:left="10"/>
              <w:jc w:val="center"/>
              <w:rPr>
                <w:sz w:val="22"/>
              </w:rPr>
            </w:pPr>
            <w:r>
              <w:rPr>
                <w:w w:val="100"/>
                <w:sz w:val="22"/>
              </w:rPr>
              <w:t>X</w:t>
            </w:r>
          </w:p>
        </w:tc>
        <w:tc>
          <w:tcPr>
            <w:tcW w:w="720" w:type="dxa"/>
          </w:tcPr>
          <w:p>
            <w:pPr>
              <w:pStyle w:val="TableParagraph"/>
              <w:spacing w:line="266" w:lineRule="exact"/>
              <w:ind w:left="10"/>
              <w:jc w:val="center"/>
              <w:rPr>
                <w:sz w:val="22"/>
              </w:rPr>
            </w:pPr>
            <w:r>
              <w:rPr>
                <w:w w:val="100"/>
                <w:sz w:val="22"/>
              </w:rPr>
              <w:t>X</w:t>
            </w:r>
          </w:p>
        </w:tc>
        <w:tc>
          <w:tcPr>
            <w:tcW w:w="766" w:type="dxa"/>
          </w:tcPr>
          <w:p>
            <w:pPr>
              <w:pStyle w:val="TableParagraph"/>
              <w:spacing w:line="266" w:lineRule="exact"/>
              <w:ind w:left="12"/>
              <w:jc w:val="center"/>
              <w:rPr>
                <w:sz w:val="22"/>
              </w:rPr>
            </w:pPr>
            <w:r>
              <w:rPr>
                <w:w w:val="100"/>
                <w:sz w:val="22"/>
              </w:rPr>
              <w:t>X</w:t>
            </w: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rPr>
                <w:rFonts w:ascii="Times New Roman"/>
                <w:sz w:val="22"/>
              </w:rPr>
            </w:pPr>
          </w:p>
        </w:tc>
        <w:tc>
          <w:tcPr>
            <w:tcW w:w="1453" w:type="dxa"/>
          </w:tcPr>
          <w:p>
            <w:pPr>
              <w:pStyle w:val="TableParagraph"/>
              <w:spacing w:before="9"/>
              <w:rPr>
                <w:b/>
                <w:sz w:val="21"/>
              </w:rPr>
            </w:pPr>
          </w:p>
          <w:p>
            <w:pPr>
              <w:pStyle w:val="TableParagraph"/>
              <w:spacing w:before="1"/>
              <w:ind w:right="1"/>
              <w:jc w:val="center"/>
              <w:rPr>
                <w:sz w:val="22"/>
              </w:rPr>
            </w:pPr>
            <w:r>
              <w:rPr>
                <w:w w:val="100"/>
                <w:sz w:val="22"/>
              </w:rPr>
              <w:t>X</w:t>
            </w:r>
          </w:p>
        </w:tc>
      </w:tr>
      <w:tr>
        <w:trPr>
          <w:trHeight w:val="806" w:hRule="atLeast"/>
        </w:trPr>
        <w:tc>
          <w:tcPr>
            <w:tcW w:w="2474" w:type="dxa"/>
          </w:tcPr>
          <w:p>
            <w:pPr>
              <w:pStyle w:val="TableParagraph"/>
              <w:spacing w:line="237" w:lineRule="auto" w:before="3"/>
              <w:ind w:left="107" w:right="289"/>
              <w:rPr>
                <w:b/>
                <w:sz w:val="22"/>
              </w:rPr>
            </w:pPr>
            <w:r>
              <w:rPr>
                <w:b/>
                <w:sz w:val="22"/>
              </w:rPr>
              <w:t>DDA Positive Behavior Support and</w:t>
            </w:r>
          </w:p>
          <w:p>
            <w:pPr>
              <w:pStyle w:val="TableParagraph"/>
              <w:spacing w:line="249" w:lineRule="exact" w:before="2"/>
              <w:ind w:left="107"/>
              <w:rPr>
                <w:b/>
                <w:sz w:val="22"/>
              </w:rPr>
            </w:pPr>
            <w:r>
              <w:rPr>
                <w:b/>
                <w:sz w:val="22"/>
              </w:rPr>
              <w:t>Consultation Providers</w:t>
            </w:r>
          </w:p>
        </w:tc>
        <w:tc>
          <w:tcPr>
            <w:tcW w:w="751" w:type="dxa"/>
          </w:tcPr>
          <w:p>
            <w:pPr>
              <w:pStyle w:val="TableParagraph"/>
              <w:spacing w:before="1"/>
              <w:ind w:left="7"/>
              <w:jc w:val="center"/>
              <w:rPr>
                <w:sz w:val="22"/>
              </w:rPr>
            </w:pPr>
            <w:r>
              <w:rPr>
                <w:w w:val="100"/>
                <w:sz w:val="22"/>
              </w:rPr>
              <w:t>X</w:t>
            </w:r>
          </w:p>
        </w:tc>
        <w:tc>
          <w:tcPr>
            <w:tcW w:w="780" w:type="dxa"/>
          </w:tcPr>
          <w:p>
            <w:pPr>
              <w:pStyle w:val="TableParagraph"/>
              <w:spacing w:before="1"/>
              <w:ind w:left="7"/>
              <w:jc w:val="center"/>
              <w:rPr>
                <w:sz w:val="22"/>
              </w:rPr>
            </w:pPr>
            <w:r>
              <w:rPr>
                <w:w w:val="100"/>
                <w:sz w:val="22"/>
              </w:rPr>
              <w:t>X</w:t>
            </w:r>
          </w:p>
        </w:tc>
        <w:tc>
          <w:tcPr>
            <w:tcW w:w="720" w:type="dxa"/>
          </w:tcPr>
          <w:p>
            <w:pPr>
              <w:pStyle w:val="TableParagraph"/>
              <w:spacing w:before="1"/>
              <w:ind w:left="10"/>
              <w:jc w:val="center"/>
              <w:rPr>
                <w:sz w:val="22"/>
              </w:rPr>
            </w:pPr>
            <w:r>
              <w:rPr>
                <w:w w:val="100"/>
                <w:sz w:val="22"/>
              </w:rPr>
              <w:t>X</w:t>
            </w:r>
          </w:p>
        </w:tc>
        <w:tc>
          <w:tcPr>
            <w:tcW w:w="720" w:type="dxa"/>
          </w:tcPr>
          <w:p>
            <w:pPr>
              <w:pStyle w:val="TableParagraph"/>
              <w:spacing w:before="1"/>
              <w:ind w:left="10"/>
              <w:jc w:val="center"/>
              <w:rPr>
                <w:sz w:val="22"/>
              </w:rPr>
            </w:pPr>
            <w:r>
              <w:rPr>
                <w:w w:val="100"/>
                <w:sz w:val="22"/>
              </w:rPr>
              <w:t>X</w:t>
            </w:r>
          </w:p>
        </w:tc>
        <w:tc>
          <w:tcPr>
            <w:tcW w:w="766" w:type="dxa"/>
          </w:tcPr>
          <w:p>
            <w:pPr>
              <w:pStyle w:val="TableParagraph"/>
              <w:spacing w:before="1"/>
              <w:ind w:left="12"/>
              <w:jc w:val="center"/>
              <w:rPr>
                <w:sz w:val="22"/>
              </w:rPr>
            </w:pPr>
            <w:r>
              <w:rPr>
                <w:w w:val="100"/>
                <w:sz w:val="22"/>
              </w:rPr>
              <w:t>X</w:t>
            </w: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rPr>
                <w:rFonts w:ascii="Times New Roman"/>
                <w:sz w:val="22"/>
              </w:rPr>
            </w:pPr>
          </w:p>
        </w:tc>
        <w:tc>
          <w:tcPr>
            <w:tcW w:w="1453" w:type="dxa"/>
          </w:tcPr>
          <w:p>
            <w:pPr>
              <w:pStyle w:val="TableParagraph"/>
              <w:spacing w:before="11"/>
              <w:rPr>
                <w:b/>
                <w:sz w:val="21"/>
              </w:rPr>
            </w:pPr>
          </w:p>
          <w:p>
            <w:pPr>
              <w:pStyle w:val="TableParagraph"/>
              <w:ind w:right="1"/>
              <w:jc w:val="center"/>
              <w:rPr>
                <w:sz w:val="22"/>
              </w:rPr>
            </w:pPr>
            <w:r>
              <w:rPr>
                <w:w w:val="100"/>
                <w:sz w:val="22"/>
              </w:rPr>
              <w:t>X</w:t>
            </w:r>
          </w:p>
        </w:tc>
      </w:tr>
      <w:tr>
        <w:trPr>
          <w:trHeight w:val="805" w:hRule="atLeast"/>
        </w:trPr>
        <w:tc>
          <w:tcPr>
            <w:tcW w:w="2474" w:type="dxa"/>
          </w:tcPr>
          <w:p>
            <w:pPr>
              <w:pStyle w:val="TableParagraph"/>
              <w:spacing w:line="268" w:lineRule="exact"/>
              <w:ind w:left="107"/>
              <w:rPr>
                <w:b/>
                <w:sz w:val="22"/>
              </w:rPr>
            </w:pPr>
            <w:r>
              <w:rPr>
                <w:b/>
                <w:sz w:val="22"/>
              </w:rPr>
              <w:t>DDA Community Crisis</w:t>
            </w:r>
          </w:p>
          <w:p>
            <w:pPr>
              <w:pStyle w:val="TableParagraph"/>
              <w:spacing w:line="270" w:lineRule="atLeast"/>
              <w:ind w:left="107" w:right="413"/>
              <w:rPr>
                <w:b/>
                <w:sz w:val="22"/>
              </w:rPr>
            </w:pPr>
            <w:r>
              <w:rPr>
                <w:b/>
                <w:sz w:val="22"/>
              </w:rPr>
              <w:t>Stabilization Services sites</w:t>
            </w:r>
          </w:p>
        </w:tc>
        <w:tc>
          <w:tcPr>
            <w:tcW w:w="751" w:type="dxa"/>
          </w:tcPr>
          <w:p>
            <w:pPr>
              <w:pStyle w:val="TableParagraph"/>
              <w:spacing w:line="268" w:lineRule="exact"/>
              <w:ind w:left="7"/>
              <w:jc w:val="center"/>
              <w:rPr>
                <w:sz w:val="22"/>
              </w:rPr>
            </w:pPr>
            <w:r>
              <w:rPr>
                <w:w w:val="100"/>
                <w:sz w:val="22"/>
              </w:rPr>
              <w:t>X</w:t>
            </w:r>
          </w:p>
        </w:tc>
        <w:tc>
          <w:tcPr>
            <w:tcW w:w="780" w:type="dxa"/>
          </w:tcPr>
          <w:p>
            <w:pPr>
              <w:pStyle w:val="TableParagraph"/>
              <w:spacing w:line="268" w:lineRule="exact"/>
              <w:ind w:left="7"/>
              <w:jc w:val="center"/>
              <w:rPr>
                <w:sz w:val="22"/>
              </w:rPr>
            </w:pPr>
            <w:r>
              <w:rPr>
                <w:w w:val="100"/>
                <w:sz w:val="22"/>
              </w:rPr>
              <w:t>X</w:t>
            </w:r>
          </w:p>
        </w:tc>
        <w:tc>
          <w:tcPr>
            <w:tcW w:w="720" w:type="dxa"/>
          </w:tcPr>
          <w:p>
            <w:pPr>
              <w:pStyle w:val="TableParagraph"/>
              <w:spacing w:line="268" w:lineRule="exact"/>
              <w:ind w:left="10"/>
              <w:jc w:val="center"/>
              <w:rPr>
                <w:sz w:val="22"/>
              </w:rPr>
            </w:pPr>
            <w:r>
              <w:rPr>
                <w:w w:val="100"/>
                <w:sz w:val="22"/>
              </w:rPr>
              <w:t>X</w:t>
            </w:r>
          </w:p>
        </w:tc>
        <w:tc>
          <w:tcPr>
            <w:tcW w:w="720" w:type="dxa"/>
          </w:tcPr>
          <w:p>
            <w:pPr>
              <w:pStyle w:val="TableParagraph"/>
              <w:spacing w:line="268" w:lineRule="exact"/>
              <w:ind w:left="10"/>
              <w:jc w:val="center"/>
              <w:rPr>
                <w:sz w:val="22"/>
              </w:rPr>
            </w:pPr>
            <w:r>
              <w:rPr>
                <w:w w:val="100"/>
                <w:sz w:val="22"/>
              </w:rPr>
              <w:t>X</w:t>
            </w:r>
          </w:p>
        </w:tc>
        <w:tc>
          <w:tcPr>
            <w:tcW w:w="766" w:type="dxa"/>
          </w:tcPr>
          <w:p>
            <w:pPr>
              <w:pStyle w:val="TableParagraph"/>
              <w:spacing w:line="268" w:lineRule="exact"/>
              <w:ind w:left="12"/>
              <w:jc w:val="center"/>
              <w:rPr>
                <w:sz w:val="22"/>
              </w:rPr>
            </w:pPr>
            <w:r>
              <w:rPr>
                <w:w w:val="100"/>
                <w:sz w:val="22"/>
              </w:rPr>
              <w:t>X</w:t>
            </w: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rPr>
                <w:rFonts w:ascii="Times New Roman"/>
                <w:sz w:val="22"/>
              </w:rPr>
            </w:pPr>
          </w:p>
        </w:tc>
        <w:tc>
          <w:tcPr>
            <w:tcW w:w="1453" w:type="dxa"/>
          </w:tcPr>
          <w:p>
            <w:pPr>
              <w:pStyle w:val="TableParagraph"/>
              <w:spacing w:before="11"/>
              <w:rPr>
                <w:b/>
                <w:sz w:val="21"/>
              </w:rPr>
            </w:pPr>
          </w:p>
          <w:p>
            <w:pPr>
              <w:pStyle w:val="TableParagraph"/>
              <w:ind w:right="1"/>
              <w:jc w:val="center"/>
              <w:rPr>
                <w:sz w:val="22"/>
              </w:rPr>
            </w:pPr>
            <w:r>
              <w:rPr>
                <w:w w:val="100"/>
                <w:sz w:val="22"/>
              </w:rPr>
              <w:t>X</w:t>
            </w:r>
          </w:p>
        </w:tc>
      </w:tr>
      <w:tr>
        <w:trPr>
          <w:trHeight w:val="535" w:hRule="atLeast"/>
        </w:trPr>
        <w:tc>
          <w:tcPr>
            <w:tcW w:w="2474" w:type="dxa"/>
          </w:tcPr>
          <w:p>
            <w:pPr>
              <w:pStyle w:val="TableParagraph"/>
              <w:spacing w:line="266" w:lineRule="exact"/>
              <w:ind w:left="107"/>
              <w:rPr>
                <w:b/>
                <w:sz w:val="22"/>
              </w:rPr>
            </w:pPr>
            <w:r>
              <w:rPr>
                <w:b/>
                <w:sz w:val="22"/>
              </w:rPr>
              <w:t>DDA Pre-Vocational</w:t>
            </w:r>
          </w:p>
          <w:p>
            <w:pPr>
              <w:pStyle w:val="TableParagraph"/>
              <w:spacing w:line="249" w:lineRule="exact"/>
              <w:ind w:left="107"/>
              <w:rPr>
                <w:b/>
                <w:sz w:val="22"/>
              </w:rPr>
            </w:pPr>
            <w:r>
              <w:rPr>
                <w:b/>
                <w:sz w:val="22"/>
              </w:rPr>
              <w:t>Services sites</w:t>
            </w:r>
          </w:p>
        </w:tc>
        <w:tc>
          <w:tcPr>
            <w:tcW w:w="751" w:type="dxa"/>
          </w:tcPr>
          <w:p>
            <w:pPr>
              <w:pStyle w:val="TableParagraph"/>
              <w:spacing w:line="266" w:lineRule="exact"/>
              <w:ind w:left="7"/>
              <w:jc w:val="center"/>
              <w:rPr>
                <w:sz w:val="22"/>
              </w:rPr>
            </w:pPr>
            <w:r>
              <w:rPr>
                <w:w w:val="100"/>
                <w:sz w:val="22"/>
              </w:rPr>
              <w:t>X</w:t>
            </w:r>
          </w:p>
        </w:tc>
        <w:tc>
          <w:tcPr>
            <w:tcW w:w="780" w:type="dxa"/>
          </w:tcPr>
          <w:p>
            <w:pPr>
              <w:pStyle w:val="TableParagraph"/>
              <w:spacing w:line="266" w:lineRule="exact"/>
              <w:ind w:left="7"/>
              <w:jc w:val="center"/>
              <w:rPr>
                <w:sz w:val="22"/>
              </w:rPr>
            </w:pPr>
            <w:r>
              <w:rPr>
                <w:w w:val="100"/>
                <w:sz w:val="22"/>
              </w:rPr>
              <w:t>X</w:t>
            </w:r>
          </w:p>
        </w:tc>
        <w:tc>
          <w:tcPr>
            <w:tcW w:w="720" w:type="dxa"/>
          </w:tcPr>
          <w:p>
            <w:pPr>
              <w:pStyle w:val="TableParagraph"/>
              <w:spacing w:line="266" w:lineRule="exact"/>
              <w:ind w:left="10"/>
              <w:jc w:val="center"/>
              <w:rPr>
                <w:sz w:val="22"/>
              </w:rPr>
            </w:pPr>
            <w:r>
              <w:rPr>
                <w:w w:val="100"/>
                <w:sz w:val="22"/>
              </w:rPr>
              <w:t>X</w:t>
            </w:r>
          </w:p>
        </w:tc>
        <w:tc>
          <w:tcPr>
            <w:tcW w:w="720" w:type="dxa"/>
          </w:tcPr>
          <w:p>
            <w:pPr>
              <w:pStyle w:val="TableParagraph"/>
              <w:rPr>
                <w:rFonts w:ascii="Times New Roman"/>
                <w:sz w:val="22"/>
              </w:rPr>
            </w:pPr>
          </w:p>
        </w:tc>
        <w:tc>
          <w:tcPr>
            <w:tcW w:w="766" w:type="dxa"/>
          </w:tcPr>
          <w:p>
            <w:pPr>
              <w:pStyle w:val="TableParagraph"/>
              <w:rPr>
                <w:rFonts w:ascii="Times New Roman"/>
                <w:sz w:val="22"/>
              </w:rPr>
            </w:pP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spacing w:line="266" w:lineRule="exact"/>
              <w:jc w:val="center"/>
              <w:rPr>
                <w:sz w:val="22"/>
              </w:rPr>
            </w:pPr>
            <w:r>
              <w:rPr>
                <w:w w:val="100"/>
                <w:sz w:val="22"/>
              </w:rPr>
              <w:t>X</w:t>
            </w:r>
          </w:p>
        </w:tc>
        <w:tc>
          <w:tcPr>
            <w:tcW w:w="1453" w:type="dxa"/>
          </w:tcPr>
          <w:p>
            <w:pPr>
              <w:pStyle w:val="TableParagraph"/>
              <w:rPr>
                <w:rFonts w:ascii="Times New Roman"/>
                <w:sz w:val="22"/>
              </w:rPr>
            </w:pPr>
          </w:p>
        </w:tc>
      </w:tr>
      <w:tr>
        <w:trPr>
          <w:trHeight w:val="537" w:hRule="atLeast"/>
        </w:trPr>
        <w:tc>
          <w:tcPr>
            <w:tcW w:w="2474" w:type="dxa"/>
          </w:tcPr>
          <w:p>
            <w:pPr>
              <w:pStyle w:val="TableParagraph"/>
              <w:spacing w:line="268" w:lineRule="exact"/>
              <w:ind w:left="107"/>
              <w:rPr>
                <w:b/>
                <w:sz w:val="22"/>
              </w:rPr>
            </w:pPr>
            <w:r>
              <w:rPr>
                <w:b/>
                <w:sz w:val="22"/>
              </w:rPr>
              <w:t>DDA Community</w:t>
            </w:r>
          </w:p>
          <w:p>
            <w:pPr>
              <w:pStyle w:val="TableParagraph"/>
              <w:spacing w:line="249" w:lineRule="exact"/>
              <w:ind w:left="107"/>
              <w:rPr>
                <w:b/>
                <w:sz w:val="22"/>
              </w:rPr>
            </w:pPr>
            <w:r>
              <w:rPr>
                <w:b/>
                <w:sz w:val="22"/>
              </w:rPr>
              <w:t>Engagement Providers</w:t>
            </w:r>
          </w:p>
        </w:tc>
        <w:tc>
          <w:tcPr>
            <w:tcW w:w="751" w:type="dxa"/>
          </w:tcPr>
          <w:p>
            <w:pPr>
              <w:pStyle w:val="TableParagraph"/>
              <w:rPr>
                <w:rFonts w:ascii="Times New Roman"/>
                <w:sz w:val="22"/>
              </w:rPr>
            </w:pPr>
          </w:p>
        </w:tc>
        <w:tc>
          <w:tcPr>
            <w:tcW w:w="780" w:type="dxa"/>
          </w:tcPr>
          <w:p>
            <w:pPr>
              <w:pStyle w:val="TableParagraph"/>
              <w:rPr>
                <w:rFonts w:ascii="Times New Roman"/>
                <w:sz w:val="22"/>
              </w:rPr>
            </w:pPr>
          </w:p>
        </w:tc>
        <w:tc>
          <w:tcPr>
            <w:tcW w:w="720" w:type="dxa"/>
          </w:tcPr>
          <w:p>
            <w:pPr>
              <w:pStyle w:val="TableParagraph"/>
              <w:rPr>
                <w:rFonts w:ascii="Times New Roman"/>
                <w:sz w:val="22"/>
              </w:rPr>
            </w:pPr>
          </w:p>
        </w:tc>
        <w:tc>
          <w:tcPr>
            <w:tcW w:w="720" w:type="dxa"/>
          </w:tcPr>
          <w:p>
            <w:pPr>
              <w:pStyle w:val="TableParagraph"/>
              <w:rPr>
                <w:rFonts w:ascii="Times New Roman"/>
                <w:sz w:val="22"/>
              </w:rPr>
            </w:pPr>
          </w:p>
        </w:tc>
        <w:tc>
          <w:tcPr>
            <w:tcW w:w="766" w:type="dxa"/>
          </w:tcPr>
          <w:p>
            <w:pPr>
              <w:pStyle w:val="TableParagraph"/>
              <w:spacing w:line="268" w:lineRule="exact"/>
              <w:ind w:left="12"/>
              <w:jc w:val="center"/>
              <w:rPr>
                <w:sz w:val="22"/>
              </w:rPr>
            </w:pPr>
            <w:r>
              <w:rPr>
                <w:w w:val="100"/>
                <w:sz w:val="22"/>
              </w:rPr>
              <w:t>X</w:t>
            </w: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rPr>
                <w:rFonts w:ascii="Times New Roman"/>
                <w:sz w:val="22"/>
              </w:rPr>
            </w:pPr>
          </w:p>
        </w:tc>
        <w:tc>
          <w:tcPr>
            <w:tcW w:w="1453" w:type="dxa"/>
          </w:tcPr>
          <w:p>
            <w:pPr>
              <w:pStyle w:val="TableParagraph"/>
              <w:spacing w:before="11"/>
              <w:rPr>
                <w:b/>
                <w:sz w:val="21"/>
              </w:rPr>
            </w:pPr>
          </w:p>
          <w:p>
            <w:pPr>
              <w:pStyle w:val="TableParagraph"/>
              <w:spacing w:line="249" w:lineRule="exact"/>
              <w:ind w:right="1"/>
              <w:jc w:val="center"/>
              <w:rPr>
                <w:sz w:val="22"/>
              </w:rPr>
            </w:pPr>
            <w:r>
              <w:rPr>
                <w:w w:val="100"/>
                <w:sz w:val="22"/>
              </w:rPr>
              <w:t>X</w:t>
            </w:r>
          </w:p>
        </w:tc>
      </w:tr>
      <w:tr>
        <w:trPr>
          <w:trHeight w:val="806" w:hRule="atLeast"/>
        </w:trPr>
        <w:tc>
          <w:tcPr>
            <w:tcW w:w="2474" w:type="dxa"/>
          </w:tcPr>
          <w:p>
            <w:pPr>
              <w:pStyle w:val="TableParagraph"/>
              <w:ind w:left="107" w:right="303"/>
              <w:rPr>
                <w:b/>
                <w:sz w:val="22"/>
              </w:rPr>
            </w:pPr>
            <w:bookmarkStart w:name="DDA Environmental Adaptations Providers" w:id="232"/>
            <w:bookmarkEnd w:id="232"/>
            <w:r>
              <w:rPr/>
            </w:r>
            <w:r>
              <w:rPr>
                <w:b/>
                <w:sz w:val="22"/>
              </w:rPr>
              <w:t>DDA Environmental Adaptations Providers</w:t>
            </w:r>
          </w:p>
        </w:tc>
        <w:tc>
          <w:tcPr>
            <w:tcW w:w="751" w:type="dxa"/>
          </w:tcPr>
          <w:p>
            <w:pPr>
              <w:pStyle w:val="TableParagraph"/>
              <w:spacing w:line="268" w:lineRule="exact"/>
              <w:ind w:left="7"/>
              <w:jc w:val="center"/>
              <w:rPr>
                <w:sz w:val="22"/>
              </w:rPr>
            </w:pPr>
            <w:r>
              <w:rPr>
                <w:w w:val="100"/>
                <w:sz w:val="22"/>
              </w:rPr>
              <w:t>X</w:t>
            </w:r>
          </w:p>
        </w:tc>
        <w:tc>
          <w:tcPr>
            <w:tcW w:w="780" w:type="dxa"/>
          </w:tcPr>
          <w:p>
            <w:pPr>
              <w:pStyle w:val="TableParagraph"/>
              <w:spacing w:line="268" w:lineRule="exact"/>
              <w:ind w:left="7"/>
              <w:jc w:val="center"/>
              <w:rPr>
                <w:sz w:val="22"/>
              </w:rPr>
            </w:pPr>
            <w:r>
              <w:rPr>
                <w:w w:val="100"/>
                <w:sz w:val="22"/>
              </w:rPr>
              <w:t>X</w:t>
            </w:r>
          </w:p>
        </w:tc>
        <w:tc>
          <w:tcPr>
            <w:tcW w:w="720" w:type="dxa"/>
          </w:tcPr>
          <w:p>
            <w:pPr>
              <w:pStyle w:val="TableParagraph"/>
              <w:spacing w:line="268" w:lineRule="exact"/>
              <w:ind w:left="10"/>
              <w:jc w:val="center"/>
              <w:rPr>
                <w:sz w:val="22"/>
              </w:rPr>
            </w:pPr>
            <w:r>
              <w:rPr>
                <w:w w:val="100"/>
                <w:sz w:val="22"/>
              </w:rPr>
              <w:t>X</w:t>
            </w:r>
          </w:p>
        </w:tc>
        <w:tc>
          <w:tcPr>
            <w:tcW w:w="720" w:type="dxa"/>
          </w:tcPr>
          <w:p>
            <w:pPr>
              <w:pStyle w:val="TableParagraph"/>
              <w:spacing w:line="268" w:lineRule="exact"/>
              <w:ind w:left="10"/>
              <w:jc w:val="center"/>
              <w:rPr>
                <w:sz w:val="22"/>
              </w:rPr>
            </w:pPr>
            <w:r>
              <w:rPr>
                <w:w w:val="100"/>
                <w:sz w:val="22"/>
              </w:rPr>
              <w:t>X</w:t>
            </w:r>
          </w:p>
        </w:tc>
        <w:tc>
          <w:tcPr>
            <w:tcW w:w="766" w:type="dxa"/>
          </w:tcPr>
          <w:p>
            <w:pPr>
              <w:pStyle w:val="TableParagraph"/>
              <w:spacing w:line="268" w:lineRule="exact"/>
              <w:ind w:left="12"/>
              <w:jc w:val="center"/>
              <w:rPr>
                <w:sz w:val="22"/>
              </w:rPr>
            </w:pPr>
            <w:r>
              <w:rPr>
                <w:w w:val="100"/>
                <w:sz w:val="22"/>
              </w:rPr>
              <w:t>X</w:t>
            </w: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rPr>
                <w:rFonts w:ascii="Times New Roman"/>
                <w:sz w:val="22"/>
              </w:rPr>
            </w:pPr>
          </w:p>
        </w:tc>
        <w:tc>
          <w:tcPr>
            <w:tcW w:w="1453" w:type="dxa"/>
          </w:tcPr>
          <w:p>
            <w:pPr>
              <w:pStyle w:val="TableParagraph"/>
              <w:rPr>
                <w:b/>
                <w:sz w:val="22"/>
              </w:rPr>
            </w:pPr>
          </w:p>
          <w:p>
            <w:pPr>
              <w:pStyle w:val="TableParagraph"/>
              <w:spacing w:before="11"/>
              <w:rPr>
                <w:b/>
                <w:sz w:val="21"/>
              </w:rPr>
            </w:pPr>
          </w:p>
          <w:p>
            <w:pPr>
              <w:pStyle w:val="TableParagraph"/>
              <w:spacing w:line="249" w:lineRule="exact" w:before="1"/>
              <w:ind w:right="1"/>
              <w:jc w:val="center"/>
              <w:rPr>
                <w:sz w:val="22"/>
              </w:rPr>
            </w:pPr>
            <w:r>
              <w:rPr>
                <w:w w:val="100"/>
                <w:sz w:val="22"/>
              </w:rPr>
              <w:t>X</w:t>
            </w:r>
          </w:p>
        </w:tc>
      </w:tr>
      <w:tr>
        <w:trPr>
          <w:trHeight w:val="805" w:hRule="atLeast"/>
        </w:trPr>
        <w:tc>
          <w:tcPr>
            <w:tcW w:w="2474" w:type="dxa"/>
          </w:tcPr>
          <w:p>
            <w:pPr>
              <w:pStyle w:val="TableParagraph"/>
              <w:ind w:left="107" w:right="364"/>
              <w:rPr>
                <w:b/>
                <w:sz w:val="22"/>
              </w:rPr>
            </w:pPr>
            <w:r>
              <w:rPr>
                <w:b/>
                <w:sz w:val="22"/>
              </w:rPr>
              <w:t>DDA Person-centered Plan Facilitation</w:t>
            </w:r>
          </w:p>
          <w:p>
            <w:pPr>
              <w:pStyle w:val="TableParagraph"/>
              <w:spacing w:line="249" w:lineRule="exact"/>
              <w:ind w:left="107"/>
              <w:rPr>
                <w:b/>
                <w:sz w:val="22"/>
              </w:rPr>
            </w:pPr>
            <w:r>
              <w:rPr>
                <w:b/>
                <w:sz w:val="22"/>
              </w:rPr>
              <w:t>Providers</w:t>
            </w:r>
          </w:p>
        </w:tc>
        <w:tc>
          <w:tcPr>
            <w:tcW w:w="751" w:type="dxa"/>
          </w:tcPr>
          <w:p>
            <w:pPr>
              <w:pStyle w:val="TableParagraph"/>
              <w:rPr>
                <w:rFonts w:ascii="Times New Roman"/>
                <w:sz w:val="22"/>
              </w:rPr>
            </w:pPr>
          </w:p>
        </w:tc>
        <w:tc>
          <w:tcPr>
            <w:tcW w:w="780" w:type="dxa"/>
          </w:tcPr>
          <w:p>
            <w:pPr>
              <w:pStyle w:val="TableParagraph"/>
              <w:rPr>
                <w:rFonts w:ascii="Times New Roman"/>
                <w:sz w:val="22"/>
              </w:rPr>
            </w:pPr>
          </w:p>
        </w:tc>
        <w:tc>
          <w:tcPr>
            <w:tcW w:w="720" w:type="dxa"/>
          </w:tcPr>
          <w:p>
            <w:pPr>
              <w:pStyle w:val="TableParagraph"/>
              <w:rPr>
                <w:rFonts w:ascii="Times New Roman"/>
                <w:sz w:val="22"/>
              </w:rPr>
            </w:pPr>
          </w:p>
        </w:tc>
        <w:tc>
          <w:tcPr>
            <w:tcW w:w="720" w:type="dxa"/>
          </w:tcPr>
          <w:p>
            <w:pPr>
              <w:pStyle w:val="TableParagraph"/>
              <w:rPr>
                <w:rFonts w:ascii="Times New Roman"/>
                <w:sz w:val="22"/>
              </w:rPr>
            </w:pPr>
          </w:p>
        </w:tc>
        <w:tc>
          <w:tcPr>
            <w:tcW w:w="766" w:type="dxa"/>
          </w:tcPr>
          <w:p>
            <w:pPr>
              <w:pStyle w:val="TableParagraph"/>
              <w:spacing w:line="268" w:lineRule="exact"/>
              <w:ind w:left="12"/>
              <w:jc w:val="center"/>
              <w:rPr>
                <w:sz w:val="22"/>
              </w:rPr>
            </w:pPr>
            <w:r>
              <w:rPr>
                <w:w w:val="100"/>
                <w:sz w:val="22"/>
              </w:rPr>
              <w:t>X</w:t>
            </w: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rPr>
                <w:rFonts w:ascii="Times New Roman"/>
                <w:sz w:val="22"/>
              </w:rPr>
            </w:pPr>
          </w:p>
        </w:tc>
        <w:tc>
          <w:tcPr>
            <w:tcW w:w="1453" w:type="dxa"/>
          </w:tcPr>
          <w:p>
            <w:pPr>
              <w:pStyle w:val="TableParagraph"/>
              <w:spacing w:before="11"/>
              <w:rPr>
                <w:b/>
                <w:sz w:val="21"/>
              </w:rPr>
            </w:pPr>
          </w:p>
          <w:p>
            <w:pPr>
              <w:pStyle w:val="TableParagraph"/>
              <w:ind w:right="1"/>
              <w:jc w:val="center"/>
              <w:rPr>
                <w:sz w:val="22"/>
              </w:rPr>
            </w:pPr>
            <w:r>
              <w:rPr>
                <w:w w:val="100"/>
                <w:sz w:val="22"/>
              </w:rPr>
              <w:t>X</w:t>
            </w:r>
          </w:p>
        </w:tc>
      </w:tr>
      <w:tr>
        <w:trPr>
          <w:trHeight w:val="537" w:hRule="atLeast"/>
        </w:trPr>
        <w:tc>
          <w:tcPr>
            <w:tcW w:w="2474" w:type="dxa"/>
          </w:tcPr>
          <w:p>
            <w:pPr>
              <w:pStyle w:val="TableParagraph"/>
              <w:spacing w:line="268" w:lineRule="exact"/>
              <w:ind w:left="107"/>
              <w:rPr>
                <w:b/>
                <w:sz w:val="22"/>
              </w:rPr>
            </w:pPr>
            <w:r>
              <w:rPr>
                <w:b/>
                <w:sz w:val="22"/>
              </w:rPr>
              <w:t>DDA Peer Mentoring</w:t>
            </w:r>
          </w:p>
          <w:p>
            <w:pPr>
              <w:pStyle w:val="TableParagraph"/>
              <w:spacing w:line="249" w:lineRule="exact"/>
              <w:ind w:left="107"/>
              <w:rPr>
                <w:b/>
                <w:sz w:val="22"/>
              </w:rPr>
            </w:pPr>
            <w:r>
              <w:rPr>
                <w:b/>
                <w:sz w:val="22"/>
              </w:rPr>
              <w:t>Providers</w:t>
            </w:r>
          </w:p>
        </w:tc>
        <w:tc>
          <w:tcPr>
            <w:tcW w:w="751" w:type="dxa"/>
          </w:tcPr>
          <w:p>
            <w:pPr>
              <w:pStyle w:val="TableParagraph"/>
              <w:rPr>
                <w:rFonts w:ascii="Times New Roman"/>
                <w:sz w:val="22"/>
              </w:rPr>
            </w:pPr>
          </w:p>
        </w:tc>
        <w:tc>
          <w:tcPr>
            <w:tcW w:w="780" w:type="dxa"/>
          </w:tcPr>
          <w:p>
            <w:pPr>
              <w:pStyle w:val="TableParagraph"/>
              <w:rPr>
                <w:rFonts w:ascii="Times New Roman"/>
                <w:sz w:val="22"/>
              </w:rPr>
            </w:pPr>
          </w:p>
        </w:tc>
        <w:tc>
          <w:tcPr>
            <w:tcW w:w="720" w:type="dxa"/>
          </w:tcPr>
          <w:p>
            <w:pPr>
              <w:pStyle w:val="TableParagraph"/>
              <w:rPr>
                <w:rFonts w:ascii="Times New Roman"/>
                <w:sz w:val="22"/>
              </w:rPr>
            </w:pPr>
          </w:p>
        </w:tc>
        <w:tc>
          <w:tcPr>
            <w:tcW w:w="720" w:type="dxa"/>
          </w:tcPr>
          <w:p>
            <w:pPr>
              <w:pStyle w:val="TableParagraph"/>
              <w:rPr>
                <w:rFonts w:ascii="Times New Roman"/>
                <w:sz w:val="22"/>
              </w:rPr>
            </w:pPr>
          </w:p>
        </w:tc>
        <w:tc>
          <w:tcPr>
            <w:tcW w:w="766" w:type="dxa"/>
          </w:tcPr>
          <w:p>
            <w:pPr>
              <w:pStyle w:val="TableParagraph"/>
              <w:spacing w:line="268" w:lineRule="exact"/>
              <w:ind w:left="12"/>
              <w:jc w:val="center"/>
              <w:rPr>
                <w:sz w:val="22"/>
              </w:rPr>
            </w:pPr>
            <w:r>
              <w:rPr>
                <w:w w:val="100"/>
                <w:sz w:val="22"/>
              </w:rPr>
              <w:t>X</w:t>
            </w: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rPr>
                <w:rFonts w:ascii="Times New Roman"/>
                <w:sz w:val="22"/>
              </w:rPr>
            </w:pPr>
          </w:p>
        </w:tc>
        <w:tc>
          <w:tcPr>
            <w:tcW w:w="1453" w:type="dxa"/>
          </w:tcPr>
          <w:p>
            <w:pPr>
              <w:pStyle w:val="TableParagraph"/>
              <w:spacing w:before="11"/>
              <w:rPr>
                <w:b/>
                <w:sz w:val="21"/>
              </w:rPr>
            </w:pPr>
          </w:p>
          <w:p>
            <w:pPr>
              <w:pStyle w:val="TableParagraph"/>
              <w:spacing w:line="249" w:lineRule="exact"/>
              <w:ind w:right="1"/>
              <w:jc w:val="center"/>
              <w:rPr>
                <w:sz w:val="22"/>
              </w:rPr>
            </w:pPr>
            <w:r>
              <w:rPr>
                <w:w w:val="100"/>
                <w:sz w:val="22"/>
              </w:rPr>
              <w:t>X</w:t>
            </w:r>
          </w:p>
        </w:tc>
      </w:tr>
    </w:tbl>
    <w:p>
      <w:pPr>
        <w:pStyle w:val="BodyText"/>
        <w:rPr>
          <w:b/>
          <w:sz w:val="15"/>
        </w:rPr>
      </w:pPr>
      <w:r>
        <w:rPr/>
        <w:pict>
          <v:shape style="position:absolute;margin-left:70.559998pt;margin-top:11.3995pt;width:650.9pt;height:.1pt;mso-position-horizontal-relative:page;mso-position-vertical-relative:paragraph;z-index:-251210752;mso-wrap-distance-left:0;mso-wrap-distance-right:0" coordorigin="1411,228" coordsize="13018,0" path="m1411,228l14429,228e" filled="false" stroked="true" strokeweight=".481pt" strokecolor="#d9d9d9">
            <v:path arrowok="t"/>
            <v:stroke dashstyle="solid"/>
            <w10:wrap type="topAndBottom"/>
          </v:shape>
        </w:pict>
      </w:r>
    </w:p>
    <w:p>
      <w:pPr>
        <w:spacing w:after="0"/>
        <w:rPr>
          <w:sz w:val="1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8"/>
        <w:rPr>
          <w:b/>
          <w:sz w:val="16"/>
        </w:rPr>
      </w:pPr>
    </w:p>
    <w:tbl>
      <w:tblPr>
        <w:tblW w:w="0" w:type="auto"/>
        <w:jc w:val="left"/>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74"/>
        <w:gridCol w:w="751"/>
        <w:gridCol w:w="780"/>
        <w:gridCol w:w="720"/>
        <w:gridCol w:w="720"/>
        <w:gridCol w:w="766"/>
        <w:gridCol w:w="951"/>
        <w:gridCol w:w="1395"/>
        <w:gridCol w:w="1417"/>
        <w:gridCol w:w="1189"/>
        <w:gridCol w:w="1160"/>
        <w:gridCol w:w="1453"/>
      </w:tblGrid>
      <w:tr>
        <w:trPr>
          <w:trHeight w:val="537" w:hRule="atLeast"/>
        </w:trPr>
        <w:tc>
          <w:tcPr>
            <w:tcW w:w="2474" w:type="dxa"/>
          </w:tcPr>
          <w:p>
            <w:pPr>
              <w:pStyle w:val="TableParagraph"/>
              <w:spacing w:line="268" w:lineRule="exact"/>
              <w:ind w:left="107"/>
              <w:rPr>
                <w:b/>
                <w:sz w:val="22"/>
              </w:rPr>
            </w:pPr>
            <w:r>
              <w:rPr>
                <w:b/>
                <w:sz w:val="22"/>
              </w:rPr>
              <w:t>DDA Supported</w:t>
            </w:r>
          </w:p>
          <w:p>
            <w:pPr>
              <w:pStyle w:val="TableParagraph"/>
              <w:spacing w:line="249" w:lineRule="exact"/>
              <w:ind w:left="107"/>
              <w:rPr>
                <w:b/>
                <w:sz w:val="22"/>
              </w:rPr>
            </w:pPr>
            <w:r>
              <w:rPr>
                <w:b/>
                <w:sz w:val="22"/>
              </w:rPr>
              <w:t>Parenting Providers</w:t>
            </w:r>
          </w:p>
        </w:tc>
        <w:tc>
          <w:tcPr>
            <w:tcW w:w="751" w:type="dxa"/>
          </w:tcPr>
          <w:p>
            <w:pPr>
              <w:pStyle w:val="TableParagraph"/>
              <w:rPr>
                <w:rFonts w:ascii="Times New Roman"/>
                <w:sz w:val="22"/>
              </w:rPr>
            </w:pPr>
          </w:p>
        </w:tc>
        <w:tc>
          <w:tcPr>
            <w:tcW w:w="780" w:type="dxa"/>
          </w:tcPr>
          <w:p>
            <w:pPr>
              <w:pStyle w:val="TableParagraph"/>
              <w:rPr>
                <w:rFonts w:ascii="Times New Roman"/>
                <w:sz w:val="22"/>
              </w:rPr>
            </w:pPr>
          </w:p>
        </w:tc>
        <w:tc>
          <w:tcPr>
            <w:tcW w:w="720" w:type="dxa"/>
          </w:tcPr>
          <w:p>
            <w:pPr>
              <w:pStyle w:val="TableParagraph"/>
              <w:rPr>
                <w:rFonts w:ascii="Times New Roman"/>
                <w:sz w:val="22"/>
              </w:rPr>
            </w:pPr>
          </w:p>
        </w:tc>
        <w:tc>
          <w:tcPr>
            <w:tcW w:w="720" w:type="dxa"/>
          </w:tcPr>
          <w:p>
            <w:pPr>
              <w:pStyle w:val="TableParagraph"/>
              <w:rPr>
                <w:rFonts w:ascii="Times New Roman"/>
                <w:sz w:val="22"/>
              </w:rPr>
            </w:pPr>
          </w:p>
        </w:tc>
        <w:tc>
          <w:tcPr>
            <w:tcW w:w="766" w:type="dxa"/>
          </w:tcPr>
          <w:p>
            <w:pPr>
              <w:pStyle w:val="TableParagraph"/>
              <w:spacing w:line="268" w:lineRule="exact"/>
              <w:ind w:left="12"/>
              <w:jc w:val="center"/>
              <w:rPr>
                <w:sz w:val="22"/>
              </w:rPr>
            </w:pPr>
            <w:r>
              <w:rPr>
                <w:w w:val="100"/>
                <w:sz w:val="22"/>
              </w:rPr>
              <w:t>X</w:t>
            </w: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rPr>
                <w:rFonts w:ascii="Times New Roman"/>
                <w:sz w:val="22"/>
              </w:rPr>
            </w:pPr>
          </w:p>
        </w:tc>
        <w:tc>
          <w:tcPr>
            <w:tcW w:w="1453" w:type="dxa"/>
          </w:tcPr>
          <w:p>
            <w:pPr>
              <w:pStyle w:val="TableParagraph"/>
              <w:spacing w:before="11"/>
              <w:rPr>
                <w:b/>
                <w:sz w:val="21"/>
              </w:rPr>
            </w:pPr>
          </w:p>
          <w:p>
            <w:pPr>
              <w:pStyle w:val="TableParagraph"/>
              <w:spacing w:line="249" w:lineRule="exact"/>
              <w:ind w:right="1"/>
              <w:jc w:val="center"/>
              <w:rPr>
                <w:sz w:val="22"/>
              </w:rPr>
            </w:pPr>
            <w:r>
              <w:rPr>
                <w:w w:val="100"/>
                <w:sz w:val="22"/>
              </w:rPr>
              <w:t>X</w:t>
            </w:r>
          </w:p>
        </w:tc>
      </w:tr>
      <w:tr>
        <w:trPr>
          <w:trHeight w:val="805" w:hRule="atLeast"/>
        </w:trPr>
        <w:tc>
          <w:tcPr>
            <w:tcW w:w="2474" w:type="dxa"/>
          </w:tcPr>
          <w:p>
            <w:pPr>
              <w:pStyle w:val="TableParagraph"/>
              <w:ind w:left="107" w:right="174"/>
              <w:rPr>
                <w:b/>
                <w:sz w:val="22"/>
              </w:rPr>
            </w:pPr>
            <w:r>
              <w:rPr>
                <w:b/>
                <w:sz w:val="22"/>
              </w:rPr>
              <w:t>DDA Staff/Family Consultation &amp; Training</w:t>
            </w:r>
          </w:p>
          <w:p>
            <w:pPr>
              <w:pStyle w:val="TableParagraph"/>
              <w:spacing w:line="249" w:lineRule="exact"/>
              <w:ind w:left="107"/>
              <w:rPr>
                <w:b/>
                <w:sz w:val="22"/>
              </w:rPr>
            </w:pPr>
            <w:r>
              <w:rPr>
                <w:b/>
                <w:sz w:val="22"/>
              </w:rPr>
              <w:t>Providers</w:t>
            </w:r>
          </w:p>
        </w:tc>
        <w:tc>
          <w:tcPr>
            <w:tcW w:w="751" w:type="dxa"/>
          </w:tcPr>
          <w:p>
            <w:pPr>
              <w:pStyle w:val="TableParagraph"/>
              <w:spacing w:line="268" w:lineRule="exact"/>
              <w:ind w:left="7"/>
              <w:jc w:val="center"/>
              <w:rPr>
                <w:sz w:val="22"/>
              </w:rPr>
            </w:pPr>
            <w:r>
              <w:rPr>
                <w:w w:val="100"/>
                <w:sz w:val="22"/>
              </w:rPr>
              <w:t>X</w:t>
            </w:r>
          </w:p>
        </w:tc>
        <w:tc>
          <w:tcPr>
            <w:tcW w:w="780" w:type="dxa"/>
          </w:tcPr>
          <w:p>
            <w:pPr>
              <w:pStyle w:val="TableParagraph"/>
              <w:spacing w:line="268" w:lineRule="exact"/>
              <w:ind w:left="7"/>
              <w:jc w:val="center"/>
              <w:rPr>
                <w:sz w:val="22"/>
              </w:rPr>
            </w:pPr>
            <w:r>
              <w:rPr>
                <w:w w:val="100"/>
                <w:sz w:val="22"/>
              </w:rPr>
              <w:t>X</w:t>
            </w:r>
          </w:p>
        </w:tc>
        <w:tc>
          <w:tcPr>
            <w:tcW w:w="720" w:type="dxa"/>
          </w:tcPr>
          <w:p>
            <w:pPr>
              <w:pStyle w:val="TableParagraph"/>
              <w:spacing w:line="268" w:lineRule="exact"/>
              <w:ind w:left="10"/>
              <w:jc w:val="center"/>
              <w:rPr>
                <w:sz w:val="22"/>
              </w:rPr>
            </w:pPr>
            <w:r>
              <w:rPr>
                <w:w w:val="100"/>
                <w:sz w:val="22"/>
              </w:rPr>
              <w:t>X</w:t>
            </w:r>
          </w:p>
        </w:tc>
        <w:tc>
          <w:tcPr>
            <w:tcW w:w="720" w:type="dxa"/>
          </w:tcPr>
          <w:p>
            <w:pPr>
              <w:pStyle w:val="TableParagraph"/>
              <w:spacing w:line="268" w:lineRule="exact"/>
              <w:ind w:left="10"/>
              <w:jc w:val="center"/>
              <w:rPr>
                <w:sz w:val="22"/>
              </w:rPr>
            </w:pPr>
            <w:r>
              <w:rPr>
                <w:w w:val="100"/>
                <w:sz w:val="22"/>
              </w:rPr>
              <w:t>X</w:t>
            </w:r>
          </w:p>
        </w:tc>
        <w:tc>
          <w:tcPr>
            <w:tcW w:w="766" w:type="dxa"/>
          </w:tcPr>
          <w:p>
            <w:pPr>
              <w:pStyle w:val="TableParagraph"/>
              <w:spacing w:line="268" w:lineRule="exact"/>
              <w:ind w:left="12"/>
              <w:jc w:val="center"/>
              <w:rPr>
                <w:sz w:val="22"/>
              </w:rPr>
            </w:pPr>
            <w:r>
              <w:rPr>
                <w:w w:val="100"/>
                <w:sz w:val="22"/>
              </w:rPr>
              <w:t>X</w:t>
            </w: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rPr>
                <w:rFonts w:ascii="Times New Roman"/>
                <w:sz w:val="22"/>
              </w:rPr>
            </w:pPr>
          </w:p>
        </w:tc>
        <w:tc>
          <w:tcPr>
            <w:tcW w:w="1453" w:type="dxa"/>
          </w:tcPr>
          <w:p>
            <w:pPr>
              <w:pStyle w:val="TableParagraph"/>
              <w:rPr>
                <w:b/>
                <w:sz w:val="22"/>
              </w:rPr>
            </w:pPr>
          </w:p>
          <w:p>
            <w:pPr>
              <w:pStyle w:val="TableParagraph"/>
              <w:spacing w:before="11"/>
              <w:rPr>
                <w:b/>
                <w:sz w:val="21"/>
              </w:rPr>
            </w:pPr>
          </w:p>
          <w:p>
            <w:pPr>
              <w:pStyle w:val="TableParagraph"/>
              <w:spacing w:line="249" w:lineRule="exact" w:before="1"/>
              <w:ind w:right="1"/>
              <w:jc w:val="center"/>
              <w:rPr>
                <w:sz w:val="22"/>
              </w:rPr>
            </w:pPr>
            <w:r>
              <w:rPr>
                <w:w w:val="100"/>
                <w:sz w:val="22"/>
              </w:rPr>
              <w:t>X</w:t>
            </w:r>
          </w:p>
        </w:tc>
      </w:tr>
      <w:tr>
        <w:trPr>
          <w:trHeight w:val="806" w:hRule="atLeast"/>
        </w:trPr>
        <w:tc>
          <w:tcPr>
            <w:tcW w:w="2474" w:type="dxa"/>
          </w:tcPr>
          <w:p>
            <w:pPr>
              <w:pStyle w:val="TableParagraph"/>
              <w:spacing w:line="268" w:lineRule="exact"/>
              <w:ind w:left="107"/>
              <w:rPr>
                <w:b/>
                <w:sz w:val="22"/>
              </w:rPr>
            </w:pPr>
            <w:r>
              <w:rPr>
                <w:b/>
                <w:sz w:val="22"/>
              </w:rPr>
              <w:t>DDA Therapeutic</w:t>
            </w:r>
          </w:p>
          <w:p>
            <w:pPr>
              <w:pStyle w:val="TableParagraph"/>
              <w:spacing w:line="270" w:lineRule="atLeast"/>
              <w:ind w:left="107" w:right="318"/>
              <w:rPr>
                <w:b/>
                <w:sz w:val="22"/>
              </w:rPr>
            </w:pPr>
            <w:r>
              <w:rPr>
                <w:b/>
                <w:sz w:val="22"/>
              </w:rPr>
              <w:t>Equipment &amp; Supplies Providers</w:t>
            </w:r>
          </w:p>
        </w:tc>
        <w:tc>
          <w:tcPr>
            <w:tcW w:w="751" w:type="dxa"/>
          </w:tcPr>
          <w:p>
            <w:pPr>
              <w:pStyle w:val="TableParagraph"/>
              <w:rPr>
                <w:rFonts w:ascii="Times New Roman"/>
                <w:sz w:val="22"/>
              </w:rPr>
            </w:pPr>
          </w:p>
        </w:tc>
        <w:tc>
          <w:tcPr>
            <w:tcW w:w="780" w:type="dxa"/>
          </w:tcPr>
          <w:p>
            <w:pPr>
              <w:pStyle w:val="TableParagraph"/>
              <w:rPr>
                <w:rFonts w:ascii="Times New Roman"/>
                <w:sz w:val="22"/>
              </w:rPr>
            </w:pPr>
          </w:p>
        </w:tc>
        <w:tc>
          <w:tcPr>
            <w:tcW w:w="720" w:type="dxa"/>
          </w:tcPr>
          <w:p>
            <w:pPr>
              <w:pStyle w:val="TableParagraph"/>
              <w:rPr>
                <w:rFonts w:ascii="Times New Roman"/>
                <w:sz w:val="22"/>
              </w:rPr>
            </w:pPr>
          </w:p>
        </w:tc>
        <w:tc>
          <w:tcPr>
            <w:tcW w:w="720" w:type="dxa"/>
          </w:tcPr>
          <w:p>
            <w:pPr>
              <w:pStyle w:val="TableParagraph"/>
              <w:spacing w:line="268" w:lineRule="exact"/>
              <w:ind w:left="10"/>
              <w:jc w:val="center"/>
              <w:rPr>
                <w:sz w:val="22"/>
              </w:rPr>
            </w:pPr>
            <w:r>
              <w:rPr>
                <w:w w:val="100"/>
                <w:sz w:val="22"/>
              </w:rPr>
              <w:t>X</w:t>
            </w:r>
          </w:p>
        </w:tc>
        <w:tc>
          <w:tcPr>
            <w:tcW w:w="766" w:type="dxa"/>
          </w:tcPr>
          <w:p>
            <w:pPr>
              <w:pStyle w:val="TableParagraph"/>
              <w:spacing w:line="268" w:lineRule="exact"/>
              <w:ind w:left="12"/>
              <w:jc w:val="center"/>
              <w:rPr>
                <w:sz w:val="22"/>
              </w:rPr>
            </w:pPr>
            <w:r>
              <w:rPr>
                <w:w w:val="100"/>
                <w:sz w:val="22"/>
              </w:rPr>
              <w:t>X</w:t>
            </w: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rPr>
                <w:rFonts w:ascii="Times New Roman"/>
                <w:sz w:val="22"/>
              </w:rPr>
            </w:pPr>
          </w:p>
        </w:tc>
        <w:tc>
          <w:tcPr>
            <w:tcW w:w="1453" w:type="dxa"/>
          </w:tcPr>
          <w:p>
            <w:pPr>
              <w:pStyle w:val="TableParagraph"/>
              <w:rPr>
                <w:b/>
                <w:sz w:val="22"/>
              </w:rPr>
            </w:pPr>
          </w:p>
          <w:p>
            <w:pPr>
              <w:pStyle w:val="TableParagraph"/>
              <w:spacing w:before="11"/>
              <w:rPr>
                <w:b/>
                <w:sz w:val="21"/>
              </w:rPr>
            </w:pPr>
          </w:p>
          <w:p>
            <w:pPr>
              <w:pStyle w:val="TableParagraph"/>
              <w:spacing w:line="249" w:lineRule="exact" w:before="1"/>
              <w:ind w:right="1"/>
              <w:jc w:val="center"/>
              <w:rPr>
                <w:sz w:val="22"/>
              </w:rPr>
            </w:pPr>
            <w:r>
              <w:rPr>
                <w:w w:val="100"/>
                <w:sz w:val="22"/>
              </w:rPr>
              <w:t>X</w:t>
            </w:r>
          </w:p>
        </w:tc>
      </w:tr>
      <w:tr>
        <w:trPr>
          <w:trHeight w:val="535" w:hRule="atLeast"/>
        </w:trPr>
        <w:tc>
          <w:tcPr>
            <w:tcW w:w="2474" w:type="dxa"/>
          </w:tcPr>
          <w:p>
            <w:pPr>
              <w:pStyle w:val="TableParagraph"/>
              <w:spacing w:line="266" w:lineRule="exact"/>
              <w:ind w:left="107"/>
              <w:rPr>
                <w:b/>
                <w:sz w:val="22"/>
              </w:rPr>
            </w:pPr>
            <w:r>
              <w:rPr>
                <w:b/>
                <w:sz w:val="22"/>
              </w:rPr>
              <w:t>DDA Specialized</w:t>
            </w:r>
          </w:p>
          <w:p>
            <w:pPr>
              <w:pStyle w:val="TableParagraph"/>
              <w:spacing w:line="249" w:lineRule="exact"/>
              <w:ind w:left="107"/>
              <w:rPr>
                <w:b/>
                <w:sz w:val="22"/>
              </w:rPr>
            </w:pPr>
            <w:r>
              <w:rPr>
                <w:b/>
                <w:sz w:val="22"/>
              </w:rPr>
              <w:t>Clothing Providers</w:t>
            </w:r>
          </w:p>
        </w:tc>
        <w:tc>
          <w:tcPr>
            <w:tcW w:w="751" w:type="dxa"/>
          </w:tcPr>
          <w:p>
            <w:pPr>
              <w:pStyle w:val="TableParagraph"/>
              <w:rPr>
                <w:rFonts w:ascii="Times New Roman"/>
                <w:sz w:val="22"/>
              </w:rPr>
            </w:pPr>
          </w:p>
        </w:tc>
        <w:tc>
          <w:tcPr>
            <w:tcW w:w="780" w:type="dxa"/>
          </w:tcPr>
          <w:p>
            <w:pPr>
              <w:pStyle w:val="TableParagraph"/>
              <w:rPr>
                <w:rFonts w:ascii="Times New Roman"/>
                <w:sz w:val="22"/>
              </w:rPr>
            </w:pPr>
          </w:p>
        </w:tc>
        <w:tc>
          <w:tcPr>
            <w:tcW w:w="720" w:type="dxa"/>
          </w:tcPr>
          <w:p>
            <w:pPr>
              <w:pStyle w:val="TableParagraph"/>
              <w:rPr>
                <w:rFonts w:ascii="Times New Roman"/>
                <w:sz w:val="22"/>
              </w:rPr>
            </w:pPr>
          </w:p>
        </w:tc>
        <w:tc>
          <w:tcPr>
            <w:tcW w:w="720" w:type="dxa"/>
          </w:tcPr>
          <w:p>
            <w:pPr>
              <w:pStyle w:val="TableParagraph"/>
              <w:spacing w:line="266" w:lineRule="exact"/>
              <w:ind w:left="10"/>
              <w:jc w:val="center"/>
              <w:rPr>
                <w:sz w:val="22"/>
              </w:rPr>
            </w:pPr>
            <w:r>
              <w:rPr>
                <w:w w:val="100"/>
                <w:sz w:val="22"/>
              </w:rPr>
              <w:t>X</w:t>
            </w:r>
          </w:p>
        </w:tc>
        <w:tc>
          <w:tcPr>
            <w:tcW w:w="766" w:type="dxa"/>
          </w:tcPr>
          <w:p>
            <w:pPr>
              <w:pStyle w:val="TableParagraph"/>
              <w:spacing w:line="266" w:lineRule="exact"/>
              <w:ind w:left="12"/>
              <w:jc w:val="center"/>
              <w:rPr>
                <w:sz w:val="22"/>
              </w:rPr>
            </w:pPr>
            <w:r>
              <w:rPr>
                <w:w w:val="100"/>
                <w:sz w:val="22"/>
              </w:rPr>
              <w:t>X</w:t>
            </w: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rPr>
                <w:rFonts w:ascii="Times New Roman"/>
                <w:sz w:val="22"/>
              </w:rPr>
            </w:pPr>
          </w:p>
        </w:tc>
        <w:tc>
          <w:tcPr>
            <w:tcW w:w="1453" w:type="dxa"/>
          </w:tcPr>
          <w:p>
            <w:pPr>
              <w:pStyle w:val="TableParagraph"/>
              <w:spacing w:before="9"/>
              <w:rPr>
                <w:b/>
                <w:sz w:val="21"/>
              </w:rPr>
            </w:pPr>
          </w:p>
          <w:p>
            <w:pPr>
              <w:pStyle w:val="TableParagraph"/>
              <w:spacing w:line="249" w:lineRule="exact" w:before="1"/>
              <w:ind w:right="1"/>
              <w:jc w:val="center"/>
              <w:rPr>
                <w:sz w:val="22"/>
              </w:rPr>
            </w:pPr>
            <w:r>
              <w:rPr>
                <w:w w:val="100"/>
                <w:sz w:val="22"/>
              </w:rPr>
              <w:t>X</w:t>
            </w:r>
          </w:p>
        </w:tc>
      </w:tr>
      <w:tr>
        <w:trPr>
          <w:trHeight w:val="537" w:hRule="atLeast"/>
        </w:trPr>
        <w:tc>
          <w:tcPr>
            <w:tcW w:w="2474" w:type="dxa"/>
          </w:tcPr>
          <w:p>
            <w:pPr>
              <w:pStyle w:val="TableParagraph"/>
              <w:spacing w:line="268" w:lineRule="exact"/>
              <w:ind w:left="107"/>
              <w:rPr>
                <w:b/>
                <w:sz w:val="22"/>
              </w:rPr>
            </w:pPr>
            <w:r>
              <w:rPr>
                <w:b/>
                <w:sz w:val="22"/>
              </w:rPr>
              <w:t>DDA Specialized</w:t>
            </w:r>
          </w:p>
          <w:p>
            <w:pPr>
              <w:pStyle w:val="TableParagraph"/>
              <w:spacing w:line="249" w:lineRule="exact"/>
              <w:ind w:left="107"/>
              <w:rPr>
                <w:b/>
                <w:sz w:val="22"/>
              </w:rPr>
            </w:pPr>
            <w:r>
              <w:rPr>
                <w:b/>
                <w:sz w:val="22"/>
              </w:rPr>
              <w:t>Nutrition Providers</w:t>
            </w:r>
          </w:p>
        </w:tc>
        <w:tc>
          <w:tcPr>
            <w:tcW w:w="751" w:type="dxa"/>
          </w:tcPr>
          <w:p>
            <w:pPr>
              <w:pStyle w:val="TableParagraph"/>
              <w:rPr>
                <w:rFonts w:ascii="Times New Roman"/>
                <w:sz w:val="22"/>
              </w:rPr>
            </w:pPr>
          </w:p>
        </w:tc>
        <w:tc>
          <w:tcPr>
            <w:tcW w:w="780" w:type="dxa"/>
          </w:tcPr>
          <w:p>
            <w:pPr>
              <w:pStyle w:val="TableParagraph"/>
              <w:rPr>
                <w:rFonts w:ascii="Times New Roman"/>
                <w:sz w:val="22"/>
              </w:rPr>
            </w:pPr>
          </w:p>
        </w:tc>
        <w:tc>
          <w:tcPr>
            <w:tcW w:w="720" w:type="dxa"/>
          </w:tcPr>
          <w:p>
            <w:pPr>
              <w:pStyle w:val="TableParagraph"/>
              <w:rPr>
                <w:rFonts w:ascii="Times New Roman"/>
                <w:sz w:val="22"/>
              </w:rPr>
            </w:pPr>
          </w:p>
        </w:tc>
        <w:tc>
          <w:tcPr>
            <w:tcW w:w="720" w:type="dxa"/>
          </w:tcPr>
          <w:p>
            <w:pPr>
              <w:pStyle w:val="TableParagraph"/>
              <w:spacing w:line="268" w:lineRule="exact"/>
              <w:ind w:left="10"/>
              <w:jc w:val="center"/>
              <w:rPr>
                <w:sz w:val="22"/>
              </w:rPr>
            </w:pPr>
            <w:r>
              <w:rPr>
                <w:w w:val="100"/>
                <w:sz w:val="22"/>
              </w:rPr>
              <w:t>X</w:t>
            </w:r>
          </w:p>
        </w:tc>
        <w:tc>
          <w:tcPr>
            <w:tcW w:w="766" w:type="dxa"/>
          </w:tcPr>
          <w:p>
            <w:pPr>
              <w:pStyle w:val="TableParagraph"/>
              <w:spacing w:line="268" w:lineRule="exact"/>
              <w:ind w:left="12"/>
              <w:jc w:val="center"/>
              <w:rPr>
                <w:sz w:val="22"/>
              </w:rPr>
            </w:pPr>
            <w:r>
              <w:rPr>
                <w:w w:val="100"/>
                <w:sz w:val="22"/>
              </w:rPr>
              <w:t>X</w:t>
            </w: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rPr>
                <w:rFonts w:ascii="Times New Roman"/>
                <w:sz w:val="22"/>
              </w:rPr>
            </w:pPr>
          </w:p>
        </w:tc>
        <w:tc>
          <w:tcPr>
            <w:tcW w:w="1453" w:type="dxa"/>
          </w:tcPr>
          <w:p>
            <w:pPr>
              <w:pStyle w:val="TableParagraph"/>
              <w:spacing w:before="11"/>
              <w:rPr>
                <w:b/>
                <w:sz w:val="21"/>
              </w:rPr>
            </w:pPr>
          </w:p>
          <w:p>
            <w:pPr>
              <w:pStyle w:val="TableParagraph"/>
              <w:spacing w:line="249" w:lineRule="exact"/>
              <w:ind w:right="1"/>
              <w:jc w:val="center"/>
              <w:rPr>
                <w:sz w:val="22"/>
              </w:rPr>
            </w:pPr>
            <w:r>
              <w:rPr>
                <w:w w:val="100"/>
                <w:sz w:val="22"/>
              </w:rPr>
              <w:t>X</w:t>
            </w:r>
          </w:p>
        </w:tc>
      </w:tr>
      <w:tr>
        <w:trPr>
          <w:trHeight w:val="537" w:hRule="atLeast"/>
        </w:trPr>
        <w:tc>
          <w:tcPr>
            <w:tcW w:w="2474" w:type="dxa"/>
          </w:tcPr>
          <w:p>
            <w:pPr>
              <w:pStyle w:val="TableParagraph"/>
              <w:spacing w:line="268" w:lineRule="exact"/>
              <w:ind w:left="107"/>
              <w:rPr>
                <w:b/>
                <w:sz w:val="22"/>
              </w:rPr>
            </w:pPr>
            <w:r>
              <w:rPr>
                <w:b/>
                <w:sz w:val="22"/>
              </w:rPr>
              <w:t>Extended State Plan</w:t>
            </w:r>
          </w:p>
          <w:p>
            <w:pPr>
              <w:pStyle w:val="TableParagraph"/>
              <w:spacing w:line="249" w:lineRule="exact"/>
              <w:ind w:left="107"/>
              <w:rPr>
                <w:b/>
                <w:sz w:val="22"/>
              </w:rPr>
            </w:pPr>
            <w:r>
              <w:rPr>
                <w:b/>
                <w:sz w:val="22"/>
              </w:rPr>
              <w:t>Service Providers</w:t>
            </w:r>
          </w:p>
        </w:tc>
        <w:tc>
          <w:tcPr>
            <w:tcW w:w="751" w:type="dxa"/>
          </w:tcPr>
          <w:p>
            <w:pPr>
              <w:pStyle w:val="TableParagraph"/>
              <w:spacing w:line="268" w:lineRule="exact"/>
              <w:ind w:left="7"/>
              <w:jc w:val="center"/>
              <w:rPr>
                <w:sz w:val="22"/>
              </w:rPr>
            </w:pPr>
            <w:r>
              <w:rPr>
                <w:w w:val="100"/>
                <w:sz w:val="22"/>
              </w:rPr>
              <w:t>X</w:t>
            </w:r>
          </w:p>
        </w:tc>
        <w:tc>
          <w:tcPr>
            <w:tcW w:w="780" w:type="dxa"/>
          </w:tcPr>
          <w:p>
            <w:pPr>
              <w:pStyle w:val="TableParagraph"/>
              <w:spacing w:line="268" w:lineRule="exact"/>
              <w:ind w:left="7"/>
              <w:jc w:val="center"/>
              <w:rPr>
                <w:sz w:val="22"/>
              </w:rPr>
            </w:pPr>
            <w:r>
              <w:rPr>
                <w:w w:val="100"/>
                <w:sz w:val="22"/>
              </w:rPr>
              <w:t>X</w:t>
            </w:r>
          </w:p>
        </w:tc>
        <w:tc>
          <w:tcPr>
            <w:tcW w:w="720" w:type="dxa"/>
          </w:tcPr>
          <w:p>
            <w:pPr>
              <w:pStyle w:val="TableParagraph"/>
              <w:spacing w:line="268" w:lineRule="exact"/>
              <w:ind w:left="10"/>
              <w:jc w:val="center"/>
              <w:rPr>
                <w:sz w:val="22"/>
              </w:rPr>
            </w:pPr>
            <w:r>
              <w:rPr>
                <w:w w:val="100"/>
                <w:sz w:val="22"/>
              </w:rPr>
              <w:t>X</w:t>
            </w:r>
          </w:p>
        </w:tc>
        <w:tc>
          <w:tcPr>
            <w:tcW w:w="720" w:type="dxa"/>
          </w:tcPr>
          <w:p>
            <w:pPr>
              <w:pStyle w:val="TableParagraph"/>
              <w:spacing w:line="268" w:lineRule="exact"/>
              <w:ind w:left="10"/>
              <w:jc w:val="center"/>
              <w:rPr>
                <w:sz w:val="22"/>
              </w:rPr>
            </w:pPr>
            <w:r>
              <w:rPr>
                <w:w w:val="100"/>
                <w:sz w:val="22"/>
              </w:rPr>
              <w:t>X</w:t>
            </w:r>
          </w:p>
        </w:tc>
        <w:tc>
          <w:tcPr>
            <w:tcW w:w="766" w:type="dxa"/>
          </w:tcPr>
          <w:p>
            <w:pPr>
              <w:pStyle w:val="TableParagraph"/>
              <w:spacing w:line="268" w:lineRule="exact"/>
              <w:ind w:left="12"/>
              <w:jc w:val="center"/>
              <w:rPr>
                <w:sz w:val="22"/>
              </w:rPr>
            </w:pPr>
            <w:r>
              <w:rPr>
                <w:w w:val="100"/>
                <w:sz w:val="22"/>
              </w:rPr>
              <w:t>X</w:t>
            </w:r>
          </w:p>
        </w:tc>
        <w:tc>
          <w:tcPr>
            <w:tcW w:w="951" w:type="dxa"/>
          </w:tcPr>
          <w:p>
            <w:pPr>
              <w:pStyle w:val="TableParagraph"/>
              <w:rPr>
                <w:rFonts w:ascii="Times New Roman"/>
                <w:sz w:val="22"/>
              </w:rPr>
            </w:pPr>
          </w:p>
        </w:tc>
        <w:tc>
          <w:tcPr>
            <w:tcW w:w="1395" w:type="dxa"/>
          </w:tcPr>
          <w:p>
            <w:pPr>
              <w:pStyle w:val="TableParagraph"/>
              <w:rPr>
                <w:rFonts w:ascii="Times New Roman"/>
                <w:sz w:val="22"/>
              </w:rPr>
            </w:pPr>
          </w:p>
        </w:tc>
        <w:tc>
          <w:tcPr>
            <w:tcW w:w="1417" w:type="dxa"/>
          </w:tcPr>
          <w:p>
            <w:pPr>
              <w:pStyle w:val="TableParagraph"/>
              <w:rPr>
                <w:rFonts w:ascii="Times New Roman"/>
                <w:sz w:val="22"/>
              </w:rPr>
            </w:pPr>
          </w:p>
        </w:tc>
        <w:tc>
          <w:tcPr>
            <w:tcW w:w="1189" w:type="dxa"/>
          </w:tcPr>
          <w:p>
            <w:pPr>
              <w:pStyle w:val="TableParagraph"/>
              <w:rPr>
                <w:rFonts w:ascii="Times New Roman"/>
                <w:sz w:val="22"/>
              </w:rPr>
            </w:pPr>
          </w:p>
        </w:tc>
        <w:tc>
          <w:tcPr>
            <w:tcW w:w="1160" w:type="dxa"/>
          </w:tcPr>
          <w:p>
            <w:pPr>
              <w:pStyle w:val="TableParagraph"/>
              <w:rPr>
                <w:rFonts w:ascii="Times New Roman"/>
                <w:sz w:val="22"/>
              </w:rPr>
            </w:pPr>
          </w:p>
        </w:tc>
        <w:tc>
          <w:tcPr>
            <w:tcW w:w="1453" w:type="dxa"/>
          </w:tcPr>
          <w:p>
            <w:pPr>
              <w:pStyle w:val="TableParagraph"/>
              <w:spacing w:before="11"/>
              <w:rPr>
                <w:b/>
                <w:sz w:val="21"/>
              </w:rPr>
            </w:pPr>
          </w:p>
          <w:p>
            <w:pPr>
              <w:pStyle w:val="TableParagraph"/>
              <w:spacing w:line="249" w:lineRule="exact"/>
              <w:ind w:right="1"/>
              <w:jc w:val="center"/>
              <w:rPr>
                <w:sz w:val="22"/>
              </w:rPr>
            </w:pPr>
            <w:r>
              <w:rPr>
                <w:w w:val="100"/>
                <w:sz w:val="22"/>
              </w:rPr>
              <w:t>X</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8"/>
        </w:rPr>
      </w:pPr>
      <w:r>
        <w:rPr/>
        <w:pict>
          <v:shape style="position:absolute;margin-left:70.559998pt;margin-top:13.651844pt;width:650.9pt;height:.1pt;mso-position-horizontal-relative:page;mso-position-vertical-relative:paragraph;z-index:-251209728;mso-wrap-distance-left:0;mso-wrap-distance-right:0" coordorigin="1411,273" coordsize="13018,0" path="m1411,273l14429,273e" filled="false" stroked="true" strokeweight=".481pt" strokecolor="#d9d9d9">
            <v:path arrowok="t"/>
            <v:stroke dashstyle="solid"/>
            <w10:wrap type="topAndBottom"/>
          </v:shape>
        </w:pict>
      </w:r>
    </w:p>
    <w:p>
      <w:pPr>
        <w:spacing w:after="0"/>
        <w:rPr>
          <w:sz w:val="1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4"/>
        <w:rPr>
          <w:b/>
          <w:sz w:val="12"/>
        </w:rPr>
      </w:pPr>
    </w:p>
    <w:p>
      <w:pPr>
        <w:pStyle w:val="Heading2"/>
        <w:ind w:left="2921" w:right="2957"/>
      </w:pPr>
      <w:bookmarkStart w:name="DDA Policy 4.07" w:id="233"/>
      <w:bookmarkEnd w:id="233"/>
      <w:r>
        <w:rPr>
          <w:b w:val="0"/>
        </w:rPr>
      </w:r>
      <w:bookmarkStart w:name="_bookmark67" w:id="234"/>
      <w:bookmarkEnd w:id="234"/>
      <w:r>
        <w:rPr>
          <w:b w:val="0"/>
        </w:rPr>
      </w:r>
      <w:r>
        <w:rPr/>
        <w:t>DDA Policy 4.07</w:t>
      </w:r>
    </w:p>
    <w:p>
      <w:pPr>
        <w:pStyle w:val="BodyText"/>
        <w:rPr>
          <w:b/>
          <w:sz w:val="17"/>
        </w:rPr>
      </w:pPr>
      <w:r>
        <w:rPr/>
        <w:drawing>
          <wp:anchor distT="0" distB="0" distL="0" distR="0" allowOverlap="1" layoutInCell="1" locked="0" behindDoc="0" simplePos="0" relativeHeight="439">
            <wp:simplePos x="0" y="0"/>
            <wp:positionH relativeFrom="page">
              <wp:posOffset>2793235</wp:posOffset>
            </wp:positionH>
            <wp:positionV relativeFrom="paragraph">
              <wp:posOffset>157112</wp:posOffset>
            </wp:positionV>
            <wp:extent cx="4606099" cy="5176647"/>
            <wp:effectExtent l="0" t="0" r="0" b="0"/>
            <wp:wrapTopAndBottom/>
            <wp:docPr id="49" name="image44.jpeg"/>
            <wp:cNvGraphicFramePr>
              <a:graphicFrameLocks noChangeAspect="1"/>
            </wp:cNvGraphicFramePr>
            <a:graphic>
              <a:graphicData uri="http://schemas.openxmlformats.org/drawingml/2006/picture">
                <pic:pic>
                  <pic:nvPicPr>
                    <pic:cNvPr id="50" name="image44.jpeg"/>
                    <pic:cNvPicPr/>
                  </pic:nvPicPr>
                  <pic:blipFill>
                    <a:blip r:embed="rId207" cstate="print"/>
                    <a:stretch>
                      <a:fillRect/>
                    </a:stretch>
                  </pic:blipFill>
                  <pic:spPr>
                    <a:xfrm>
                      <a:off x="0" y="0"/>
                      <a:ext cx="4606099" cy="5176647"/>
                    </a:xfrm>
                    <a:prstGeom prst="rect">
                      <a:avLst/>
                    </a:prstGeom>
                  </pic:spPr>
                </pic:pic>
              </a:graphicData>
            </a:graphic>
          </wp:anchor>
        </w:drawing>
      </w:r>
    </w:p>
    <w:p>
      <w:pPr>
        <w:pStyle w:val="BodyText"/>
        <w:rPr>
          <w:b/>
          <w:sz w:val="20"/>
        </w:rPr>
      </w:pPr>
    </w:p>
    <w:p>
      <w:pPr>
        <w:pStyle w:val="BodyText"/>
        <w:spacing w:before="1"/>
        <w:rPr>
          <w:b/>
          <w:sz w:val="18"/>
        </w:rPr>
      </w:pPr>
      <w:r>
        <w:rPr/>
        <w:pict>
          <v:shape style="position:absolute;margin-left:70.559998pt;margin-top:13.275519pt;width:650.9pt;height:.1pt;mso-position-horizontal-relative:page;mso-position-vertical-relative:paragraph;z-index:-251207680;mso-wrap-distance-left:0;mso-wrap-distance-right:0" coordorigin="1411,266" coordsize="13018,0" path="m1411,266l14429,266e" filled="false" stroked="true" strokeweight=".481pt" strokecolor="#d9d9d9">
            <v:path arrowok="t"/>
            <v:stroke dashstyle="solid"/>
            <w10:wrap type="topAndBottom"/>
          </v:shape>
        </w:pict>
      </w:r>
    </w:p>
    <w:p>
      <w:pPr>
        <w:spacing w:after="0"/>
        <w:rPr>
          <w:sz w:val="18"/>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9"/>
        </w:rPr>
      </w:pPr>
      <w:r>
        <w:rPr/>
        <w:drawing>
          <wp:anchor distT="0" distB="0" distL="0" distR="0" allowOverlap="1" layoutInCell="1" locked="0" behindDoc="0" simplePos="0" relativeHeight="441">
            <wp:simplePos x="0" y="0"/>
            <wp:positionH relativeFrom="page">
              <wp:posOffset>2742144</wp:posOffset>
            </wp:positionH>
            <wp:positionV relativeFrom="paragraph">
              <wp:posOffset>250048</wp:posOffset>
            </wp:positionV>
            <wp:extent cx="4820050" cy="5610701"/>
            <wp:effectExtent l="0" t="0" r="0" b="0"/>
            <wp:wrapTopAndBottom/>
            <wp:docPr id="51" name="image45.png"/>
            <wp:cNvGraphicFramePr>
              <a:graphicFrameLocks noChangeAspect="1"/>
            </wp:cNvGraphicFramePr>
            <a:graphic>
              <a:graphicData uri="http://schemas.openxmlformats.org/drawingml/2006/picture">
                <pic:pic>
                  <pic:nvPicPr>
                    <pic:cNvPr id="52" name="image45.png"/>
                    <pic:cNvPicPr/>
                  </pic:nvPicPr>
                  <pic:blipFill>
                    <a:blip r:embed="rId209" cstate="print"/>
                    <a:stretch>
                      <a:fillRect/>
                    </a:stretch>
                  </pic:blipFill>
                  <pic:spPr>
                    <a:xfrm>
                      <a:off x="0" y="0"/>
                      <a:ext cx="4820050" cy="5610701"/>
                    </a:xfrm>
                    <a:prstGeom prst="rect">
                      <a:avLst/>
                    </a:prstGeom>
                  </pic:spPr>
                </pic:pic>
              </a:graphicData>
            </a:graphic>
          </wp:anchor>
        </w:drawing>
      </w:r>
      <w:r>
        <w:rPr/>
        <w:pict>
          <v:shape style="position:absolute;margin-left:70.559998pt;margin-top:471.68631pt;width:650.9pt;height:.1pt;mso-position-horizontal-relative:page;mso-position-vertical-relative:paragraph;z-index:-251205632;mso-wrap-distance-left:0;mso-wrap-distance-right:0" coordorigin="1411,9434" coordsize="13018,0" path="m1411,9434l14429,9434e" filled="false" stroked="true" strokeweight=".481pt" strokecolor="#d9d9d9">
            <v:path arrowok="t"/>
            <v:stroke dashstyle="solid"/>
            <w10:wrap type="topAndBottom"/>
          </v:shape>
        </w:pict>
      </w:r>
    </w:p>
    <w:p>
      <w:pPr>
        <w:pStyle w:val="BodyText"/>
        <w:spacing w:before="9"/>
        <w:rPr>
          <w:b/>
          <w:sz w:val="10"/>
        </w:rPr>
      </w:pPr>
    </w:p>
    <w:p>
      <w:pPr>
        <w:spacing w:after="0"/>
        <w:rPr>
          <w:sz w:val="10"/>
        </w:rPr>
        <w:sectPr>
          <w:footerReference w:type="default" r:id="rId208"/>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7"/>
        </w:rPr>
      </w:pPr>
      <w:r>
        <w:rPr/>
        <w:drawing>
          <wp:anchor distT="0" distB="0" distL="0" distR="0" allowOverlap="1" layoutInCell="1" locked="0" behindDoc="0" simplePos="0" relativeHeight="443">
            <wp:simplePos x="0" y="0"/>
            <wp:positionH relativeFrom="page">
              <wp:posOffset>2632882</wp:posOffset>
            </wp:positionH>
            <wp:positionV relativeFrom="paragraph">
              <wp:posOffset>234197</wp:posOffset>
            </wp:positionV>
            <wp:extent cx="4935695" cy="5610701"/>
            <wp:effectExtent l="0" t="0" r="0" b="0"/>
            <wp:wrapTopAndBottom/>
            <wp:docPr id="53" name="image46.png"/>
            <wp:cNvGraphicFramePr>
              <a:graphicFrameLocks noChangeAspect="1"/>
            </wp:cNvGraphicFramePr>
            <a:graphic>
              <a:graphicData uri="http://schemas.openxmlformats.org/drawingml/2006/picture">
                <pic:pic>
                  <pic:nvPicPr>
                    <pic:cNvPr id="54" name="image46.png"/>
                    <pic:cNvPicPr/>
                  </pic:nvPicPr>
                  <pic:blipFill>
                    <a:blip r:embed="rId211" cstate="print"/>
                    <a:stretch>
                      <a:fillRect/>
                    </a:stretch>
                  </pic:blipFill>
                  <pic:spPr>
                    <a:xfrm>
                      <a:off x="0" y="0"/>
                      <a:ext cx="4935695" cy="5610701"/>
                    </a:xfrm>
                    <a:prstGeom prst="rect">
                      <a:avLst/>
                    </a:prstGeom>
                  </pic:spPr>
                </pic:pic>
              </a:graphicData>
            </a:graphic>
          </wp:anchor>
        </w:drawing>
      </w:r>
      <w:r>
        <w:rPr/>
        <w:pict>
          <v:shape style="position:absolute;margin-left:70.559998pt;margin-top:471.68631pt;width:650.9pt;height:.1pt;mso-position-horizontal-relative:page;mso-position-vertical-relative:paragraph;z-index:-251203584;mso-wrap-distance-left:0;mso-wrap-distance-right:0" coordorigin="1411,9434" coordsize="13018,0" path="m1411,9434l14429,9434e" filled="false" stroked="true" strokeweight=".481pt" strokecolor="#d9d9d9">
            <v:path arrowok="t"/>
            <v:stroke dashstyle="solid"/>
            <w10:wrap type="topAndBottom"/>
          </v:shape>
        </w:pict>
      </w:r>
    </w:p>
    <w:p>
      <w:pPr>
        <w:pStyle w:val="BodyText"/>
        <w:spacing w:before="9"/>
        <w:rPr>
          <w:b/>
          <w:sz w:val="12"/>
        </w:rPr>
      </w:pPr>
    </w:p>
    <w:p>
      <w:pPr>
        <w:spacing w:after="0"/>
        <w:rPr>
          <w:sz w:val="12"/>
        </w:rPr>
        <w:sectPr>
          <w:footerReference w:type="default" r:id="rId210"/>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251"/>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5"/>
        </w:rPr>
      </w:pPr>
      <w:r>
        <w:rPr/>
        <w:drawing>
          <wp:anchor distT="0" distB="0" distL="0" distR="0" allowOverlap="1" layoutInCell="1" locked="0" behindDoc="0" simplePos="0" relativeHeight="445">
            <wp:simplePos x="0" y="0"/>
            <wp:positionH relativeFrom="page">
              <wp:posOffset>2768155</wp:posOffset>
            </wp:positionH>
            <wp:positionV relativeFrom="paragraph">
              <wp:posOffset>218782</wp:posOffset>
            </wp:positionV>
            <wp:extent cx="4496102" cy="5676709"/>
            <wp:effectExtent l="0" t="0" r="0" b="0"/>
            <wp:wrapTopAndBottom/>
            <wp:docPr id="55" name="image47.png"/>
            <wp:cNvGraphicFramePr>
              <a:graphicFrameLocks noChangeAspect="1"/>
            </wp:cNvGraphicFramePr>
            <a:graphic>
              <a:graphicData uri="http://schemas.openxmlformats.org/drawingml/2006/picture">
                <pic:pic>
                  <pic:nvPicPr>
                    <pic:cNvPr id="56" name="image47.png"/>
                    <pic:cNvPicPr/>
                  </pic:nvPicPr>
                  <pic:blipFill>
                    <a:blip r:embed="rId212" cstate="print"/>
                    <a:stretch>
                      <a:fillRect/>
                    </a:stretch>
                  </pic:blipFill>
                  <pic:spPr>
                    <a:xfrm>
                      <a:off x="0" y="0"/>
                      <a:ext cx="4496102" cy="5676709"/>
                    </a:xfrm>
                    <a:prstGeom prst="rect">
                      <a:avLst/>
                    </a:prstGeom>
                  </pic:spPr>
                </pic:pic>
              </a:graphicData>
            </a:graphic>
          </wp:anchor>
        </w:drawing>
      </w:r>
      <w:r>
        <w:rPr/>
        <w:pict>
          <v:shape style="position:absolute;margin-left:70.559998pt;margin-top:471.68631pt;width:650.9pt;height:.1pt;mso-position-horizontal-relative:page;mso-position-vertical-relative:paragraph;z-index:-251201536;mso-wrap-distance-left:0;mso-wrap-distance-right:0" coordorigin="1411,9434" coordsize="13018,0" path="m1411,9434l14429,9434e" filled="false" stroked="true" strokeweight=".481pt" strokecolor="#d9d9d9">
            <v:path arrowok="t"/>
            <v:stroke dashstyle="solid"/>
            <w10:wrap type="topAndBottom"/>
          </v:shape>
        </w:pict>
      </w:r>
    </w:p>
    <w:p>
      <w:pPr>
        <w:pStyle w:val="BodyText"/>
        <w:spacing w:before="3"/>
        <w:rPr>
          <w:b/>
          <w:sz w:val="6"/>
        </w:rPr>
      </w:pPr>
    </w:p>
    <w:p>
      <w:pPr>
        <w:spacing w:after="0"/>
        <w:rPr>
          <w:sz w:val="6"/>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11"/>
        <w:rPr>
          <w:b/>
          <w:sz w:val="28"/>
        </w:rPr>
      </w:pPr>
      <w:r>
        <w:rPr/>
        <w:drawing>
          <wp:anchor distT="0" distB="0" distL="0" distR="0" allowOverlap="1" layoutInCell="1" locked="0" behindDoc="0" simplePos="0" relativeHeight="447">
            <wp:simplePos x="0" y="0"/>
            <wp:positionH relativeFrom="page">
              <wp:posOffset>2921177</wp:posOffset>
            </wp:positionH>
            <wp:positionV relativeFrom="paragraph">
              <wp:posOffset>249041</wp:posOffset>
            </wp:positionV>
            <wp:extent cx="4233592" cy="5544693"/>
            <wp:effectExtent l="0" t="0" r="0" b="0"/>
            <wp:wrapTopAndBottom/>
            <wp:docPr id="57" name="image48.png"/>
            <wp:cNvGraphicFramePr>
              <a:graphicFrameLocks noChangeAspect="1"/>
            </wp:cNvGraphicFramePr>
            <a:graphic>
              <a:graphicData uri="http://schemas.openxmlformats.org/drawingml/2006/picture">
                <pic:pic>
                  <pic:nvPicPr>
                    <pic:cNvPr id="58" name="image48.png"/>
                    <pic:cNvPicPr/>
                  </pic:nvPicPr>
                  <pic:blipFill>
                    <a:blip r:embed="rId213" cstate="print"/>
                    <a:stretch>
                      <a:fillRect/>
                    </a:stretch>
                  </pic:blipFill>
                  <pic:spPr>
                    <a:xfrm>
                      <a:off x="0" y="0"/>
                      <a:ext cx="4233592" cy="5544693"/>
                    </a:xfrm>
                    <a:prstGeom prst="rect">
                      <a:avLst/>
                    </a:prstGeom>
                  </pic:spPr>
                </pic:pic>
              </a:graphicData>
            </a:graphic>
          </wp:anchor>
        </w:drawing>
      </w:r>
      <w:r>
        <w:rPr/>
        <w:pict>
          <v:shape style="position:absolute;margin-left:70.559998pt;margin-top:471.68631pt;width:650.9pt;height:.1pt;mso-position-horizontal-relative:page;mso-position-vertical-relative:paragraph;z-index:-251199488;mso-wrap-distance-left:0;mso-wrap-distance-right:0" coordorigin="1411,9434" coordsize="13018,0" path="m1411,9434l14429,9434e" filled="false" stroked="true" strokeweight=".481pt" strokecolor="#d9d9d9">
            <v:path arrowok="t"/>
            <v:stroke dashstyle="solid"/>
            <w10:wrap type="topAndBottom"/>
          </v:shape>
        </w:pict>
      </w:r>
    </w:p>
    <w:p>
      <w:pPr>
        <w:pStyle w:val="BodyText"/>
        <w:spacing w:before="4"/>
        <w:rPr>
          <w:b/>
          <w:sz w:val="19"/>
        </w:rPr>
      </w:pPr>
    </w:p>
    <w:p>
      <w:pPr>
        <w:spacing w:after="0"/>
        <w:rPr>
          <w:sz w:val="19"/>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group style="position:absolute;margin-left:70.559998pt;margin-top:86.400002pt;width:650.9pt;height:467.05pt;mso-position-horizontal-relative:page;mso-position-vertical-relative:page;z-index:252118016" coordorigin="1411,1728" coordsize="13018,9341">
            <v:line style="position:absolute" from="1411,10958" to="14429,10958" stroked="true" strokeweight=".481pt" strokecolor="#d9d9d9">
              <v:stroke dashstyle="solid"/>
            </v:line>
            <v:shape style="position:absolute;left:4013;top:1728;width:7813;height:9341" type="#_x0000_t75" stroked="false">
              <v:imagedata r:id="rId214" o:title=""/>
            </v:shape>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group style="position:absolute;margin-left:70.559998pt;margin-top:86.400002pt;width:650.9pt;height:470.8pt;mso-position-horizontal-relative:page;mso-position-vertical-relative:page;z-index:252119040" coordorigin="1411,1728" coordsize="13018,9416">
            <v:line style="position:absolute" from="1411,10958" to="14429,10958" stroked="true" strokeweight=".481pt" strokecolor="#d9d9d9">
              <v:stroke dashstyle="solid"/>
            </v:line>
            <v:shape style="position:absolute;left:4120;top:1728;width:7599;height:9416" type="#_x0000_t75" stroked="false">
              <v:imagedata r:id="rId215" o:title=""/>
            </v:shape>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0"/>
        </w:rPr>
      </w:pPr>
    </w:p>
    <w:p>
      <w:pPr>
        <w:pStyle w:val="BodyText"/>
        <w:spacing w:before="4"/>
        <w:rPr>
          <w:b/>
          <w:sz w:val="14"/>
        </w:rPr>
      </w:pPr>
      <w:r>
        <w:rPr/>
        <w:drawing>
          <wp:anchor distT="0" distB="0" distL="0" distR="0" allowOverlap="1" layoutInCell="1" locked="0" behindDoc="0" simplePos="0" relativeHeight="451">
            <wp:simplePos x="0" y="0"/>
            <wp:positionH relativeFrom="page">
              <wp:posOffset>2678374</wp:posOffset>
            </wp:positionH>
            <wp:positionV relativeFrom="paragraph">
              <wp:posOffset>135965</wp:posOffset>
            </wp:positionV>
            <wp:extent cx="4691164" cy="5610701"/>
            <wp:effectExtent l="0" t="0" r="0" b="0"/>
            <wp:wrapTopAndBottom/>
            <wp:docPr id="59" name="image51.png"/>
            <wp:cNvGraphicFramePr>
              <a:graphicFrameLocks noChangeAspect="1"/>
            </wp:cNvGraphicFramePr>
            <a:graphic>
              <a:graphicData uri="http://schemas.openxmlformats.org/drawingml/2006/picture">
                <pic:pic>
                  <pic:nvPicPr>
                    <pic:cNvPr id="60" name="image51.png"/>
                    <pic:cNvPicPr/>
                  </pic:nvPicPr>
                  <pic:blipFill>
                    <a:blip r:embed="rId216" cstate="print"/>
                    <a:stretch>
                      <a:fillRect/>
                    </a:stretch>
                  </pic:blipFill>
                  <pic:spPr>
                    <a:xfrm>
                      <a:off x="0" y="0"/>
                      <a:ext cx="4691164" cy="5610701"/>
                    </a:xfrm>
                    <a:prstGeom prst="rect">
                      <a:avLst/>
                    </a:prstGeom>
                  </pic:spPr>
                </pic:pic>
              </a:graphicData>
            </a:graphic>
          </wp:anchor>
        </w:drawing>
      </w:r>
      <w:r>
        <w:rPr/>
        <w:pict>
          <v:shape style="position:absolute;margin-left:70.559998pt;margin-top:459.479279pt;width:650.9pt;height:.1pt;mso-position-horizontal-relative:page;mso-position-vertical-relative:paragraph;z-index:-251195392;mso-wrap-distance-left:0;mso-wrap-distance-right:0" coordorigin="1411,9190" coordsize="13018,0" path="m1411,9190l14429,9190e" filled="false" stroked="true" strokeweight=".481pt" strokecolor="#d9d9d9">
            <v:path arrowok="t"/>
            <v:stroke dashstyle="solid"/>
            <w10:wrap type="topAndBottom"/>
          </v:shape>
        </w:pict>
      </w:r>
    </w:p>
    <w:p>
      <w:pPr>
        <w:pStyle w:val="BodyText"/>
        <w:spacing w:before="5"/>
        <w:rPr>
          <w:b/>
          <w:sz w:val="5"/>
        </w:rPr>
      </w:pPr>
    </w:p>
    <w:p>
      <w:pPr>
        <w:spacing w:after="0"/>
        <w:rPr>
          <w:sz w:val="5"/>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0"/>
        </w:rPr>
      </w:pPr>
    </w:p>
    <w:p>
      <w:pPr>
        <w:pStyle w:val="BodyText"/>
        <w:spacing w:before="1"/>
        <w:rPr>
          <w:b/>
          <w:sz w:val="12"/>
        </w:rPr>
      </w:pPr>
      <w:r>
        <w:rPr/>
        <w:drawing>
          <wp:anchor distT="0" distB="0" distL="0" distR="0" allowOverlap="1" layoutInCell="1" locked="0" behindDoc="0" simplePos="0" relativeHeight="453">
            <wp:simplePos x="0" y="0"/>
            <wp:positionH relativeFrom="page">
              <wp:posOffset>2742906</wp:posOffset>
            </wp:positionH>
            <wp:positionV relativeFrom="paragraph">
              <wp:posOffset>118973</wp:posOffset>
            </wp:positionV>
            <wp:extent cx="4466186" cy="5610701"/>
            <wp:effectExtent l="0" t="0" r="0" b="0"/>
            <wp:wrapTopAndBottom/>
            <wp:docPr id="61" name="image52.png"/>
            <wp:cNvGraphicFramePr>
              <a:graphicFrameLocks noChangeAspect="1"/>
            </wp:cNvGraphicFramePr>
            <a:graphic>
              <a:graphicData uri="http://schemas.openxmlformats.org/drawingml/2006/picture">
                <pic:pic>
                  <pic:nvPicPr>
                    <pic:cNvPr id="62" name="image52.png"/>
                    <pic:cNvPicPr/>
                  </pic:nvPicPr>
                  <pic:blipFill>
                    <a:blip r:embed="rId217" cstate="print"/>
                    <a:stretch>
                      <a:fillRect/>
                    </a:stretch>
                  </pic:blipFill>
                  <pic:spPr>
                    <a:xfrm>
                      <a:off x="0" y="0"/>
                      <a:ext cx="4466186" cy="5610701"/>
                    </a:xfrm>
                    <a:prstGeom prst="rect">
                      <a:avLst/>
                    </a:prstGeom>
                  </pic:spPr>
                </pic:pic>
              </a:graphicData>
            </a:graphic>
          </wp:anchor>
        </w:drawing>
      </w:r>
      <w:r>
        <w:rPr/>
        <w:pict>
          <v:shape style="position:absolute;margin-left:70.559998pt;margin-top:459.479279pt;width:650.9pt;height:.1pt;mso-position-horizontal-relative:page;mso-position-vertical-relative:paragraph;z-index:-251193344;mso-wrap-distance-left:0;mso-wrap-distance-right:0" coordorigin="1411,9190" coordsize="13018,0" path="m1411,9190l14429,9190e" filled="false" stroked="true" strokeweight=".481pt" strokecolor="#d9d9d9">
            <v:path arrowok="t"/>
            <v:stroke dashstyle="solid"/>
            <w10:wrap type="topAndBottom"/>
          </v:shape>
        </w:pict>
      </w:r>
    </w:p>
    <w:p>
      <w:pPr>
        <w:pStyle w:val="BodyText"/>
        <w:spacing w:before="8"/>
        <w:rPr>
          <w:b/>
          <w:sz w:val="7"/>
        </w:rPr>
      </w:pPr>
    </w:p>
    <w:p>
      <w:pPr>
        <w:spacing w:after="0"/>
        <w:rPr>
          <w:sz w:val="7"/>
        </w:rPr>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group style="position:absolute;margin-left:70.559998pt;margin-top:86.400002pt;width:650.9pt;height:467.65pt;mso-position-horizontal-relative:page;mso-position-vertical-relative:page;z-index:252124160" coordorigin="1411,1728" coordsize="13018,9353">
            <v:line style="position:absolute" from="1411,10958" to="14429,10958" stroked="true" strokeweight=".481pt" strokecolor="#d9d9d9">
              <v:stroke dashstyle="solid"/>
            </v:line>
            <v:shape style="position:absolute;left:3683;top:1728;width:8473;height:9353" type="#_x0000_t75" stroked="false">
              <v:imagedata r:id="rId218" o:title=""/>
            </v:shape>
            <w10:wrap type="none"/>
          </v:group>
        </w:pict>
      </w:r>
      <w:r>
        <w:rPr/>
        <w:t>Washington State</w:t>
      </w:r>
    </w:p>
    <w:p>
      <w:pPr>
        <w:pStyle w:val="Heading8"/>
      </w:pPr>
      <w:r>
        <w:rPr/>
        <w:t>Revised Transition Plan for New HCBS Rules</w:t>
      </w:r>
    </w:p>
    <w:p>
      <w:pPr>
        <w:pStyle w:val="Heading8"/>
      </w:pPr>
      <w:r>
        <w:rPr/>
        <w:t>To be Submitted to CMS in May 2017—Posted for Public Comment on March 15, 2017</w:t>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pict>
          <v:group style="position:absolute;margin-left:70.559998pt;margin-top:23.562292pt;width:650.9pt;height:465.15pt;mso-position-horizontal-relative:page;mso-position-vertical-relative:paragraph;z-index:252125184" coordorigin="1411,471" coordsize="13018,9303">
            <v:line style="position:absolute" from="1411,9702" to="14429,9702" stroked="true" strokeweight=".481pt" strokecolor="#d9d9d9">
              <v:stroke dashstyle="solid"/>
            </v:line>
            <v:shape style="position:absolute;left:3254;top:471;width:9331;height:9303" type="#_x0000_t75" stroked="false">
              <v:imagedata r:id="rId219" o:title=""/>
            </v:shape>
            <w10:wrap type="none"/>
          </v:group>
        </w:pict>
      </w:r>
      <w:r>
        <w:rPr/>
        <w:t>To be Submitted to CMS in May 2017—Posted for Public Comment on March 15, 2017</w:t>
      </w:r>
    </w:p>
    <w:p>
      <w:pPr>
        <w:spacing w:after="0"/>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4"/>
        <w:rPr>
          <w:b/>
          <w:sz w:val="12"/>
        </w:rPr>
      </w:pPr>
    </w:p>
    <w:p>
      <w:pPr>
        <w:spacing w:after="0"/>
        <w:rPr>
          <w:sz w:val="12"/>
        </w:rPr>
        <w:sectPr>
          <w:footerReference w:type="default" r:id="rId220"/>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BodyText"/>
        <w:spacing w:before="11"/>
        <w:rPr>
          <w:b/>
          <w:sz w:val="37"/>
        </w:rPr>
      </w:pPr>
    </w:p>
    <w:p>
      <w:pPr>
        <w:spacing w:before="0"/>
        <w:ind w:left="1060" w:right="0" w:firstLine="0"/>
        <w:jc w:val="left"/>
        <w:rPr>
          <w:rFonts w:ascii="Times New Roman"/>
          <w:b/>
          <w:sz w:val="27"/>
        </w:rPr>
      </w:pPr>
      <w:bookmarkStart w:name="Client Rights WAC Revision Proposal  upd" w:id="235"/>
      <w:bookmarkEnd w:id="235"/>
      <w:r>
        <w:rPr/>
      </w:r>
      <w:bookmarkStart w:name="WAC 388-823-1095" w:id="236"/>
      <w:bookmarkEnd w:id="236"/>
      <w:r>
        <w:rPr/>
      </w:r>
      <w:bookmarkStart w:name="_bookmark68" w:id="237"/>
      <w:bookmarkEnd w:id="237"/>
      <w:r>
        <w:rPr/>
      </w:r>
      <w:r>
        <w:rPr>
          <w:rFonts w:ascii="Times New Roman"/>
          <w:b/>
          <w:sz w:val="27"/>
        </w:rPr>
        <w:t>WAC 388-823-1095</w:t>
      </w:r>
    </w:p>
    <w:p>
      <w:pPr>
        <w:pStyle w:val="Heading2"/>
        <w:jc w:val="left"/>
      </w:pPr>
      <w:r>
        <w:rPr>
          <w:b w:val="0"/>
        </w:rPr>
        <w:br w:type="column"/>
      </w:r>
      <w:r>
        <w:rPr/>
        <w:t>Client Rights WAC Revision Proposal updated 10-18-16</w:t>
      </w:r>
    </w:p>
    <w:p>
      <w:pPr>
        <w:spacing w:after="0"/>
        <w:jc w:val="left"/>
        <w:sectPr>
          <w:type w:val="continuous"/>
          <w:pgSz w:w="15840" w:h="12240" w:orient="landscape"/>
          <w:pgMar w:top="1140" w:bottom="280" w:left="380" w:right="340"/>
          <w:pgBorders w:offsetFrom="page">
            <w:top w:val="single" w:color="000000" w:space="24" w:sz="12"/>
            <w:left w:val="single" w:color="000000" w:space="24" w:sz="12"/>
            <w:bottom w:val="single" w:color="000000" w:space="24" w:sz="12"/>
            <w:right w:val="single" w:color="000000" w:space="24" w:sz="12"/>
          </w:pgBorders>
          <w:cols w:num="2" w:equalWidth="0">
            <w:col w:w="3360" w:space="374"/>
            <w:col w:w="11386"/>
          </w:cols>
        </w:sectPr>
      </w:pPr>
    </w:p>
    <w:p>
      <w:pPr>
        <w:spacing w:before="151"/>
        <w:ind w:left="1060" w:right="0" w:firstLine="0"/>
        <w:jc w:val="left"/>
        <w:rPr>
          <w:rFonts w:ascii="Times New Roman"/>
          <w:b/>
          <w:sz w:val="27"/>
        </w:rPr>
      </w:pPr>
      <w:bookmarkStart w:name="What are my rights as a DDA client?" w:id="238"/>
      <w:bookmarkEnd w:id="238"/>
      <w:r>
        <w:rPr/>
      </w:r>
      <w:r>
        <w:rPr>
          <w:rFonts w:ascii="Times New Roman"/>
          <w:b/>
          <w:sz w:val="27"/>
        </w:rPr>
        <w:t>What are my rights as a DDA client?</w:t>
      </w:r>
    </w:p>
    <w:p>
      <w:pPr>
        <w:pStyle w:val="Heading4"/>
        <w:numPr>
          <w:ilvl w:val="1"/>
          <w:numId w:val="52"/>
        </w:numPr>
        <w:tabs>
          <w:tab w:pos="1759" w:val="left" w:leader="none"/>
        </w:tabs>
        <w:spacing w:line="240" w:lineRule="auto" w:before="144" w:after="0"/>
        <w:ind w:left="1758" w:right="0" w:hanging="339"/>
        <w:jc w:val="left"/>
        <w:rPr>
          <w:rFonts w:ascii="Times New Roman"/>
        </w:rPr>
      </w:pPr>
      <w:r>
        <w:rPr>
          <w:rFonts w:ascii="Times New Roman"/>
        </w:rPr>
        <w:t>As a DDA client, you have the following</w:t>
      </w:r>
      <w:r>
        <w:rPr>
          <w:rFonts w:ascii="Times New Roman"/>
          <w:spacing w:val="-2"/>
        </w:rPr>
        <w:t> </w:t>
      </w:r>
      <w:r>
        <w:rPr>
          <w:rFonts w:ascii="Times New Roman"/>
        </w:rPr>
        <w:t>rights:</w:t>
      </w:r>
    </w:p>
    <w:p>
      <w:pPr>
        <w:pStyle w:val="Heading4"/>
        <w:numPr>
          <w:ilvl w:val="0"/>
          <w:numId w:val="59"/>
        </w:numPr>
        <w:tabs>
          <w:tab w:pos="1744" w:val="left" w:leader="none"/>
        </w:tabs>
        <w:spacing w:line="240" w:lineRule="auto" w:before="0" w:after="0"/>
        <w:ind w:left="1059" w:right="1225" w:firstLine="360"/>
        <w:jc w:val="left"/>
        <w:rPr>
          <w:rFonts w:ascii="Times New Roman"/>
        </w:rPr>
      </w:pPr>
      <w:r>
        <w:rPr>
          <w:rFonts w:ascii="Times New Roman"/>
        </w:rPr>
        <w:t>The right to be free from any kind of abuse or punishment (verbal, mental, physical, and/or sexual); or being sent to a place by yourself, if you do not choose to be</w:t>
      </w:r>
      <w:r>
        <w:rPr>
          <w:rFonts w:ascii="Times New Roman"/>
          <w:spacing w:val="1"/>
        </w:rPr>
        <w:t> </w:t>
      </w:r>
      <w:r>
        <w:rPr>
          <w:rFonts w:ascii="Times New Roman"/>
        </w:rPr>
        <w:t>alone;</w:t>
      </w:r>
    </w:p>
    <w:p>
      <w:pPr>
        <w:pStyle w:val="Heading4"/>
        <w:numPr>
          <w:ilvl w:val="0"/>
          <w:numId w:val="59"/>
        </w:numPr>
        <w:tabs>
          <w:tab w:pos="1759" w:val="left" w:leader="none"/>
        </w:tabs>
        <w:spacing w:line="240" w:lineRule="auto" w:before="0" w:after="0"/>
        <w:ind w:left="1059" w:right="1474" w:firstLine="360"/>
        <w:jc w:val="left"/>
        <w:rPr>
          <w:rFonts w:ascii="Times New Roman"/>
        </w:rPr>
      </w:pPr>
      <w:r>
        <w:rPr>
          <w:rFonts w:ascii="Times New Roman"/>
        </w:rPr>
        <w:t>The right to appeal any decision by DDA that denies, reduces, or terminates your eligibility, your services or your choice of provider;</w:t>
      </w:r>
    </w:p>
    <w:p>
      <w:pPr>
        <w:pStyle w:val="Heading4"/>
        <w:numPr>
          <w:ilvl w:val="0"/>
          <w:numId w:val="59"/>
        </w:numPr>
        <w:tabs>
          <w:tab w:pos="1744" w:val="left" w:leader="none"/>
        </w:tabs>
        <w:spacing w:line="240" w:lineRule="auto" w:before="0" w:after="0"/>
        <w:ind w:left="1744" w:right="0" w:hanging="325"/>
        <w:jc w:val="left"/>
        <w:rPr>
          <w:rFonts w:ascii="Times New Roman"/>
        </w:rPr>
      </w:pPr>
      <w:r>
        <w:rPr>
          <w:rFonts w:ascii="Times New Roman"/>
        </w:rPr>
        <w:t>The right to receive only those services you agree</w:t>
      </w:r>
      <w:r>
        <w:rPr>
          <w:rFonts w:ascii="Times New Roman"/>
          <w:spacing w:val="-3"/>
        </w:rPr>
        <w:t> </w:t>
      </w:r>
      <w:r>
        <w:rPr>
          <w:rFonts w:ascii="Times New Roman"/>
        </w:rPr>
        <w:t>to;</w:t>
      </w:r>
    </w:p>
    <w:p>
      <w:pPr>
        <w:pStyle w:val="Heading4"/>
        <w:numPr>
          <w:ilvl w:val="0"/>
          <w:numId w:val="59"/>
        </w:numPr>
        <w:tabs>
          <w:tab w:pos="1759" w:val="left" w:leader="none"/>
        </w:tabs>
        <w:spacing w:line="240" w:lineRule="auto" w:before="0" w:after="0"/>
        <w:ind w:left="1758" w:right="0" w:hanging="340"/>
        <w:jc w:val="left"/>
        <w:rPr>
          <w:rFonts w:ascii="Times New Roman"/>
        </w:rPr>
      </w:pPr>
      <w:r>
        <w:rPr>
          <w:rFonts w:ascii="Times New Roman"/>
        </w:rPr>
        <w:t>The right to meet with and talk privately with your friends and</w:t>
      </w:r>
      <w:r>
        <w:rPr>
          <w:rFonts w:ascii="Times New Roman"/>
          <w:spacing w:val="-3"/>
        </w:rPr>
        <w:t> </w:t>
      </w:r>
      <w:r>
        <w:rPr>
          <w:rFonts w:ascii="Times New Roman"/>
        </w:rPr>
        <w:t>family;</w:t>
      </w:r>
    </w:p>
    <w:p>
      <w:pPr>
        <w:pStyle w:val="Heading4"/>
        <w:numPr>
          <w:ilvl w:val="0"/>
          <w:numId w:val="59"/>
        </w:numPr>
        <w:tabs>
          <w:tab w:pos="1744" w:val="left" w:leader="none"/>
        </w:tabs>
        <w:spacing w:line="240" w:lineRule="auto" w:before="0" w:after="0"/>
        <w:ind w:left="1744" w:right="0" w:hanging="325"/>
        <w:jc w:val="left"/>
        <w:rPr>
          <w:rFonts w:ascii="Times New Roman"/>
        </w:rPr>
      </w:pPr>
      <w:r>
        <w:rPr>
          <w:rFonts w:ascii="Times New Roman"/>
        </w:rPr>
        <w:t>The right to personal privacy and confidentiality of your personal and other</w:t>
      </w:r>
      <w:r>
        <w:rPr>
          <w:rFonts w:ascii="Times New Roman"/>
          <w:spacing w:val="-3"/>
        </w:rPr>
        <w:t> </w:t>
      </w:r>
      <w:r>
        <w:rPr>
          <w:rFonts w:ascii="Times New Roman"/>
        </w:rPr>
        <w:t>records;</w:t>
      </w:r>
    </w:p>
    <w:p>
      <w:pPr>
        <w:pStyle w:val="Heading4"/>
        <w:numPr>
          <w:ilvl w:val="0"/>
          <w:numId w:val="59"/>
        </w:numPr>
        <w:tabs>
          <w:tab w:pos="1718" w:val="left" w:leader="none"/>
        </w:tabs>
        <w:spacing w:line="240" w:lineRule="auto" w:before="0" w:after="0"/>
        <w:ind w:left="1717" w:right="0" w:hanging="299"/>
        <w:jc w:val="left"/>
        <w:rPr>
          <w:rFonts w:ascii="Times New Roman"/>
        </w:rPr>
      </w:pPr>
      <w:r>
        <w:rPr>
          <w:rFonts w:ascii="Times New Roman"/>
        </w:rPr>
        <w:t>The right to choose activities, schedules, and health care that meet your</w:t>
      </w:r>
      <w:r>
        <w:rPr>
          <w:rFonts w:ascii="Times New Roman"/>
          <w:spacing w:val="2"/>
        </w:rPr>
        <w:t> </w:t>
      </w:r>
      <w:r>
        <w:rPr>
          <w:rFonts w:ascii="Times New Roman"/>
        </w:rPr>
        <w:t>needs;</w:t>
      </w:r>
    </w:p>
    <w:p>
      <w:pPr>
        <w:pStyle w:val="Heading4"/>
        <w:numPr>
          <w:ilvl w:val="0"/>
          <w:numId w:val="59"/>
        </w:numPr>
        <w:tabs>
          <w:tab w:pos="1759" w:val="left" w:leader="none"/>
        </w:tabs>
        <w:spacing w:line="240" w:lineRule="auto" w:before="0" w:after="0"/>
        <w:ind w:left="1059" w:right="1144" w:firstLine="360"/>
        <w:jc w:val="left"/>
        <w:rPr>
          <w:rFonts w:ascii="Times New Roman"/>
        </w:rPr>
      </w:pPr>
      <w:r>
        <w:rPr>
          <w:rFonts w:ascii="Times New Roman"/>
        </w:rPr>
        <w:t>The right to be free from discrimination because of your race, color, creed, national origin, religion, sex, age, disability, marital status, gender identity, or sexual</w:t>
      </w:r>
      <w:r>
        <w:rPr>
          <w:rFonts w:ascii="Times New Roman"/>
          <w:spacing w:val="-1"/>
        </w:rPr>
        <w:t> </w:t>
      </w:r>
      <w:r>
        <w:rPr>
          <w:rFonts w:ascii="Times New Roman"/>
        </w:rPr>
        <w:t>orientation;</w:t>
      </w:r>
    </w:p>
    <w:p>
      <w:pPr>
        <w:pStyle w:val="Heading4"/>
        <w:numPr>
          <w:ilvl w:val="0"/>
          <w:numId w:val="59"/>
        </w:numPr>
        <w:tabs>
          <w:tab w:pos="1759" w:val="left" w:leader="none"/>
        </w:tabs>
        <w:spacing w:line="240" w:lineRule="auto" w:before="1" w:after="0"/>
        <w:ind w:left="1059" w:right="1181" w:firstLine="360"/>
        <w:jc w:val="left"/>
        <w:rPr>
          <w:rFonts w:ascii="Times New Roman"/>
        </w:rPr>
      </w:pPr>
      <w:r>
        <w:rPr>
          <w:rFonts w:ascii="Times New Roman"/>
        </w:rPr>
        <w:t>The right to set your own rules in your home and to know what rules your providers have when you are living in their house or working in their</w:t>
      </w:r>
      <w:r>
        <w:rPr>
          <w:rFonts w:ascii="Times New Roman"/>
          <w:spacing w:val="-3"/>
        </w:rPr>
        <w:t> </w:t>
      </w:r>
      <w:r>
        <w:rPr>
          <w:rFonts w:ascii="Times New Roman"/>
        </w:rPr>
        <w:t>facility;</w:t>
      </w:r>
    </w:p>
    <w:p>
      <w:pPr>
        <w:pStyle w:val="Heading4"/>
        <w:numPr>
          <w:ilvl w:val="0"/>
          <w:numId w:val="59"/>
        </w:numPr>
        <w:tabs>
          <w:tab w:pos="1706" w:val="left" w:leader="none"/>
        </w:tabs>
        <w:spacing w:line="240" w:lineRule="auto" w:before="0" w:after="0"/>
        <w:ind w:left="1705" w:right="0" w:hanging="287"/>
        <w:jc w:val="left"/>
        <w:rPr>
          <w:rFonts w:ascii="Times New Roman"/>
        </w:rPr>
      </w:pPr>
      <w:r>
        <w:rPr>
          <w:rFonts w:ascii="Times New Roman"/>
        </w:rPr>
        <w:t>The right to request information regarding services that may be available from</w:t>
      </w:r>
      <w:r>
        <w:rPr>
          <w:rFonts w:ascii="Times New Roman"/>
          <w:spacing w:val="-9"/>
        </w:rPr>
        <w:t> </w:t>
      </w:r>
      <w:r>
        <w:rPr>
          <w:rFonts w:ascii="Times New Roman"/>
        </w:rPr>
        <w:t>DDA;</w:t>
      </w:r>
    </w:p>
    <w:p>
      <w:pPr>
        <w:pStyle w:val="Heading4"/>
        <w:numPr>
          <w:ilvl w:val="0"/>
          <w:numId w:val="59"/>
        </w:numPr>
        <w:tabs>
          <w:tab w:pos="1706" w:val="left" w:leader="none"/>
        </w:tabs>
        <w:spacing w:line="240" w:lineRule="auto" w:before="0" w:after="0"/>
        <w:ind w:left="1705" w:right="0" w:hanging="287"/>
        <w:jc w:val="left"/>
        <w:rPr>
          <w:rFonts w:ascii="Times New Roman"/>
        </w:rPr>
      </w:pPr>
      <w:r>
        <w:rPr>
          <w:rFonts w:ascii="Times New Roman"/>
        </w:rPr>
        <w:t>The right to know what your doctor wants you to do or take and to help plan how that will</w:t>
      </w:r>
      <w:r>
        <w:rPr>
          <w:rFonts w:ascii="Times New Roman"/>
          <w:spacing w:val="-4"/>
        </w:rPr>
        <w:t> </w:t>
      </w:r>
      <w:r>
        <w:rPr>
          <w:rFonts w:ascii="Times New Roman"/>
        </w:rPr>
        <w:t>happen;</w:t>
      </w:r>
    </w:p>
    <w:p>
      <w:pPr>
        <w:pStyle w:val="Heading4"/>
        <w:numPr>
          <w:ilvl w:val="0"/>
          <w:numId w:val="59"/>
        </w:numPr>
        <w:tabs>
          <w:tab w:pos="1759" w:val="left" w:leader="none"/>
        </w:tabs>
        <w:spacing w:line="240" w:lineRule="auto" w:before="0" w:after="0"/>
        <w:ind w:left="1758" w:right="0" w:hanging="340"/>
        <w:jc w:val="left"/>
        <w:rPr>
          <w:rFonts w:ascii="Times New Roman"/>
        </w:rPr>
      </w:pPr>
      <w:r>
        <w:rPr>
          <w:rFonts w:ascii="Times New Roman"/>
        </w:rPr>
        <w:t>The right to be free from unnecessary</w:t>
      </w:r>
      <w:r>
        <w:rPr>
          <w:rFonts w:ascii="Times New Roman"/>
          <w:spacing w:val="-9"/>
        </w:rPr>
        <w:t> </w:t>
      </w:r>
      <w:r>
        <w:rPr>
          <w:rFonts w:ascii="Times New Roman"/>
        </w:rPr>
        <w:t>medication;</w:t>
      </w:r>
    </w:p>
    <w:p>
      <w:pPr>
        <w:pStyle w:val="Heading4"/>
        <w:numPr>
          <w:ilvl w:val="0"/>
          <w:numId w:val="59"/>
        </w:numPr>
        <w:tabs>
          <w:tab w:pos="1706" w:val="left" w:leader="none"/>
        </w:tabs>
        <w:spacing w:line="240" w:lineRule="auto" w:before="0" w:after="0"/>
        <w:ind w:left="1705" w:right="0" w:hanging="287"/>
        <w:jc w:val="left"/>
        <w:rPr>
          <w:rFonts w:ascii="Times New Roman"/>
        </w:rPr>
      </w:pPr>
      <w:r>
        <w:rPr>
          <w:rFonts w:ascii="Times New Roman"/>
        </w:rPr>
        <w:t>The right to be free from coercion, restraints, and</w:t>
      </w:r>
      <w:r>
        <w:rPr>
          <w:rFonts w:ascii="Times New Roman"/>
          <w:spacing w:val="-2"/>
        </w:rPr>
        <w:t> </w:t>
      </w:r>
      <w:r>
        <w:rPr>
          <w:rFonts w:ascii="Times New Roman"/>
        </w:rPr>
        <w:t>restrictions;</w:t>
      </w:r>
    </w:p>
    <w:p>
      <w:pPr>
        <w:pStyle w:val="Heading4"/>
        <w:numPr>
          <w:ilvl w:val="0"/>
          <w:numId w:val="59"/>
        </w:numPr>
        <w:tabs>
          <w:tab w:pos="1826" w:val="left" w:leader="none"/>
        </w:tabs>
        <w:spacing w:line="240" w:lineRule="auto" w:before="0" w:after="0"/>
        <w:ind w:left="1825" w:right="0" w:hanging="407"/>
        <w:jc w:val="left"/>
        <w:rPr>
          <w:rFonts w:ascii="Times New Roman"/>
        </w:rPr>
      </w:pPr>
      <w:r>
        <w:rPr>
          <w:rFonts w:ascii="Times New Roman"/>
        </w:rPr>
        <w:t>The right to vote and help people get elected to office;</w:t>
      </w:r>
    </w:p>
    <w:p>
      <w:pPr>
        <w:pStyle w:val="Heading4"/>
        <w:numPr>
          <w:ilvl w:val="0"/>
          <w:numId w:val="59"/>
        </w:numPr>
        <w:tabs>
          <w:tab w:pos="1759" w:val="left" w:leader="none"/>
        </w:tabs>
        <w:spacing w:line="240" w:lineRule="auto" w:before="0" w:after="0"/>
        <w:ind w:left="1758" w:right="0" w:hanging="340"/>
        <w:jc w:val="left"/>
        <w:rPr>
          <w:rFonts w:ascii="Times New Roman"/>
        </w:rPr>
      </w:pPr>
      <w:r>
        <w:rPr>
          <w:rFonts w:ascii="Times New Roman"/>
        </w:rPr>
        <w:t>The right to complain and not to have someone "get even";</w:t>
      </w:r>
    </w:p>
    <w:p>
      <w:pPr>
        <w:pStyle w:val="Heading4"/>
        <w:numPr>
          <w:ilvl w:val="0"/>
          <w:numId w:val="59"/>
        </w:numPr>
        <w:tabs>
          <w:tab w:pos="1759" w:val="left" w:leader="none"/>
        </w:tabs>
        <w:spacing w:line="240" w:lineRule="auto" w:before="0" w:after="0"/>
        <w:ind w:left="1758" w:right="0" w:hanging="340"/>
        <w:jc w:val="left"/>
        <w:rPr>
          <w:rFonts w:ascii="Times New Roman"/>
        </w:rPr>
      </w:pPr>
      <w:r>
        <w:rPr>
          <w:rFonts w:ascii="Times New Roman"/>
        </w:rPr>
        <w:t>The right to have your provider listen to your concerns including those about the behavior of other people where you</w:t>
      </w:r>
      <w:r>
        <w:rPr>
          <w:rFonts w:ascii="Times New Roman"/>
          <w:spacing w:val="-13"/>
        </w:rPr>
        <w:t> </w:t>
      </w:r>
      <w:r>
        <w:rPr>
          <w:rFonts w:ascii="Times New Roman"/>
        </w:rPr>
        <w:t>live;</w:t>
      </w:r>
    </w:p>
    <w:p>
      <w:pPr>
        <w:pStyle w:val="Heading4"/>
        <w:numPr>
          <w:ilvl w:val="0"/>
          <w:numId w:val="59"/>
        </w:numPr>
        <w:tabs>
          <w:tab w:pos="1759" w:val="left" w:leader="none"/>
        </w:tabs>
        <w:spacing w:line="240" w:lineRule="auto" w:before="0" w:after="0"/>
        <w:ind w:left="1758" w:right="0" w:hanging="340"/>
        <w:jc w:val="left"/>
        <w:rPr>
          <w:rFonts w:ascii="Times New Roman"/>
        </w:rPr>
      </w:pPr>
      <w:r>
        <w:rPr>
          <w:rFonts w:ascii="Times New Roman"/>
        </w:rPr>
        <w:t>The right to receive help from an</w:t>
      </w:r>
      <w:r>
        <w:rPr>
          <w:rFonts w:ascii="Times New Roman"/>
          <w:spacing w:val="-4"/>
        </w:rPr>
        <w:t> </w:t>
      </w:r>
      <w:r>
        <w:rPr>
          <w:rFonts w:ascii="Times New Roman"/>
        </w:rPr>
        <w:t>advocate;</w:t>
      </w:r>
    </w:p>
    <w:p>
      <w:pPr>
        <w:pStyle w:val="Heading4"/>
        <w:numPr>
          <w:ilvl w:val="0"/>
          <w:numId w:val="59"/>
        </w:numPr>
        <w:tabs>
          <w:tab w:pos="1759" w:val="left" w:leader="none"/>
        </w:tabs>
        <w:spacing w:line="240" w:lineRule="auto" w:before="0" w:after="0"/>
        <w:ind w:left="1758" w:right="0" w:hanging="340"/>
        <w:jc w:val="left"/>
        <w:rPr>
          <w:rFonts w:ascii="Times New Roman"/>
        </w:rPr>
      </w:pPr>
      <w:r>
        <w:rPr>
          <w:rFonts w:ascii="Times New Roman"/>
        </w:rPr>
        <w:t>The right to manage your money or choose other persons to assist</w:t>
      </w:r>
      <w:r>
        <w:rPr>
          <w:rFonts w:ascii="Times New Roman"/>
          <w:spacing w:val="-5"/>
        </w:rPr>
        <w:t> </w:t>
      </w:r>
      <w:r>
        <w:rPr>
          <w:rFonts w:ascii="Times New Roman"/>
        </w:rPr>
        <w:t>you;</w:t>
      </w:r>
    </w:p>
    <w:p>
      <w:pPr>
        <w:pStyle w:val="Heading4"/>
        <w:numPr>
          <w:ilvl w:val="0"/>
          <w:numId w:val="59"/>
        </w:numPr>
        <w:tabs>
          <w:tab w:pos="1718" w:val="left" w:leader="none"/>
        </w:tabs>
        <w:spacing w:line="240" w:lineRule="auto" w:before="0" w:after="0"/>
        <w:ind w:left="1717" w:right="0" w:hanging="299"/>
        <w:jc w:val="left"/>
        <w:rPr>
          <w:rFonts w:ascii="Times New Roman"/>
        </w:rPr>
      </w:pPr>
      <w:r>
        <w:rPr>
          <w:rFonts w:ascii="Times New Roman"/>
        </w:rPr>
        <w:t>The right to be part of the</w:t>
      </w:r>
      <w:r>
        <w:rPr>
          <w:rFonts w:ascii="Times New Roman"/>
          <w:spacing w:val="-1"/>
        </w:rPr>
        <w:t> </w:t>
      </w:r>
      <w:r>
        <w:rPr>
          <w:rFonts w:ascii="Times New Roman"/>
        </w:rPr>
        <w:t>community;</w:t>
      </w:r>
    </w:p>
    <w:p>
      <w:pPr>
        <w:pStyle w:val="Heading4"/>
        <w:numPr>
          <w:ilvl w:val="0"/>
          <w:numId w:val="59"/>
        </w:numPr>
        <w:tabs>
          <w:tab w:pos="1732" w:val="left" w:leader="none"/>
        </w:tabs>
        <w:spacing w:line="240" w:lineRule="auto" w:before="0" w:after="0"/>
        <w:ind w:left="1732" w:right="0" w:hanging="313"/>
        <w:jc w:val="left"/>
        <w:rPr>
          <w:rFonts w:ascii="Times New Roman"/>
        </w:rPr>
      </w:pPr>
      <w:r>
        <w:rPr>
          <w:rFonts w:ascii="Times New Roman"/>
        </w:rPr>
        <w:t>The right to make choices about your</w:t>
      </w:r>
      <w:r>
        <w:rPr>
          <w:rFonts w:ascii="Times New Roman"/>
          <w:spacing w:val="3"/>
        </w:rPr>
        <w:t> </w:t>
      </w:r>
      <w:r>
        <w:rPr>
          <w:rFonts w:ascii="Times New Roman"/>
        </w:rPr>
        <w:t>life;</w:t>
      </w:r>
    </w:p>
    <w:p>
      <w:pPr>
        <w:pStyle w:val="Heading4"/>
        <w:numPr>
          <w:ilvl w:val="0"/>
          <w:numId w:val="59"/>
        </w:numPr>
        <w:tabs>
          <w:tab w:pos="1706" w:val="left" w:leader="none"/>
        </w:tabs>
        <w:spacing w:line="240" w:lineRule="auto" w:before="0" w:after="0"/>
        <w:ind w:left="1705" w:right="0" w:hanging="287"/>
        <w:jc w:val="left"/>
        <w:rPr>
          <w:rFonts w:ascii="Times New Roman"/>
        </w:rPr>
      </w:pPr>
      <w:r>
        <w:rPr>
          <w:rFonts w:ascii="Times New Roman"/>
        </w:rPr>
        <w:t>The right to wear your clothes and hair the way you</w:t>
      </w:r>
      <w:r>
        <w:rPr>
          <w:rFonts w:ascii="Times New Roman"/>
          <w:spacing w:val="-1"/>
        </w:rPr>
        <w:t> </w:t>
      </w:r>
      <w:r>
        <w:rPr>
          <w:rFonts w:ascii="Times New Roman"/>
        </w:rPr>
        <w:t>want;</w:t>
      </w:r>
    </w:p>
    <w:p>
      <w:pPr>
        <w:pStyle w:val="Heading4"/>
        <w:numPr>
          <w:ilvl w:val="0"/>
          <w:numId w:val="59"/>
        </w:numPr>
        <w:tabs>
          <w:tab w:pos="1759" w:val="left" w:leader="none"/>
        </w:tabs>
        <w:spacing w:line="240" w:lineRule="auto" w:before="0" w:after="0"/>
        <w:ind w:left="1758" w:right="0" w:hanging="340"/>
        <w:jc w:val="left"/>
        <w:rPr>
          <w:rFonts w:ascii="Times New Roman"/>
        </w:rPr>
      </w:pPr>
      <w:r>
        <w:rPr>
          <w:rFonts w:ascii="Times New Roman"/>
        </w:rPr>
        <w:t>The right to competitive, integrated employment; and</w:t>
      </w:r>
    </w:p>
    <w:p>
      <w:pPr>
        <w:pStyle w:val="Heading4"/>
        <w:numPr>
          <w:ilvl w:val="0"/>
          <w:numId w:val="59"/>
        </w:numPr>
        <w:tabs>
          <w:tab w:pos="1759" w:val="left" w:leader="none"/>
        </w:tabs>
        <w:spacing w:line="240" w:lineRule="auto" w:before="0" w:after="0"/>
        <w:ind w:left="1060" w:right="1246" w:firstLine="360"/>
        <w:jc w:val="left"/>
        <w:rPr>
          <w:rFonts w:ascii="Times New Roman"/>
        </w:rPr>
      </w:pPr>
      <w:r>
        <w:rPr>
          <w:rFonts w:ascii="Times New Roman"/>
        </w:rPr>
        <w:t>The right to decide whether or not to participate in research after the research has been explained to you, and after you or</w:t>
      </w:r>
      <w:r>
        <w:rPr>
          <w:rFonts w:ascii="Times New Roman"/>
          <w:spacing w:val="-27"/>
        </w:rPr>
        <w:t> </w:t>
      </w:r>
      <w:r>
        <w:rPr>
          <w:rFonts w:ascii="Times New Roman"/>
        </w:rPr>
        <w:t>your guardian gives written consent for you to participate in the</w:t>
      </w:r>
      <w:r>
        <w:rPr>
          <w:rFonts w:ascii="Times New Roman"/>
          <w:spacing w:val="2"/>
        </w:rPr>
        <w:t> </w:t>
      </w:r>
      <w:r>
        <w:rPr>
          <w:rFonts w:ascii="Times New Roman"/>
        </w:rPr>
        <w:t>research.</w:t>
      </w:r>
    </w:p>
    <w:p>
      <w:pPr>
        <w:pStyle w:val="BodyText"/>
        <w:spacing w:before="5"/>
        <w:rPr>
          <w:rFonts w:ascii="Times New Roman"/>
          <w:sz w:val="11"/>
        </w:rPr>
      </w:pPr>
      <w:r>
        <w:rPr/>
        <w:pict>
          <v:shape style="position:absolute;margin-left:70.559998pt;margin-top:8.81452pt;width:650.9pt;height:.1pt;mso-position-horizontal-relative:page;mso-position-vertical-relative:paragraph;z-index:-251190272;mso-wrap-distance-left:0;mso-wrap-distance-right:0" coordorigin="1411,176" coordsize="13018,0" path="m1411,176l14429,176e" filled="false" stroked="true" strokeweight=".481pt" strokecolor="#d9d9d9">
            <v:path arrowok="t"/>
            <v:stroke dashstyle="solid"/>
            <w10:wrap type="topAndBottom"/>
          </v:shape>
        </w:pict>
      </w:r>
    </w:p>
    <w:p>
      <w:pPr>
        <w:spacing w:after="0"/>
        <w:rPr>
          <w:rFonts w:ascii="Times New Roman"/>
          <w:sz w:val="11"/>
        </w:rPr>
        <w:sectPr>
          <w:type w:val="continuous"/>
          <w:pgSz w:w="15840" w:h="12240" w:orient="landscape"/>
          <w:pgMar w:top="1140" w:bottom="28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0"/>
        </w:rPr>
      </w:pPr>
    </w:p>
    <w:p>
      <w:pPr>
        <w:pStyle w:val="Heading4"/>
        <w:numPr>
          <w:ilvl w:val="1"/>
          <w:numId w:val="52"/>
        </w:numPr>
        <w:tabs>
          <w:tab w:pos="1399" w:val="left" w:leader="none"/>
        </w:tabs>
        <w:spacing w:line="240" w:lineRule="auto" w:before="232" w:after="0"/>
        <w:ind w:left="1398" w:right="0" w:hanging="339"/>
        <w:jc w:val="left"/>
        <w:rPr>
          <w:rFonts w:ascii="Times New Roman"/>
        </w:rPr>
      </w:pPr>
      <w:r>
        <w:rPr>
          <w:rFonts w:ascii="Times New Roman"/>
        </w:rPr>
        <w:t>As a DDA client, your home and community-based service settings have the following</w:t>
      </w:r>
      <w:r>
        <w:rPr>
          <w:rFonts w:ascii="Times New Roman"/>
          <w:spacing w:val="-7"/>
        </w:rPr>
        <w:t> </w:t>
      </w:r>
      <w:r>
        <w:rPr>
          <w:rFonts w:ascii="Times New Roman"/>
        </w:rPr>
        <w:t>requirements:</w:t>
      </w:r>
    </w:p>
    <w:p>
      <w:pPr>
        <w:pStyle w:val="BodyText"/>
        <w:spacing w:before="9"/>
        <w:rPr>
          <w:rFonts w:ascii="Times New Roman"/>
          <w:sz w:val="20"/>
        </w:rPr>
      </w:pPr>
    </w:p>
    <w:p>
      <w:pPr>
        <w:pStyle w:val="Heading4"/>
        <w:numPr>
          <w:ilvl w:val="2"/>
          <w:numId w:val="52"/>
        </w:numPr>
        <w:tabs>
          <w:tab w:pos="1780" w:val="left" w:leader="none"/>
        </w:tabs>
        <w:spacing w:line="240" w:lineRule="auto" w:before="1" w:after="0"/>
        <w:ind w:left="1780" w:right="0" w:hanging="360"/>
        <w:jc w:val="left"/>
        <w:rPr>
          <w:rFonts w:ascii="Times New Roman"/>
        </w:rPr>
      </w:pPr>
      <w:r>
        <w:rPr>
          <w:rFonts w:ascii="Times New Roman"/>
        </w:rPr>
        <w:t>The setting is integrated in and supports full access to the greater</w:t>
      </w:r>
      <w:r>
        <w:rPr>
          <w:rFonts w:ascii="Times New Roman"/>
          <w:spacing w:val="-7"/>
        </w:rPr>
        <w:t> </w:t>
      </w:r>
      <w:r>
        <w:rPr>
          <w:rFonts w:ascii="Times New Roman"/>
        </w:rPr>
        <w:t>community;</w:t>
      </w:r>
    </w:p>
    <w:p>
      <w:pPr>
        <w:pStyle w:val="Heading4"/>
        <w:numPr>
          <w:ilvl w:val="2"/>
          <w:numId w:val="52"/>
        </w:numPr>
        <w:tabs>
          <w:tab w:pos="1780" w:val="left" w:leader="none"/>
        </w:tabs>
        <w:spacing w:line="259" w:lineRule="auto" w:before="21" w:after="0"/>
        <w:ind w:left="1780" w:right="1220" w:hanging="360"/>
        <w:jc w:val="left"/>
        <w:rPr>
          <w:rFonts w:ascii="Times New Roman"/>
        </w:rPr>
      </w:pPr>
      <w:r>
        <w:rPr>
          <w:rFonts w:ascii="Times New Roman"/>
        </w:rPr>
        <w:t>The setting may be selected from setting options that include non-disability specific settings and an option for a private unit in a residential</w:t>
      </w:r>
      <w:r>
        <w:rPr>
          <w:rFonts w:ascii="Times New Roman"/>
          <w:spacing w:val="-2"/>
        </w:rPr>
        <w:t> </w:t>
      </w:r>
      <w:r>
        <w:rPr>
          <w:rFonts w:ascii="Times New Roman"/>
        </w:rPr>
        <w:t>setting;</w:t>
      </w:r>
    </w:p>
    <w:p>
      <w:pPr>
        <w:pStyle w:val="Heading4"/>
        <w:numPr>
          <w:ilvl w:val="2"/>
          <w:numId w:val="52"/>
        </w:numPr>
        <w:tabs>
          <w:tab w:pos="1780" w:val="left" w:leader="none"/>
        </w:tabs>
        <w:spacing w:line="275" w:lineRule="exact" w:before="0" w:after="0"/>
        <w:ind w:left="1780" w:right="0" w:hanging="360"/>
        <w:jc w:val="left"/>
        <w:rPr>
          <w:rFonts w:ascii="Times New Roman"/>
        </w:rPr>
      </w:pPr>
      <w:r>
        <w:rPr>
          <w:rFonts w:ascii="Times New Roman"/>
        </w:rPr>
        <w:t>The setting ensures individual rights of privacy, dignity and</w:t>
      </w:r>
      <w:r>
        <w:rPr>
          <w:rFonts w:ascii="Times New Roman"/>
          <w:spacing w:val="-8"/>
        </w:rPr>
        <w:t> </w:t>
      </w:r>
      <w:r>
        <w:rPr>
          <w:rFonts w:ascii="Times New Roman"/>
        </w:rPr>
        <w:t>respect;</w:t>
      </w:r>
    </w:p>
    <w:p>
      <w:pPr>
        <w:pStyle w:val="Heading4"/>
        <w:numPr>
          <w:ilvl w:val="2"/>
          <w:numId w:val="52"/>
        </w:numPr>
        <w:tabs>
          <w:tab w:pos="1780" w:val="left" w:leader="none"/>
        </w:tabs>
        <w:spacing w:line="240" w:lineRule="auto" w:before="22" w:after="0"/>
        <w:ind w:left="1780" w:right="0" w:hanging="360"/>
        <w:jc w:val="left"/>
        <w:rPr>
          <w:rFonts w:ascii="Times New Roman"/>
        </w:rPr>
      </w:pPr>
      <w:r>
        <w:rPr>
          <w:rFonts w:ascii="Times New Roman"/>
        </w:rPr>
        <w:t>The setting optimizes autonomy and independence in making life choices;</w:t>
      </w:r>
      <w:r>
        <w:rPr>
          <w:rFonts w:ascii="Times New Roman"/>
          <w:spacing w:val="-13"/>
        </w:rPr>
        <w:t> </w:t>
      </w:r>
      <w:r>
        <w:rPr>
          <w:rFonts w:ascii="Times New Roman"/>
        </w:rPr>
        <w:t>and</w:t>
      </w:r>
    </w:p>
    <w:p>
      <w:pPr>
        <w:pStyle w:val="Heading4"/>
        <w:numPr>
          <w:ilvl w:val="2"/>
          <w:numId w:val="52"/>
        </w:numPr>
        <w:tabs>
          <w:tab w:pos="1780" w:val="left" w:leader="none"/>
        </w:tabs>
        <w:spacing w:line="240" w:lineRule="auto" w:before="22" w:after="0"/>
        <w:ind w:left="1780" w:right="0" w:hanging="361"/>
        <w:jc w:val="left"/>
        <w:rPr>
          <w:rFonts w:ascii="Times New Roman"/>
        </w:rPr>
      </w:pPr>
      <w:r>
        <w:rPr>
          <w:rFonts w:ascii="Times New Roman"/>
        </w:rPr>
        <w:t>The setting facilitates choice regarding services and service</w:t>
      </w:r>
      <w:r>
        <w:rPr>
          <w:rFonts w:ascii="Times New Roman"/>
          <w:spacing w:val="-10"/>
        </w:rPr>
        <w:t> </w:t>
      </w:r>
      <w:r>
        <w:rPr>
          <w:rFonts w:ascii="Times New Roman"/>
        </w:rPr>
        <w:t>providers.</w:t>
      </w:r>
    </w:p>
    <w:p>
      <w:pPr>
        <w:pStyle w:val="Heading4"/>
        <w:numPr>
          <w:ilvl w:val="1"/>
          <w:numId w:val="52"/>
        </w:numPr>
        <w:tabs>
          <w:tab w:pos="1399" w:val="left" w:leader="none"/>
        </w:tabs>
        <w:spacing w:line="278" w:lineRule="auto" w:before="182" w:after="0"/>
        <w:ind w:left="1059" w:right="1831" w:firstLine="0"/>
        <w:jc w:val="left"/>
        <w:rPr>
          <w:rFonts w:ascii="Times New Roman"/>
        </w:rPr>
      </w:pPr>
      <w:r>
        <w:rPr>
          <w:rFonts w:ascii="Times New Roman"/>
        </w:rPr>
        <w:t>As a DDA client, your provider-owned or controlled home and community-based service residential settings are required to provide you:</w:t>
      </w:r>
    </w:p>
    <w:p>
      <w:pPr>
        <w:pStyle w:val="Heading4"/>
        <w:numPr>
          <w:ilvl w:val="2"/>
          <w:numId w:val="52"/>
        </w:numPr>
        <w:tabs>
          <w:tab w:pos="1780" w:val="left" w:leader="none"/>
        </w:tabs>
        <w:spacing w:line="259" w:lineRule="auto" w:before="195" w:after="0"/>
        <w:ind w:left="1779" w:right="1484" w:hanging="360"/>
        <w:jc w:val="left"/>
        <w:rPr>
          <w:rFonts w:ascii="Times New Roman"/>
        </w:rPr>
      </w:pPr>
      <w:r>
        <w:rPr>
          <w:rFonts w:ascii="Times New Roman"/>
        </w:rPr>
        <w:t>A lease or other legally enforceable agreement providing similar protections from eviction that tenants have under the</w:t>
      </w:r>
      <w:r>
        <w:rPr>
          <w:rFonts w:ascii="Times New Roman"/>
          <w:spacing w:val="-28"/>
        </w:rPr>
        <w:t> </w:t>
      </w:r>
      <w:r>
        <w:rPr>
          <w:rFonts w:ascii="Times New Roman"/>
        </w:rPr>
        <w:t>State landlord/tenant</w:t>
      </w:r>
      <w:r>
        <w:rPr>
          <w:rFonts w:ascii="Times New Roman"/>
          <w:spacing w:val="-1"/>
        </w:rPr>
        <w:t> </w:t>
      </w:r>
      <w:r>
        <w:rPr>
          <w:rFonts w:ascii="Times New Roman"/>
        </w:rPr>
        <w:t>law;</w:t>
      </w:r>
    </w:p>
    <w:p>
      <w:pPr>
        <w:pStyle w:val="Heading4"/>
        <w:numPr>
          <w:ilvl w:val="2"/>
          <w:numId w:val="52"/>
        </w:numPr>
        <w:tabs>
          <w:tab w:pos="1780" w:val="left" w:leader="none"/>
        </w:tabs>
        <w:spacing w:line="275" w:lineRule="exact" w:before="0" w:after="0"/>
        <w:ind w:left="1780" w:right="0" w:hanging="361"/>
        <w:jc w:val="left"/>
        <w:rPr>
          <w:rFonts w:ascii="Times New Roman"/>
        </w:rPr>
      </w:pPr>
      <w:r>
        <w:rPr>
          <w:rFonts w:ascii="Times New Roman"/>
        </w:rPr>
        <w:t>Privacy in your unit including lockable doors, choice of roommates and freedom to decorate or furnish the</w:t>
      </w:r>
      <w:r>
        <w:rPr>
          <w:rFonts w:ascii="Times New Roman"/>
          <w:spacing w:val="-14"/>
        </w:rPr>
        <w:t> </w:t>
      </w:r>
      <w:r>
        <w:rPr>
          <w:rFonts w:ascii="Times New Roman"/>
        </w:rPr>
        <w:t>unit;</w:t>
      </w:r>
    </w:p>
    <w:p>
      <w:pPr>
        <w:pStyle w:val="Heading4"/>
        <w:numPr>
          <w:ilvl w:val="2"/>
          <w:numId w:val="52"/>
        </w:numPr>
        <w:tabs>
          <w:tab w:pos="1780" w:val="left" w:leader="none"/>
        </w:tabs>
        <w:spacing w:line="240" w:lineRule="auto" w:before="22" w:after="0"/>
        <w:ind w:left="1780" w:right="0" w:hanging="361"/>
        <w:jc w:val="left"/>
        <w:rPr>
          <w:rFonts w:ascii="Times New Roman"/>
        </w:rPr>
      </w:pPr>
      <w:r>
        <w:rPr>
          <w:rFonts w:ascii="Times New Roman"/>
        </w:rPr>
        <w:t>Control of your own schedule including access to food at any</w:t>
      </w:r>
      <w:r>
        <w:rPr>
          <w:rFonts w:ascii="Times New Roman"/>
          <w:spacing w:val="-10"/>
        </w:rPr>
        <w:t> </w:t>
      </w:r>
      <w:r>
        <w:rPr>
          <w:rFonts w:ascii="Times New Roman"/>
        </w:rPr>
        <w:t>time;</w:t>
      </w:r>
    </w:p>
    <w:p>
      <w:pPr>
        <w:pStyle w:val="Heading4"/>
        <w:numPr>
          <w:ilvl w:val="2"/>
          <w:numId w:val="52"/>
        </w:numPr>
        <w:tabs>
          <w:tab w:pos="1780" w:val="left" w:leader="none"/>
        </w:tabs>
        <w:spacing w:line="240" w:lineRule="auto" w:before="21" w:after="0"/>
        <w:ind w:left="1780" w:right="0" w:hanging="361"/>
        <w:jc w:val="left"/>
        <w:rPr>
          <w:rFonts w:ascii="Times New Roman"/>
        </w:rPr>
      </w:pPr>
      <w:r>
        <w:rPr>
          <w:rFonts w:ascii="Times New Roman"/>
        </w:rPr>
        <w:t>Freedom to have visitors at any time;</w:t>
      </w:r>
      <w:r>
        <w:rPr>
          <w:rFonts w:ascii="Times New Roman"/>
          <w:spacing w:val="-5"/>
        </w:rPr>
        <w:t> </w:t>
      </w:r>
      <w:r>
        <w:rPr>
          <w:rFonts w:ascii="Times New Roman"/>
        </w:rPr>
        <w:t>and</w:t>
      </w:r>
    </w:p>
    <w:p>
      <w:pPr>
        <w:pStyle w:val="Heading4"/>
        <w:numPr>
          <w:ilvl w:val="2"/>
          <w:numId w:val="52"/>
        </w:numPr>
        <w:tabs>
          <w:tab w:pos="1780" w:val="left" w:leader="none"/>
        </w:tabs>
        <w:spacing w:line="240" w:lineRule="auto" w:before="22" w:after="0"/>
        <w:ind w:left="1780" w:right="0" w:hanging="361"/>
        <w:jc w:val="left"/>
        <w:rPr>
          <w:rFonts w:ascii="Times New Roman"/>
        </w:rPr>
      </w:pPr>
      <w:r>
        <w:rPr>
          <w:rFonts w:ascii="Times New Roman"/>
        </w:rPr>
        <w:t>A setting that is physically accessible to</w:t>
      </w:r>
      <w:r>
        <w:rPr>
          <w:rFonts w:ascii="Times New Roman"/>
          <w:spacing w:val="-7"/>
        </w:rPr>
        <w:t> </w:t>
      </w:r>
      <w:r>
        <w:rPr>
          <w:rFonts w:ascii="Times New Roman"/>
        </w:rPr>
        <w:t>you.</w:t>
      </w:r>
    </w:p>
    <w:p>
      <w:pPr>
        <w:pStyle w:val="Heading4"/>
        <w:numPr>
          <w:ilvl w:val="1"/>
          <w:numId w:val="52"/>
        </w:numPr>
        <w:tabs>
          <w:tab w:pos="1399" w:val="left" w:leader="none"/>
        </w:tabs>
        <w:spacing w:line="240" w:lineRule="auto" w:before="185" w:after="0"/>
        <w:ind w:left="1398" w:right="0" w:hanging="340"/>
        <w:jc w:val="left"/>
        <w:rPr>
          <w:rFonts w:ascii="Times New Roman"/>
        </w:rPr>
      </w:pPr>
      <w:r>
        <w:rPr>
          <w:rFonts w:ascii="Times New Roman"/>
        </w:rPr>
        <w:t>As a DDA client, any change to these settings requirements</w:t>
      </w:r>
      <w:r>
        <w:rPr>
          <w:rFonts w:ascii="Times New Roman"/>
          <w:spacing w:val="-6"/>
        </w:rPr>
        <w:t> </w:t>
      </w:r>
      <w:r>
        <w:rPr>
          <w:rFonts w:ascii="Times New Roman"/>
        </w:rPr>
        <w:t>must:</w:t>
      </w:r>
    </w:p>
    <w:p>
      <w:pPr>
        <w:pStyle w:val="BodyText"/>
        <w:spacing w:before="7"/>
        <w:rPr>
          <w:rFonts w:ascii="Times New Roman"/>
          <w:sz w:val="20"/>
        </w:rPr>
      </w:pPr>
    </w:p>
    <w:p>
      <w:pPr>
        <w:pStyle w:val="Heading4"/>
        <w:numPr>
          <w:ilvl w:val="2"/>
          <w:numId w:val="52"/>
        </w:numPr>
        <w:tabs>
          <w:tab w:pos="1780" w:val="left" w:leader="none"/>
        </w:tabs>
        <w:spacing w:line="240" w:lineRule="auto" w:before="0" w:after="0"/>
        <w:ind w:left="1780" w:right="0" w:hanging="361"/>
        <w:jc w:val="left"/>
        <w:rPr>
          <w:rFonts w:ascii="Times New Roman"/>
        </w:rPr>
      </w:pPr>
      <w:r>
        <w:rPr>
          <w:rFonts w:ascii="Times New Roman"/>
        </w:rPr>
        <w:t>Be based on a specific assessed</w:t>
      </w:r>
      <w:r>
        <w:rPr>
          <w:rFonts w:ascii="Times New Roman"/>
          <w:spacing w:val="-2"/>
        </w:rPr>
        <w:t> </w:t>
      </w:r>
      <w:r>
        <w:rPr>
          <w:rFonts w:ascii="Times New Roman"/>
        </w:rPr>
        <w:t>need;</w:t>
      </w:r>
    </w:p>
    <w:p>
      <w:pPr>
        <w:pStyle w:val="Heading4"/>
        <w:numPr>
          <w:ilvl w:val="2"/>
          <w:numId w:val="52"/>
        </w:numPr>
        <w:tabs>
          <w:tab w:pos="1780" w:val="left" w:leader="none"/>
        </w:tabs>
        <w:spacing w:line="259" w:lineRule="auto" w:before="24" w:after="0"/>
        <w:ind w:left="1779" w:right="1822" w:hanging="360"/>
        <w:jc w:val="left"/>
        <w:rPr>
          <w:rFonts w:ascii="Times New Roman"/>
        </w:rPr>
      </w:pPr>
      <w:r>
        <w:rPr>
          <w:rFonts w:ascii="Times New Roman"/>
        </w:rPr>
        <w:t>Only take place after positive interventions, supports and less intrusive methods were tried, documented in your</w:t>
      </w:r>
      <w:r>
        <w:rPr>
          <w:rFonts w:ascii="Times New Roman"/>
          <w:spacing w:val="-24"/>
        </w:rPr>
        <w:t> </w:t>
      </w:r>
      <w:r>
        <w:rPr>
          <w:rFonts w:ascii="Times New Roman"/>
        </w:rPr>
        <w:t>person- centered service plan but did not work;</w:t>
      </w:r>
    </w:p>
    <w:p>
      <w:pPr>
        <w:pStyle w:val="Heading4"/>
        <w:numPr>
          <w:ilvl w:val="2"/>
          <w:numId w:val="52"/>
        </w:numPr>
        <w:tabs>
          <w:tab w:pos="1780" w:val="left" w:leader="none"/>
        </w:tabs>
        <w:spacing w:line="275" w:lineRule="exact" w:before="0" w:after="0"/>
        <w:ind w:left="1780" w:right="0" w:hanging="361"/>
        <w:jc w:val="left"/>
        <w:rPr>
          <w:rFonts w:ascii="Times New Roman"/>
        </w:rPr>
      </w:pPr>
      <w:r>
        <w:rPr>
          <w:rFonts w:ascii="Times New Roman"/>
        </w:rPr>
        <w:t>Be written clearly in your person-centered service plan to show how the change meets your specific</w:t>
      </w:r>
      <w:r>
        <w:rPr>
          <w:rFonts w:ascii="Times New Roman"/>
          <w:spacing w:val="-7"/>
        </w:rPr>
        <w:t> </w:t>
      </w:r>
      <w:r>
        <w:rPr>
          <w:rFonts w:ascii="Times New Roman"/>
        </w:rPr>
        <w:t>need;</w:t>
      </w:r>
    </w:p>
    <w:p>
      <w:pPr>
        <w:pStyle w:val="Heading4"/>
        <w:numPr>
          <w:ilvl w:val="2"/>
          <w:numId w:val="52"/>
        </w:numPr>
        <w:tabs>
          <w:tab w:pos="1780" w:val="left" w:leader="none"/>
        </w:tabs>
        <w:spacing w:line="240" w:lineRule="auto" w:before="22" w:after="0"/>
        <w:ind w:left="1780" w:right="0" w:hanging="361"/>
        <w:jc w:val="left"/>
        <w:rPr>
          <w:rFonts w:ascii="Times New Roman"/>
        </w:rPr>
      </w:pPr>
      <w:r>
        <w:rPr>
          <w:rFonts w:ascii="Times New Roman"/>
        </w:rPr>
        <w:t>Include a regular collection and review of data to measure the ongoing effectiveness of the</w:t>
      </w:r>
      <w:r>
        <w:rPr>
          <w:rFonts w:ascii="Times New Roman"/>
          <w:spacing w:val="-6"/>
        </w:rPr>
        <w:t> </w:t>
      </w:r>
      <w:r>
        <w:rPr>
          <w:rFonts w:ascii="Times New Roman"/>
        </w:rPr>
        <w:t>modification;</w:t>
      </w:r>
    </w:p>
    <w:p>
      <w:pPr>
        <w:pStyle w:val="Heading4"/>
        <w:numPr>
          <w:ilvl w:val="2"/>
          <w:numId w:val="52"/>
        </w:numPr>
        <w:tabs>
          <w:tab w:pos="1780" w:val="left" w:leader="none"/>
        </w:tabs>
        <w:spacing w:line="240" w:lineRule="auto" w:before="22" w:after="0"/>
        <w:ind w:left="1780" w:right="0" w:hanging="361"/>
        <w:jc w:val="left"/>
        <w:rPr>
          <w:rFonts w:ascii="Times New Roman"/>
        </w:rPr>
      </w:pPr>
      <w:r>
        <w:rPr>
          <w:rFonts w:ascii="Times New Roman"/>
        </w:rPr>
        <w:t>Include established time limits for periodic reviews to determine if the modification is still necessary or can be</w:t>
      </w:r>
      <w:r>
        <w:rPr>
          <w:rFonts w:ascii="Times New Roman"/>
          <w:spacing w:val="-16"/>
        </w:rPr>
        <w:t> </w:t>
      </w:r>
      <w:r>
        <w:rPr>
          <w:rFonts w:ascii="Times New Roman"/>
        </w:rPr>
        <w:t>ended;</w:t>
      </w:r>
    </w:p>
    <w:p>
      <w:pPr>
        <w:pStyle w:val="Heading4"/>
        <w:numPr>
          <w:ilvl w:val="2"/>
          <w:numId w:val="52"/>
        </w:numPr>
        <w:tabs>
          <w:tab w:pos="1780" w:val="left" w:leader="none"/>
        </w:tabs>
        <w:spacing w:line="240" w:lineRule="auto" w:before="21" w:after="0"/>
        <w:ind w:left="1780" w:right="0" w:hanging="361"/>
        <w:jc w:val="left"/>
        <w:rPr>
          <w:rFonts w:ascii="Times New Roman"/>
        </w:rPr>
      </w:pPr>
      <w:r>
        <w:rPr>
          <w:rFonts w:ascii="Times New Roman"/>
        </w:rPr>
        <w:t>Not cause you harm;</w:t>
      </w:r>
      <w:r>
        <w:rPr>
          <w:rFonts w:ascii="Times New Roman"/>
          <w:spacing w:val="2"/>
        </w:rPr>
        <w:t> </w:t>
      </w:r>
      <w:r>
        <w:rPr>
          <w:rFonts w:ascii="Times New Roman"/>
        </w:rPr>
        <w:t>and</w:t>
      </w:r>
    </w:p>
    <w:p>
      <w:pPr>
        <w:pStyle w:val="Heading4"/>
        <w:numPr>
          <w:ilvl w:val="2"/>
          <w:numId w:val="52"/>
        </w:numPr>
        <w:tabs>
          <w:tab w:pos="1780" w:val="left" w:leader="none"/>
        </w:tabs>
        <w:spacing w:line="240" w:lineRule="auto" w:before="22" w:after="0"/>
        <w:ind w:left="1780" w:right="0" w:hanging="361"/>
        <w:jc w:val="left"/>
        <w:rPr>
          <w:rFonts w:ascii="Times New Roman"/>
        </w:rPr>
      </w:pPr>
      <w:r>
        <w:rPr>
          <w:rFonts w:ascii="Times New Roman"/>
        </w:rPr>
        <w:t>Include your informed consent of the modification documented by your signature on your person-centered service</w:t>
      </w:r>
      <w:r>
        <w:rPr>
          <w:rFonts w:ascii="Times New Roman"/>
          <w:spacing w:val="-7"/>
        </w:rPr>
        <w:t> </w:t>
      </w:r>
      <w:r>
        <w:rPr>
          <w:rFonts w:ascii="Times New Roman"/>
        </w:rPr>
        <w:t>plan.</w:t>
      </w: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r>
        <w:rPr/>
        <w:pict>
          <v:shape style="position:absolute;margin-left:70.559998pt;margin-top:18.808657pt;width:650.9pt;height:.1pt;mso-position-horizontal-relative:page;mso-position-vertical-relative:paragraph;z-index:-251189248;mso-wrap-distance-left:0;mso-wrap-distance-right:0" coordorigin="1411,376" coordsize="13018,0" path="m1411,376l14429,376e" filled="false" stroked="true" strokeweight=".481pt" strokecolor="#d9d9d9">
            <v:path arrowok="t"/>
            <v:stroke dashstyle="solid"/>
            <w10:wrap type="topAndBottom"/>
          </v:shape>
        </w:pict>
      </w:r>
    </w:p>
    <w:p>
      <w:pPr>
        <w:spacing w:after="0"/>
        <w:rPr>
          <w:rFonts w:ascii="Times New Roman"/>
          <w:sz w:val="28"/>
        </w:rPr>
        <w:sectPr>
          <w:footerReference w:type="default" r:id="rId221"/>
          <w:pgSz w:w="15840" w:h="12240" w:orient="landscape"/>
          <w:pgMar w:footer="1002"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261"/>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4"/>
        <w:rPr>
          <w:b/>
          <w:sz w:val="12"/>
        </w:rPr>
      </w:pPr>
    </w:p>
    <w:p>
      <w:pPr>
        <w:pStyle w:val="Heading2"/>
        <w:ind w:left="2921" w:right="2955"/>
      </w:pPr>
      <w:bookmarkStart w:name="Public Notification of Revised STP" w:id="239"/>
      <w:bookmarkEnd w:id="239"/>
      <w:r>
        <w:rPr>
          <w:b w:val="0"/>
        </w:rPr>
      </w:r>
      <w:bookmarkStart w:name="_bookmark69" w:id="240"/>
      <w:bookmarkEnd w:id="240"/>
      <w:r>
        <w:rPr>
          <w:b w:val="0"/>
        </w:rPr>
      </w:r>
      <w:r>
        <w:rPr/>
        <w:t>Public Notification of Revised STP</w:t>
      </w:r>
    </w:p>
    <w:p>
      <w:pPr>
        <w:pStyle w:val="BodyText"/>
        <w:rPr>
          <w:b/>
          <w:sz w:val="20"/>
        </w:rPr>
      </w:pPr>
    </w:p>
    <w:p>
      <w:pPr>
        <w:pStyle w:val="BodyText"/>
        <w:rPr>
          <w:b/>
          <w:sz w:val="20"/>
        </w:rPr>
      </w:pPr>
    </w:p>
    <w:p>
      <w:pPr>
        <w:pStyle w:val="BodyText"/>
        <w:spacing w:before="8"/>
        <w:rPr>
          <w:b/>
          <w:sz w:val="10"/>
        </w:rPr>
      </w:pPr>
      <w:r>
        <w:rPr/>
        <w:drawing>
          <wp:anchor distT="0" distB="0" distL="0" distR="0" allowOverlap="1" layoutInCell="1" locked="0" behindDoc="0" simplePos="0" relativeHeight="459">
            <wp:simplePos x="0" y="0"/>
            <wp:positionH relativeFrom="page">
              <wp:posOffset>1371600</wp:posOffset>
            </wp:positionH>
            <wp:positionV relativeFrom="paragraph">
              <wp:posOffset>107862</wp:posOffset>
            </wp:positionV>
            <wp:extent cx="7340546" cy="4752594"/>
            <wp:effectExtent l="0" t="0" r="0" b="0"/>
            <wp:wrapTopAndBottom/>
            <wp:docPr id="63" name="image55.jpeg" descr="Screen Capture STP Posted 3-15-17 "/>
            <wp:cNvGraphicFramePr>
              <a:graphicFrameLocks noChangeAspect="1"/>
            </wp:cNvGraphicFramePr>
            <a:graphic>
              <a:graphicData uri="http://schemas.openxmlformats.org/drawingml/2006/picture">
                <pic:pic>
                  <pic:nvPicPr>
                    <pic:cNvPr id="64" name="image55.jpeg"/>
                    <pic:cNvPicPr/>
                  </pic:nvPicPr>
                  <pic:blipFill>
                    <a:blip r:embed="rId222" cstate="print"/>
                    <a:stretch>
                      <a:fillRect/>
                    </a:stretch>
                  </pic:blipFill>
                  <pic:spPr>
                    <a:xfrm>
                      <a:off x="0" y="0"/>
                      <a:ext cx="7340546" cy="4752594"/>
                    </a:xfrm>
                    <a:prstGeom prst="rect">
                      <a:avLst/>
                    </a:prstGeom>
                  </pic:spPr>
                </pic:pic>
              </a:graphicData>
            </a:graphic>
          </wp:anchor>
        </w:drawing>
      </w:r>
    </w:p>
    <w:p>
      <w:pPr>
        <w:pStyle w:val="BodyText"/>
        <w:rPr>
          <w:b/>
          <w:sz w:val="20"/>
        </w:rPr>
      </w:pPr>
    </w:p>
    <w:p>
      <w:pPr>
        <w:pStyle w:val="BodyText"/>
        <w:rPr>
          <w:b/>
          <w:sz w:val="20"/>
        </w:rPr>
      </w:pPr>
    </w:p>
    <w:p>
      <w:pPr>
        <w:pStyle w:val="BodyText"/>
        <w:spacing w:before="2"/>
        <w:rPr>
          <w:b/>
          <w:sz w:val="19"/>
        </w:rPr>
      </w:pPr>
      <w:r>
        <w:rPr/>
        <w:pict>
          <v:shape style="position:absolute;margin-left:70.559998pt;margin-top:13.922407pt;width:650.9pt;height:.1pt;mso-position-horizontal-relative:page;mso-position-vertical-relative:paragraph;z-index:-251187200;mso-wrap-distance-left:0;mso-wrap-distance-right:0" coordorigin="1411,278" coordsize="13018,0" path="m1411,278l14429,278e" filled="false" stroked="true" strokeweight=".481pt" strokecolor="#d9d9d9">
            <v:path arrowok="t"/>
            <v:stroke dashstyle="solid"/>
            <w10:wrap type="topAndBottom"/>
          </v:shape>
        </w:pict>
      </w:r>
    </w:p>
    <w:p>
      <w:pPr>
        <w:spacing w:after="0"/>
        <w:rPr>
          <w:sz w:val="19"/>
        </w:rPr>
        <w:sectPr>
          <w:pgSz w:w="15840" w:h="12240" w:orient="landscape"/>
          <w:pgMar w:header="0" w:footer="1002"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4"/>
        <w:rPr>
          <w:b/>
          <w:sz w:val="12"/>
        </w:rPr>
      </w:pPr>
    </w:p>
    <w:p>
      <w:pPr>
        <w:spacing w:before="52"/>
        <w:ind w:left="2921" w:right="2955" w:firstLine="0"/>
        <w:jc w:val="center"/>
        <w:rPr>
          <w:b/>
          <w:sz w:val="24"/>
        </w:rPr>
      </w:pPr>
      <w:bookmarkStart w:name="Public Notification of Revised STP" w:id="241"/>
      <w:bookmarkEnd w:id="241"/>
      <w:r>
        <w:rPr/>
      </w:r>
      <w:bookmarkStart w:name="_bookmark70" w:id="242"/>
      <w:bookmarkEnd w:id="242"/>
      <w:r>
        <w:rPr/>
      </w:r>
      <w:r>
        <w:rPr>
          <w:b/>
          <w:sz w:val="24"/>
        </w:rPr>
        <w:t>Public Notification of Revised STP</w:t>
      </w:r>
    </w:p>
    <w:p>
      <w:pPr>
        <w:pStyle w:val="BodyText"/>
        <w:spacing w:before="10"/>
        <w:rPr>
          <w:b/>
          <w:sz w:val="26"/>
        </w:rPr>
      </w:pPr>
      <w:r>
        <w:rPr/>
        <w:drawing>
          <wp:anchor distT="0" distB="0" distL="0" distR="0" allowOverlap="1" layoutInCell="1" locked="0" behindDoc="0" simplePos="0" relativeHeight="461">
            <wp:simplePos x="0" y="0"/>
            <wp:positionH relativeFrom="page">
              <wp:posOffset>1714868</wp:posOffset>
            </wp:positionH>
            <wp:positionV relativeFrom="paragraph">
              <wp:posOffset>233117</wp:posOffset>
            </wp:positionV>
            <wp:extent cx="5679041" cy="2724340"/>
            <wp:effectExtent l="0" t="0" r="0" b="0"/>
            <wp:wrapTopAndBottom/>
            <wp:docPr id="65" name="image56.jpeg"/>
            <wp:cNvGraphicFramePr>
              <a:graphicFrameLocks noChangeAspect="1"/>
            </wp:cNvGraphicFramePr>
            <a:graphic>
              <a:graphicData uri="http://schemas.openxmlformats.org/drawingml/2006/picture">
                <pic:pic>
                  <pic:nvPicPr>
                    <pic:cNvPr id="66" name="image56.jpeg"/>
                    <pic:cNvPicPr/>
                  </pic:nvPicPr>
                  <pic:blipFill>
                    <a:blip r:embed="rId223" cstate="print"/>
                    <a:stretch>
                      <a:fillRect/>
                    </a:stretch>
                  </pic:blipFill>
                  <pic:spPr>
                    <a:xfrm>
                      <a:off x="0" y="0"/>
                      <a:ext cx="5679041" cy="2724340"/>
                    </a:xfrm>
                    <a:prstGeom prst="rect">
                      <a:avLst/>
                    </a:prstGeom>
                  </pic:spPr>
                </pic:pic>
              </a:graphicData>
            </a:graphic>
          </wp:anchor>
        </w:drawing>
      </w:r>
      <w:r>
        <w:rPr/>
        <w:drawing>
          <wp:anchor distT="0" distB="0" distL="0" distR="0" allowOverlap="1" layoutInCell="1" locked="0" behindDoc="0" simplePos="0" relativeHeight="462">
            <wp:simplePos x="0" y="0"/>
            <wp:positionH relativeFrom="page">
              <wp:posOffset>1690936</wp:posOffset>
            </wp:positionH>
            <wp:positionV relativeFrom="paragraph">
              <wp:posOffset>3100026</wp:posOffset>
            </wp:positionV>
            <wp:extent cx="6153989" cy="2334291"/>
            <wp:effectExtent l="0" t="0" r="0" b="0"/>
            <wp:wrapTopAndBottom/>
            <wp:docPr id="67" name="image57.png"/>
            <wp:cNvGraphicFramePr>
              <a:graphicFrameLocks noChangeAspect="1"/>
            </wp:cNvGraphicFramePr>
            <a:graphic>
              <a:graphicData uri="http://schemas.openxmlformats.org/drawingml/2006/picture">
                <pic:pic>
                  <pic:nvPicPr>
                    <pic:cNvPr id="68" name="image57.png"/>
                    <pic:cNvPicPr/>
                  </pic:nvPicPr>
                  <pic:blipFill>
                    <a:blip r:embed="rId224" cstate="print"/>
                    <a:stretch>
                      <a:fillRect/>
                    </a:stretch>
                  </pic:blipFill>
                  <pic:spPr>
                    <a:xfrm>
                      <a:off x="0" y="0"/>
                      <a:ext cx="6153989" cy="2334291"/>
                    </a:xfrm>
                    <a:prstGeom prst="rect">
                      <a:avLst/>
                    </a:prstGeom>
                  </pic:spPr>
                </pic:pic>
              </a:graphicData>
            </a:graphic>
          </wp:anchor>
        </w:drawing>
      </w:r>
      <w:r>
        <w:rPr/>
        <w:pict>
          <v:shape style="position:absolute;margin-left:70.559998pt;margin-top:446.913635pt;width:650.9pt;height:.1pt;mso-position-horizontal-relative:page;mso-position-vertical-relative:paragraph;z-index:-251184128;mso-wrap-distance-left:0;mso-wrap-distance-right:0" coordorigin="1411,8938" coordsize="13018,0" path="m1411,8938l14429,8938e" filled="false" stroked="true" strokeweight=".481pt" strokecolor="#d9d9d9">
            <v:path arrowok="t"/>
            <v:stroke dashstyle="solid"/>
            <w10:wrap type="topAndBottom"/>
          </v:shape>
        </w:pict>
      </w:r>
    </w:p>
    <w:p>
      <w:pPr>
        <w:pStyle w:val="BodyText"/>
        <w:spacing w:before="10"/>
        <w:rPr>
          <w:b/>
          <w:sz w:val="12"/>
        </w:rPr>
      </w:pPr>
    </w:p>
    <w:p>
      <w:pPr>
        <w:pStyle w:val="BodyText"/>
        <w:spacing w:before="2"/>
        <w:rPr>
          <w:b/>
          <w:sz w:val="25"/>
        </w:rPr>
      </w:pPr>
    </w:p>
    <w:p>
      <w:pPr>
        <w:spacing w:after="0"/>
        <w:rPr>
          <w:sz w:val="25"/>
        </w:rPr>
        <w:sectPr>
          <w:pgSz w:w="15840" w:h="12240" w:orient="landscape"/>
          <w:pgMar w:header="0" w:footer="1002"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5"/>
        <w:rPr>
          <w:b/>
          <w:sz w:val="13"/>
        </w:rPr>
      </w:pPr>
      <w:r>
        <w:rPr/>
        <w:drawing>
          <wp:anchor distT="0" distB="0" distL="0" distR="0" allowOverlap="1" layoutInCell="1" locked="0" behindDoc="0" simplePos="0" relativeHeight="464">
            <wp:simplePos x="0" y="0"/>
            <wp:positionH relativeFrom="page">
              <wp:posOffset>1613382</wp:posOffset>
            </wp:positionH>
            <wp:positionV relativeFrom="paragraph">
              <wp:posOffset>129118</wp:posOffset>
            </wp:positionV>
            <wp:extent cx="6427556" cy="3702367"/>
            <wp:effectExtent l="0" t="0" r="0" b="0"/>
            <wp:wrapTopAndBottom/>
            <wp:docPr id="69" name="image58.jpeg"/>
            <wp:cNvGraphicFramePr>
              <a:graphicFrameLocks noChangeAspect="1"/>
            </wp:cNvGraphicFramePr>
            <a:graphic>
              <a:graphicData uri="http://schemas.openxmlformats.org/drawingml/2006/picture">
                <pic:pic>
                  <pic:nvPicPr>
                    <pic:cNvPr id="70" name="image58.jpeg"/>
                    <pic:cNvPicPr/>
                  </pic:nvPicPr>
                  <pic:blipFill>
                    <a:blip r:embed="rId225" cstate="print"/>
                    <a:stretch>
                      <a:fillRect/>
                    </a:stretch>
                  </pic:blipFill>
                  <pic:spPr>
                    <a:xfrm>
                      <a:off x="0" y="0"/>
                      <a:ext cx="6427556" cy="3702367"/>
                    </a:xfrm>
                    <a:prstGeom prst="rect">
                      <a:avLst/>
                    </a:prstGeom>
                  </pic:spPr>
                </pic:pic>
              </a:graphicData>
            </a:graphic>
          </wp:anchor>
        </w:drawing>
      </w:r>
      <w:r>
        <w:rPr/>
        <w:drawing>
          <wp:anchor distT="0" distB="0" distL="0" distR="0" allowOverlap="1" layoutInCell="1" locked="0" behindDoc="0" simplePos="0" relativeHeight="465">
            <wp:simplePos x="0" y="0"/>
            <wp:positionH relativeFrom="page">
              <wp:posOffset>1619184</wp:posOffset>
            </wp:positionH>
            <wp:positionV relativeFrom="paragraph">
              <wp:posOffset>4015496</wp:posOffset>
            </wp:positionV>
            <wp:extent cx="6426019" cy="725424"/>
            <wp:effectExtent l="0" t="0" r="0" b="0"/>
            <wp:wrapTopAndBottom/>
            <wp:docPr id="71" name="image59.png"/>
            <wp:cNvGraphicFramePr>
              <a:graphicFrameLocks noChangeAspect="1"/>
            </wp:cNvGraphicFramePr>
            <a:graphic>
              <a:graphicData uri="http://schemas.openxmlformats.org/drawingml/2006/picture">
                <pic:pic>
                  <pic:nvPicPr>
                    <pic:cNvPr id="72" name="image59.png"/>
                    <pic:cNvPicPr/>
                  </pic:nvPicPr>
                  <pic:blipFill>
                    <a:blip r:embed="rId226" cstate="print"/>
                    <a:stretch>
                      <a:fillRect/>
                    </a:stretch>
                  </pic:blipFill>
                  <pic:spPr>
                    <a:xfrm>
                      <a:off x="0" y="0"/>
                      <a:ext cx="6426019" cy="725424"/>
                    </a:xfrm>
                    <a:prstGeom prst="rect">
                      <a:avLst/>
                    </a:prstGeom>
                  </pic:spPr>
                </pic:pic>
              </a:graphicData>
            </a:graphic>
          </wp:anchor>
        </w:drawing>
      </w:r>
    </w:p>
    <w:p>
      <w:pPr>
        <w:pStyle w:val="BodyText"/>
        <w:spacing w:before="2"/>
        <w:rPr>
          <w:b/>
          <w:sz w:val="18"/>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5"/>
        </w:rPr>
      </w:pPr>
      <w:r>
        <w:rPr/>
        <w:pict>
          <v:shape style="position:absolute;margin-left:70.559998pt;margin-top:11.486218pt;width:650.9pt;height:.1pt;mso-position-horizontal-relative:page;mso-position-vertical-relative:paragraph;z-index:-251181056;mso-wrap-distance-left:0;mso-wrap-distance-right:0" coordorigin="1411,230" coordsize="13018,0" path="m1411,230l14429,230e" filled="false" stroked="true" strokeweight=".481pt" strokecolor="#d9d9d9">
            <v:path arrowok="t"/>
            <v:stroke dashstyle="solid"/>
            <w10:wrap type="topAndBottom"/>
          </v:shape>
        </w:pict>
      </w:r>
    </w:p>
    <w:p>
      <w:pPr>
        <w:spacing w:after="0"/>
        <w:rPr>
          <w:sz w:val="15"/>
        </w:rPr>
        <w:sectPr>
          <w:pgSz w:w="15840" w:h="12240" w:orient="landscape"/>
          <w:pgMar w:header="0" w:footer="1002"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0"/>
        </w:rPr>
      </w:pPr>
    </w:p>
    <w:p>
      <w:pPr>
        <w:pStyle w:val="BodyText"/>
        <w:spacing w:before="10"/>
        <w:rPr>
          <w:b/>
          <w:sz w:val="19"/>
        </w:rPr>
      </w:pPr>
      <w:r>
        <w:rPr/>
        <w:drawing>
          <wp:anchor distT="0" distB="0" distL="0" distR="0" allowOverlap="1" layoutInCell="1" locked="0" behindDoc="0" simplePos="0" relativeHeight="467">
            <wp:simplePos x="0" y="0"/>
            <wp:positionH relativeFrom="page">
              <wp:posOffset>1967881</wp:posOffset>
            </wp:positionH>
            <wp:positionV relativeFrom="paragraph">
              <wp:posOffset>178917</wp:posOffset>
            </wp:positionV>
            <wp:extent cx="6143431" cy="1950243"/>
            <wp:effectExtent l="0" t="0" r="0" b="0"/>
            <wp:wrapTopAndBottom/>
            <wp:docPr id="73" name="image60.jpeg"/>
            <wp:cNvGraphicFramePr>
              <a:graphicFrameLocks noChangeAspect="1"/>
            </wp:cNvGraphicFramePr>
            <a:graphic>
              <a:graphicData uri="http://schemas.openxmlformats.org/drawingml/2006/picture">
                <pic:pic>
                  <pic:nvPicPr>
                    <pic:cNvPr id="74" name="image60.jpeg"/>
                    <pic:cNvPicPr/>
                  </pic:nvPicPr>
                  <pic:blipFill>
                    <a:blip r:embed="rId227" cstate="print"/>
                    <a:stretch>
                      <a:fillRect/>
                    </a:stretch>
                  </pic:blipFill>
                  <pic:spPr>
                    <a:xfrm>
                      <a:off x="0" y="0"/>
                      <a:ext cx="6143431" cy="1950243"/>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2"/>
        </w:rPr>
      </w:pPr>
      <w:r>
        <w:rPr/>
        <w:pict>
          <v:shape style="position:absolute;margin-left:70.559998pt;margin-top:9.617076pt;width:650.9pt;height:.1pt;mso-position-horizontal-relative:page;mso-position-vertical-relative:paragraph;z-index:-251179008;mso-wrap-distance-left:0;mso-wrap-distance-right:0" coordorigin="1411,192" coordsize="13018,0" path="m1411,192l14429,192e" filled="false" stroked="true" strokeweight=".481pt" strokecolor="#d9d9d9">
            <v:path arrowok="t"/>
            <v:stroke dashstyle="solid"/>
            <w10:wrap type="topAndBottom"/>
          </v:shape>
        </w:pict>
      </w:r>
    </w:p>
    <w:p>
      <w:pPr>
        <w:spacing w:after="0"/>
        <w:rPr>
          <w:sz w:val="12"/>
        </w:rPr>
        <w:sectPr>
          <w:pgSz w:w="15840" w:h="12240" w:orient="landscape"/>
          <w:pgMar w:header="0" w:footer="1002"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4"/>
        <w:rPr>
          <w:b/>
          <w:sz w:val="12"/>
        </w:rPr>
      </w:pPr>
    </w:p>
    <w:p>
      <w:pPr>
        <w:spacing w:before="52"/>
        <w:ind w:left="2919" w:right="2957" w:firstLine="0"/>
        <w:jc w:val="center"/>
        <w:rPr>
          <w:b/>
          <w:sz w:val="24"/>
        </w:rPr>
      </w:pPr>
      <w:bookmarkStart w:name="STP Tribal Notification Letter" w:id="243"/>
      <w:bookmarkEnd w:id="243"/>
      <w:r>
        <w:rPr/>
      </w:r>
      <w:bookmarkStart w:name="_bookmark71" w:id="244"/>
      <w:bookmarkEnd w:id="244"/>
      <w:r>
        <w:rPr/>
      </w:r>
      <w:r>
        <w:rPr>
          <w:b/>
          <w:sz w:val="24"/>
        </w:rPr>
        <w:t>STP Tribal Notification Letter</w:t>
      </w:r>
    </w:p>
    <w:p>
      <w:pPr>
        <w:pStyle w:val="BodyText"/>
        <w:spacing w:before="10"/>
        <w:rPr>
          <w:b/>
          <w:sz w:val="24"/>
        </w:rPr>
      </w:pPr>
      <w:r>
        <w:rPr/>
        <w:drawing>
          <wp:anchor distT="0" distB="0" distL="0" distR="0" allowOverlap="1" layoutInCell="1" locked="0" behindDoc="0" simplePos="0" relativeHeight="469">
            <wp:simplePos x="0" y="0"/>
            <wp:positionH relativeFrom="page">
              <wp:posOffset>1371600</wp:posOffset>
            </wp:positionH>
            <wp:positionV relativeFrom="paragraph">
              <wp:posOffset>217565</wp:posOffset>
            </wp:positionV>
            <wp:extent cx="5703584" cy="4824793"/>
            <wp:effectExtent l="0" t="0" r="0" b="0"/>
            <wp:wrapTopAndBottom/>
            <wp:docPr id="75" name="image61.jpeg"/>
            <wp:cNvGraphicFramePr>
              <a:graphicFrameLocks noChangeAspect="1"/>
            </wp:cNvGraphicFramePr>
            <a:graphic>
              <a:graphicData uri="http://schemas.openxmlformats.org/drawingml/2006/picture">
                <pic:pic>
                  <pic:nvPicPr>
                    <pic:cNvPr id="76" name="image61.jpeg"/>
                    <pic:cNvPicPr/>
                  </pic:nvPicPr>
                  <pic:blipFill>
                    <a:blip r:embed="rId228" cstate="print"/>
                    <a:stretch>
                      <a:fillRect/>
                    </a:stretch>
                  </pic:blipFill>
                  <pic:spPr>
                    <a:xfrm>
                      <a:off x="0" y="0"/>
                      <a:ext cx="5703584" cy="4824793"/>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9"/>
        <w:rPr>
          <w:b/>
          <w:sz w:val="15"/>
        </w:rPr>
      </w:pPr>
      <w:r>
        <w:rPr/>
        <w:pict>
          <v:shape style="position:absolute;margin-left:70.559998pt;margin-top:11.806406pt;width:650.9pt;height:.1pt;mso-position-horizontal-relative:page;mso-position-vertical-relative:paragraph;z-index:-251176960;mso-wrap-distance-left:0;mso-wrap-distance-right:0" coordorigin="1411,236" coordsize="13018,0" path="m1411,236l14429,236e" filled="false" stroked="true" strokeweight=".481pt" strokecolor="#d9d9d9">
            <v:path arrowok="t"/>
            <v:stroke dashstyle="solid"/>
            <w10:wrap type="topAndBottom"/>
          </v:shape>
        </w:pict>
      </w:r>
    </w:p>
    <w:p>
      <w:pPr>
        <w:spacing w:after="0"/>
        <w:rPr>
          <w:sz w:val="15"/>
        </w:rPr>
        <w:sectPr>
          <w:pgSz w:w="15840" w:h="12240" w:orient="landscape"/>
          <w:pgMar w:header="0" w:footer="1002"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0"/>
        </w:rPr>
      </w:pPr>
    </w:p>
    <w:p>
      <w:pPr>
        <w:pStyle w:val="BodyText"/>
        <w:spacing w:before="10"/>
        <w:rPr>
          <w:b/>
          <w:sz w:val="17"/>
        </w:rPr>
      </w:pPr>
      <w:r>
        <w:rPr/>
        <w:drawing>
          <wp:anchor distT="0" distB="0" distL="0" distR="0" allowOverlap="1" layoutInCell="1" locked="0" behindDoc="0" simplePos="0" relativeHeight="471">
            <wp:simplePos x="0" y="0"/>
            <wp:positionH relativeFrom="page">
              <wp:posOffset>1371600</wp:posOffset>
            </wp:positionH>
            <wp:positionV relativeFrom="paragraph">
              <wp:posOffset>163207</wp:posOffset>
            </wp:positionV>
            <wp:extent cx="5773215" cy="4939474"/>
            <wp:effectExtent l="0" t="0" r="0" b="0"/>
            <wp:wrapTopAndBottom/>
            <wp:docPr id="77" name="image62.jpeg"/>
            <wp:cNvGraphicFramePr>
              <a:graphicFrameLocks noChangeAspect="1"/>
            </wp:cNvGraphicFramePr>
            <a:graphic>
              <a:graphicData uri="http://schemas.openxmlformats.org/drawingml/2006/picture">
                <pic:pic>
                  <pic:nvPicPr>
                    <pic:cNvPr id="78" name="image62.jpeg"/>
                    <pic:cNvPicPr/>
                  </pic:nvPicPr>
                  <pic:blipFill>
                    <a:blip r:embed="rId229" cstate="print"/>
                    <a:stretch>
                      <a:fillRect/>
                    </a:stretch>
                  </pic:blipFill>
                  <pic:spPr>
                    <a:xfrm>
                      <a:off x="0" y="0"/>
                      <a:ext cx="5773215" cy="4939474"/>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6"/>
        <w:rPr>
          <w:b/>
          <w:sz w:val="28"/>
        </w:rPr>
      </w:pPr>
      <w:r>
        <w:rPr/>
        <w:pict>
          <v:shape style="position:absolute;margin-left:70.559998pt;margin-top:19.622208pt;width:650.9pt;height:.1pt;mso-position-horizontal-relative:page;mso-position-vertical-relative:paragraph;z-index:-251174912;mso-wrap-distance-left:0;mso-wrap-distance-right:0" coordorigin="1411,392" coordsize="13018,0" path="m1411,392l14429,392e" filled="false" stroked="true" strokeweight=".481pt" strokecolor="#d9d9d9">
            <v:path arrowok="t"/>
            <v:stroke dashstyle="solid"/>
            <w10:wrap type="topAndBottom"/>
          </v:shape>
        </w:pict>
      </w:r>
    </w:p>
    <w:p>
      <w:pPr>
        <w:spacing w:after="0"/>
        <w:rPr>
          <w:sz w:val="28"/>
        </w:rPr>
        <w:sectPr>
          <w:pgSz w:w="15840" w:h="12240" w:orient="landscape"/>
          <w:pgMar w:header="0" w:footer="1002"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rPr>
          <w:b/>
          <w:sz w:val="20"/>
        </w:rPr>
      </w:pPr>
    </w:p>
    <w:p>
      <w:pPr>
        <w:pStyle w:val="BodyText"/>
        <w:spacing w:before="10"/>
        <w:rPr>
          <w:b/>
          <w:sz w:val="17"/>
        </w:rPr>
      </w:pPr>
      <w:r>
        <w:rPr/>
        <w:drawing>
          <wp:anchor distT="0" distB="0" distL="0" distR="0" allowOverlap="1" layoutInCell="1" locked="0" behindDoc="0" simplePos="0" relativeHeight="473">
            <wp:simplePos x="0" y="0"/>
            <wp:positionH relativeFrom="page">
              <wp:posOffset>1371600</wp:posOffset>
            </wp:positionH>
            <wp:positionV relativeFrom="paragraph">
              <wp:posOffset>163208</wp:posOffset>
            </wp:positionV>
            <wp:extent cx="5767705" cy="4931283"/>
            <wp:effectExtent l="0" t="0" r="0" b="0"/>
            <wp:wrapTopAndBottom/>
            <wp:docPr id="79" name="image63.jpeg"/>
            <wp:cNvGraphicFramePr>
              <a:graphicFrameLocks noChangeAspect="1"/>
            </wp:cNvGraphicFramePr>
            <a:graphic>
              <a:graphicData uri="http://schemas.openxmlformats.org/drawingml/2006/picture">
                <pic:pic>
                  <pic:nvPicPr>
                    <pic:cNvPr id="80" name="image63.jpeg"/>
                    <pic:cNvPicPr/>
                  </pic:nvPicPr>
                  <pic:blipFill>
                    <a:blip r:embed="rId230" cstate="print"/>
                    <a:stretch>
                      <a:fillRect/>
                    </a:stretch>
                  </pic:blipFill>
                  <pic:spPr>
                    <a:xfrm>
                      <a:off x="0" y="0"/>
                      <a:ext cx="5767705" cy="4931283"/>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7"/>
        <w:rPr>
          <w:b/>
          <w:sz w:val="29"/>
        </w:rPr>
      </w:pPr>
      <w:r>
        <w:rPr/>
        <w:pict>
          <v:shape style="position:absolute;margin-left:70.559998pt;margin-top:20.267147pt;width:650.9pt;height:.1pt;mso-position-horizontal-relative:page;mso-position-vertical-relative:paragraph;z-index:-251172864;mso-wrap-distance-left:0;mso-wrap-distance-right:0" coordorigin="1411,405" coordsize="13018,0" path="m1411,405l14429,405e" filled="false" stroked="true" strokeweight=".481pt" strokecolor="#d9d9d9">
            <v:path arrowok="t"/>
            <v:stroke dashstyle="solid"/>
            <w10:wrap type="topAndBottom"/>
          </v:shape>
        </w:pict>
      </w:r>
    </w:p>
    <w:p>
      <w:pPr>
        <w:spacing w:after="0"/>
        <w:rPr>
          <w:sz w:val="29"/>
        </w:rPr>
        <w:sectPr>
          <w:pgSz w:w="15840" w:h="12240" w:orient="landscape"/>
          <w:pgMar w:header="0" w:footer="1002"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4"/>
        <w:rPr>
          <w:b/>
          <w:sz w:val="12"/>
        </w:rPr>
      </w:pPr>
    </w:p>
    <w:p>
      <w:pPr>
        <w:spacing w:before="52"/>
        <w:ind w:left="2921" w:right="2957" w:firstLine="0"/>
        <w:jc w:val="center"/>
        <w:rPr>
          <w:b/>
          <w:sz w:val="24"/>
        </w:rPr>
      </w:pPr>
      <w:bookmarkStart w:name="Notification to post HCBS Transition Pla" w:id="245"/>
      <w:bookmarkEnd w:id="245"/>
      <w:r>
        <w:rPr/>
      </w:r>
      <w:bookmarkStart w:name="_bookmark72" w:id="246"/>
      <w:bookmarkEnd w:id="246"/>
      <w:r>
        <w:rPr/>
      </w:r>
      <w:r>
        <w:rPr>
          <w:b/>
          <w:sz w:val="24"/>
        </w:rPr>
        <w:t>Notification to post HCBS Transition Plan Flyer</w:t>
      </w:r>
    </w:p>
    <w:p>
      <w:pPr>
        <w:pStyle w:val="BodyText"/>
        <w:rPr>
          <w:b/>
          <w:sz w:val="9"/>
        </w:rPr>
      </w:pPr>
      <w:r>
        <w:rPr/>
        <w:drawing>
          <wp:anchor distT="0" distB="0" distL="0" distR="0" allowOverlap="1" layoutInCell="1" locked="0" behindDoc="0" simplePos="0" relativeHeight="475">
            <wp:simplePos x="0" y="0"/>
            <wp:positionH relativeFrom="page">
              <wp:posOffset>1868940</wp:posOffset>
            </wp:positionH>
            <wp:positionV relativeFrom="paragraph">
              <wp:posOffset>95134</wp:posOffset>
            </wp:positionV>
            <wp:extent cx="4142716" cy="2016252"/>
            <wp:effectExtent l="0" t="0" r="0" b="0"/>
            <wp:wrapTopAndBottom/>
            <wp:docPr id="81" name="image64.png" descr="HCS MB heading "/>
            <wp:cNvGraphicFramePr>
              <a:graphicFrameLocks noChangeAspect="1"/>
            </wp:cNvGraphicFramePr>
            <a:graphic>
              <a:graphicData uri="http://schemas.openxmlformats.org/drawingml/2006/picture">
                <pic:pic>
                  <pic:nvPicPr>
                    <pic:cNvPr id="82" name="image64.png"/>
                    <pic:cNvPicPr/>
                  </pic:nvPicPr>
                  <pic:blipFill>
                    <a:blip r:embed="rId231" cstate="print"/>
                    <a:stretch>
                      <a:fillRect/>
                    </a:stretch>
                  </pic:blipFill>
                  <pic:spPr>
                    <a:xfrm>
                      <a:off x="0" y="0"/>
                      <a:ext cx="4142716" cy="2016252"/>
                    </a:xfrm>
                    <a:prstGeom prst="rect">
                      <a:avLst/>
                    </a:prstGeom>
                  </pic:spPr>
                </pic:pic>
              </a:graphicData>
            </a:graphic>
          </wp:anchor>
        </w:drawing>
      </w:r>
    </w:p>
    <w:p>
      <w:pPr>
        <w:pStyle w:val="Heading8"/>
        <w:spacing w:line="453" w:lineRule="auto" w:before="200"/>
        <w:ind w:left="6479" w:right="6517"/>
        <w:jc w:val="center"/>
      </w:pPr>
      <w:r>
        <w:rPr/>
        <w:t>H17- 011 – Information March 01, 2017</w:t>
      </w:r>
    </w:p>
    <w:p>
      <w:pPr>
        <w:pStyle w:val="BodyText"/>
        <w:spacing w:before="1"/>
        <w:rPr>
          <w:b/>
          <w:sz w:val="12"/>
        </w:rPr>
      </w:pPr>
    </w:p>
    <w:tbl>
      <w:tblPr>
        <w:tblW w:w="0" w:type="auto"/>
        <w:jc w:val="left"/>
        <w:tblInd w:w="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9"/>
        <w:gridCol w:w="11598"/>
      </w:tblGrid>
      <w:tr>
        <w:trPr>
          <w:trHeight w:val="883" w:hRule="atLeast"/>
        </w:trPr>
        <w:tc>
          <w:tcPr>
            <w:tcW w:w="1769" w:type="dxa"/>
          </w:tcPr>
          <w:p>
            <w:pPr>
              <w:pStyle w:val="TableParagraph"/>
              <w:spacing w:line="225" w:lineRule="exact"/>
              <w:ind w:left="200"/>
              <w:rPr>
                <w:b/>
                <w:sz w:val="22"/>
              </w:rPr>
            </w:pPr>
            <w:r>
              <w:rPr>
                <w:b/>
                <w:sz w:val="22"/>
              </w:rPr>
              <w:t>TO:</w:t>
            </w:r>
          </w:p>
        </w:tc>
        <w:tc>
          <w:tcPr>
            <w:tcW w:w="11598" w:type="dxa"/>
          </w:tcPr>
          <w:p>
            <w:pPr>
              <w:pStyle w:val="TableParagraph"/>
              <w:spacing w:line="225" w:lineRule="exact"/>
              <w:ind w:left="643"/>
              <w:rPr>
                <w:sz w:val="22"/>
              </w:rPr>
            </w:pPr>
            <w:r>
              <w:rPr>
                <w:sz w:val="22"/>
              </w:rPr>
              <w:t>Area Agency on Aging (AAA) Directors</w:t>
            </w:r>
          </w:p>
          <w:p>
            <w:pPr>
              <w:pStyle w:val="TableParagraph"/>
              <w:ind w:left="643" w:right="4392"/>
              <w:rPr>
                <w:sz w:val="22"/>
              </w:rPr>
            </w:pPr>
            <w:r>
              <w:rPr>
                <w:sz w:val="22"/>
              </w:rPr>
              <w:t>Home and Community Services (HCS) Division Regional Administrators Developmental Disabilities Administration (DDA) Regional Administrators</w:t>
            </w:r>
          </w:p>
        </w:tc>
      </w:tr>
      <w:tr>
        <w:trPr>
          <w:trHeight w:val="1008" w:hRule="atLeast"/>
        </w:trPr>
        <w:tc>
          <w:tcPr>
            <w:tcW w:w="1769" w:type="dxa"/>
          </w:tcPr>
          <w:p>
            <w:pPr>
              <w:pStyle w:val="TableParagraph"/>
              <w:spacing w:before="81"/>
              <w:ind w:left="200"/>
              <w:rPr>
                <w:b/>
                <w:sz w:val="22"/>
              </w:rPr>
            </w:pPr>
            <w:r>
              <w:rPr>
                <w:b/>
                <w:sz w:val="22"/>
              </w:rPr>
              <w:t>FROM:</w:t>
            </w:r>
          </w:p>
        </w:tc>
        <w:tc>
          <w:tcPr>
            <w:tcW w:w="11598" w:type="dxa"/>
          </w:tcPr>
          <w:p>
            <w:pPr>
              <w:pStyle w:val="TableParagraph"/>
              <w:spacing w:before="81"/>
              <w:ind w:left="643" w:right="4640"/>
              <w:rPr>
                <w:sz w:val="22"/>
              </w:rPr>
            </w:pPr>
            <w:r>
              <w:rPr>
                <w:sz w:val="22"/>
              </w:rPr>
              <w:t>Bea Rector, Director, Home and Community Services Division, ALTSA Don Clintsman, Deputy Assistant Secretary, Developmental Disabilities Administration</w:t>
            </w:r>
          </w:p>
        </w:tc>
      </w:tr>
      <w:tr>
        <w:trPr>
          <w:trHeight w:val="787" w:hRule="atLeast"/>
        </w:trPr>
        <w:tc>
          <w:tcPr>
            <w:tcW w:w="1769" w:type="dxa"/>
          </w:tcPr>
          <w:p>
            <w:pPr>
              <w:pStyle w:val="TableParagraph"/>
              <w:spacing w:before="81"/>
              <w:ind w:left="200"/>
              <w:rPr>
                <w:b/>
                <w:sz w:val="22"/>
              </w:rPr>
            </w:pPr>
            <w:r>
              <w:rPr>
                <w:b/>
                <w:sz w:val="22"/>
              </w:rPr>
              <w:t>SUBJECT:</w:t>
            </w:r>
          </w:p>
        </w:tc>
        <w:tc>
          <w:tcPr>
            <w:tcW w:w="11598" w:type="dxa"/>
          </w:tcPr>
          <w:p>
            <w:pPr>
              <w:pStyle w:val="TableParagraph"/>
              <w:spacing w:before="81"/>
              <w:ind w:left="643" w:right="3677"/>
              <w:rPr>
                <w:b/>
                <w:i/>
                <w:sz w:val="24"/>
              </w:rPr>
            </w:pPr>
            <w:bookmarkStart w:name="Requirement to post flyer regarding publ" w:id="247"/>
            <w:bookmarkEnd w:id="247"/>
            <w:r>
              <w:rPr/>
            </w:r>
            <w:r>
              <w:rPr>
                <w:b/>
                <w:i/>
                <w:color w:val="EF7E08"/>
                <w:sz w:val="24"/>
              </w:rPr>
              <w:t>Requirement to post flyer regarding public input to the revised statewide </w:t>
            </w:r>
            <w:r>
              <w:rPr>
                <w:b/>
                <w:i/>
                <w:color w:val="EF7E08"/>
                <w:sz w:val="24"/>
              </w:rPr>
              <w:t>HCBS rules transition plan.</w:t>
            </w:r>
          </w:p>
        </w:tc>
      </w:tr>
      <w:tr>
        <w:trPr>
          <w:trHeight w:val="1538" w:hRule="atLeast"/>
        </w:trPr>
        <w:tc>
          <w:tcPr>
            <w:tcW w:w="1769" w:type="dxa"/>
            <w:tcBorders>
              <w:bottom w:val="single" w:sz="4" w:space="0" w:color="D9D9D9"/>
            </w:tcBorders>
          </w:tcPr>
          <w:p>
            <w:pPr>
              <w:pStyle w:val="TableParagraph"/>
              <w:spacing w:before="81"/>
              <w:ind w:left="200"/>
              <w:rPr>
                <w:b/>
                <w:sz w:val="22"/>
              </w:rPr>
            </w:pPr>
            <w:r>
              <w:rPr>
                <w:b/>
                <w:sz w:val="22"/>
              </w:rPr>
              <w:t>PURPOSE:</w:t>
            </w:r>
          </w:p>
        </w:tc>
        <w:tc>
          <w:tcPr>
            <w:tcW w:w="11598" w:type="dxa"/>
            <w:tcBorders>
              <w:bottom w:val="single" w:sz="4" w:space="0" w:color="D9D9D9"/>
            </w:tcBorders>
          </w:tcPr>
          <w:p>
            <w:pPr>
              <w:pStyle w:val="TableParagraph"/>
              <w:spacing w:before="81"/>
              <w:ind w:left="643" w:right="3547"/>
              <w:rPr>
                <w:sz w:val="22"/>
              </w:rPr>
            </w:pPr>
            <w:r>
              <w:rPr>
                <w:sz w:val="22"/>
              </w:rPr>
              <w:t>To inform HCS/DDA/ and AAA offices of the requirement to post the attached flyer in the client waiting area of each AAA, HCS, and DDA office. The flyer informs clients and the public about the public comment process for the statewide home and community based setting transition plan. The statewide transition plan was revised based on CMS feedback, and must be posted for public input.</w:t>
            </w:r>
          </w:p>
        </w:tc>
      </w:tr>
    </w:tbl>
    <w:p>
      <w:pPr>
        <w:spacing w:after="0"/>
        <w:rPr>
          <w:sz w:val="22"/>
        </w:rPr>
        <w:sectPr>
          <w:pgSz w:w="15840" w:h="12240" w:orient="landscape"/>
          <w:pgMar w:header="0" w:footer="1002"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pict>
          <v:line style="position:absolute;mso-position-horizontal-relative:page;mso-position-vertical-relative:page;z-index:252145664" from="70.559998pt,547.919495pt" to="721.439998pt,547.919495pt" stroked="true" strokeweight=".481pt" strokecolor="#d9d9d9">
            <v:stroke dashstyle="solid"/>
            <w10:wrap type="none"/>
          </v:line>
        </w:pict>
      </w: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5"/>
        <w:rPr>
          <w:b/>
          <w:sz w:val="28"/>
        </w:rPr>
      </w:pPr>
    </w:p>
    <w:tbl>
      <w:tblPr>
        <w:tblW w:w="0" w:type="auto"/>
        <w:jc w:val="left"/>
        <w:tblInd w:w="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5"/>
        <w:gridCol w:w="7972"/>
      </w:tblGrid>
      <w:tr>
        <w:trPr>
          <w:trHeight w:val="1955" w:hRule="atLeast"/>
        </w:trPr>
        <w:tc>
          <w:tcPr>
            <w:tcW w:w="2105" w:type="dxa"/>
          </w:tcPr>
          <w:p>
            <w:pPr>
              <w:pStyle w:val="TableParagraph"/>
              <w:spacing w:line="225" w:lineRule="exact"/>
              <w:ind w:left="200"/>
              <w:rPr>
                <w:b/>
                <w:sz w:val="22"/>
              </w:rPr>
            </w:pPr>
            <w:r>
              <w:rPr>
                <w:b/>
                <w:sz w:val="22"/>
              </w:rPr>
              <w:t>BACKGROUND:</w:t>
            </w:r>
          </w:p>
        </w:tc>
        <w:tc>
          <w:tcPr>
            <w:tcW w:w="7972" w:type="dxa"/>
          </w:tcPr>
          <w:p>
            <w:pPr>
              <w:pStyle w:val="TableParagraph"/>
              <w:spacing w:line="225" w:lineRule="exact"/>
              <w:ind w:left="307"/>
              <w:rPr>
                <w:sz w:val="22"/>
              </w:rPr>
            </w:pPr>
            <w:r>
              <w:rPr>
                <w:sz w:val="22"/>
              </w:rPr>
              <w:t>A final federal rule, published in January 2014, created requirements for home and</w:t>
            </w:r>
          </w:p>
          <w:p>
            <w:pPr>
              <w:pStyle w:val="TableParagraph"/>
              <w:ind w:left="307" w:right="259"/>
              <w:rPr>
                <w:sz w:val="22"/>
              </w:rPr>
            </w:pPr>
            <w:r>
              <w:rPr>
                <w:sz w:val="22"/>
              </w:rPr>
              <w:t>community based settings (HCBS) in Medicaid funded home and community based settings. The rule provides the characteristics of settings that are considered to be home and community based as well as settings that may not be home and community based. States were required to submit a statewide transition plan to CMS that covers all of the State’s Medicaid programs. DSHS submitted Washington’s statewide transition plan to CMS on March 11, 2015.</w:t>
            </w:r>
          </w:p>
        </w:tc>
      </w:tr>
      <w:tr>
        <w:trPr>
          <w:trHeight w:val="2712" w:hRule="atLeast"/>
        </w:trPr>
        <w:tc>
          <w:tcPr>
            <w:tcW w:w="2105" w:type="dxa"/>
          </w:tcPr>
          <w:p>
            <w:pPr>
              <w:pStyle w:val="TableParagraph"/>
              <w:spacing w:line="273" w:lineRule="auto" w:before="83"/>
              <w:ind w:left="200" w:right="585"/>
              <w:rPr>
                <w:b/>
                <w:sz w:val="22"/>
              </w:rPr>
            </w:pPr>
            <w:r>
              <w:rPr>
                <w:b/>
                <w:sz w:val="22"/>
              </w:rPr>
              <w:t>WHAT’S NEW, CHANGED, OR</w:t>
            </w:r>
          </w:p>
          <w:p>
            <w:pPr>
              <w:pStyle w:val="TableParagraph"/>
              <w:spacing w:before="8"/>
              <w:rPr>
                <w:b/>
                <w:sz w:val="16"/>
              </w:rPr>
            </w:pPr>
          </w:p>
          <w:p>
            <w:pPr>
              <w:pStyle w:val="TableParagraph"/>
              <w:ind w:left="200"/>
              <w:rPr>
                <w:b/>
                <w:sz w:val="22"/>
              </w:rPr>
            </w:pPr>
            <w:r>
              <w:rPr>
                <w:b/>
                <w:sz w:val="22"/>
              </w:rPr>
              <w:t>CLARIFIED</w:t>
            </w:r>
          </w:p>
        </w:tc>
        <w:tc>
          <w:tcPr>
            <w:tcW w:w="7972" w:type="dxa"/>
          </w:tcPr>
          <w:p>
            <w:pPr>
              <w:pStyle w:val="TableParagraph"/>
              <w:spacing w:before="81"/>
              <w:ind w:left="307" w:right="182"/>
              <w:rPr>
                <w:sz w:val="22"/>
              </w:rPr>
            </w:pPr>
            <w:r>
              <w:rPr>
                <w:sz w:val="22"/>
              </w:rPr>
              <w:t>DSHS received initial approval of the plan on November 4, 2016 and has revised the statewide transition plan based on CMS feedback.</w:t>
            </w:r>
          </w:p>
          <w:p>
            <w:pPr>
              <w:pStyle w:val="TableParagraph"/>
              <w:spacing w:line="276" w:lineRule="auto"/>
              <w:ind w:left="307" w:right="264"/>
              <w:rPr>
                <w:sz w:val="22"/>
              </w:rPr>
            </w:pPr>
            <w:r>
              <w:rPr>
                <w:sz w:val="22"/>
              </w:rPr>
              <w:t>DSHS is seeking public input on the revised plan. The public comment period for the statewide transition plan is March 15, 2017 through April 14, 2017. The attached notice provides information on how to provide comments and/or receive a paper copy of the plan from ALTSA headquarters.</w:t>
            </w:r>
          </w:p>
          <w:p>
            <w:pPr>
              <w:pStyle w:val="TableParagraph"/>
              <w:spacing w:before="4"/>
              <w:rPr>
                <w:b/>
                <w:sz w:val="16"/>
              </w:rPr>
            </w:pPr>
          </w:p>
          <w:p>
            <w:pPr>
              <w:pStyle w:val="TableParagraph"/>
              <w:spacing w:before="1"/>
              <w:ind w:left="307" w:right="1133"/>
              <w:rPr>
                <w:sz w:val="22"/>
              </w:rPr>
            </w:pPr>
            <w:r>
              <w:rPr>
                <w:sz w:val="22"/>
              </w:rPr>
              <w:t>The revised statewide transition plan is available on the DSHS website at: https://</w:t>
            </w:r>
            <w:hyperlink r:id="rId233">
              <w:r>
                <w:rPr>
                  <w:sz w:val="22"/>
                </w:rPr>
                <w:t>www.dshs.wa.gov/altsa/hcbs-statewide-draft-transition-plan.</w:t>
              </w:r>
            </w:hyperlink>
          </w:p>
        </w:tc>
      </w:tr>
      <w:tr>
        <w:trPr>
          <w:trHeight w:val="2026" w:hRule="atLeast"/>
        </w:trPr>
        <w:tc>
          <w:tcPr>
            <w:tcW w:w="2105" w:type="dxa"/>
          </w:tcPr>
          <w:p>
            <w:pPr>
              <w:pStyle w:val="TableParagraph"/>
              <w:spacing w:before="81"/>
              <w:ind w:left="200"/>
              <w:rPr>
                <w:b/>
                <w:sz w:val="22"/>
              </w:rPr>
            </w:pPr>
            <w:r>
              <w:rPr>
                <w:b/>
                <w:sz w:val="22"/>
              </w:rPr>
              <w:t>ACTION:</w:t>
            </w:r>
          </w:p>
        </w:tc>
        <w:tc>
          <w:tcPr>
            <w:tcW w:w="7972" w:type="dxa"/>
          </w:tcPr>
          <w:p>
            <w:pPr>
              <w:pStyle w:val="TableParagraph"/>
              <w:spacing w:line="276" w:lineRule="auto" w:before="81"/>
              <w:ind w:left="307" w:right="301"/>
              <w:rPr>
                <w:b/>
                <w:sz w:val="22"/>
              </w:rPr>
            </w:pPr>
            <w:r>
              <w:rPr>
                <w:b/>
                <w:sz w:val="22"/>
              </w:rPr>
              <w:t>In order to meet the federal requirements, each AAA, HCS, and DDA office is required to post this flyer in your public waiting area from 8:00 am on March 15, 2017 through 5:00 pm on April 14, 2017.</w:t>
            </w:r>
          </w:p>
          <w:p>
            <w:pPr>
              <w:pStyle w:val="TableParagraph"/>
              <w:spacing w:before="6"/>
              <w:rPr>
                <w:b/>
                <w:sz w:val="16"/>
              </w:rPr>
            </w:pPr>
          </w:p>
          <w:p>
            <w:pPr>
              <w:pStyle w:val="TableParagraph"/>
              <w:spacing w:line="273" w:lineRule="auto"/>
              <w:ind w:left="307" w:right="903"/>
              <w:rPr>
                <w:b/>
                <w:sz w:val="22"/>
              </w:rPr>
            </w:pPr>
            <w:r>
              <w:rPr>
                <w:b/>
                <w:sz w:val="22"/>
              </w:rPr>
              <w:t>Please remove the flyer from the AAA, HCS, and DDA office at the close of business on April 14, 2017.</w:t>
            </w:r>
          </w:p>
        </w:tc>
      </w:tr>
      <w:tr>
        <w:trPr>
          <w:trHeight w:val="1529" w:hRule="atLeast"/>
        </w:trPr>
        <w:tc>
          <w:tcPr>
            <w:tcW w:w="2105" w:type="dxa"/>
          </w:tcPr>
          <w:p>
            <w:pPr>
              <w:pStyle w:val="TableParagraph"/>
              <w:spacing w:before="6"/>
              <w:rPr>
                <w:b/>
                <w:sz w:val="16"/>
              </w:rPr>
            </w:pPr>
          </w:p>
          <w:p>
            <w:pPr>
              <w:pStyle w:val="TableParagraph"/>
              <w:spacing w:line="453" w:lineRule="auto" w:before="1"/>
              <w:ind w:left="200" w:right="681"/>
              <w:rPr>
                <w:b/>
                <w:sz w:val="22"/>
              </w:rPr>
            </w:pPr>
            <w:r>
              <w:rPr>
                <w:b/>
                <w:sz w:val="22"/>
              </w:rPr>
              <w:t>RELATED REFERENCES:</w:t>
            </w:r>
          </w:p>
        </w:tc>
        <w:tc>
          <w:tcPr>
            <w:tcW w:w="7972" w:type="dxa"/>
          </w:tcPr>
          <w:p>
            <w:pPr>
              <w:pStyle w:val="TableParagraph"/>
              <w:spacing w:before="6"/>
              <w:rPr>
                <w:b/>
                <w:sz w:val="16"/>
              </w:rPr>
            </w:pPr>
          </w:p>
          <w:p>
            <w:pPr>
              <w:pStyle w:val="TableParagraph"/>
              <w:spacing w:before="1"/>
              <w:ind w:left="307"/>
              <w:rPr>
                <w:sz w:val="22"/>
              </w:rPr>
            </w:pPr>
            <w:hyperlink r:id="rId19">
              <w:r>
                <w:rPr>
                  <w:color w:val="6B9F24"/>
                  <w:sz w:val="22"/>
                  <w:u w:val="single" w:color="6B9F24"/>
                </w:rPr>
                <w:t>https://www.dshs.wa.gov/altsa/hcbs-statewide-draft-transition-plan</w:t>
              </w:r>
            </w:hyperlink>
          </w:p>
          <w:p>
            <w:pPr>
              <w:pStyle w:val="TableParagraph"/>
              <w:spacing w:before="10"/>
              <w:rPr>
                <w:b/>
                <w:sz w:val="21"/>
              </w:rPr>
            </w:pPr>
          </w:p>
          <w:p>
            <w:pPr>
              <w:pStyle w:val="TableParagraph"/>
              <w:ind w:left="307" w:right="1254"/>
              <w:rPr>
                <w:sz w:val="22"/>
              </w:rPr>
            </w:pPr>
            <w:r>
              <w:rPr>
                <w:sz w:val="22"/>
              </w:rPr>
              <w:t>MB H14-064 regarding the new HCBS rules: </w:t>
            </w:r>
            <w:hyperlink r:id="rId234">
              <w:r>
                <w:rPr>
                  <w:color w:val="6B9F24"/>
                  <w:sz w:val="22"/>
                  <w:u w:val="single" w:color="6B9F24"/>
                </w:rPr>
                <w:t>http://adsaweb.dshs.wa.gov/docufind/MB/displayHCS.aspx?year=2014</w:t>
              </w:r>
            </w:hyperlink>
          </w:p>
        </w:tc>
      </w:tr>
      <w:tr>
        <w:trPr>
          <w:trHeight w:val="861" w:hRule="atLeast"/>
        </w:trPr>
        <w:tc>
          <w:tcPr>
            <w:tcW w:w="2105" w:type="dxa"/>
          </w:tcPr>
          <w:p>
            <w:pPr>
              <w:pStyle w:val="TableParagraph"/>
              <w:spacing w:before="7"/>
              <w:rPr>
                <w:b/>
                <w:sz w:val="17"/>
              </w:rPr>
            </w:pPr>
          </w:p>
          <w:p>
            <w:pPr>
              <w:pStyle w:val="TableParagraph"/>
              <w:spacing w:before="1"/>
              <w:ind w:left="200"/>
              <w:rPr>
                <w:b/>
                <w:sz w:val="22"/>
              </w:rPr>
            </w:pPr>
            <w:r>
              <w:rPr>
                <w:b/>
                <w:sz w:val="22"/>
              </w:rPr>
              <w:t>ATTACHMENT(S):</w:t>
            </w:r>
          </w:p>
        </w:tc>
        <w:tc>
          <w:tcPr>
            <w:tcW w:w="7972" w:type="dxa"/>
          </w:tcPr>
          <w:p>
            <w:pPr>
              <w:pStyle w:val="TableParagraph"/>
              <w:spacing w:before="7"/>
              <w:rPr>
                <w:b/>
                <w:sz w:val="17"/>
              </w:rPr>
            </w:pPr>
          </w:p>
          <w:p>
            <w:pPr>
              <w:pStyle w:val="TableParagraph"/>
              <w:spacing w:before="1"/>
              <w:ind w:left="307"/>
              <w:rPr>
                <w:b/>
                <w:sz w:val="22"/>
              </w:rPr>
            </w:pPr>
            <w:r>
              <w:rPr>
                <w:b/>
                <w:sz w:val="22"/>
              </w:rPr>
              <w:t>HCBS Transition Plan Flyer:</w:t>
            </w:r>
          </w:p>
        </w:tc>
      </w:tr>
    </w:tbl>
    <w:p>
      <w:pPr>
        <w:spacing w:after="0"/>
        <w:rPr>
          <w:sz w:val="22"/>
        </w:rPr>
        <w:sectPr>
          <w:footerReference w:type="default" r:id="rId232"/>
          <w:pgSz w:w="15840" w:h="12240" w:orient="landscape"/>
          <w:pgMar w:footer="1002" w:header="0" w:top="680" w:bottom="1200" w:left="380" w:right="340"/>
          <w:pgBorders w:offsetFrom="page">
            <w:top w:val="single" w:color="000000" w:space="24" w:sz="12"/>
            <w:left w:val="single" w:color="000000" w:space="24" w:sz="12"/>
            <w:bottom w:val="single" w:color="000000" w:space="24" w:sz="12"/>
            <w:right w:val="single" w:color="000000" w:space="24" w:sz="12"/>
          </w:pgBorders>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 2017</w:t>
      </w:r>
    </w:p>
    <w:p>
      <w:pPr>
        <w:pStyle w:val="BodyText"/>
        <w:spacing w:before="2"/>
        <w:rPr>
          <w:b/>
          <w:sz w:val="23"/>
        </w:rPr>
      </w:pPr>
      <w:r>
        <w:rPr/>
        <w:drawing>
          <wp:anchor distT="0" distB="0" distL="0" distR="0" allowOverlap="1" layoutInCell="1" locked="0" behindDoc="0" simplePos="0" relativeHeight="477">
            <wp:simplePos x="0" y="0"/>
            <wp:positionH relativeFrom="page">
              <wp:posOffset>2537218</wp:posOffset>
            </wp:positionH>
            <wp:positionV relativeFrom="paragraph">
              <wp:posOffset>204653</wp:posOffset>
            </wp:positionV>
            <wp:extent cx="300467" cy="298703"/>
            <wp:effectExtent l="0" t="0" r="0" b="0"/>
            <wp:wrapTopAndBottom/>
            <wp:docPr id="83" name="image65.png"/>
            <wp:cNvGraphicFramePr>
              <a:graphicFrameLocks noChangeAspect="1"/>
            </wp:cNvGraphicFramePr>
            <a:graphic>
              <a:graphicData uri="http://schemas.openxmlformats.org/drawingml/2006/picture">
                <pic:pic>
                  <pic:nvPicPr>
                    <pic:cNvPr id="84" name="image65.png"/>
                    <pic:cNvPicPr/>
                  </pic:nvPicPr>
                  <pic:blipFill>
                    <a:blip r:embed="rId236" cstate="print"/>
                    <a:stretch>
                      <a:fillRect/>
                    </a:stretch>
                  </pic:blipFill>
                  <pic:spPr>
                    <a:xfrm>
                      <a:off x="0" y="0"/>
                      <a:ext cx="300467" cy="298703"/>
                    </a:xfrm>
                    <a:prstGeom prst="rect">
                      <a:avLst/>
                    </a:prstGeom>
                  </pic:spPr>
                </pic:pic>
              </a:graphicData>
            </a:graphic>
          </wp:anchor>
        </w:drawing>
      </w:r>
    </w:p>
    <w:p>
      <w:pPr>
        <w:spacing w:before="0"/>
        <w:ind w:left="3467" w:right="0" w:firstLine="0"/>
        <w:jc w:val="left"/>
        <w:rPr>
          <w:rFonts w:ascii="Tahoma"/>
          <w:sz w:val="16"/>
        </w:rPr>
      </w:pPr>
      <w:r>
        <w:rPr>
          <w:rFonts w:ascii="Tahoma"/>
          <w:sz w:val="16"/>
        </w:rPr>
        <w:t>Flyer.docx</w:t>
      </w:r>
    </w:p>
    <w:p>
      <w:pPr>
        <w:pStyle w:val="BodyText"/>
        <w:rPr>
          <w:rFonts w:ascii="Tahoma"/>
          <w:sz w:val="20"/>
        </w:rPr>
      </w:pPr>
    </w:p>
    <w:p>
      <w:pPr>
        <w:pStyle w:val="BodyText"/>
        <w:rPr>
          <w:rFonts w:ascii="Tahoma"/>
          <w:sz w:val="20"/>
        </w:rPr>
      </w:pPr>
    </w:p>
    <w:p>
      <w:pPr>
        <w:pStyle w:val="BodyText"/>
        <w:spacing w:before="3"/>
        <w:rPr>
          <w:rFonts w:ascii="Tahoma"/>
          <w:sz w:val="25"/>
        </w:rPr>
      </w:pPr>
    </w:p>
    <w:tbl>
      <w:tblPr>
        <w:tblW w:w="0" w:type="auto"/>
        <w:jc w:val="left"/>
        <w:tblInd w:w="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7"/>
        <w:gridCol w:w="6103"/>
      </w:tblGrid>
      <w:tr>
        <w:trPr>
          <w:trHeight w:val="1802" w:hRule="atLeast"/>
        </w:trPr>
        <w:tc>
          <w:tcPr>
            <w:tcW w:w="1897" w:type="dxa"/>
          </w:tcPr>
          <w:p>
            <w:pPr>
              <w:pStyle w:val="TableParagraph"/>
              <w:spacing w:line="225" w:lineRule="exact"/>
              <w:ind w:left="200"/>
              <w:rPr>
                <w:b/>
                <w:sz w:val="22"/>
              </w:rPr>
            </w:pPr>
            <w:r>
              <w:rPr>
                <w:b/>
                <w:sz w:val="22"/>
              </w:rPr>
              <w:t>CONTACT(S):</w:t>
            </w:r>
          </w:p>
        </w:tc>
        <w:tc>
          <w:tcPr>
            <w:tcW w:w="6103" w:type="dxa"/>
          </w:tcPr>
          <w:p>
            <w:pPr>
              <w:pStyle w:val="TableParagraph"/>
              <w:spacing w:line="225" w:lineRule="exact"/>
              <w:ind w:left="515"/>
              <w:rPr>
                <w:sz w:val="22"/>
              </w:rPr>
            </w:pPr>
            <w:r>
              <w:rPr>
                <w:sz w:val="22"/>
              </w:rPr>
              <w:t>Tracey Rollins, HCS QA Policy Program Manager</w:t>
            </w:r>
          </w:p>
          <w:p>
            <w:pPr>
              <w:pStyle w:val="TableParagraph"/>
              <w:ind w:left="515"/>
              <w:rPr>
                <w:sz w:val="22"/>
              </w:rPr>
            </w:pPr>
            <w:r>
              <w:rPr>
                <w:sz w:val="22"/>
              </w:rPr>
              <w:t>(360) 725-2393</w:t>
            </w:r>
          </w:p>
          <w:p>
            <w:pPr>
              <w:pStyle w:val="TableParagraph"/>
              <w:ind w:left="515"/>
              <w:rPr>
                <w:sz w:val="22"/>
              </w:rPr>
            </w:pPr>
            <w:hyperlink r:id="rId237">
              <w:r>
                <w:rPr>
                  <w:color w:val="6B9F24"/>
                  <w:sz w:val="22"/>
                  <w:u w:val="single" w:color="6B9F24"/>
                </w:rPr>
                <w:t>rollita@dshs.wa.gov</w:t>
              </w:r>
            </w:hyperlink>
          </w:p>
          <w:p>
            <w:pPr>
              <w:pStyle w:val="TableParagraph"/>
              <w:spacing w:before="1"/>
              <w:rPr>
                <w:rFonts w:ascii="Tahoma"/>
                <w:sz w:val="20"/>
              </w:rPr>
            </w:pPr>
          </w:p>
          <w:p>
            <w:pPr>
              <w:pStyle w:val="TableParagraph"/>
              <w:spacing w:line="237" w:lineRule="auto"/>
              <w:ind w:left="515" w:right="180"/>
              <w:rPr>
                <w:sz w:val="22"/>
              </w:rPr>
            </w:pPr>
            <w:r>
              <w:rPr>
                <w:sz w:val="22"/>
              </w:rPr>
              <w:t>Bob Beckman, DDA Waiver Requirements Program Manager (360) 407-1555</w:t>
            </w:r>
          </w:p>
          <w:p>
            <w:pPr>
              <w:pStyle w:val="TableParagraph"/>
              <w:spacing w:line="245" w:lineRule="exact" w:before="2"/>
              <w:ind w:left="515"/>
              <w:rPr>
                <w:sz w:val="22"/>
              </w:rPr>
            </w:pPr>
            <w:hyperlink r:id="rId238">
              <w:r>
                <w:rPr>
                  <w:color w:val="6B9F24"/>
                  <w:sz w:val="22"/>
                  <w:u w:val="single" w:color="6B9F24"/>
                </w:rPr>
                <w:t>Bob.beckman@dshs.wa.gov</w:t>
              </w:r>
            </w:hyperlink>
          </w:p>
        </w:tc>
      </w:tr>
    </w:tbl>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
        <w:rPr>
          <w:rFonts w:ascii="Tahoma"/>
          <w:sz w:val="20"/>
        </w:rPr>
      </w:pPr>
      <w:r>
        <w:rPr/>
        <w:pict>
          <v:shape style="position:absolute;margin-left:70.559998pt;margin-top:14.341352pt;width:650.9pt;height:.1pt;mso-position-horizontal-relative:page;mso-position-vertical-relative:paragraph;z-index:-251168768;mso-wrap-distance-left:0;mso-wrap-distance-right:0" coordorigin="1411,287" coordsize="13018,0" path="m1411,287l14429,287e" filled="false" stroked="true" strokeweight=".481pt" strokecolor="#d9d9d9">
            <v:path arrowok="t"/>
            <v:stroke dashstyle="solid"/>
            <w10:wrap type="topAndBottom"/>
          </v:shape>
        </w:pict>
      </w:r>
    </w:p>
    <w:p>
      <w:pPr>
        <w:spacing w:after="0"/>
        <w:rPr>
          <w:rFonts w:ascii="Tahoma"/>
          <w:sz w:val="20"/>
        </w:rPr>
        <w:sectPr>
          <w:footerReference w:type="default" r:id="rId235"/>
          <w:pgSz w:w="15840" w:h="12240" w:orient="landscape"/>
          <w:pgMar w:footer="1014" w:header="0" w:top="680" w:bottom="1200" w:left="380" w:right="340"/>
          <w:pgBorders w:offsetFrom="page">
            <w:top w:val="single" w:color="000000" w:space="24" w:sz="12"/>
            <w:left w:val="single" w:color="000000" w:space="24" w:sz="12"/>
            <w:bottom w:val="single" w:color="000000" w:space="24" w:sz="12"/>
            <w:right w:val="single" w:color="000000" w:space="24" w:sz="12"/>
          </w:pgBorders>
          <w:pgNumType w:start="271"/>
        </w:sectPr>
      </w:pPr>
    </w:p>
    <w:p>
      <w:pPr>
        <w:pStyle w:val="Heading8"/>
        <w:spacing w:before="39"/>
        <w:ind w:left="1060"/>
      </w:pPr>
      <w:r>
        <w:rPr/>
        <w:t>Washington State</w:t>
      </w:r>
    </w:p>
    <w:p>
      <w:pPr>
        <w:pStyle w:val="Heading8"/>
      </w:pPr>
      <w:r>
        <w:rPr/>
        <w:t>Revised Transition Plan for New HCBS Rules</w:t>
      </w:r>
    </w:p>
    <w:p>
      <w:pPr>
        <w:pStyle w:val="Heading8"/>
      </w:pPr>
      <w:r>
        <w:rPr/>
        <w:t>To be Submitted to CMS in May 2017—Posted for Public Comment on March 15,</w:t>
      </w:r>
      <w:r>
        <w:rPr>
          <w:spacing w:val="-31"/>
        </w:rPr>
        <w:t> </w:t>
      </w:r>
      <w:r>
        <w:rPr/>
        <w:t>2017</w:t>
      </w:r>
    </w:p>
    <w:p>
      <w:pPr>
        <w:pStyle w:val="BodyText"/>
        <w:spacing w:before="4"/>
        <w:rPr>
          <w:b/>
          <w:sz w:val="12"/>
        </w:rPr>
      </w:pPr>
    </w:p>
    <w:p>
      <w:pPr>
        <w:spacing w:before="52"/>
        <w:ind w:left="2916" w:right="2957" w:firstLine="0"/>
        <w:jc w:val="center"/>
        <w:rPr>
          <w:b/>
          <w:sz w:val="24"/>
        </w:rPr>
      </w:pPr>
      <w:r>
        <w:rPr/>
        <w:drawing>
          <wp:anchor distT="0" distB="0" distL="0" distR="0" allowOverlap="1" layoutInCell="1" locked="0" behindDoc="0" simplePos="0" relativeHeight="479">
            <wp:simplePos x="0" y="0"/>
            <wp:positionH relativeFrom="page">
              <wp:posOffset>3157537</wp:posOffset>
            </wp:positionH>
            <wp:positionV relativeFrom="paragraph">
              <wp:posOffset>247286</wp:posOffset>
            </wp:positionV>
            <wp:extent cx="4211444" cy="5494401"/>
            <wp:effectExtent l="0" t="0" r="0" b="0"/>
            <wp:wrapTopAndBottom/>
            <wp:docPr id="85" name="image66.png"/>
            <wp:cNvGraphicFramePr>
              <a:graphicFrameLocks noChangeAspect="1"/>
            </wp:cNvGraphicFramePr>
            <a:graphic>
              <a:graphicData uri="http://schemas.openxmlformats.org/drawingml/2006/picture">
                <pic:pic>
                  <pic:nvPicPr>
                    <pic:cNvPr id="86" name="image66.png"/>
                    <pic:cNvPicPr/>
                  </pic:nvPicPr>
                  <pic:blipFill>
                    <a:blip r:embed="rId239" cstate="print"/>
                    <a:stretch>
                      <a:fillRect/>
                    </a:stretch>
                  </pic:blipFill>
                  <pic:spPr>
                    <a:xfrm>
                      <a:off x="0" y="0"/>
                      <a:ext cx="4211444" cy="5494401"/>
                    </a:xfrm>
                    <a:prstGeom prst="rect">
                      <a:avLst/>
                    </a:prstGeom>
                  </pic:spPr>
                </pic:pic>
              </a:graphicData>
            </a:graphic>
          </wp:anchor>
        </w:drawing>
      </w:r>
      <w:r>
        <w:rPr/>
        <w:pict>
          <v:shape style="position:absolute;margin-left:70.559998pt;margin-top:464.145294pt;width:650.9pt;height:.1pt;mso-position-horizontal-relative:page;mso-position-vertical-relative:paragraph;z-index:-251166720;mso-wrap-distance-left:0;mso-wrap-distance-right:0" coordorigin="1411,9283" coordsize="13018,0" path="m1411,9283l14429,9283e" filled="false" stroked="true" strokeweight=".481pt" strokecolor="#d9d9d9">
            <v:path arrowok="t"/>
            <v:stroke dashstyle="solid"/>
            <w10:wrap type="topAndBottom"/>
          </v:shape>
        </w:pict>
      </w:r>
      <w:bookmarkStart w:name="HCBS Transition Plan Flyer" w:id="248"/>
      <w:bookmarkEnd w:id="248"/>
      <w:r>
        <w:rPr/>
      </w:r>
      <w:bookmarkStart w:name="_bookmark73" w:id="249"/>
      <w:bookmarkEnd w:id="249"/>
      <w:r>
        <w:rPr/>
      </w:r>
      <w:r>
        <w:rPr>
          <w:b/>
          <w:sz w:val="24"/>
        </w:rPr>
        <w:t>HCBS Transition Plan</w:t>
      </w:r>
      <w:r>
        <w:rPr>
          <w:b/>
          <w:spacing w:val="-10"/>
          <w:sz w:val="24"/>
        </w:rPr>
        <w:t> </w:t>
      </w:r>
      <w:r>
        <w:rPr>
          <w:b/>
          <w:sz w:val="24"/>
        </w:rPr>
        <w:t>Flyer</w:t>
      </w:r>
    </w:p>
    <w:p>
      <w:pPr>
        <w:pStyle w:val="BodyText"/>
        <w:spacing w:before="9"/>
        <w:rPr>
          <w:b/>
          <w:sz w:val="13"/>
        </w:rPr>
      </w:pPr>
    </w:p>
    <w:sectPr>
      <w:pgSz w:w="15840" w:h="12240" w:orient="landscape"/>
      <w:pgMar w:header="0" w:footer="1014" w:top="680" w:bottom="1200" w:left="380" w:right="340"/>
      <w:pgBorders w:offsetFrom="page">
        <w:top w:val="single" w:color="000000" w:space="24" w:sz="12"/>
        <w:left w:val="single" w:color="000000" w:space="24" w:sz="12"/>
        <w:bottom w:val="single" w:color="000000" w:space="24" w:sz="12"/>
        <w:right w:val="single" w:color="000000" w:space="24" w:sz="12"/>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Light">
    <w:altName w:val="Calibri Light"/>
    <w:charset w:val="0"/>
    <w:family w:val="swiss"/>
    <w:pitch w:val="variable"/>
  </w:font>
  <w:font w:name="Calibri">
    <w:altName w:val="Calibri"/>
    <w:charset w:val="0"/>
    <w:family w:val="swiss"/>
    <w:pitch w:val="variable"/>
  </w:font>
  <w:font w:name="Garamond">
    <w:altName w:val="Garamond"/>
    <w:charset w:val="0"/>
    <w:family w:val="roman"/>
    <w:pitch w:val="variable"/>
  </w:font>
  <w:font w:name="Arial">
    <w:altName w:val="Arial"/>
    <w:charset w:val="0"/>
    <w:family w:val="swiss"/>
    <w:pitch w:val="variable"/>
  </w:font>
  <w:font w:name="Wingdings">
    <w:altName w:val="Wingdings"/>
    <w:charset w:val="2"/>
    <w:family w:val="auto"/>
    <w:pitch w:val="variable"/>
  </w:font>
  <w:font w:name="Courier New">
    <w:altName w:val="Courier New"/>
    <w:charset w:val="0"/>
    <w:family w:val="modern"/>
    <w:pitch w:val="fixed"/>
  </w:font>
  <w:font w:name="Symbol">
    <w:altName w:val="Symbol"/>
    <w:charset w:val="2"/>
    <w:family w:val="roman"/>
    <w:pitch w:val="variable"/>
  </w:font>
  <w:font w:name="Tahoma">
    <w:altName w:val="Tahoma"/>
    <w:charset w:val="0"/>
    <w:family w:val="swiss"/>
    <w:pitch w:val="variable"/>
  </w:font>
  <w:font w:name="Arial Rounded MT Bold">
    <w:altName w:val="Arial Rounded MT Bol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59.05pt;height:13.05pt;mso-position-horizontal-relative:page;mso-position-vertical-relative:page;z-index:-271279104"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10</w:t>
                </w:r>
                <w:r>
                  <w:rPr/>
                  <w:fldChar w:fldCharType="end"/>
                </w:r>
                <w:r>
                  <w:rPr>
                    <w:b/>
                    <w:sz w:val="22"/>
                  </w:rPr>
                  <w:t> | </w:t>
                </w:r>
                <w:r>
                  <w:rPr>
                    <w:color w:val="808080"/>
                    <w:sz w:val="22"/>
                  </w:rPr>
                  <w:t>P a g e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59.05pt;height:13.05pt;mso-position-horizontal-relative:page;mso-position-vertical-relative:page;z-index:-271278080"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89</w:t>
                </w:r>
                <w:r>
                  <w:rPr/>
                  <w:fldChar w:fldCharType="end"/>
                </w:r>
                <w:r>
                  <w:rPr>
                    <w:b/>
                    <w:sz w:val="22"/>
                  </w:rPr>
                  <w:t> | </w:t>
                </w:r>
                <w:r>
                  <w:rPr>
                    <w:color w:val="808080"/>
                    <w:sz w:val="22"/>
                  </w:rPr>
                  <w:t>P a g e </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77056"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108</w:t>
                </w:r>
                <w:r>
                  <w:rPr/>
                  <w:fldChar w:fldCharType="end"/>
                </w:r>
                <w:r>
                  <w:rPr>
                    <w:b/>
                    <w:sz w:val="22"/>
                  </w:rPr>
                  <w:t> | </w:t>
                </w:r>
                <w:r>
                  <w:rPr>
                    <w:color w:val="808080"/>
                    <w:sz w:val="22"/>
                  </w:rPr>
                  <w:t>P a g e</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280029pt;width:59.6pt;height:13.05pt;mso-position-horizontal-relative:page;mso-position-vertical-relative:page;z-index:-271276032" type="#_x0000_t202" filled="false" stroked="false">
          <v:textbox inset="0,0,0,0">
            <w:txbxContent>
              <w:p>
                <w:pPr>
                  <w:spacing w:line="245" w:lineRule="exact" w:before="0"/>
                  <w:ind w:left="20" w:right="0" w:firstLine="0"/>
                  <w:jc w:val="left"/>
                  <w:rPr>
                    <w:sz w:val="22"/>
                  </w:rPr>
                </w:pPr>
                <w:r>
                  <w:rPr>
                    <w:b/>
                    <w:sz w:val="22"/>
                  </w:rPr>
                  <w:t>110 | </w:t>
                </w:r>
                <w:r>
                  <w:rPr>
                    <w:color w:val="808080"/>
                    <w:sz w:val="22"/>
                  </w:rPr>
                  <w:t>P a g e</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75008"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111</w:t>
                </w:r>
                <w:r>
                  <w:rPr/>
                  <w:fldChar w:fldCharType="end"/>
                </w:r>
                <w:r>
                  <w:rPr>
                    <w:b/>
                    <w:sz w:val="22"/>
                  </w:rPr>
                  <w:t> | </w:t>
                </w:r>
                <w:r>
                  <w:rPr>
                    <w:color w:val="808080"/>
                    <w:sz w:val="22"/>
                  </w:rPr>
                  <w:t>P a g e</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280029pt;width:59.6pt;height:13.05pt;mso-position-horizontal-relative:page;mso-position-vertical-relative:page;z-index:-271273984" type="#_x0000_t202" filled="false" stroked="false">
          <v:textbox inset="0,0,0,0">
            <w:txbxContent>
              <w:p>
                <w:pPr>
                  <w:spacing w:line="245" w:lineRule="exact" w:before="0"/>
                  <w:ind w:left="20" w:right="0" w:firstLine="0"/>
                  <w:jc w:val="left"/>
                  <w:rPr>
                    <w:sz w:val="22"/>
                  </w:rPr>
                </w:pPr>
                <w:r>
                  <w:rPr>
                    <w:b/>
                    <w:sz w:val="22"/>
                  </w:rPr>
                  <w:t>120 | </w:t>
                </w:r>
                <w:r>
                  <w:rPr>
                    <w:color w:val="808080"/>
                    <w:sz w:val="22"/>
                  </w:rPr>
                  <w:t>P a g e</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72960"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121</w:t>
                </w:r>
                <w:r>
                  <w:rPr/>
                  <w:fldChar w:fldCharType="end"/>
                </w:r>
                <w:r>
                  <w:rPr>
                    <w:b/>
                    <w:sz w:val="22"/>
                  </w:rPr>
                  <w:t> | </w:t>
                </w:r>
                <w:r>
                  <w:rPr>
                    <w:color w:val="808080"/>
                    <w:sz w:val="22"/>
                  </w:rPr>
                  <w:t>P a g e</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280029pt;width:59.6pt;height:13.05pt;mso-position-horizontal-relative:page;mso-position-vertical-relative:page;z-index:-271271936" type="#_x0000_t202" filled="false" stroked="false">
          <v:textbox inset="0,0,0,0">
            <w:txbxContent>
              <w:p>
                <w:pPr>
                  <w:spacing w:line="245" w:lineRule="exact" w:before="0"/>
                  <w:ind w:left="20" w:right="0" w:firstLine="0"/>
                  <w:jc w:val="left"/>
                  <w:rPr>
                    <w:sz w:val="22"/>
                  </w:rPr>
                </w:pPr>
                <w:r>
                  <w:rPr>
                    <w:b/>
                    <w:sz w:val="22"/>
                  </w:rPr>
                  <w:t>130 | </w:t>
                </w:r>
                <w:r>
                  <w:rPr>
                    <w:color w:val="808080"/>
                    <w:sz w:val="22"/>
                  </w:rPr>
                  <w:t>P a g e</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70912"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131</w:t>
                </w:r>
                <w:r>
                  <w:rPr/>
                  <w:fldChar w:fldCharType="end"/>
                </w:r>
                <w:r>
                  <w:rPr>
                    <w:b/>
                    <w:sz w:val="22"/>
                  </w:rPr>
                  <w:t> | </w:t>
                </w:r>
                <w:r>
                  <w:rPr>
                    <w:color w:val="808080"/>
                    <w:sz w:val="22"/>
                  </w:rPr>
                  <w:t>P a g e</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280029pt;width:59.6pt;height:13.05pt;mso-position-horizontal-relative:page;mso-position-vertical-relative:page;z-index:-271269888" type="#_x0000_t202" filled="false" stroked="false">
          <v:textbox inset="0,0,0,0">
            <w:txbxContent>
              <w:p>
                <w:pPr>
                  <w:spacing w:line="245" w:lineRule="exact" w:before="0"/>
                  <w:ind w:left="20" w:right="0" w:firstLine="0"/>
                  <w:jc w:val="left"/>
                  <w:rPr>
                    <w:sz w:val="22"/>
                  </w:rPr>
                </w:pPr>
                <w:r>
                  <w:rPr>
                    <w:b/>
                    <w:sz w:val="22"/>
                  </w:rPr>
                  <w:t>140 | </w:t>
                </w:r>
                <w:r>
                  <w:rPr>
                    <w:color w:val="808080"/>
                    <w:sz w:val="22"/>
                  </w:rPr>
                  <w:t>P a g e</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68864"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141</w:t>
                </w:r>
                <w:r>
                  <w:rPr/>
                  <w:fldChar w:fldCharType="end"/>
                </w:r>
                <w:r>
                  <w:rPr>
                    <w:b/>
                    <w:sz w:val="22"/>
                  </w:rPr>
                  <w:t> | </w:t>
                </w:r>
                <w:r>
                  <w:rPr>
                    <w:color w:val="808080"/>
                    <w:sz w:val="22"/>
                  </w:rPr>
                  <w:t>P a g e</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280029pt;width:59.6pt;height:13.05pt;mso-position-horizontal-relative:page;mso-position-vertical-relative:page;z-index:-271267840" type="#_x0000_t202" filled="false" stroked="false">
          <v:textbox inset="0,0,0,0">
            <w:txbxContent>
              <w:p>
                <w:pPr>
                  <w:spacing w:line="245" w:lineRule="exact" w:before="0"/>
                  <w:ind w:left="20" w:right="0" w:firstLine="0"/>
                  <w:jc w:val="left"/>
                  <w:rPr>
                    <w:sz w:val="22"/>
                  </w:rPr>
                </w:pPr>
                <w:r>
                  <w:rPr>
                    <w:b/>
                    <w:sz w:val="22"/>
                  </w:rPr>
                  <w:t>150 | </w:t>
                </w:r>
                <w:r>
                  <w:rPr>
                    <w:color w:val="808080"/>
                    <w:sz w:val="22"/>
                  </w:rPr>
                  <w:t>P a g e</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66816"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151</w:t>
                </w:r>
                <w:r>
                  <w:rPr/>
                  <w:fldChar w:fldCharType="end"/>
                </w:r>
                <w:r>
                  <w:rPr>
                    <w:b/>
                    <w:sz w:val="22"/>
                  </w:rPr>
                  <w:t> | </w:t>
                </w:r>
                <w:r>
                  <w:rPr>
                    <w:color w:val="808080"/>
                    <w:sz w:val="22"/>
                  </w:rPr>
                  <w:t>P a g e</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280029pt;width:59.6pt;height:13.05pt;mso-position-horizontal-relative:page;mso-position-vertical-relative:page;z-index:-271265792" type="#_x0000_t202" filled="false" stroked="false">
          <v:textbox inset="0,0,0,0">
            <w:txbxContent>
              <w:p>
                <w:pPr>
                  <w:spacing w:line="245" w:lineRule="exact" w:before="0"/>
                  <w:ind w:left="20" w:right="0" w:firstLine="0"/>
                  <w:jc w:val="left"/>
                  <w:rPr>
                    <w:sz w:val="22"/>
                  </w:rPr>
                </w:pPr>
                <w:r>
                  <w:rPr>
                    <w:b/>
                    <w:sz w:val="22"/>
                  </w:rPr>
                  <w:t>160 | </w:t>
                </w:r>
                <w:r>
                  <w:rPr>
                    <w:color w:val="808080"/>
                    <w:sz w:val="22"/>
                  </w:rPr>
                  <w:t>P a g e</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64768"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161</w:t>
                </w:r>
                <w:r>
                  <w:rPr/>
                  <w:fldChar w:fldCharType="end"/>
                </w:r>
                <w:r>
                  <w:rPr>
                    <w:b/>
                    <w:sz w:val="22"/>
                  </w:rPr>
                  <w:t> | </w:t>
                </w:r>
                <w:r>
                  <w:rPr>
                    <w:color w:val="808080"/>
                    <w:sz w:val="22"/>
                  </w:rPr>
                  <w:t>P a g e</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280029pt;width:59.6pt;height:13.05pt;mso-position-horizontal-relative:page;mso-position-vertical-relative:page;z-index:-271263744" type="#_x0000_t202" filled="false" stroked="false">
          <v:textbox inset="0,0,0,0">
            <w:txbxContent>
              <w:p>
                <w:pPr>
                  <w:spacing w:line="245" w:lineRule="exact" w:before="0"/>
                  <w:ind w:left="20" w:right="0" w:firstLine="0"/>
                  <w:jc w:val="left"/>
                  <w:rPr>
                    <w:sz w:val="22"/>
                  </w:rPr>
                </w:pPr>
                <w:r>
                  <w:rPr>
                    <w:b/>
                    <w:sz w:val="22"/>
                  </w:rPr>
                  <w:t>170 | </w:t>
                </w:r>
                <w:r>
                  <w:rPr>
                    <w:color w:val="808080"/>
                    <w:sz w:val="22"/>
                  </w:rPr>
                  <w:t>P a g e</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62720"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174</w:t>
                </w:r>
                <w:r>
                  <w:rPr/>
                  <w:fldChar w:fldCharType="end"/>
                </w:r>
                <w:r>
                  <w:rPr>
                    <w:b/>
                    <w:sz w:val="22"/>
                  </w:rPr>
                  <w:t> | </w:t>
                </w:r>
                <w:r>
                  <w:rPr>
                    <w:color w:val="808080"/>
                    <w:sz w:val="22"/>
                  </w:rPr>
                  <w:t>P a g e</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280029pt;width:59.6pt;height:13.05pt;mso-position-horizontal-relative:page;mso-position-vertical-relative:page;z-index:-271261696" type="#_x0000_t202" filled="false" stroked="false">
          <v:textbox inset="0,0,0,0">
            <w:txbxContent>
              <w:p>
                <w:pPr>
                  <w:spacing w:line="245" w:lineRule="exact" w:before="0"/>
                  <w:ind w:left="20" w:right="0" w:firstLine="0"/>
                  <w:jc w:val="left"/>
                  <w:rPr>
                    <w:sz w:val="22"/>
                  </w:rPr>
                </w:pPr>
                <w:r>
                  <w:rPr>
                    <w:b/>
                    <w:sz w:val="22"/>
                  </w:rPr>
                  <w:t>180 | </w:t>
                </w:r>
                <w:r>
                  <w:rPr>
                    <w:color w:val="808080"/>
                    <w:sz w:val="22"/>
                  </w:rPr>
                  <w:t>P a g e</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60672"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181</w:t>
                </w:r>
                <w:r>
                  <w:rPr/>
                  <w:fldChar w:fldCharType="end"/>
                </w:r>
                <w:r>
                  <w:rPr>
                    <w:b/>
                    <w:sz w:val="22"/>
                  </w:rPr>
                  <w:t> | </w:t>
                </w:r>
                <w:r>
                  <w:rPr>
                    <w:color w:val="808080"/>
                    <w:sz w:val="22"/>
                  </w:rPr>
                  <w:t>P a g e</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280029pt;width:59.6pt;height:13.05pt;mso-position-horizontal-relative:page;mso-position-vertical-relative:page;z-index:-271259648" type="#_x0000_t202" filled="false" stroked="false">
          <v:textbox inset="0,0,0,0">
            <w:txbxContent>
              <w:p>
                <w:pPr>
                  <w:spacing w:line="245" w:lineRule="exact" w:before="0"/>
                  <w:ind w:left="20" w:right="0" w:firstLine="0"/>
                  <w:jc w:val="left"/>
                  <w:rPr>
                    <w:sz w:val="22"/>
                  </w:rPr>
                </w:pPr>
                <w:r>
                  <w:rPr>
                    <w:b/>
                    <w:sz w:val="22"/>
                  </w:rPr>
                  <w:t>190 | </w:t>
                </w:r>
                <w:r>
                  <w:rPr>
                    <w:color w:val="808080"/>
                    <w:sz w:val="22"/>
                  </w:rPr>
                  <w:t>P a g e</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58624"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191</w:t>
                </w:r>
                <w:r>
                  <w:rPr/>
                  <w:fldChar w:fldCharType="end"/>
                </w:r>
                <w:r>
                  <w:rPr>
                    <w:b/>
                    <w:sz w:val="22"/>
                  </w:rPr>
                  <w:t> | </w:t>
                </w:r>
                <w:r>
                  <w:rPr>
                    <w:color w:val="808080"/>
                    <w:sz w:val="22"/>
                  </w:rPr>
                  <w:t>P a g e</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280029pt;width:59.6pt;height:13.05pt;mso-position-horizontal-relative:page;mso-position-vertical-relative:page;z-index:-271257600" type="#_x0000_t202" filled="false" stroked="false">
          <v:textbox inset="0,0,0,0">
            <w:txbxContent>
              <w:p>
                <w:pPr>
                  <w:spacing w:line="245" w:lineRule="exact" w:before="0"/>
                  <w:ind w:left="20" w:right="0" w:firstLine="0"/>
                  <w:jc w:val="left"/>
                  <w:rPr>
                    <w:sz w:val="22"/>
                  </w:rPr>
                </w:pPr>
                <w:r>
                  <w:rPr>
                    <w:b/>
                    <w:sz w:val="22"/>
                  </w:rPr>
                  <w:t>210 | </w:t>
                </w:r>
                <w:r>
                  <w:rPr>
                    <w:color w:val="808080"/>
                    <w:sz w:val="22"/>
                  </w:rPr>
                  <w:t>P a g e</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56576"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211</w:t>
                </w:r>
                <w:r>
                  <w:rPr/>
                  <w:fldChar w:fldCharType="end"/>
                </w:r>
                <w:r>
                  <w:rPr>
                    <w:b/>
                    <w:sz w:val="22"/>
                  </w:rPr>
                  <w:t> | </w:t>
                </w:r>
                <w:r>
                  <w:rPr>
                    <w:color w:val="808080"/>
                    <w:sz w:val="22"/>
                  </w:rPr>
                  <w:t>P a g e</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280029pt;width:59.6pt;height:13.05pt;mso-position-horizontal-relative:page;mso-position-vertical-relative:page;z-index:-271255552" type="#_x0000_t202" filled="false" stroked="false">
          <v:textbox inset="0,0,0,0">
            <w:txbxContent>
              <w:p>
                <w:pPr>
                  <w:spacing w:line="245" w:lineRule="exact" w:before="0"/>
                  <w:ind w:left="20" w:right="0" w:firstLine="0"/>
                  <w:jc w:val="left"/>
                  <w:rPr>
                    <w:sz w:val="22"/>
                  </w:rPr>
                </w:pPr>
                <w:r>
                  <w:rPr>
                    <w:b/>
                    <w:sz w:val="22"/>
                  </w:rPr>
                  <w:t>220 | </w:t>
                </w:r>
                <w:r>
                  <w:rPr>
                    <w:color w:val="808080"/>
                    <w:sz w:val="22"/>
                  </w:rPr>
                  <w:t>P a g e</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54528"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222</w:t>
                </w:r>
                <w:r>
                  <w:rPr/>
                  <w:fldChar w:fldCharType="end"/>
                </w:r>
                <w:r>
                  <w:rPr>
                    <w:b/>
                    <w:sz w:val="22"/>
                  </w:rPr>
                  <w:t> | </w:t>
                </w:r>
                <w:r>
                  <w:rPr>
                    <w:color w:val="808080"/>
                    <w:sz w:val="22"/>
                  </w:rPr>
                  <w:t>P a g e</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280029pt;width:59.6pt;height:13.05pt;mso-position-horizontal-relative:page;mso-position-vertical-relative:page;z-index:-271253504" type="#_x0000_t202" filled="false" stroked="false">
          <v:textbox inset="0,0,0,0">
            <w:txbxContent>
              <w:p>
                <w:pPr>
                  <w:spacing w:line="245" w:lineRule="exact" w:before="0"/>
                  <w:ind w:left="20" w:right="0" w:firstLine="0"/>
                  <w:jc w:val="left"/>
                  <w:rPr>
                    <w:sz w:val="22"/>
                  </w:rPr>
                </w:pPr>
                <w:r>
                  <w:rPr>
                    <w:b/>
                    <w:sz w:val="22"/>
                  </w:rPr>
                  <w:t>230 | </w:t>
                </w:r>
                <w:r>
                  <w:rPr>
                    <w:color w:val="808080"/>
                    <w:sz w:val="22"/>
                  </w:rPr>
                  <w:t>P a g e</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52480"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231</w:t>
                </w:r>
                <w:r>
                  <w:rPr/>
                  <w:fldChar w:fldCharType="end"/>
                </w:r>
                <w:r>
                  <w:rPr>
                    <w:b/>
                    <w:sz w:val="22"/>
                  </w:rPr>
                  <w:t> | </w:t>
                </w:r>
                <w:r>
                  <w:rPr>
                    <w:color w:val="808080"/>
                    <w:sz w:val="22"/>
                  </w:rPr>
                  <w:t>P a g e</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280029pt;width:59.6pt;height:13.05pt;mso-position-horizontal-relative:page;mso-position-vertical-relative:page;z-index:-271251456" type="#_x0000_t202" filled="false" stroked="false">
          <v:textbox inset="0,0,0,0">
            <w:txbxContent>
              <w:p>
                <w:pPr>
                  <w:spacing w:line="245" w:lineRule="exact" w:before="0"/>
                  <w:ind w:left="20" w:right="0" w:firstLine="0"/>
                  <w:jc w:val="left"/>
                  <w:rPr>
                    <w:sz w:val="22"/>
                  </w:rPr>
                </w:pPr>
                <w:r>
                  <w:rPr>
                    <w:b/>
                    <w:sz w:val="22"/>
                  </w:rPr>
                  <w:t>240 | </w:t>
                </w:r>
                <w:r>
                  <w:rPr>
                    <w:color w:val="808080"/>
                    <w:sz w:val="22"/>
                  </w:rPr>
                  <w:t>P a g e</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50432"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241</w:t>
                </w:r>
                <w:r>
                  <w:rPr/>
                  <w:fldChar w:fldCharType="end"/>
                </w:r>
                <w:r>
                  <w:rPr>
                    <w:b/>
                    <w:sz w:val="22"/>
                  </w:rPr>
                  <w:t> | </w:t>
                </w:r>
                <w:r>
                  <w:rPr>
                    <w:color w:val="808080"/>
                    <w:sz w:val="22"/>
                  </w:rPr>
                  <w:t>P a g e</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280029pt;width:59.6pt;height:13.05pt;mso-position-horizontal-relative:page;mso-position-vertical-relative:page;z-index:-271249408" type="#_x0000_t202" filled="false" stroked="false">
          <v:textbox inset="0,0,0,0">
            <w:txbxContent>
              <w:p>
                <w:pPr>
                  <w:spacing w:line="245" w:lineRule="exact" w:before="0"/>
                  <w:ind w:left="20" w:right="0" w:firstLine="0"/>
                  <w:jc w:val="left"/>
                  <w:rPr>
                    <w:sz w:val="22"/>
                  </w:rPr>
                </w:pPr>
                <w:r>
                  <w:rPr>
                    <w:b/>
                    <w:sz w:val="22"/>
                  </w:rPr>
                  <w:t>250 | </w:t>
                </w:r>
                <w:r>
                  <w:rPr>
                    <w:color w:val="808080"/>
                    <w:sz w:val="22"/>
                  </w:rPr>
                  <w:t>P a g e</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48384"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251</w:t>
                </w:r>
                <w:r>
                  <w:rPr/>
                  <w:fldChar w:fldCharType="end"/>
                </w:r>
                <w:r>
                  <w:rPr>
                    <w:b/>
                    <w:sz w:val="22"/>
                  </w:rPr>
                  <w:t> | </w:t>
                </w:r>
                <w:r>
                  <w:rPr>
                    <w:color w:val="808080"/>
                    <w:sz w:val="22"/>
                  </w:rPr>
                  <w:t>P a g e</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280029pt;width:59.6pt;height:13.05pt;mso-position-horizontal-relative:page;mso-position-vertical-relative:page;z-index:-271247360" type="#_x0000_t202" filled="false" stroked="false">
          <v:textbox inset="0,0,0,0">
            <w:txbxContent>
              <w:p>
                <w:pPr>
                  <w:spacing w:line="245" w:lineRule="exact" w:before="0"/>
                  <w:ind w:left="20" w:right="0" w:firstLine="0"/>
                  <w:jc w:val="left"/>
                  <w:rPr>
                    <w:sz w:val="22"/>
                  </w:rPr>
                </w:pPr>
                <w:r>
                  <w:rPr>
                    <w:b/>
                    <w:sz w:val="22"/>
                  </w:rPr>
                  <w:t>260 | </w:t>
                </w:r>
                <w:r>
                  <w:rPr>
                    <w:color w:val="808080"/>
                    <w:sz w:val="22"/>
                  </w:rPr>
                  <w:t>P a g e</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46336"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269</w:t>
                </w:r>
                <w:r>
                  <w:rPr/>
                  <w:fldChar w:fldCharType="end"/>
                </w:r>
                <w:r>
                  <w:rPr>
                    <w:b/>
                    <w:sz w:val="22"/>
                  </w:rPr>
                  <w:t> | </w:t>
                </w:r>
                <w:r>
                  <w:rPr>
                    <w:color w:val="808080"/>
                    <w:sz w:val="22"/>
                  </w:rPr>
                  <w:t>P a g e</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280029pt;width:59.6pt;height:13.05pt;mso-position-horizontal-relative:page;mso-position-vertical-relative:page;z-index:-271245312" type="#_x0000_t202" filled="false" stroked="false">
          <v:textbox inset="0,0,0,0">
            <w:txbxContent>
              <w:p>
                <w:pPr>
                  <w:spacing w:line="245" w:lineRule="exact" w:before="0"/>
                  <w:ind w:left="20" w:right="0" w:firstLine="0"/>
                  <w:jc w:val="left"/>
                  <w:rPr>
                    <w:sz w:val="22"/>
                  </w:rPr>
                </w:pPr>
                <w:r>
                  <w:rPr>
                    <w:b/>
                    <w:sz w:val="22"/>
                  </w:rPr>
                  <w:t>270 | </w:t>
                </w:r>
                <w:r>
                  <w:rPr>
                    <w:color w:val="808080"/>
                    <w:sz w:val="22"/>
                  </w:rPr>
                  <w:t>P a g e</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50.280029pt;width:61.6pt;height:13.05pt;mso-position-horizontal-relative:page;mso-position-vertical-relative:page;z-index:-271244288" type="#_x0000_t202" filled="false" stroked="false">
          <v:textbox inset="0,0,0,0">
            <w:txbxContent>
              <w:p>
                <w:pPr>
                  <w:spacing w:line="245" w:lineRule="exact" w:before="0"/>
                  <w:ind w:left="60" w:right="0" w:firstLine="0"/>
                  <w:jc w:val="left"/>
                  <w:rPr>
                    <w:sz w:val="22"/>
                  </w:rPr>
                </w:pPr>
                <w:r>
                  <w:rPr/>
                  <w:fldChar w:fldCharType="begin"/>
                </w:r>
                <w:r>
                  <w:rPr>
                    <w:b/>
                    <w:sz w:val="22"/>
                  </w:rPr>
                  <w:instrText> PAGE </w:instrText>
                </w:r>
                <w:r>
                  <w:rPr/>
                  <w:fldChar w:fldCharType="separate"/>
                </w:r>
                <w:r>
                  <w:rPr/>
                  <w:t>271</w:t>
                </w:r>
                <w:r>
                  <w:rPr/>
                  <w:fldChar w:fldCharType="end"/>
                </w:r>
                <w:r>
                  <w:rPr>
                    <w:b/>
                    <w:sz w:val="22"/>
                  </w:rPr>
                  <w:t> | </w:t>
                </w:r>
                <w:r>
                  <w:rPr>
                    <w:color w:val="808080"/>
                    <w:sz w:val="22"/>
                  </w:rPr>
                  <w:t>P a g e</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0"/>
      <w:numFmt w:val="bullet"/>
      <w:lvlText w:val=""/>
      <w:lvlJc w:val="left"/>
      <w:pPr>
        <w:ind w:left="4119" w:hanging="360"/>
      </w:pPr>
      <w:rPr>
        <w:rFonts w:hint="default" w:ascii="Symbol" w:hAnsi="Symbol" w:eastAsia="Symbol" w:cs="Symbol"/>
        <w:w w:val="99"/>
        <w:sz w:val="20"/>
        <w:szCs w:val="20"/>
        <w:lang w:val="en-us" w:eastAsia="en-us" w:bidi="en-us"/>
      </w:rPr>
    </w:lvl>
    <w:lvl w:ilvl="1">
      <w:start w:val="0"/>
      <w:numFmt w:val="bullet"/>
      <w:lvlText w:val="•"/>
      <w:lvlJc w:val="left"/>
      <w:pPr>
        <w:ind w:left="5220" w:hanging="360"/>
      </w:pPr>
      <w:rPr>
        <w:rFonts w:hint="default"/>
        <w:lang w:val="en-us" w:eastAsia="en-us" w:bidi="en-us"/>
      </w:rPr>
    </w:lvl>
    <w:lvl w:ilvl="2">
      <w:start w:val="0"/>
      <w:numFmt w:val="bullet"/>
      <w:lvlText w:val="•"/>
      <w:lvlJc w:val="left"/>
      <w:pPr>
        <w:ind w:left="6320" w:hanging="360"/>
      </w:pPr>
      <w:rPr>
        <w:rFonts w:hint="default"/>
        <w:lang w:val="en-us" w:eastAsia="en-us" w:bidi="en-us"/>
      </w:rPr>
    </w:lvl>
    <w:lvl w:ilvl="3">
      <w:start w:val="0"/>
      <w:numFmt w:val="bullet"/>
      <w:lvlText w:val="•"/>
      <w:lvlJc w:val="left"/>
      <w:pPr>
        <w:ind w:left="7420" w:hanging="360"/>
      </w:pPr>
      <w:rPr>
        <w:rFonts w:hint="default"/>
        <w:lang w:val="en-us" w:eastAsia="en-us" w:bidi="en-us"/>
      </w:rPr>
    </w:lvl>
    <w:lvl w:ilvl="4">
      <w:start w:val="0"/>
      <w:numFmt w:val="bullet"/>
      <w:lvlText w:val="•"/>
      <w:lvlJc w:val="left"/>
      <w:pPr>
        <w:ind w:left="8520" w:hanging="360"/>
      </w:pPr>
      <w:rPr>
        <w:rFonts w:hint="default"/>
        <w:lang w:val="en-us" w:eastAsia="en-us" w:bidi="en-us"/>
      </w:rPr>
    </w:lvl>
    <w:lvl w:ilvl="5">
      <w:start w:val="0"/>
      <w:numFmt w:val="bullet"/>
      <w:lvlText w:val="•"/>
      <w:lvlJc w:val="left"/>
      <w:pPr>
        <w:ind w:left="9620" w:hanging="360"/>
      </w:pPr>
      <w:rPr>
        <w:rFonts w:hint="default"/>
        <w:lang w:val="en-us" w:eastAsia="en-us" w:bidi="en-us"/>
      </w:rPr>
    </w:lvl>
    <w:lvl w:ilvl="6">
      <w:start w:val="0"/>
      <w:numFmt w:val="bullet"/>
      <w:lvlText w:val="•"/>
      <w:lvlJc w:val="left"/>
      <w:pPr>
        <w:ind w:left="10720" w:hanging="360"/>
      </w:pPr>
      <w:rPr>
        <w:rFonts w:hint="default"/>
        <w:lang w:val="en-us" w:eastAsia="en-us" w:bidi="en-us"/>
      </w:rPr>
    </w:lvl>
    <w:lvl w:ilvl="7">
      <w:start w:val="0"/>
      <w:numFmt w:val="bullet"/>
      <w:lvlText w:val="•"/>
      <w:lvlJc w:val="left"/>
      <w:pPr>
        <w:ind w:left="11820" w:hanging="360"/>
      </w:pPr>
      <w:rPr>
        <w:rFonts w:hint="default"/>
        <w:lang w:val="en-us" w:eastAsia="en-us" w:bidi="en-us"/>
      </w:rPr>
    </w:lvl>
    <w:lvl w:ilvl="8">
      <w:start w:val="0"/>
      <w:numFmt w:val="bullet"/>
      <w:lvlText w:val="•"/>
      <w:lvlJc w:val="left"/>
      <w:pPr>
        <w:ind w:left="12920" w:hanging="360"/>
      </w:pPr>
      <w:rPr>
        <w:rFonts w:hint="default"/>
        <w:lang w:val="en-us" w:eastAsia="en-us" w:bidi="en-us"/>
      </w:rPr>
    </w:lvl>
  </w:abstractNum>
  <w:abstractNum w:abstractNumId="58">
    <w:multiLevelType w:val="hybridMultilevel"/>
    <w:lvl w:ilvl="0">
      <w:start w:val="1"/>
      <w:numFmt w:val="lowerLetter"/>
      <w:lvlText w:val="(%1)"/>
      <w:lvlJc w:val="left"/>
      <w:pPr>
        <w:ind w:left="1060" w:hanging="324"/>
        <w:jc w:val="left"/>
      </w:pPr>
      <w:rPr>
        <w:rFonts w:hint="default" w:ascii="Times New Roman" w:hAnsi="Times New Roman" w:eastAsia="Times New Roman" w:cs="Times New Roman"/>
        <w:spacing w:val="-1"/>
        <w:w w:val="100"/>
        <w:sz w:val="24"/>
        <w:szCs w:val="24"/>
        <w:lang w:val="en-us" w:eastAsia="en-us" w:bidi="en-us"/>
      </w:rPr>
    </w:lvl>
    <w:lvl w:ilvl="1">
      <w:start w:val="0"/>
      <w:numFmt w:val="bullet"/>
      <w:lvlText w:val="•"/>
      <w:lvlJc w:val="left"/>
      <w:pPr>
        <w:ind w:left="2466" w:hanging="324"/>
      </w:pPr>
      <w:rPr>
        <w:rFonts w:hint="default"/>
        <w:lang w:val="en-us" w:eastAsia="en-us" w:bidi="en-us"/>
      </w:rPr>
    </w:lvl>
    <w:lvl w:ilvl="2">
      <w:start w:val="0"/>
      <w:numFmt w:val="bullet"/>
      <w:lvlText w:val="•"/>
      <w:lvlJc w:val="left"/>
      <w:pPr>
        <w:ind w:left="3872" w:hanging="324"/>
      </w:pPr>
      <w:rPr>
        <w:rFonts w:hint="default"/>
        <w:lang w:val="en-us" w:eastAsia="en-us" w:bidi="en-us"/>
      </w:rPr>
    </w:lvl>
    <w:lvl w:ilvl="3">
      <w:start w:val="0"/>
      <w:numFmt w:val="bullet"/>
      <w:lvlText w:val="•"/>
      <w:lvlJc w:val="left"/>
      <w:pPr>
        <w:ind w:left="5278" w:hanging="324"/>
      </w:pPr>
      <w:rPr>
        <w:rFonts w:hint="default"/>
        <w:lang w:val="en-us" w:eastAsia="en-us" w:bidi="en-us"/>
      </w:rPr>
    </w:lvl>
    <w:lvl w:ilvl="4">
      <w:start w:val="0"/>
      <w:numFmt w:val="bullet"/>
      <w:lvlText w:val="•"/>
      <w:lvlJc w:val="left"/>
      <w:pPr>
        <w:ind w:left="6684" w:hanging="324"/>
      </w:pPr>
      <w:rPr>
        <w:rFonts w:hint="default"/>
        <w:lang w:val="en-us" w:eastAsia="en-us" w:bidi="en-us"/>
      </w:rPr>
    </w:lvl>
    <w:lvl w:ilvl="5">
      <w:start w:val="0"/>
      <w:numFmt w:val="bullet"/>
      <w:lvlText w:val="•"/>
      <w:lvlJc w:val="left"/>
      <w:pPr>
        <w:ind w:left="8090" w:hanging="324"/>
      </w:pPr>
      <w:rPr>
        <w:rFonts w:hint="default"/>
        <w:lang w:val="en-us" w:eastAsia="en-us" w:bidi="en-us"/>
      </w:rPr>
    </w:lvl>
    <w:lvl w:ilvl="6">
      <w:start w:val="0"/>
      <w:numFmt w:val="bullet"/>
      <w:lvlText w:val="•"/>
      <w:lvlJc w:val="left"/>
      <w:pPr>
        <w:ind w:left="9496" w:hanging="324"/>
      </w:pPr>
      <w:rPr>
        <w:rFonts w:hint="default"/>
        <w:lang w:val="en-us" w:eastAsia="en-us" w:bidi="en-us"/>
      </w:rPr>
    </w:lvl>
    <w:lvl w:ilvl="7">
      <w:start w:val="0"/>
      <w:numFmt w:val="bullet"/>
      <w:lvlText w:val="•"/>
      <w:lvlJc w:val="left"/>
      <w:pPr>
        <w:ind w:left="10902" w:hanging="324"/>
      </w:pPr>
      <w:rPr>
        <w:rFonts w:hint="default"/>
        <w:lang w:val="en-us" w:eastAsia="en-us" w:bidi="en-us"/>
      </w:rPr>
    </w:lvl>
    <w:lvl w:ilvl="8">
      <w:start w:val="0"/>
      <w:numFmt w:val="bullet"/>
      <w:lvlText w:val="•"/>
      <w:lvlJc w:val="left"/>
      <w:pPr>
        <w:ind w:left="12308" w:hanging="324"/>
      </w:pPr>
      <w:rPr>
        <w:rFonts w:hint="default"/>
        <w:lang w:val="en-us" w:eastAsia="en-us" w:bidi="en-us"/>
      </w:rPr>
    </w:lvl>
  </w:abstractNum>
  <w:abstractNum w:abstractNumId="57">
    <w:multiLevelType w:val="hybridMultilevel"/>
    <w:lvl w:ilvl="0">
      <w:start w:val="3"/>
      <w:numFmt w:val="decimal"/>
      <w:lvlText w:val="%1."/>
      <w:lvlJc w:val="left"/>
      <w:pPr>
        <w:ind w:left="640" w:hanging="272"/>
        <w:jc w:val="left"/>
      </w:pPr>
      <w:rPr>
        <w:rFonts w:hint="default" w:ascii="Calibri" w:hAnsi="Calibri" w:eastAsia="Calibri" w:cs="Calibri"/>
        <w:spacing w:val="-21"/>
        <w:w w:val="100"/>
        <w:sz w:val="24"/>
        <w:szCs w:val="24"/>
        <w:lang w:val="en-us" w:eastAsia="en-us" w:bidi="en-us"/>
      </w:rPr>
    </w:lvl>
    <w:lvl w:ilvl="1">
      <w:start w:val="0"/>
      <w:numFmt w:val="bullet"/>
      <w:lvlText w:val="•"/>
      <w:lvlJc w:val="left"/>
      <w:pPr>
        <w:ind w:left="1358" w:hanging="272"/>
      </w:pPr>
      <w:rPr>
        <w:rFonts w:hint="default"/>
        <w:lang w:val="en-us" w:eastAsia="en-us" w:bidi="en-us"/>
      </w:rPr>
    </w:lvl>
    <w:lvl w:ilvl="2">
      <w:start w:val="0"/>
      <w:numFmt w:val="bullet"/>
      <w:lvlText w:val="•"/>
      <w:lvlJc w:val="left"/>
      <w:pPr>
        <w:ind w:left="2076" w:hanging="272"/>
      </w:pPr>
      <w:rPr>
        <w:rFonts w:hint="default"/>
        <w:lang w:val="en-us" w:eastAsia="en-us" w:bidi="en-us"/>
      </w:rPr>
    </w:lvl>
    <w:lvl w:ilvl="3">
      <w:start w:val="0"/>
      <w:numFmt w:val="bullet"/>
      <w:lvlText w:val="•"/>
      <w:lvlJc w:val="left"/>
      <w:pPr>
        <w:ind w:left="2795" w:hanging="272"/>
      </w:pPr>
      <w:rPr>
        <w:rFonts w:hint="default"/>
        <w:lang w:val="en-us" w:eastAsia="en-us" w:bidi="en-us"/>
      </w:rPr>
    </w:lvl>
    <w:lvl w:ilvl="4">
      <w:start w:val="0"/>
      <w:numFmt w:val="bullet"/>
      <w:lvlText w:val="•"/>
      <w:lvlJc w:val="left"/>
      <w:pPr>
        <w:ind w:left="3513" w:hanging="272"/>
      </w:pPr>
      <w:rPr>
        <w:rFonts w:hint="default"/>
        <w:lang w:val="en-us" w:eastAsia="en-us" w:bidi="en-us"/>
      </w:rPr>
    </w:lvl>
    <w:lvl w:ilvl="5">
      <w:start w:val="0"/>
      <w:numFmt w:val="bullet"/>
      <w:lvlText w:val="•"/>
      <w:lvlJc w:val="left"/>
      <w:pPr>
        <w:ind w:left="4232" w:hanging="272"/>
      </w:pPr>
      <w:rPr>
        <w:rFonts w:hint="default"/>
        <w:lang w:val="en-us" w:eastAsia="en-us" w:bidi="en-us"/>
      </w:rPr>
    </w:lvl>
    <w:lvl w:ilvl="6">
      <w:start w:val="0"/>
      <w:numFmt w:val="bullet"/>
      <w:lvlText w:val="•"/>
      <w:lvlJc w:val="left"/>
      <w:pPr>
        <w:ind w:left="4950" w:hanging="272"/>
      </w:pPr>
      <w:rPr>
        <w:rFonts w:hint="default"/>
        <w:lang w:val="en-us" w:eastAsia="en-us" w:bidi="en-us"/>
      </w:rPr>
    </w:lvl>
    <w:lvl w:ilvl="7">
      <w:start w:val="0"/>
      <w:numFmt w:val="bullet"/>
      <w:lvlText w:val="•"/>
      <w:lvlJc w:val="left"/>
      <w:pPr>
        <w:ind w:left="5668" w:hanging="272"/>
      </w:pPr>
      <w:rPr>
        <w:rFonts w:hint="default"/>
        <w:lang w:val="en-us" w:eastAsia="en-us" w:bidi="en-us"/>
      </w:rPr>
    </w:lvl>
    <w:lvl w:ilvl="8">
      <w:start w:val="0"/>
      <w:numFmt w:val="bullet"/>
      <w:lvlText w:val="•"/>
      <w:lvlJc w:val="left"/>
      <w:pPr>
        <w:ind w:left="6387" w:hanging="272"/>
      </w:pPr>
      <w:rPr>
        <w:rFonts w:hint="default"/>
        <w:lang w:val="en-us" w:eastAsia="en-us" w:bidi="en-us"/>
      </w:rPr>
    </w:lvl>
  </w:abstractNum>
  <w:abstractNum w:abstractNumId="56">
    <w:multiLevelType w:val="hybridMultilevel"/>
    <w:lvl w:ilvl="0">
      <w:start w:val="0"/>
      <w:numFmt w:val="bullet"/>
      <w:lvlText w:val=""/>
      <w:lvlJc w:val="left"/>
      <w:pPr>
        <w:ind w:left="640" w:hanging="250"/>
      </w:pPr>
      <w:rPr>
        <w:rFonts w:hint="default" w:ascii="Symbol" w:hAnsi="Symbol" w:eastAsia="Symbol" w:cs="Symbol"/>
        <w:w w:val="100"/>
        <w:sz w:val="23"/>
        <w:szCs w:val="23"/>
        <w:lang w:val="en-us" w:eastAsia="en-us" w:bidi="en-us"/>
      </w:rPr>
    </w:lvl>
    <w:lvl w:ilvl="1">
      <w:start w:val="0"/>
      <w:numFmt w:val="bullet"/>
      <w:lvlText w:val="•"/>
      <w:lvlJc w:val="left"/>
      <w:pPr>
        <w:ind w:left="1358" w:hanging="250"/>
      </w:pPr>
      <w:rPr>
        <w:rFonts w:hint="default"/>
        <w:lang w:val="en-us" w:eastAsia="en-us" w:bidi="en-us"/>
      </w:rPr>
    </w:lvl>
    <w:lvl w:ilvl="2">
      <w:start w:val="0"/>
      <w:numFmt w:val="bullet"/>
      <w:lvlText w:val="•"/>
      <w:lvlJc w:val="left"/>
      <w:pPr>
        <w:ind w:left="2076" w:hanging="250"/>
      </w:pPr>
      <w:rPr>
        <w:rFonts w:hint="default"/>
        <w:lang w:val="en-us" w:eastAsia="en-us" w:bidi="en-us"/>
      </w:rPr>
    </w:lvl>
    <w:lvl w:ilvl="3">
      <w:start w:val="0"/>
      <w:numFmt w:val="bullet"/>
      <w:lvlText w:val="•"/>
      <w:lvlJc w:val="left"/>
      <w:pPr>
        <w:ind w:left="2795" w:hanging="250"/>
      </w:pPr>
      <w:rPr>
        <w:rFonts w:hint="default"/>
        <w:lang w:val="en-us" w:eastAsia="en-us" w:bidi="en-us"/>
      </w:rPr>
    </w:lvl>
    <w:lvl w:ilvl="4">
      <w:start w:val="0"/>
      <w:numFmt w:val="bullet"/>
      <w:lvlText w:val="•"/>
      <w:lvlJc w:val="left"/>
      <w:pPr>
        <w:ind w:left="3513" w:hanging="250"/>
      </w:pPr>
      <w:rPr>
        <w:rFonts w:hint="default"/>
        <w:lang w:val="en-us" w:eastAsia="en-us" w:bidi="en-us"/>
      </w:rPr>
    </w:lvl>
    <w:lvl w:ilvl="5">
      <w:start w:val="0"/>
      <w:numFmt w:val="bullet"/>
      <w:lvlText w:val="•"/>
      <w:lvlJc w:val="left"/>
      <w:pPr>
        <w:ind w:left="4232" w:hanging="250"/>
      </w:pPr>
      <w:rPr>
        <w:rFonts w:hint="default"/>
        <w:lang w:val="en-us" w:eastAsia="en-us" w:bidi="en-us"/>
      </w:rPr>
    </w:lvl>
    <w:lvl w:ilvl="6">
      <w:start w:val="0"/>
      <w:numFmt w:val="bullet"/>
      <w:lvlText w:val="•"/>
      <w:lvlJc w:val="left"/>
      <w:pPr>
        <w:ind w:left="4950" w:hanging="250"/>
      </w:pPr>
      <w:rPr>
        <w:rFonts w:hint="default"/>
        <w:lang w:val="en-us" w:eastAsia="en-us" w:bidi="en-us"/>
      </w:rPr>
    </w:lvl>
    <w:lvl w:ilvl="7">
      <w:start w:val="0"/>
      <w:numFmt w:val="bullet"/>
      <w:lvlText w:val="•"/>
      <w:lvlJc w:val="left"/>
      <w:pPr>
        <w:ind w:left="5668" w:hanging="250"/>
      </w:pPr>
      <w:rPr>
        <w:rFonts w:hint="default"/>
        <w:lang w:val="en-us" w:eastAsia="en-us" w:bidi="en-us"/>
      </w:rPr>
    </w:lvl>
    <w:lvl w:ilvl="8">
      <w:start w:val="0"/>
      <w:numFmt w:val="bullet"/>
      <w:lvlText w:val="•"/>
      <w:lvlJc w:val="left"/>
      <w:pPr>
        <w:ind w:left="6387" w:hanging="250"/>
      </w:pPr>
      <w:rPr>
        <w:rFonts w:hint="default"/>
        <w:lang w:val="en-us" w:eastAsia="en-us" w:bidi="en-us"/>
      </w:rPr>
    </w:lvl>
  </w:abstractNum>
  <w:abstractNum w:abstractNumId="55">
    <w:multiLevelType w:val="hybridMultilevel"/>
    <w:lvl w:ilvl="0">
      <w:start w:val="0"/>
      <w:numFmt w:val="bullet"/>
      <w:lvlText w:val=""/>
      <w:lvlJc w:val="left"/>
      <w:pPr>
        <w:ind w:left="649" w:hanging="264"/>
      </w:pPr>
      <w:rPr>
        <w:rFonts w:hint="default" w:ascii="Symbol" w:hAnsi="Symbol" w:eastAsia="Symbol" w:cs="Symbol"/>
        <w:w w:val="100"/>
        <w:sz w:val="23"/>
        <w:szCs w:val="23"/>
        <w:lang w:val="en-us" w:eastAsia="en-us" w:bidi="en-us"/>
      </w:rPr>
    </w:lvl>
    <w:lvl w:ilvl="1">
      <w:start w:val="0"/>
      <w:numFmt w:val="bullet"/>
      <w:lvlText w:val="•"/>
      <w:lvlJc w:val="left"/>
      <w:pPr>
        <w:ind w:left="1358" w:hanging="264"/>
      </w:pPr>
      <w:rPr>
        <w:rFonts w:hint="default"/>
        <w:lang w:val="en-us" w:eastAsia="en-us" w:bidi="en-us"/>
      </w:rPr>
    </w:lvl>
    <w:lvl w:ilvl="2">
      <w:start w:val="0"/>
      <w:numFmt w:val="bullet"/>
      <w:lvlText w:val="•"/>
      <w:lvlJc w:val="left"/>
      <w:pPr>
        <w:ind w:left="2076" w:hanging="264"/>
      </w:pPr>
      <w:rPr>
        <w:rFonts w:hint="default"/>
        <w:lang w:val="en-us" w:eastAsia="en-us" w:bidi="en-us"/>
      </w:rPr>
    </w:lvl>
    <w:lvl w:ilvl="3">
      <w:start w:val="0"/>
      <w:numFmt w:val="bullet"/>
      <w:lvlText w:val="•"/>
      <w:lvlJc w:val="left"/>
      <w:pPr>
        <w:ind w:left="2795" w:hanging="264"/>
      </w:pPr>
      <w:rPr>
        <w:rFonts w:hint="default"/>
        <w:lang w:val="en-us" w:eastAsia="en-us" w:bidi="en-us"/>
      </w:rPr>
    </w:lvl>
    <w:lvl w:ilvl="4">
      <w:start w:val="0"/>
      <w:numFmt w:val="bullet"/>
      <w:lvlText w:val="•"/>
      <w:lvlJc w:val="left"/>
      <w:pPr>
        <w:ind w:left="3513" w:hanging="264"/>
      </w:pPr>
      <w:rPr>
        <w:rFonts w:hint="default"/>
        <w:lang w:val="en-us" w:eastAsia="en-us" w:bidi="en-us"/>
      </w:rPr>
    </w:lvl>
    <w:lvl w:ilvl="5">
      <w:start w:val="0"/>
      <w:numFmt w:val="bullet"/>
      <w:lvlText w:val="•"/>
      <w:lvlJc w:val="left"/>
      <w:pPr>
        <w:ind w:left="4232" w:hanging="264"/>
      </w:pPr>
      <w:rPr>
        <w:rFonts w:hint="default"/>
        <w:lang w:val="en-us" w:eastAsia="en-us" w:bidi="en-us"/>
      </w:rPr>
    </w:lvl>
    <w:lvl w:ilvl="6">
      <w:start w:val="0"/>
      <w:numFmt w:val="bullet"/>
      <w:lvlText w:val="•"/>
      <w:lvlJc w:val="left"/>
      <w:pPr>
        <w:ind w:left="4950" w:hanging="264"/>
      </w:pPr>
      <w:rPr>
        <w:rFonts w:hint="default"/>
        <w:lang w:val="en-us" w:eastAsia="en-us" w:bidi="en-us"/>
      </w:rPr>
    </w:lvl>
    <w:lvl w:ilvl="7">
      <w:start w:val="0"/>
      <w:numFmt w:val="bullet"/>
      <w:lvlText w:val="•"/>
      <w:lvlJc w:val="left"/>
      <w:pPr>
        <w:ind w:left="5668" w:hanging="264"/>
      </w:pPr>
      <w:rPr>
        <w:rFonts w:hint="default"/>
        <w:lang w:val="en-us" w:eastAsia="en-us" w:bidi="en-us"/>
      </w:rPr>
    </w:lvl>
    <w:lvl w:ilvl="8">
      <w:start w:val="0"/>
      <w:numFmt w:val="bullet"/>
      <w:lvlText w:val="•"/>
      <w:lvlJc w:val="left"/>
      <w:pPr>
        <w:ind w:left="6387" w:hanging="264"/>
      </w:pPr>
      <w:rPr>
        <w:rFonts w:hint="default"/>
        <w:lang w:val="en-us" w:eastAsia="en-us" w:bidi="en-us"/>
      </w:rPr>
    </w:lvl>
  </w:abstractNum>
  <w:abstractNum w:abstractNumId="54">
    <w:multiLevelType w:val="hybridMultilevel"/>
    <w:lvl w:ilvl="0">
      <w:start w:val="0"/>
      <w:numFmt w:val="bullet"/>
      <w:lvlText w:val=""/>
      <w:lvlJc w:val="left"/>
      <w:pPr>
        <w:ind w:left="733" w:hanging="250"/>
      </w:pPr>
      <w:rPr>
        <w:rFonts w:hint="default" w:ascii="Symbol" w:hAnsi="Symbol" w:eastAsia="Symbol" w:cs="Symbol"/>
        <w:w w:val="100"/>
        <w:sz w:val="24"/>
        <w:szCs w:val="24"/>
        <w:lang w:val="en-us" w:eastAsia="en-us" w:bidi="en-us"/>
      </w:rPr>
    </w:lvl>
    <w:lvl w:ilvl="1">
      <w:start w:val="0"/>
      <w:numFmt w:val="bullet"/>
      <w:lvlText w:val="•"/>
      <w:lvlJc w:val="left"/>
      <w:pPr>
        <w:ind w:left="1441" w:hanging="250"/>
      </w:pPr>
      <w:rPr>
        <w:rFonts w:hint="default"/>
        <w:lang w:val="en-us" w:eastAsia="en-us" w:bidi="en-us"/>
      </w:rPr>
    </w:lvl>
    <w:lvl w:ilvl="2">
      <w:start w:val="0"/>
      <w:numFmt w:val="bullet"/>
      <w:lvlText w:val="•"/>
      <w:lvlJc w:val="left"/>
      <w:pPr>
        <w:ind w:left="2142" w:hanging="250"/>
      </w:pPr>
      <w:rPr>
        <w:rFonts w:hint="default"/>
        <w:lang w:val="en-us" w:eastAsia="en-us" w:bidi="en-us"/>
      </w:rPr>
    </w:lvl>
    <w:lvl w:ilvl="3">
      <w:start w:val="0"/>
      <w:numFmt w:val="bullet"/>
      <w:lvlText w:val="•"/>
      <w:lvlJc w:val="left"/>
      <w:pPr>
        <w:ind w:left="2843" w:hanging="250"/>
      </w:pPr>
      <w:rPr>
        <w:rFonts w:hint="default"/>
        <w:lang w:val="en-us" w:eastAsia="en-us" w:bidi="en-us"/>
      </w:rPr>
    </w:lvl>
    <w:lvl w:ilvl="4">
      <w:start w:val="0"/>
      <w:numFmt w:val="bullet"/>
      <w:lvlText w:val="•"/>
      <w:lvlJc w:val="left"/>
      <w:pPr>
        <w:ind w:left="3544" w:hanging="250"/>
      </w:pPr>
      <w:rPr>
        <w:rFonts w:hint="default"/>
        <w:lang w:val="en-us" w:eastAsia="en-us" w:bidi="en-us"/>
      </w:rPr>
    </w:lvl>
    <w:lvl w:ilvl="5">
      <w:start w:val="0"/>
      <w:numFmt w:val="bullet"/>
      <w:lvlText w:val="•"/>
      <w:lvlJc w:val="left"/>
      <w:pPr>
        <w:ind w:left="4246" w:hanging="250"/>
      </w:pPr>
      <w:rPr>
        <w:rFonts w:hint="default"/>
        <w:lang w:val="en-us" w:eastAsia="en-us" w:bidi="en-us"/>
      </w:rPr>
    </w:lvl>
    <w:lvl w:ilvl="6">
      <w:start w:val="0"/>
      <w:numFmt w:val="bullet"/>
      <w:lvlText w:val="•"/>
      <w:lvlJc w:val="left"/>
      <w:pPr>
        <w:ind w:left="4947" w:hanging="250"/>
      </w:pPr>
      <w:rPr>
        <w:rFonts w:hint="default"/>
        <w:lang w:val="en-us" w:eastAsia="en-us" w:bidi="en-us"/>
      </w:rPr>
    </w:lvl>
    <w:lvl w:ilvl="7">
      <w:start w:val="0"/>
      <w:numFmt w:val="bullet"/>
      <w:lvlText w:val="•"/>
      <w:lvlJc w:val="left"/>
      <w:pPr>
        <w:ind w:left="5648" w:hanging="250"/>
      </w:pPr>
      <w:rPr>
        <w:rFonts w:hint="default"/>
        <w:lang w:val="en-us" w:eastAsia="en-us" w:bidi="en-us"/>
      </w:rPr>
    </w:lvl>
    <w:lvl w:ilvl="8">
      <w:start w:val="0"/>
      <w:numFmt w:val="bullet"/>
      <w:lvlText w:val="•"/>
      <w:lvlJc w:val="left"/>
      <w:pPr>
        <w:ind w:left="6349" w:hanging="250"/>
      </w:pPr>
      <w:rPr>
        <w:rFonts w:hint="default"/>
        <w:lang w:val="en-us" w:eastAsia="en-us" w:bidi="en-us"/>
      </w:rPr>
    </w:lvl>
  </w:abstractNum>
  <w:abstractNum w:abstractNumId="53">
    <w:multiLevelType w:val="hybridMultilevel"/>
    <w:lvl w:ilvl="0">
      <w:start w:val="1"/>
      <w:numFmt w:val="decimal"/>
      <w:lvlText w:val="%1."/>
      <w:lvlJc w:val="left"/>
      <w:pPr>
        <w:ind w:left="629" w:hanging="250"/>
        <w:jc w:val="left"/>
      </w:pPr>
      <w:rPr>
        <w:rFonts w:hint="default" w:ascii="Calibri" w:hAnsi="Calibri" w:eastAsia="Calibri" w:cs="Calibri"/>
        <w:w w:val="100"/>
        <w:sz w:val="24"/>
        <w:szCs w:val="24"/>
        <w:lang w:val="en-us" w:eastAsia="en-us" w:bidi="en-us"/>
      </w:rPr>
    </w:lvl>
    <w:lvl w:ilvl="1">
      <w:start w:val="0"/>
      <w:numFmt w:val="bullet"/>
      <w:lvlText w:val="•"/>
      <w:lvlJc w:val="left"/>
      <w:pPr>
        <w:ind w:left="1301" w:hanging="250"/>
      </w:pPr>
      <w:rPr>
        <w:rFonts w:hint="default"/>
        <w:lang w:val="en-us" w:eastAsia="en-us" w:bidi="en-us"/>
      </w:rPr>
    </w:lvl>
    <w:lvl w:ilvl="2">
      <w:start w:val="0"/>
      <w:numFmt w:val="bullet"/>
      <w:lvlText w:val="•"/>
      <w:lvlJc w:val="left"/>
      <w:pPr>
        <w:ind w:left="1983" w:hanging="250"/>
      </w:pPr>
      <w:rPr>
        <w:rFonts w:hint="default"/>
        <w:lang w:val="en-us" w:eastAsia="en-us" w:bidi="en-us"/>
      </w:rPr>
    </w:lvl>
    <w:lvl w:ilvl="3">
      <w:start w:val="0"/>
      <w:numFmt w:val="bullet"/>
      <w:lvlText w:val="•"/>
      <w:lvlJc w:val="left"/>
      <w:pPr>
        <w:ind w:left="2664" w:hanging="250"/>
      </w:pPr>
      <w:rPr>
        <w:rFonts w:hint="default"/>
        <w:lang w:val="en-us" w:eastAsia="en-us" w:bidi="en-us"/>
      </w:rPr>
    </w:lvl>
    <w:lvl w:ilvl="4">
      <w:start w:val="0"/>
      <w:numFmt w:val="bullet"/>
      <w:lvlText w:val="•"/>
      <w:lvlJc w:val="left"/>
      <w:pPr>
        <w:ind w:left="3346" w:hanging="250"/>
      </w:pPr>
      <w:rPr>
        <w:rFonts w:hint="default"/>
        <w:lang w:val="en-us" w:eastAsia="en-us" w:bidi="en-us"/>
      </w:rPr>
    </w:lvl>
    <w:lvl w:ilvl="5">
      <w:start w:val="0"/>
      <w:numFmt w:val="bullet"/>
      <w:lvlText w:val="•"/>
      <w:lvlJc w:val="left"/>
      <w:pPr>
        <w:ind w:left="4027" w:hanging="250"/>
      </w:pPr>
      <w:rPr>
        <w:rFonts w:hint="default"/>
        <w:lang w:val="en-us" w:eastAsia="en-us" w:bidi="en-us"/>
      </w:rPr>
    </w:lvl>
    <w:lvl w:ilvl="6">
      <w:start w:val="0"/>
      <w:numFmt w:val="bullet"/>
      <w:lvlText w:val="•"/>
      <w:lvlJc w:val="left"/>
      <w:pPr>
        <w:ind w:left="4709" w:hanging="250"/>
      </w:pPr>
      <w:rPr>
        <w:rFonts w:hint="default"/>
        <w:lang w:val="en-us" w:eastAsia="en-us" w:bidi="en-us"/>
      </w:rPr>
    </w:lvl>
    <w:lvl w:ilvl="7">
      <w:start w:val="0"/>
      <w:numFmt w:val="bullet"/>
      <w:lvlText w:val="•"/>
      <w:lvlJc w:val="left"/>
      <w:pPr>
        <w:ind w:left="5390" w:hanging="250"/>
      </w:pPr>
      <w:rPr>
        <w:rFonts w:hint="default"/>
        <w:lang w:val="en-us" w:eastAsia="en-us" w:bidi="en-us"/>
      </w:rPr>
    </w:lvl>
    <w:lvl w:ilvl="8">
      <w:start w:val="0"/>
      <w:numFmt w:val="bullet"/>
      <w:lvlText w:val="•"/>
      <w:lvlJc w:val="left"/>
      <w:pPr>
        <w:ind w:left="6072" w:hanging="250"/>
      </w:pPr>
      <w:rPr>
        <w:rFonts w:hint="default"/>
        <w:lang w:val="en-us" w:eastAsia="en-us" w:bidi="en-us"/>
      </w:rPr>
    </w:lvl>
  </w:abstractNum>
  <w:abstractNum w:abstractNumId="52">
    <w:multiLevelType w:val="hybridMultilevel"/>
    <w:lvl w:ilvl="0">
      <w:start w:val="0"/>
      <w:numFmt w:val="bullet"/>
      <w:lvlText w:val=""/>
      <w:lvlJc w:val="left"/>
      <w:pPr>
        <w:ind w:left="771" w:hanging="288"/>
      </w:pPr>
      <w:rPr>
        <w:rFonts w:hint="default" w:ascii="Symbol" w:hAnsi="Symbol" w:eastAsia="Symbol" w:cs="Symbol"/>
        <w:w w:val="100"/>
        <w:sz w:val="24"/>
        <w:szCs w:val="24"/>
        <w:lang w:val="en-us" w:eastAsia="en-us" w:bidi="en-us"/>
      </w:rPr>
    </w:lvl>
    <w:lvl w:ilvl="1">
      <w:start w:val="0"/>
      <w:numFmt w:val="bullet"/>
      <w:lvlText w:val="•"/>
      <w:lvlJc w:val="left"/>
      <w:pPr>
        <w:ind w:left="1495" w:hanging="288"/>
      </w:pPr>
      <w:rPr>
        <w:rFonts w:hint="default"/>
        <w:lang w:val="en-us" w:eastAsia="en-us" w:bidi="en-us"/>
      </w:rPr>
    </w:lvl>
    <w:lvl w:ilvl="2">
      <w:start w:val="0"/>
      <w:numFmt w:val="bullet"/>
      <w:lvlText w:val="•"/>
      <w:lvlJc w:val="left"/>
      <w:pPr>
        <w:ind w:left="2210" w:hanging="288"/>
      </w:pPr>
      <w:rPr>
        <w:rFonts w:hint="default"/>
        <w:lang w:val="en-us" w:eastAsia="en-us" w:bidi="en-us"/>
      </w:rPr>
    </w:lvl>
    <w:lvl w:ilvl="3">
      <w:start w:val="0"/>
      <w:numFmt w:val="bullet"/>
      <w:lvlText w:val="•"/>
      <w:lvlJc w:val="left"/>
      <w:pPr>
        <w:ind w:left="2925" w:hanging="288"/>
      </w:pPr>
      <w:rPr>
        <w:rFonts w:hint="default"/>
        <w:lang w:val="en-us" w:eastAsia="en-us" w:bidi="en-us"/>
      </w:rPr>
    </w:lvl>
    <w:lvl w:ilvl="4">
      <w:start w:val="0"/>
      <w:numFmt w:val="bullet"/>
      <w:lvlText w:val="•"/>
      <w:lvlJc w:val="left"/>
      <w:pPr>
        <w:ind w:left="3641" w:hanging="288"/>
      </w:pPr>
      <w:rPr>
        <w:rFonts w:hint="default"/>
        <w:lang w:val="en-us" w:eastAsia="en-us" w:bidi="en-us"/>
      </w:rPr>
    </w:lvl>
    <w:lvl w:ilvl="5">
      <w:start w:val="0"/>
      <w:numFmt w:val="bullet"/>
      <w:lvlText w:val="•"/>
      <w:lvlJc w:val="left"/>
      <w:pPr>
        <w:ind w:left="4356" w:hanging="288"/>
      </w:pPr>
      <w:rPr>
        <w:rFonts w:hint="default"/>
        <w:lang w:val="en-us" w:eastAsia="en-us" w:bidi="en-us"/>
      </w:rPr>
    </w:lvl>
    <w:lvl w:ilvl="6">
      <w:start w:val="0"/>
      <w:numFmt w:val="bullet"/>
      <w:lvlText w:val="•"/>
      <w:lvlJc w:val="left"/>
      <w:pPr>
        <w:ind w:left="5071" w:hanging="288"/>
      </w:pPr>
      <w:rPr>
        <w:rFonts w:hint="default"/>
        <w:lang w:val="en-us" w:eastAsia="en-us" w:bidi="en-us"/>
      </w:rPr>
    </w:lvl>
    <w:lvl w:ilvl="7">
      <w:start w:val="0"/>
      <w:numFmt w:val="bullet"/>
      <w:lvlText w:val="•"/>
      <w:lvlJc w:val="left"/>
      <w:pPr>
        <w:ind w:left="5787" w:hanging="288"/>
      </w:pPr>
      <w:rPr>
        <w:rFonts w:hint="default"/>
        <w:lang w:val="en-us" w:eastAsia="en-us" w:bidi="en-us"/>
      </w:rPr>
    </w:lvl>
    <w:lvl w:ilvl="8">
      <w:start w:val="0"/>
      <w:numFmt w:val="bullet"/>
      <w:lvlText w:val="•"/>
      <w:lvlJc w:val="left"/>
      <w:pPr>
        <w:ind w:left="6502" w:hanging="288"/>
      </w:pPr>
      <w:rPr>
        <w:rFonts w:hint="default"/>
        <w:lang w:val="en-us" w:eastAsia="en-us" w:bidi="en-us"/>
      </w:rPr>
    </w:lvl>
  </w:abstractNum>
  <w:abstractNum w:abstractNumId="51">
    <w:multiLevelType w:val="hybridMultilevel"/>
    <w:lvl w:ilvl="0">
      <w:start w:val="1"/>
      <w:numFmt w:val="lowerLetter"/>
      <w:lvlText w:val="%1."/>
      <w:lvlJc w:val="left"/>
      <w:pPr>
        <w:ind w:left="1290" w:hanging="231"/>
        <w:jc w:val="left"/>
      </w:pPr>
      <w:rPr>
        <w:rFonts w:hint="default" w:ascii="Calibri" w:hAnsi="Calibri" w:eastAsia="Calibri" w:cs="Calibri"/>
        <w:spacing w:val="-3"/>
        <w:w w:val="100"/>
        <w:sz w:val="24"/>
        <w:szCs w:val="24"/>
        <w:lang w:val="en-us" w:eastAsia="en-us" w:bidi="en-us"/>
      </w:rPr>
    </w:lvl>
    <w:lvl w:ilvl="1">
      <w:start w:val="1"/>
      <w:numFmt w:val="decimal"/>
      <w:lvlText w:val="(%2)"/>
      <w:lvlJc w:val="left"/>
      <w:pPr>
        <w:ind w:left="1758" w:hanging="339"/>
        <w:jc w:val="right"/>
      </w:pPr>
      <w:rPr>
        <w:rFonts w:hint="default" w:ascii="Times New Roman" w:hAnsi="Times New Roman" w:eastAsia="Times New Roman" w:cs="Times New Roman"/>
        <w:spacing w:val="-1"/>
        <w:w w:val="100"/>
        <w:sz w:val="24"/>
        <w:szCs w:val="24"/>
        <w:lang w:val="en-us" w:eastAsia="en-us" w:bidi="en-us"/>
      </w:rPr>
    </w:lvl>
    <w:lvl w:ilvl="2">
      <w:start w:val="1"/>
      <w:numFmt w:val="lowerLetter"/>
      <w:lvlText w:val="(%3)"/>
      <w:lvlJc w:val="left"/>
      <w:pPr>
        <w:ind w:left="1780" w:hanging="360"/>
        <w:jc w:val="left"/>
      </w:pPr>
      <w:rPr>
        <w:rFonts w:hint="default" w:ascii="Times New Roman" w:hAnsi="Times New Roman" w:eastAsia="Times New Roman" w:cs="Times New Roman"/>
        <w:spacing w:val="-25"/>
        <w:w w:val="100"/>
        <w:sz w:val="24"/>
        <w:szCs w:val="24"/>
        <w:lang w:val="en-us" w:eastAsia="en-us" w:bidi="en-us"/>
      </w:rPr>
    </w:lvl>
    <w:lvl w:ilvl="3">
      <w:start w:val="0"/>
      <w:numFmt w:val="bullet"/>
      <w:lvlText w:val="•"/>
      <w:lvlJc w:val="left"/>
      <w:pPr>
        <w:ind w:left="3447" w:hanging="360"/>
      </w:pPr>
      <w:rPr>
        <w:rFonts w:hint="default"/>
        <w:lang w:val="en-us" w:eastAsia="en-us" w:bidi="en-us"/>
      </w:rPr>
    </w:lvl>
    <w:lvl w:ilvl="4">
      <w:start w:val="0"/>
      <w:numFmt w:val="bullet"/>
      <w:lvlText w:val="•"/>
      <w:lvlJc w:val="left"/>
      <w:pPr>
        <w:ind w:left="5115" w:hanging="360"/>
      </w:pPr>
      <w:rPr>
        <w:rFonts w:hint="default"/>
        <w:lang w:val="en-us" w:eastAsia="en-us" w:bidi="en-us"/>
      </w:rPr>
    </w:lvl>
    <w:lvl w:ilvl="5">
      <w:start w:val="0"/>
      <w:numFmt w:val="bullet"/>
      <w:lvlText w:val="•"/>
      <w:lvlJc w:val="left"/>
      <w:pPr>
        <w:ind w:left="6782" w:hanging="360"/>
      </w:pPr>
      <w:rPr>
        <w:rFonts w:hint="default"/>
        <w:lang w:val="en-us" w:eastAsia="en-us" w:bidi="en-us"/>
      </w:rPr>
    </w:lvl>
    <w:lvl w:ilvl="6">
      <w:start w:val="0"/>
      <w:numFmt w:val="bullet"/>
      <w:lvlText w:val="•"/>
      <w:lvlJc w:val="left"/>
      <w:pPr>
        <w:ind w:left="8450" w:hanging="360"/>
      </w:pPr>
      <w:rPr>
        <w:rFonts w:hint="default"/>
        <w:lang w:val="en-us" w:eastAsia="en-us" w:bidi="en-us"/>
      </w:rPr>
    </w:lvl>
    <w:lvl w:ilvl="7">
      <w:start w:val="0"/>
      <w:numFmt w:val="bullet"/>
      <w:lvlText w:val="•"/>
      <w:lvlJc w:val="left"/>
      <w:pPr>
        <w:ind w:left="10117" w:hanging="360"/>
      </w:pPr>
      <w:rPr>
        <w:rFonts w:hint="default"/>
        <w:lang w:val="en-us" w:eastAsia="en-us" w:bidi="en-us"/>
      </w:rPr>
    </w:lvl>
    <w:lvl w:ilvl="8">
      <w:start w:val="0"/>
      <w:numFmt w:val="bullet"/>
      <w:lvlText w:val="•"/>
      <w:lvlJc w:val="left"/>
      <w:pPr>
        <w:ind w:left="11785" w:hanging="360"/>
      </w:pPr>
      <w:rPr>
        <w:rFonts w:hint="default"/>
        <w:lang w:val="en-us" w:eastAsia="en-us" w:bidi="en-us"/>
      </w:rPr>
    </w:lvl>
  </w:abstractNum>
  <w:abstractNum w:abstractNumId="50">
    <w:multiLevelType w:val="hybridMultilevel"/>
    <w:lvl w:ilvl="0">
      <w:start w:val="1"/>
      <w:numFmt w:val="lowerLetter"/>
      <w:lvlText w:val="%1."/>
      <w:lvlJc w:val="left"/>
      <w:pPr>
        <w:ind w:left="1060" w:hanging="231"/>
        <w:jc w:val="left"/>
      </w:pPr>
      <w:rPr>
        <w:rFonts w:hint="default" w:ascii="Calibri" w:hAnsi="Calibri" w:eastAsia="Calibri" w:cs="Calibri"/>
        <w:spacing w:val="-4"/>
        <w:w w:val="100"/>
        <w:sz w:val="24"/>
        <w:szCs w:val="24"/>
        <w:lang w:val="en-us" w:eastAsia="en-us" w:bidi="en-us"/>
      </w:rPr>
    </w:lvl>
    <w:lvl w:ilvl="1">
      <w:start w:val="0"/>
      <w:numFmt w:val="bullet"/>
      <w:lvlText w:val="•"/>
      <w:lvlJc w:val="left"/>
      <w:pPr>
        <w:ind w:left="2466" w:hanging="231"/>
      </w:pPr>
      <w:rPr>
        <w:rFonts w:hint="default"/>
        <w:lang w:val="en-us" w:eastAsia="en-us" w:bidi="en-us"/>
      </w:rPr>
    </w:lvl>
    <w:lvl w:ilvl="2">
      <w:start w:val="0"/>
      <w:numFmt w:val="bullet"/>
      <w:lvlText w:val="•"/>
      <w:lvlJc w:val="left"/>
      <w:pPr>
        <w:ind w:left="3872" w:hanging="231"/>
      </w:pPr>
      <w:rPr>
        <w:rFonts w:hint="default"/>
        <w:lang w:val="en-us" w:eastAsia="en-us" w:bidi="en-us"/>
      </w:rPr>
    </w:lvl>
    <w:lvl w:ilvl="3">
      <w:start w:val="0"/>
      <w:numFmt w:val="bullet"/>
      <w:lvlText w:val="•"/>
      <w:lvlJc w:val="left"/>
      <w:pPr>
        <w:ind w:left="5278" w:hanging="231"/>
      </w:pPr>
      <w:rPr>
        <w:rFonts w:hint="default"/>
        <w:lang w:val="en-us" w:eastAsia="en-us" w:bidi="en-us"/>
      </w:rPr>
    </w:lvl>
    <w:lvl w:ilvl="4">
      <w:start w:val="0"/>
      <w:numFmt w:val="bullet"/>
      <w:lvlText w:val="•"/>
      <w:lvlJc w:val="left"/>
      <w:pPr>
        <w:ind w:left="6684" w:hanging="231"/>
      </w:pPr>
      <w:rPr>
        <w:rFonts w:hint="default"/>
        <w:lang w:val="en-us" w:eastAsia="en-us" w:bidi="en-us"/>
      </w:rPr>
    </w:lvl>
    <w:lvl w:ilvl="5">
      <w:start w:val="0"/>
      <w:numFmt w:val="bullet"/>
      <w:lvlText w:val="•"/>
      <w:lvlJc w:val="left"/>
      <w:pPr>
        <w:ind w:left="8090" w:hanging="231"/>
      </w:pPr>
      <w:rPr>
        <w:rFonts w:hint="default"/>
        <w:lang w:val="en-us" w:eastAsia="en-us" w:bidi="en-us"/>
      </w:rPr>
    </w:lvl>
    <w:lvl w:ilvl="6">
      <w:start w:val="0"/>
      <w:numFmt w:val="bullet"/>
      <w:lvlText w:val="•"/>
      <w:lvlJc w:val="left"/>
      <w:pPr>
        <w:ind w:left="9496" w:hanging="231"/>
      </w:pPr>
      <w:rPr>
        <w:rFonts w:hint="default"/>
        <w:lang w:val="en-us" w:eastAsia="en-us" w:bidi="en-us"/>
      </w:rPr>
    </w:lvl>
    <w:lvl w:ilvl="7">
      <w:start w:val="0"/>
      <w:numFmt w:val="bullet"/>
      <w:lvlText w:val="•"/>
      <w:lvlJc w:val="left"/>
      <w:pPr>
        <w:ind w:left="10902" w:hanging="231"/>
      </w:pPr>
      <w:rPr>
        <w:rFonts w:hint="default"/>
        <w:lang w:val="en-us" w:eastAsia="en-us" w:bidi="en-us"/>
      </w:rPr>
    </w:lvl>
    <w:lvl w:ilvl="8">
      <w:start w:val="0"/>
      <w:numFmt w:val="bullet"/>
      <w:lvlText w:val="•"/>
      <w:lvlJc w:val="left"/>
      <w:pPr>
        <w:ind w:left="12308" w:hanging="231"/>
      </w:pPr>
      <w:rPr>
        <w:rFonts w:hint="default"/>
        <w:lang w:val="en-us" w:eastAsia="en-us" w:bidi="en-us"/>
      </w:rPr>
    </w:lvl>
  </w:abstractNum>
  <w:abstractNum w:abstractNumId="49">
    <w:multiLevelType w:val="hybridMultilevel"/>
    <w:lvl w:ilvl="0">
      <w:start w:val="1"/>
      <w:numFmt w:val="lowerLetter"/>
      <w:lvlText w:val="(%1)"/>
      <w:lvlJc w:val="left"/>
      <w:pPr>
        <w:ind w:left="1060" w:hanging="315"/>
        <w:jc w:val="left"/>
      </w:pPr>
      <w:rPr>
        <w:rFonts w:hint="default" w:ascii="Calibri" w:hAnsi="Calibri" w:eastAsia="Calibri" w:cs="Calibri"/>
        <w:spacing w:val="-4"/>
        <w:w w:val="100"/>
        <w:sz w:val="24"/>
        <w:szCs w:val="24"/>
        <w:lang w:val="en-us" w:eastAsia="en-us" w:bidi="en-us"/>
      </w:rPr>
    </w:lvl>
    <w:lvl w:ilvl="1">
      <w:start w:val="0"/>
      <w:numFmt w:val="bullet"/>
      <w:lvlText w:val="•"/>
      <w:lvlJc w:val="left"/>
      <w:pPr>
        <w:ind w:left="2466" w:hanging="315"/>
      </w:pPr>
      <w:rPr>
        <w:rFonts w:hint="default"/>
        <w:lang w:val="en-us" w:eastAsia="en-us" w:bidi="en-us"/>
      </w:rPr>
    </w:lvl>
    <w:lvl w:ilvl="2">
      <w:start w:val="0"/>
      <w:numFmt w:val="bullet"/>
      <w:lvlText w:val="•"/>
      <w:lvlJc w:val="left"/>
      <w:pPr>
        <w:ind w:left="3872" w:hanging="315"/>
      </w:pPr>
      <w:rPr>
        <w:rFonts w:hint="default"/>
        <w:lang w:val="en-us" w:eastAsia="en-us" w:bidi="en-us"/>
      </w:rPr>
    </w:lvl>
    <w:lvl w:ilvl="3">
      <w:start w:val="0"/>
      <w:numFmt w:val="bullet"/>
      <w:lvlText w:val="•"/>
      <w:lvlJc w:val="left"/>
      <w:pPr>
        <w:ind w:left="5278" w:hanging="315"/>
      </w:pPr>
      <w:rPr>
        <w:rFonts w:hint="default"/>
        <w:lang w:val="en-us" w:eastAsia="en-us" w:bidi="en-us"/>
      </w:rPr>
    </w:lvl>
    <w:lvl w:ilvl="4">
      <w:start w:val="0"/>
      <w:numFmt w:val="bullet"/>
      <w:lvlText w:val="•"/>
      <w:lvlJc w:val="left"/>
      <w:pPr>
        <w:ind w:left="6684" w:hanging="315"/>
      </w:pPr>
      <w:rPr>
        <w:rFonts w:hint="default"/>
        <w:lang w:val="en-us" w:eastAsia="en-us" w:bidi="en-us"/>
      </w:rPr>
    </w:lvl>
    <w:lvl w:ilvl="5">
      <w:start w:val="0"/>
      <w:numFmt w:val="bullet"/>
      <w:lvlText w:val="•"/>
      <w:lvlJc w:val="left"/>
      <w:pPr>
        <w:ind w:left="8090" w:hanging="315"/>
      </w:pPr>
      <w:rPr>
        <w:rFonts w:hint="default"/>
        <w:lang w:val="en-us" w:eastAsia="en-us" w:bidi="en-us"/>
      </w:rPr>
    </w:lvl>
    <w:lvl w:ilvl="6">
      <w:start w:val="0"/>
      <w:numFmt w:val="bullet"/>
      <w:lvlText w:val="•"/>
      <w:lvlJc w:val="left"/>
      <w:pPr>
        <w:ind w:left="9496" w:hanging="315"/>
      </w:pPr>
      <w:rPr>
        <w:rFonts w:hint="default"/>
        <w:lang w:val="en-us" w:eastAsia="en-us" w:bidi="en-us"/>
      </w:rPr>
    </w:lvl>
    <w:lvl w:ilvl="7">
      <w:start w:val="0"/>
      <w:numFmt w:val="bullet"/>
      <w:lvlText w:val="•"/>
      <w:lvlJc w:val="left"/>
      <w:pPr>
        <w:ind w:left="10902" w:hanging="315"/>
      </w:pPr>
      <w:rPr>
        <w:rFonts w:hint="default"/>
        <w:lang w:val="en-us" w:eastAsia="en-us" w:bidi="en-us"/>
      </w:rPr>
    </w:lvl>
    <w:lvl w:ilvl="8">
      <w:start w:val="0"/>
      <w:numFmt w:val="bullet"/>
      <w:lvlText w:val="•"/>
      <w:lvlJc w:val="left"/>
      <w:pPr>
        <w:ind w:left="12308" w:hanging="315"/>
      </w:pPr>
      <w:rPr>
        <w:rFonts w:hint="default"/>
        <w:lang w:val="en-us" w:eastAsia="en-us" w:bidi="en-us"/>
      </w:rPr>
    </w:lvl>
  </w:abstractNum>
  <w:abstractNum w:abstractNumId="48">
    <w:multiLevelType w:val="hybridMultilevel"/>
    <w:lvl w:ilvl="0">
      <w:start w:val="1"/>
      <w:numFmt w:val="decimal"/>
      <w:lvlText w:val="(%1)"/>
      <w:lvlJc w:val="left"/>
      <w:pPr>
        <w:ind w:left="1381" w:hanging="322"/>
        <w:jc w:val="left"/>
      </w:pPr>
      <w:rPr>
        <w:rFonts w:hint="default" w:ascii="Calibri" w:hAnsi="Calibri" w:eastAsia="Calibri" w:cs="Calibri"/>
        <w:spacing w:val="-3"/>
        <w:w w:val="100"/>
        <w:sz w:val="24"/>
        <w:szCs w:val="24"/>
        <w:lang w:val="en-us" w:eastAsia="en-us" w:bidi="en-us"/>
      </w:rPr>
    </w:lvl>
    <w:lvl w:ilvl="1">
      <w:start w:val="1"/>
      <w:numFmt w:val="lowerRoman"/>
      <w:lvlText w:val="(%2)"/>
      <w:lvlJc w:val="left"/>
      <w:pPr>
        <w:ind w:left="2140" w:hanging="776"/>
        <w:jc w:val="left"/>
      </w:pPr>
      <w:rPr>
        <w:rFonts w:hint="default" w:ascii="Calibri" w:hAnsi="Calibri" w:eastAsia="Calibri" w:cs="Calibri"/>
        <w:spacing w:val="-3"/>
        <w:w w:val="100"/>
        <w:sz w:val="24"/>
        <w:szCs w:val="24"/>
        <w:lang w:val="en-us" w:eastAsia="en-us" w:bidi="en-us"/>
      </w:rPr>
    </w:lvl>
    <w:lvl w:ilvl="2">
      <w:start w:val="0"/>
      <w:numFmt w:val="bullet"/>
      <w:lvlText w:val="•"/>
      <w:lvlJc w:val="left"/>
      <w:pPr>
        <w:ind w:left="3582" w:hanging="776"/>
      </w:pPr>
      <w:rPr>
        <w:rFonts w:hint="default"/>
        <w:lang w:val="en-us" w:eastAsia="en-us" w:bidi="en-us"/>
      </w:rPr>
    </w:lvl>
    <w:lvl w:ilvl="3">
      <w:start w:val="0"/>
      <w:numFmt w:val="bullet"/>
      <w:lvlText w:val="•"/>
      <w:lvlJc w:val="left"/>
      <w:pPr>
        <w:ind w:left="5024" w:hanging="776"/>
      </w:pPr>
      <w:rPr>
        <w:rFonts w:hint="default"/>
        <w:lang w:val="en-us" w:eastAsia="en-us" w:bidi="en-us"/>
      </w:rPr>
    </w:lvl>
    <w:lvl w:ilvl="4">
      <w:start w:val="0"/>
      <w:numFmt w:val="bullet"/>
      <w:lvlText w:val="•"/>
      <w:lvlJc w:val="left"/>
      <w:pPr>
        <w:ind w:left="6466" w:hanging="776"/>
      </w:pPr>
      <w:rPr>
        <w:rFonts w:hint="default"/>
        <w:lang w:val="en-us" w:eastAsia="en-us" w:bidi="en-us"/>
      </w:rPr>
    </w:lvl>
    <w:lvl w:ilvl="5">
      <w:start w:val="0"/>
      <w:numFmt w:val="bullet"/>
      <w:lvlText w:val="•"/>
      <w:lvlJc w:val="left"/>
      <w:pPr>
        <w:ind w:left="7908" w:hanging="776"/>
      </w:pPr>
      <w:rPr>
        <w:rFonts w:hint="default"/>
        <w:lang w:val="en-us" w:eastAsia="en-us" w:bidi="en-us"/>
      </w:rPr>
    </w:lvl>
    <w:lvl w:ilvl="6">
      <w:start w:val="0"/>
      <w:numFmt w:val="bullet"/>
      <w:lvlText w:val="•"/>
      <w:lvlJc w:val="left"/>
      <w:pPr>
        <w:ind w:left="9351" w:hanging="776"/>
      </w:pPr>
      <w:rPr>
        <w:rFonts w:hint="default"/>
        <w:lang w:val="en-us" w:eastAsia="en-us" w:bidi="en-us"/>
      </w:rPr>
    </w:lvl>
    <w:lvl w:ilvl="7">
      <w:start w:val="0"/>
      <w:numFmt w:val="bullet"/>
      <w:lvlText w:val="•"/>
      <w:lvlJc w:val="left"/>
      <w:pPr>
        <w:ind w:left="10793" w:hanging="776"/>
      </w:pPr>
      <w:rPr>
        <w:rFonts w:hint="default"/>
        <w:lang w:val="en-us" w:eastAsia="en-us" w:bidi="en-us"/>
      </w:rPr>
    </w:lvl>
    <w:lvl w:ilvl="8">
      <w:start w:val="0"/>
      <w:numFmt w:val="bullet"/>
      <w:lvlText w:val="•"/>
      <w:lvlJc w:val="left"/>
      <w:pPr>
        <w:ind w:left="12235" w:hanging="776"/>
      </w:pPr>
      <w:rPr>
        <w:rFonts w:hint="default"/>
        <w:lang w:val="en-us" w:eastAsia="en-us" w:bidi="en-us"/>
      </w:rPr>
    </w:lvl>
  </w:abstractNum>
  <w:abstractNum w:abstractNumId="47">
    <w:multiLevelType w:val="hybridMultilevel"/>
    <w:lvl w:ilvl="0">
      <w:start w:val="0"/>
      <w:numFmt w:val="bullet"/>
      <w:lvlText w:val="•"/>
      <w:lvlJc w:val="left"/>
      <w:pPr>
        <w:ind w:left="502" w:hanging="360"/>
      </w:pPr>
      <w:rPr>
        <w:rFonts w:hint="default" w:ascii="Garamond" w:hAnsi="Garamond" w:eastAsia="Garamond" w:cs="Garamond"/>
        <w:spacing w:val="-3"/>
        <w:w w:val="100"/>
        <w:sz w:val="24"/>
        <w:szCs w:val="24"/>
        <w:lang w:val="en-us" w:eastAsia="en-us" w:bidi="en-us"/>
      </w:rPr>
    </w:lvl>
    <w:lvl w:ilvl="1">
      <w:start w:val="0"/>
      <w:numFmt w:val="bullet"/>
      <w:lvlText w:val="o"/>
      <w:lvlJc w:val="left"/>
      <w:pPr>
        <w:ind w:left="862" w:hanging="360"/>
      </w:pPr>
      <w:rPr>
        <w:rFonts w:hint="default" w:ascii="Courier New" w:hAnsi="Courier New" w:eastAsia="Courier New" w:cs="Courier New"/>
        <w:w w:val="100"/>
        <w:sz w:val="24"/>
        <w:szCs w:val="24"/>
        <w:lang w:val="en-us" w:eastAsia="en-us" w:bidi="en-us"/>
      </w:rPr>
    </w:lvl>
    <w:lvl w:ilvl="2">
      <w:start w:val="0"/>
      <w:numFmt w:val="bullet"/>
      <w:lvlText w:val="•"/>
      <w:lvlJc w:val="left"/>
      <w:pPr>
        <w:ind w:left="1294" w:hanging="360"/>
      </w:pPr>
      <w:rPr>
        <w:rFonts w:hint="default"/>
        <w:lang w:val="en-us" w:eastAsia="en-us" w:bidi="en-us"/>
      </w:rPr>
    </w:lvl>
    <w:lvl w:ilvl="3">
      <w:start w:val="0"/>
      <w:numFmt w:val="bullet"/>
      <w:lvlText w:val="•"/>
      <w:lvlJc w:val="left"/>
      <w:pPr>
        <w:ind w:left="1729" w:hanging="360"/>
      </w:pPr>
      <w:rPr>
        <w:rFonts w:hint="default"/>
        <w:lang w:val="en-us" w:eastAsia="en-us" w:bidi="en-us"/>
      </w:rPr>
    </w:lvl>
    <w:lvl w:ilvl="4">
      <w:start w:val="0"/>
      <w:numFmt w:val="bullet"/>
      <w:lvlText w:val="•"/>
      <w:lvlJc w:val="left"/>
      <w:pPr>
        <w:ind w:left="2164" w:hanging="360"/>
      </w:pPr>
      <w:rPr>
        <w:rFonts w:hint="default"/>
        <w:lang w:val="en-us" w:eastAsia="en-us" w:bidi="en-us"/>
      </w:rPr>
    </w:lvl>
    <w:lvl w:ilvl="5">
      <w:start w:val="0"/>
      <w:numFmt w:val="bullet"/>
      <w:lvlText w:val="•"/>
      <w:lvlJc w:val="left"/>
      <w:pPr>
        <w:ind w:left="2599" w:hanging="360"/>
      </w:pPr>
      <w:rPr>
        <w:rFonts w:hint="default"/>
        <w:lang w:val="en-us" w:eastAsia="en-us" w:bidi="en-us"/>
      </w:rPr>
    </w:lvl>
    <w:lvl w:ilvl="6">
      <w:start w:val="0"/>
      <w:numFmt w:val="bullet"/>
      <w:lvlText w:val="•"/>
      <w:lvlJc w:val="left"/>
      <w:pPr>
        <w:ind w:left="3034" w:hanging="360"/>
      </w:pPr>
      <w:rPr>
        <w:rFonts w:hint="default"/>
        <w:lang w:val="en-us" w:eastAsia="en-us" w:bidi="en-us"/>
      </w:rPr>
    </w:lvl>
    <w:lvl w:ilvl="7">
      <w:start w:val="0"/>
      <w:numFmt w:val="bullet"/>
      <w:lvlText w:val="•"/>
      <w:lvlJc w:val="left"/>
      <w:pPr>
        <w:ind w:left="3469" w:hanging="360"/>
      </w:pPr>
      <w:rPr>
        <w:rFonts w:hint="default"/>
        <w:lang w:val="en-us" w:eastAsia="en-us" w:bidi="en-us"/>
      </w:rPr>
    </w:lvl>
    <w:lvl w:ilvl="8">
      <w:start w:val="0"/>
      <w:numFmt w:val="bullet"/>
      <w:lvlText w:val="•"/>
      <w:lvlJc w:val="left"/>
      <w:pPr>
        <w:ind w:left="3904" w:hanging="360"/>
      </w:pPr>
      <w:rPr>
        <w:rFonts w:hint="default"/>
        <w:lang w:val="en-us" w:eastAsia="en-us" w:bidi="en-us"/>
      </w:rPr>
    </w:lvl>
  </w:abstractNum>
  <w:abstractNum w:abstractNumId="46">
    <w:multiLevelType w:val="hybridMultilevel"/>
    <w:lvl w:ilvl="0">
      <w:start w:val="0"/>
      <w:numFmt w:val="bullet"/>
      <w:lvlText w:val=""/>
      <w:lvlJc w:val="left"/>
      <w:pPr>
        <w:ind w:left="825" w:hanging="361"/>
      </w:pPr>
      <w:rPr>
        <w:rFonts w:hint="default" w:ascii="Symbol" w:hAnsi="Symbol" w:eastAsia="Symbol" w:cs="Symbol"/>
        <w:w w:val="100"/>
        <w:sz w:val="22"/>
        <w:szCs w:val="22"/>
        <w:lang w:val="en-us" w:eastAsia="en-us" w:bidi="en-us"/>
      </w:rPr>
    </w:lvl>
    <w:lvl w:ilvl="1">
      <w:start w:val="0"/>
      <w:numFmt w:val="bullet"/>
      <w:lvlText w:val="•"/>
      <w:lvlJc w:val="left"/>
      <w:pPr>
        <w:ind w:left="1096" w:hanging="361"/>
      </w:pPr>
      <w:rPr>
        <w:rFonts w:hint="default"/>
        <w:lang w:val="en-us" w:eastAsia="en-us" w:bidi="en-us"/>
      </w:rPr>
    </w:lvl>
    <w:lvl w:ilvl="2">
      <w:start w:val="0"/>
      <w:numFmt w:val="bullet"/>
      <w:lvlText w:val="•"/>
      <w:lvlJc w:val="left"/>
      <w:pPr>
        <w:ind w:left="1372" w:hanging="361"/>
      </w:pPr>
      <w:rPr>
        <w:rFonts w:hint="default"/>
        <w:lang w:val="en-us" w:eastAsia="en-us" w:bidi="en-us"/>
      </w:rPr>
    </w:lvl>
    <w:lvl w:ilvl="3">
      <w:start w:val="0"/>
      <w:numFmt w:val="bullet"/>
      <w:lvlText w:val="•"/>
      <w:lvlJc w:val="left"/>
      <w:pPr>
        <w:ind w:left="1648" w:hanging="361"/>
      </w:pPr>
      <w:rPr>
        <w:rFonts w:hint="default"/>
        <w:lang w:val="en-us" w:eastAsia="en-us" w:bidi="en-us"/>
      </w:rPr>
    </w:lvl>
    <w:lvl w:ilvl="4">
      <w:start w:val="0"/>
      <w:numFmt w:val="bullet"/>
      <w:lvlText w:val="•"/>
      <w:lvlJc w:val="left"/>
      <w:pPr>
        <w:ind w:left="1925" w:hanging="361"/>
      </w:pPr>
      <w:rPr>
        <w:rFonts w:hint="default"/>
        <w:lang w:val="en-us" w:eastAsia="en-us" w:bidi="en-us"/>
      </w:rPr>
    </w:lvl>
    <w:lvl w:ilvl="5">
      <w:start w:val="0"/>
      <w:numFmt w:val="bullet"/>
      <w:lvlText w:val="•"/>
      <w:lvlJc w:val="left"/>
      <w:pPr>
        <w:ind w:left="2201" w:hanging="361"/>
      </w:pPr>
      <w:rPr>
        <w:rFonts w:hint="default"/>
        <w:lang w:val="en-us" w:eastAsia="en-us" w:bidi="en-us"/>
      </w:rPr>
    </w:lvl>
    <w:lvl w:ilvl="6">
      <w:start w:val="0"/>
      <w:numFmt w:val="bullet"/>
      <w:lvlText w:val="•"/>
      <w:lvlJc w:val="left"/>
      <w:pPr>
        <w:ind w:left="2477" w:hanging="361"/>
      </w:pPr>
      <w:rPr>
        <w:rFonts w:hint="default"/>
        <w:lang w:val="en-us" w:eastAsia="en-us" w:bidi="en-us"/>
      </w:rPr>
    </w:lvl>
    <w:lvl w:ilvl="7">
      <w:start w:val="0"/>
      <w:numFmt w:val="bullet"/>
      <w:lvlText w:val="•"/>
      <w:lvlJc w:val="left"/>
      <w:pPr>
        <w:ind w:left="2754" w:hanging="361"/>
      </w:pPr>
      <w:rPr>
        <w:rFonts w:hint="default"/>
        <w:lang w:val="en-us" w:eastAsia="en-us" w:bidi="en-us"/>
      </w:rPr>
    </w:lvl>
    <w:lvl w:ilvl="8">
      <w:start w:val="0"/>
      <w:numFmt w:val="bullet"/>
      <w:lvlText w:val="•"/>
      <w:lvlJc w:val="left"/>
      <w:pPr>
        <w:ind w:left="3030" w:hanging="361"/>
      </w:pPr>
      <w:rPr>
        <w:rFonts w:hint="default"/>
        <w:lang w:val="en-us" w:eastAsia="en-us" w:bidi="en-us"/>
      </w:rPr>
    </w:lvl>
  </w:abstractNum>
  <w:abstractNum w:abstractNumId="45">
    <w:multiLevelType w:val="hybridMultilevel"/>
    <w:lvl w:ilvl="0">
      <w:start w:val="0"/>
      <w:numFmt w:val="bullet"/>
      <w:lvlText w:val=""/>
      <w:lvlJc w:val="left"/>
      <w:pPr>
        <w:ind w:left="465" w:hanging="361"/>
      </w:pPr>
      <w:rPr>
        <w:rFonts w:hint="default" w:ascii="Symbol" w:hAnsi="Symbol" w:eastAsia="Symbol" w:cs="Symbol"/>
        <w:w w:val="100"/>
        <w:sz w:val="22"/>
        <w:szCs w:val="22"/>
        <w:lang w:val="en-us" w:eastAsia="en-us" w:bidi="en-us"/>
      </w:rPr>
    </w:lvl>
    <w:lvl w:ilvl="1">
      <w:start w:val="0"/>
      <w:numFmt w:val="bullet"/>
      <w:lvlText w:val="•"/>
      <w:lvlJc w:val="left"/>
      <w:pPr>
        <w:ind w:left="772" w:hanging="361"/>
      </w:pPr>
      <w:rPr>
        <w:rFonts w:hint="default"/>
        <w:lang w:val="en-us" w:eastAsia="en-us" w:bidi="en-us"/>
      </w:rPr>
    </w:lvl>
    <w:lvl w:ilvl="2">
      <w:start w:val="0"/>
      <w:numFmt w:val="bullet"/>
      <w:lvlText w:val="•"/>
      <w:lvlJc w:val="left"/>
      <w:pPr>
        <w:ind w:left="1084" w:hanging="361"/>
      </w:pPr>
      <w:rPr>
        <w:rFonts w:hint="default"/>
        <w:lang w:val="en-us" w:eastAsia="en-us" w:bidi="en-us"/>
      </w:rPr>
    </w:lvl>
    <w:lvl w:ilvl="3">
      <w:start w:val="0"/>
      <w:numFmt w:val="bullet"/>
      <w:lvlText w:val="•"/>
      <w:lvlJc w:val="left"/>
      <w:pPr>
        <w:ind w:left="1396" w:hanging="361"/>
      </w:pPr>
      <w:rPr>
        <w:rFonts w:hint="default"/>
        <w:lang w:val="en-us" w:eastAsia="en-us" w:bidi="en-us"/>
      </w:rPr>
    </w:lvl>
    <w:lvl w:ilvl="4">
      <w:start w:val="0"/>
      <w:numFmt w:val="bullet"/>
      <w:lvlText w:val="•"/>
      <w:lvlJc w:val="left"/>
      <w:pPr>
        <w:ind w:left="1709" w:hanging="361"/>
      </w:pPr>
      <w:rPr>
        <w:rFonts w:hint="default"/>
        <w:lang w:val="en-us" w:eastAsia="en-us" w:bidi="en-us"/>
      </w:rPr>
    </w:lvl>
    <w:lvl w:ilvl="5">
      <w:start w:val="0"/>
      <w:numFmt w:val="bullet"/>
      <w:lvlText w:val="•"/>
      <w:lvlJc w:val="left"/>
      <w:pPr>
        <w:ind w:left="2021" w:hanging="361"/>
      </w:pPr>
      <w:rPr>
        <w:rFonts w:hint="default"/>
        <w:lang w:val="en-us" w:eastAsia="en-us" w:bidi="en-us"/>
      </w:rPr>
    </w:lvl>
    <w:lvl w:ilvl="6">
      <w:start w:val="0"/>
      <w:numFmt w:val="bullet"/>
      <w:lvlText w:val="•"/>
      <w:lvlJc w:val="left"/>
      <w:pPr>
        <w:ind w:left="2333" w:hanging="361"/>
      </w:pPr>
      <w:rPr>
        <w:rFonts w:hint="default"/>
        <w:lang w:val="en-us" w:eastAsia="en-us" w:bidi="en-us"/>
      </w:rPr>
    </w:lvl>
    <w:lvl w:ilvl="7">
      <w:start w:val="0"/>
      <w:numFmt w:val="bullet"/>
      <w:lvlText w:val="•"/>
      <w:lvlJc w:val="left"/>
      <w:pPr>
        <w:ind w:left="2646" w:hanging="361"/>
      </w:pPr>
      <w:rPr>
        <w:rFonts w:hint="default"/>
        <w:lang w:val="en-us" w:eastAsia="en-us" w:bidi="en-us"/>
      </w:rPr>
    </w:lvl>
    <w:lvl w:ilvl="8">
      <w:start w:val="0"/>
      <w:numFmt w:val="bullet"/>
      <w:lvlText w:val="•"/>
      <w:lvlJc w:val="left"/>
      <w:pPr>
        <w:ind w:left="2958" w:hanging="361"/>
      </w:pPr>
      <w:rPr>
        <w:rFonts w:hint="default"/>
        <w:lang w:val="en-us" w:eastAsia="en-us" w:bidi="en-us"/>
      </w:rPr>
    </w:lvl>
  </w:abstractNum>
  <w:abstractNum w:abstractNumId="44">
    <w:multiLevelType w:val="hybridMultilevel"/>
    <w:lvl w:ilvl="0">
      <w:start w:val="0"/>
      <w:numFmt w:val="bullet"/>
      <w:lvlText w:val=""/>
      <w:lvlJc w:val="left"/>
      <w:pPr>
        <w:ind w:left="465" w:hanging="361"/>
      </w:pPr>
      <w:rPr>
        <w:rFonts w:hint="default" w:ascii="Symbol" w:hAnsi="Symbol" w:eastAsia="Symbol" w:cs="Symbol"/>
        <w:w w:val="100"/>
        <w:sz w:val="22"/>
        <w:szCs w:val="22"/>
        <w:lang w:val="en-us" w:eastAsia="en-us" w:bidi="en-us"/>
      </w:rPr>
    </w:lvl>
    <w:lvl w:ilvl="1">
      <w:start w:val="0"/>
      <w:numFmt w:val="bullet"/>
      <w:lvlText w:val="•"/>
      <w:lvlJc w:val="left"/>
      <w:pPr>
        <w:ind w:left="772" w:hanging="361"/>
      </w:pPr>
      <w:rPr>
        <w:rFonts w:hint="default"/>
        <w:lang w:val="en-us" w:eastAsia="en-us" w:bidi="en-us"/>
      </w:rPr>
    </w:lvl>
    <w:lvl w:ilvl="2">
      <w:start w:val="0"/>
      <w:numFmt w:val="bullet"/>
      <w:lvlText w:val="•"/>
      <w:lvlJc w:val="left"/>
      <w:pPr>
        <w:ind w:left="1084" w:hanging="361"/>
      </w:pPr>
      <w:rPr>
        <w:rFonts w:hint="default"/>
        <w:lang w:val="en-us" w:eastAsia="en-us" w:bidi="en-us"/>
      </w:rPr>
    </w:lvl>
    <w:lvl w:ilvl="3">
      <w:start w:val="0"/>
      <w:numFmt w:val="bullet"/>
      <w:lvlText w:val="•"/>
      <w:lvlJc w:val="left"/>
      <w:pPr>
        <w:ind w:left="1396" w:hanging="361"/>
      </w:pPr>
      <w:rPr>
        <w:rFonts w:hint="default"/>
        <w:lang w:val="en-us" w:eastAsia="en-us" w:bidi="en-us"/>
      </w:rPr>
    </w:lvl>
    <w:lvl w:ilvl="4">
      <w:start w:val="0"/>
      <w:numFmt w:val="bullet"/>
      <w:lvlText w:val="•"/>
      <w:lvlJc w:val="left"/>
      <w:pPr>
        <w:ind w:left="1709" w:hanging="361"/>
      </w:pPr>
      <w:rPr>
        <w:rFonts w:hint="default"/>
        <w:lang w:val="en-us" w:eastAsia="en-us" w:bidi="en-us"/>
      </w:rPr>
    </w:lvl>
    <w:lvl w:ilvl="5">
      <w:start w:val="0"/>
      <w:numFmt w:val="bullet"/>
      <w:lvlText w:val="•"/>
      <w:lvlJc w:val="left"/>
      <w:pPr>
        <w:ind w:left="2021" w:hanging="361"/>
      </w:pPr>
      <w:rPr>
        <w:rFonts w:hint="default"/>
        <w:lang w:val="en-us" w:eastAsia="en-us" w:bidi="en-us"/>
      </w:rPr>
    </w:lvl>
    <w:lvl w:ilvl="6">
      <w:start w:val="0"/>
      <w:numFmt w:val="bullet"/>
      <w:lvlText w:val="•"/>
      <w:lvlJc w:val="left"/>
      <w:pPr>
        <w:ind w:left="2333" w:hanging="361"/>
      </w:pPr>
      <w:rPr>
        <w:rFonts w:hint="default"/>
        <w:lang w:val="en-us" w:eastAsia="en-us" w:bidi="en-us"/>
      </w:rPr>
    </w:lvl>
    <w:lvl w:ilvl="7">
      <w:start w:val="0"/>
      <w:numFmt w:val="bullet"/>
      <w:lvlText w:val="•"/>
      <w:lvlJc w:val="left"/>
      <w:pPr>
        <w:ind w:left="2646" w:hanging="361"/>
      </w:pPr>
      <w:rPr>
        <w:rFonts w:hint="default"/>
        <w:lang w:val="en-us" w:eastAsia="en-us" w:bidi="en-us"/>
      </w:rPr>
    </w:lvl>
    <w:lvl w:ilvl="8">
      <w:start w:val="0"/>
      <w:numFmt w:val="bullet"/>
      <w:lvlText w:val="•"/>
      <w:lvlJc w:val="left"/>
      <w:pPr>
        <w:ind w:left="2958" w:hanging="361"/>
      </w:pPr>
      <w:rPr>
        <w:rFonts w:hint="default"/>
        <w:lang w:val="en-us" w:eastAsia="en-us" w:bidi="en-us"/>
      </w:rPr>
    </w:lvl>
  </w:abstractNum>
  <w:abstractNum w:abstractNumId="43">
    <w:multiLevelType w:val="hybridMultilevel"/>
    <w:lvl w:ilvl="0">
      <w:start w:val="0"/>
      <w:numFmt w:val="bullet"/>
      <w:lvlText w:val=""/>
      <w:lvlJc w:val="left"/>
      <w:pPr>
        <w:ind w:left="468" w:hanging="361"/>
      </w:pPr>
      <w:rPr>
        <w:rFonts w:hint="default" w:ascii="Symbol" w:hAnsi="Symbol" w:eastAsia="Symbol" w:cs="Symbol"/>
        <w:w w:val="100"/>
        <w:sz w:val="22"/>
        <w:szCs w:val="22"/>
        <w:lang w:val="en-us" w:eastAsia="en-us" w:bidi="en-us"/>
      </w:rPr>
    </w:lvl>
    <w:lvl w:ilvl="1">
      <w:start w:val="0"/>
      <w:numFmt w:val="bullet"/>
      <w:lvlText w:val="•"/>
      <w:lvlJc w:val="left"/>
      <w:pPr>
        <w:ind w:left="707" w:hanging="361"/>
      </w:pPr>
      <w:rPr>
        <w:rFonts w:hint="default"/>
        <w:lang w:val="en-us" w:eastAsia="en-us" w:bidi="en-us"/>
      </w:rPr>
    </w:lvl>
    <w:lvl w:ilvl="2">
      <w:start w:val="0"/>
      <w:numFmt w:val="bullet"/>
      <w:lvlText w:val="•"/>
      <w:lvlJc w:val="left"/>
      <w:pPr>
        <w:ind w:left="955" w:hanging="361"/>
      </w:pPr>
      <w:rPr>
        <w:rFonts w:hint="default"/>
        <w:lang w:val="en-us" w:eastAsia="en-us" w:bidi="en-us"/>
      </w:rPr>
    </w:lvl>
    <w:lvl w:ilvl="3">
      <w:start w:val="0"/>
      <w:numFmt w:val="bullet"/>
      <w:lvlText w:val="•"/>
      <w:lvlJc w:val="left"/>
      <w:pPr>
        <w:ind w:left="1203" w:hanging="361"/>
      </w:pPr>
      <w:rPr>
        <w:rFonts w:hint="default"/>
        <w:lang w:val="en-us" w:eastAsia="en-us" w:bidi="en-us"/>
      </w:rPr>
    </w:lvl>
    <w:lvl w:ilvl="4">
      <w:start w:val="0"/>
      <w:numFmt w:val="bullet"/>
      <w:lvlText w:val="•"/>
      <w:lvlJc w:val="left"/>
      <w:pPr>
        <w:ind w:left="1450" w:hanging="361"/>
      </w:pPr>
      <w:rPr>
        <w:rFonts w:hint="default"/>
        <w:lang w:val="en-us" w:eastAsia="en-us" w:bidi="en-us"/>
      </w:rPr>
    </w:lvl>
    <w:lvl w:ilvl="5">
      <w:start w:val="0"/>
      <w:numFmt w:val="bullet"/>
      <w:lvlText w:val="•"/>
      <w:lvlJc w:val="left"/>
      <w:pPr>
        <w:ind w:left="1698" w:hanging="361"/>
      </w:pPr>
      <w:rPr>
        <w:rFonts w:hint="default"/>
        <w:lang w:val="en-us" w:eastAsia="en-us" w:bidi="en-us"/>
      </w:rPr>
    </w:lvl>
    <w:lvl w:ilvl="6">
      <w:start w:val="0"/>
      <w:numFmt w:val="bullet"/>
      <w:lvlText w:val="•"/>
      <w:lvlJc w:val="left"/>
      <w:pPr>
        <w:ind w:left="1946" w:hanging="361"/>
      </w:pPr>
      <w:rPr>
        <w:rFonts w:hint="default"/>
        <w:lang w:val="en-us" w:eastAsia="en-us" w:bidi="en-us"/>
      </w:rPr>
    </w:lvl>
    <w:lvl w:ilvl="7">
      <w:start w:val="0"/>
      <w:numFmt w:val="bullet"/>
      <w:lvlText w:val="•"/>
      <w:lvlJc w:val="left"/>
      <w:pPr>
        <w:ind w:left="2193" w:hanging="361"/>
      </w:pPr>
      <w:rPr>
        <w:rFonts w:hint="default"/>
        <w:lang w:val="en-us" w:eastAsia="en-us" w:bidi="en-us"/>
      </w:rPr>
    </w:lvl>
    <w:lvl w:ilvl="8">
      <w:start w:val="0"/>
      <w:numFmt w:val="bullet"/>
      <w:lvlText w:val="•"/>
      <w:lvlJc w:val="left"/>
      <w:pPr>
        <w:ind w:left="2441" w:hanging="361"/>
      </w:pPr>
      <w:rPr>
        <w:rFonts w:hint="default"/>
        <w:lang w:val="en-us" w:eastAsia="en-us" w:bidi="en-us"/>
      </w:rPr>
    </w:lvl>
  </w:abstractNum>
  <w:abstractNum w:abstractNumId="42">
    <w:multiLevelType w:val="hybridMultilevel"/>
    <w:lvl w:ilvl="0">
      <w:start w:val="0"/>
      <w:numFmt w:val="bullet"/>
      <w:lvlText w:val=""/>
      <w:lvlJc w:val="left"/>
      <w:pPr>
        <w:ind w:left="467" w:hanging="361"/>
      </w:pPr>
      <w:rPr>
        <w:rFonts w:hint="default" w:ascii="Symbol" w:hAnsi="Symbol" w:eastAsia="Symbol" w:cs="Symbol"/>
        <w:w w:val="100"/>
        <w:sz w:val="22"/>
        <w:szCs w:val="22"/>
        <w:lang w:val="en-us" w:eastAsia="en-us" w:bidi="en-us"/>
      </w:rPr>
    </w:lvl>
    <w:lvl w:ilvl="1">
      <w:start w:val="0"/>
      <w:numFmt w:val="bullet"/>
      <w:lvlText w:val="•"/>
      <w:lvlJc w:val="left"/>
      <w:pPr>
        <w:ind w:left="792" w:hanging="361"/>
      </w:pPr>
      <w:rPr>
        <w:rFonts w:hint="default"/>
        <w:lang w:val="en-us" w:eastAsia="en-us" w:bidi="en-us"/>
      </w:rPr>
    </w:lvl>
    <w:lvl w:ilvl="2">
      <w:start w:val="0"/>
      <w:numFmt w:val="bullet"/>
      <w:lvlText w:val="•"/>
      <w:lvlJc w:val="left"/>
      <w:pPr>
        <w:ind w:left="1125" w:hanging="361"/>
      </w:pPr>
      <w:rPr>
        <w:rFonts w:hint="default"/>
        <w:lang w:val="en-us" w:eastAsia="en-us" w:bidi="en-us"/>
      </w:rPr>
    </w:lvl>
    <w:lvl w:ilvl="3">
      <w:start w:val="0"/>
      <w:numFmt w:val="bullet"/>
      <w:lvlText w:val="•"/>
      <w:lvlJc w:val="left"/>
      <w:pPr>
        <w:ind w:left="1458" w:hanging="361"/>
      </w:pPr>
      <w:rPr>
        <w:rFonts w:hint="default"/>
        <w:lang w:val="en-us" w:eastAsia="en-us" w:bidi="en-us"/>
      </w:rPr>
    </w:lvl>
    <w:lvl w:ilvl="4">
      <w:start w:val="0"/>
      <w:numFmt w:val="bullet"/>
      <w:lvlText w:val="•"/>
      <w:lvlJc w:val="left"/>
      <w:pPr>
        <w:ind w:left="1791" w:hanging="361"/>
      </w:pPr>
      <w:rPr>
        <w:rFonts w:hint="default"/>
        <w:lang w:val="en-us" w:eastAsia="en-us" w:bidi="en-us"/>
      </w:rPr>
    </w:lvl>
    <w:lvl w:ilvl="5">
      <w:start w:val="0"/>
      <w:numFmt w:val="bullet"/>
      <w:lvlText w:val="•"/>
      <w:lvlJc w:val="left"/>
      <w:pPr>
        <w:ind w:left="2124" w:hanging="361"/>
      </w:pPr>
      <w:rPr>
        <w:rFonts w:hint="default"/>
        <w:lang w:val="en-us" w:eastAsia="en-us" w:bidi="en-us"/>
      </w:rPr>
    </w:lvl>
    <w:lvl w:ilvl="6">
      <w:start w:val="0"/>
      <w:numFmt w:val="bullet"/>
      <w:lvlText w:val="•"/>
      <w:lvlJc w:val="left"/>
      <w:pPr>
        <w:ind w:left="2457" w:hanging="361"/>
      </w:pPr>
      <w:rPr>
        <w:rFonts w:hint="default"/>
        <w:lang w:val="en-us" w:eastAsia="en-us" w:bidi="en-us"/>
      </w:rPr>
    </w:lvl>
    <w:lvl w:ilvl="7">
      <w:start w:val="0"/>
      <w:numFmt w:val="bullet"/>
      <w:lvlText w:val="•"/>
      <w:lvlJc w:val="left"/>
      <w:pPr>
        <w:ind w:left="2790" w:hanging="361"/>
      </w:pPr>
      <w:rPr>
        <w:rFonts w:hint="default"/>
        <w:lang w:val="en-us" w:eastAsia="en-us" w:bidi="en-us"/>
      </w:rPr>
    </w:lvl>
    <w:lvl w:ilvl="8">
      <w:start w:val="0"/>
      <w:numFmt w:val="bullet"/>
      <w:lvlText w:val="•"/>
      <w:lvlJc w:val="left"/>
      <w:pPr>
        <w:ind w:left="3123" w:hanging="361"/>
      </w:pPr>
      <w:rPr>
        <w:rFonts w:hint="default"/>
        <w:lang w:val="en-us" w:eastAsia="en-us" w:bidi="en-us"/>
      </w:rPr>
    </w:lvl>
  </w:abstractNum>
  <w:abstractNum w:abstractNumId="41">
    <w:multiLevelType w:val="hybridMultilevel"/>
    <w:lvl w:ilvl="0">
      <w:start w:val="0"/>
      <w:numFmt w:val="bullet"/>
      <w:lvlText w:val=""/>
      <w:lvlJc w:val="left"/>
      <w:pPr>
        <w:ind w:left="467" w:hanging="361"/>
      </w:pPr>
      <w:rPr>
        <w:rFonts w:hint="default" w:ascii="Symbol" w:hAnsi="Symbol" w:eastAsia="Symbol" w:cs="Symbol"/>
        <w:w w:val="100"/>
        <w:sz w:val="22"/>
        <w:szCs w:val="22"/>
        <w:lang w:val="en-us" w:eastAsia="en-us" w:bidi="en-us"/>
      </w:rPr>
    </w:lvl>
    <w:lvl w:ilvl="1">
      <w:start w:val="0"/>
      <w:numFmt w:val="bullet"/>
      <w:lvlText w:val="•"/>
      <w:lvlJc w:val="left"/>
      <w:pPr>
        <w:ind w:left="792" w:hanging="361"/>
      </w:pPr>
      <w:rPr>
        <w:rFonts w:hint="default"/>
        <w:lang w:val="en-us" w:eastAsia="en-us" w:bidi="en-us"/>
      </w:rPr>
    </w:lvl>
    <w:lvl w:ilvl="2">
      <w:start w:val="0"/>
      <w:numFmt w:val="bullet"/>
      <w:lvlText w:val="•"/>
      <w:lvlJc w:val="left"/>
      <w:pPr>
        <w:ind w:left="1125" w:hanging="361"/>
      </w:pPr>
      <w:rPr>
        <w:rFonts w:hint="default"/>
        <w:lang w:val="en-us" w:eastAsia="en-us" w:bidi="en-us"/>
      </w:rPr>
    </w:lvl>
    <w:lvl w:ilvl="3">
      <w:start w:val="0"/>
      <w:numFmt w:val="bullet"/>
      <w:lvlText w:val="•"/>
      <w:lvlJc w:val="left"/>
      <w:pPr>
        <w:ind w:left="1458" w:hanging="361"/>
      </w:pPr>
      <w:rPr>
        <w:rFonts w:hint="default"/>
        <w:lang w:val="en-us" w:eastAsia="en-us" w:bidi="en-us"/>
      </w:rPr>
    </w:lvl>
    <w:lvl w:ilvl="4">
      <w:start w:val="0"/>
      <w:numFmt w:val="bullet"/>
      <w:lvlText w:val="•"/>
      <w:lvlJc w:val="left"/>
      <w:pPr>
        <w:ind w:left="1791" w:hanging="361"/>
      </w:pPr>
      <w:rPr>
        <w:rFonts w:hint="default"/>
        <w:lang w:val="en-us" w:eastAsia="en-us" w:bidi="en-us"/>
      </w:rPr>
    </w:lvl>
    <w:lvl w:ilvl="5">
      <w:start w:val="0"/>
      <w:numFmt w:val="bullet"/>
      <w:lvlText w:val="•"/>
      <w:lvlJc w:val="left"/>
      <w:pPr>
        <w:ind w:left="2124" w:hanging="361"/>
      </w:pPr>
      <w:rPr>
        <w:rFonts w:hint="default"/>
        <w:lang w:val="en-us" w:eastAsia="en-us" w:bidi="en-us"/>
      </w:rPr>
    </w:lvl>
    <w:lvl w:ilvl="6">
      <w:start w:val="0"/>
      <w:numFmt w:val="bullet"/>
      <w:lvlText w:val="•"/>
      <w:lvlJc w:val="left"/>
      <w:pPr>
        <w:ind w:left="2457" w:hanging="361"/>
      </w:pPr>
      <w:rPr>
        <w:rFonts w:hint="default"/>
        <w:lang w:val="en-us" w:eastAsia="en-us" w:bidi="en-us"/>
      </w:rPr>
    </w:lvl>
    <w:lvl w:ilvl="7">
      <w:start w:val="0"/>
      <w:numFmt w:val="bullet"/>
      <w:lvlText w:val="•"/>
      <w:lvlJc w:val="left"/>
      <w:pPr>
        <w:ind w:left="2790" w:hanging="361"/>
      </w:pPr>
      <w:rPr>
        <w:rFonts w:hint="default"/>
        <w:lang w:val="en-us" w:eastAsia="en-us" w:bidi="en-us"/>
      </w:rPr>
    </w:lvl>
    <w:lvl w:ilvl="8">
      <w:start w:val="0"/>
      <w:numFmt w:val="bullet"/>
      <w:lvlText w:val="•"/>
      <w:lvlJc w:val="left"/>
      <w:pPr>
        <w:ind w:left="3123" w:hanging="361"/>
      </w:pPr>
      <w:rPr>
        <w:rFonts w:hint="default"/>
        <w:lang w:val="en-us" w:eastAsia="en-us" w:bidi="en-us"/>
      </w:rPr>
    </w:lvl>
  </w:abstractNum>
  <w:abstractNum w:abstractNumId="40">
    <w:multiLevelType w:val="hybridMultilevel"/>
    <w:lvl w:ilvl="0">
      <w:start w:val="0"/>
      <w:numFmt w:val="bullet"/>
      <w:lvlText w:val=""/>
      <w:lvlJc w:val="left"/>
      <w:pPr>
        <w:ind w:left="467" w:hanging="361"/>
      </w:pPr>
      <w:rPr>
        <w:rFonts w:hint="default" w:ascii="Symbol" w:hAnsi="Symbol" w:eastAsia="Symbol" w:cs="Symbol"/>
        <w:w w:val="100"/>
        <w:sz w:val="22"/>
        <w:szCs w:val="22"/>
        <w:lang w:val="en-us" w:eastAsia="en-us" w:bidi="en-us"/>
      </w:rPr>
    </w:lvl>
    <w:lvl w:ilvl="1">
      <w:start w:val="0"/>
      <w:numFmt w:val="bullet"/>
      <w:lvlText w:val="•"/>
      <w:lvlJc w:val="left"/>
      <w:pPr>
        <w:ind w:left="792" w:hanging="361"/>
      </w:pPr>
      <w:rPr>
        <w:rFonts w:hint="default"/>
        <w:lang w:val="en-us" w:eastAsia="en-us" w:bidi="en-us"/>
      </w:rPr>
    </w:lvl>
    <w:lvl w:ilvl="2">
      <w:start w:val="0"/>
      <w:numFmt w:val="bullet"/>
      <w:lvlText w:val="•"/>
      <w:lvlJc w:val="left"/>
      <w:pPr>
        <w:ind w:left="1125" w:hanging="361"/>
      </w:pPr>
      <w:rPr>
        <w:rFonts w:hint="default"/>
        <w:lang w:val="en-us" w:eastAsia="en-us" w:bidi="en-us"/>
      </w:rPr>
    </w:lvl>
    <w:lvl w:ilvl="3">
      <w:start w:val="0"/>
      <w:numFmt w:val="bullet"/>
      <w:lvlText w:val="•"/>
      <w:lvlJc w:val="left"/>
      <w:pPr>
        <w:ind w:left="1458" w:hanging="361"/>
      </w:pPr>
      <w:rPr>
        <w:rFonts w:hint="default"/>
        <w:lang w:val="en-us" w:eastAsia="en-us" w:bidi="en-us"/>
      </w:rPr>
    </w:lvl>
    <w:lvl w:ilvl="4">
      <w:start w:val="0"/>
      <w:numFmt w:val="bullet"/>
      <w:lvlText w:val="•"/>
      <w:lvlJc w:val="left"/>
      <w:pPr>
        <w:ind w:left="1791" w:hanging="361"/>
      </w:pPr>
      <w:rPr>
        <w:rFonts w:hint="default"/>
        <w:lang w:val="en-us" w:eastAsia="en-us" w:bidi="en-us"/>
      </w:rPr>
    </w:lvl>
    <w:lvl w:ilvl="5">
      <w:start w:val="0"/>
      <w:numFmt w:val="bullet"/>
      <w:lvlText w:val="•"/>
      <w:lvlJc w:val="left"/>
      <w:pPr>
        <w:ind w:left="2124" w:hanging="361"/>
      </w:pPr>
      <w:rPr>
        <w:rFonts w:hint="default"/>
        <w:lang w:val="en-us" w:eastAsia="en-us" w:bidi="en-us"/>
      </w:rPr>
    </w:lvl>
    <w:lvl w:ilvl="6">
      <w:start w:val="0"/>
      <w:numFmt w:val="bullet"/>
      <w:lvlText w:val="•"/>
      <w:lvlJc w:val="left"/>
      <w:pPr>
        <w:ind w:left="2457" w:hanging="361"/>
      </w:pPr>
      <w:rPr>
        <w:rFonts w:hint="default"/>
        <w:lang w:val="en-us" w:eastAsia="en-us" w:bidi="en-us"/>
      </w:rPr>
    </w:lvl>
    <w:lvl w:ilvl="7">
      <w:start w:val="0"/>
      <w:numFmt w:val="bullet"/>
      <w:lvlText w:val="•"/>
      <w:lvlJc w:val="left"/>
      <w:pPr>
        <w:ind w:left="2790" w:hanging="361"/>
      </w:pPr>
      <w:rPr>
        <w:rFonts w:hint="default"/>
        <w:lang w:val="en-us" w:eastAsia="en-us" w:bidi="en-us"/>
      </w:rPr>
    </w:lvl>
    <w:lvl w:ilvl="8">
      <w:start w:val="0"/>
      <w:numFmt w:val="bullet"/>
      <w:lvlText w:val="•"/>
      <w:lvlJc w:val="left"/>
      <w:pPr>
        <w:ind w:left="3123" w:hanging="361"/>
      </w:pPr>
      <w:rPr>
        <w:rFonts w:hint="default"/>
        <w:lang w:val="en-us" w:eastAsia="en-us" w:bidi="en-us"/>
      </w:rPr>
    </w:lvl>
  </w:abstractNum>
  <w:abstractNum w:abstractNumId="39">
    <w:multiLevelType w:val="hybridMultilevel"/>
    <w:lvl w:ilvl="0">
      <w:start w:val="1"/>
      <w:numFmt w:val="decimal"/>
      <w:lvlText w:val="%1)"/>
      <w:lvlJc w:val="left"/>
      <w:pPr>
        <w:ind w:left="449" w:hanging="288"/>
        <w:jc w:val="left"/>
      </w:pPr>
      <w:rPr>
        <w:rFonts w:hint="default" w:ascii="Calibri" w:hAnsi="Calibri" w:eastAsia="Calibri" w:cs="Calibri"/>
        <w:spacing w:val="-16"/>
        <w:w w:val="100"/>
        <w:sz w:val="24"/>
        <w:szCs w:val="24"/>
        <w:lang w:val="en-us" w:eastAsia="en-us" w:bidi="en-us"/>
      </w:rPr>
    </w:lvl>
    <w:lvl w:ilvl="1">
      <w:start w:val="0"/>
      <w:numFmt w:val="bullet"/>
      <w:lvlText w:val="•"/>
      <w:lvlJc w:val="left"/>
      <w:pPr>
        <w:ind w:left="754" w:hanging="288"/>
      </w:pPr>
      <w:rPr>
        <w:rFonts w:hint="default"/>
        <w:lang w:val="en-us" w:eastAsia="en-us" w:bidi="en-us"/>
      </w:rPr>
    </w:lvl>
    <w:lvl w:ilvl="2">
      <w:start w:val="0"/>
      <w:numFmt w:val="bullet"/>
      <w:lvlText w:val="•"/>
      <w:lvlJc w:val="left"/>
      <w:pPr>
        <w:ind w:left="1068" w:hanging="288"/>
      </w:pPr>
      <w:rPr>
        <w:rFonts w:hint="default"/>
        <w:lang w:val="en-us" w:eastAsia="en-us" w:bidi="en-us"/>
      </w:rPr>
    </w:lvl>
    <w:lvl w:ilvl="3">
      <w:start w:val="0"/>
      <w:numFmt w:val="bullet"/>
      <w:lvlText w:val="•"/>
      <w:lvlJc w:val="left"/>
      <w:pPr>
        <w:ind w:left="1382" w:hanging="288"/>
      </w:pPr>
      <w:rPr>
        <w:rFonts w:hint="default"/>
        <w:lang w:val="en-us" w:eastAsia="en-us" w:bidi="en-us"/>
      </w:rPr>
    </w:lvl>
    <w:lvl w:ilvl="4">
      <w:start w:val="0"/>
      <w:numFmt w:val="bullet"/>
      <w:lvlText w:val="•"/>
      <w:lvlJc w:val="left"/>
      <w:pPr>
        <w:ind w:left="1697" w:hanging="288"/>
      </w:pPr>
      <w:rPr>
        <w:rFonts w:hint="default"/>
        <w:lang w:val="en-us" w:eastAsia="en-us" w:bidi="en-us"/>
      </w:rPr>
    </w:lvl>
    <w:lvl w:ilvl="5">
      <w:start w:val="0"/>
      <w:numFmt w:val="bullet"/>
      <w:lvlText w:val="•"/>
      <w:lvlJc w:val="left"/>
      <w:pPr>
        <w:ind w:left="2011" w:hanging="288"/>
      </w:pPr>
      <w:rPr>
        <w:rFonts w:hint="default"/>
        <w:lang w:val="en-us" w:eastAsia="en-us" w:bidi="en-us"/>
      </w:rPr>
    </w:lvl>
    <w:lvl w:ilvl="6">
      <w:start w:val="0"/>
      <w:numFmt w:val="bullet"/>
      <w:lvlText w:val="•"/>
      <w:lvlJc w:val="left"/>
      <w:pPr>
        <w:ind w:left="2325" w:hanging="288"/>
      </w:pPr>
      <w:rPr>
        <w:rFonts w:hint="default"/>
        <w:lang w:val="en-us" w:eastAsia="en-us" w:bidi="en-us"/>
      </w:rPr>
    </w:lvl>
    <w:lvl w:ilvl="7">
      <w:start w:val="0"/>
      <w:numFmt w:val="bullet"/>
      <w:lvlText w:val="•"/>
      <w:lvlJc w:val="left"/>
      <w:pPr>
        <w:ind w:left="2640" w:hanging="288"/>
      </w:pPr>
      <w:rPr>
        <w:rFonts w:hint="default"/>
        <w:lang w:val="en-us" w:eastAsia="en-us" w:bidi="en-us"/>
      </w:rPr>
    </w:lvl>
    <w:lvl w:ilvl="8">
      <w:start w:val="0"/>
      <w:numFmt w:val="bullet"/>
      <w:lvlText w:val="•"/>
      <w:lvlJc w:val="left"/>
      <w:pPr>
        <w:ind w:left="2954" w:hanging="288"/>
      </w:pPr>
      <w:rPr>
        <w:rFonts w:hint="default"/>
        <w:lang w:val="en-us" w:eastAsia="en-us" w:bidi="en-us"/>
      </w:rPr>
    </w:lvl>
  </w:abstractNum>
  <w:abstractNum w:abstractNumId="38">
    <w:multiLevelType w:val="hybridMultilevel"/>
    <w:lvl w:ilvl="0">
      <w:start w:val="0"/>
      <w:numFmt w:val="bullet"/>
      <w:lvlText w:val=""/>
      <w:lvlJc w:val="left"/>
      <w:pPr>
        <w:ind w:left="825" w:hanging="361"/>
      </w:pPr>
      <w:rPr>
        <w:rFonts w:hint="default" w:ascii="Symbol" w:hAnsi="Symbol" w:eastAsia="Symbol" w:cs="Symbol"/>
        <w:w w:val="100"/>
        <w:sz w:val="22"/>
        <w:szCs w:val="22"/>
        <w:lang w:val="en-us" w:eastAsia="en-us" w:bidi="en-us"/>
      </w:rPr>
    </w:lvl>
    <w:lvl w:ilvl="1">
      <w:start w:val="0"/>
      <w:numFmt w:val="bullet"/>
      <w:lvlText w:val="•"/>
      <w:lvlJc w:val="left"/>
      <w:pPr>
        <w:ind w:left="1096" w:hanging="361"/>
      </w:pPr>
      <w:rPr>
        <w:rFonts w:hint="default"/>
        <w:lang w:val="en-us" w:eastAsia="en-us" w:bidi="en-us"/>
      </w:rPr>
    </w:lvl>
    <w:lvl w:ilvl="2">
      <w:start w:val="0"/>
      <w:numFmt w:val="bullet"/>
      <w:lvlText w:val="•"/>
      <w:lvlJc w:val="left"/>
      <w:pPr>
        <w:ind w:left="1372" w:hanging="361"/>
      </w:pPr>
      <w:rPr>
        <w:rFonts w:hint="default"/>
        <w:lang w:val="en-us" w:eastAsia="en-us" w:bidi="en-us"/>
      </w:rPr>
    </w:lvl>
    <w:lvl w:ilvl="3">
      <w:start w:val="0"/>
      <w:numFmt w:val="bullet"/>
      <w:lvlText w:val="•"/>
      <w:lvlJc w:val="left"/>
      <w:pPr>
        <w:ind w:left="1648" w:hanging="361"/>
      </w:pPr>
      <w:rPr>
        <w:rFonts w:hint="default"/>
        <w:lang w:val="en-us" w:eastAsia="en-us" w:bidi="en-us"/>
      </w:rPr>
    </w:lvl>
    <w:lvl w:ilvl="4">
      <w:start w:val="0"/>
      <w:numFmt w:val="bullet"/>
      <w:lvlText w:val="•"/>
      <w:lvlJc w:val="left"/>
      <w:pPr>
        <w:ind w:left="1925" w:hanging="361"/>
      </w:pPr>
      <w:rPr>
        <w:rFonts w:hint="default"/>
        <w:lang w:val="en-us" w:eastAsia="en-us" w:bidi="en-us"/>
      </w:rPr>
    </w:lvl>
    <w:lvl w:ilvl="5">
      <w:start w:val="0"/>
      <w:numFmt w:val="bullet"/>
      <w:lvlText w:val="•"/>
      <w:lvlJc w:val="left"/>
      <w:pPr>
        <w:ind w:left="2201" w:hanging="361"/>
      </w:pPr>
      <w:rPr>
        <w:rFonts w:hint="default"/>
        <w:lang w:val="en-us" w:eastAsia="en-us" w:bidi="en-us"/>
      </w:rPr>
    </w:lvl>
    <w:lvl w:ilvl="6">
      <w:start w:val="0"/>
      <w:numFmt w:val="bullet"/>
      <w:lvlText w:val="•"/>
      <w:lvlJc w:val="left"/>
      <w:pPr>
        <w:ind w:left="2477" w:hanging="361"/>
      </w:pPr>
      <w:rPr>
        <w:rFonts w:hint="default"/>
        <w:lang w:val="en-us" w:eastAsia="en-us" w:bidi="en-us"/>
      </w:rPr>
    </w:lvl>
    <w:lvl w:ilvl="7">
      <w:start w:val="0"/>
      <w:numFmt w:val="bullet"/>
      <w:lvlText w:val="•"/>
      <w:lvlJc w:val="left"/>
      <w:pPr>
        <w:ind w:left="2754" w:hanging="361"/>
      </w:pPr>
      <w:rPr>
        <w:rFonts w:hint="default"/>
        <w:lang w:val="en-us" w:eastAsia="en-us" w:bidi="en-us"/>
      </w:rPr>
    </w:lvl>
    <w:lvl w:ilvl="8">
      <w:start w:val="0"/>
      <w:numFmt w:val="bullet"/>
      <w:lvlText w:val="•"/>
      <w:lvlJc w:val="left"/>
      <w:pPr>
        <w:ind w:left="3030" w:hanging="361"/>
      </w:pPr>
      <w:rPr>
        <w:rFonts w:hint="default"/>
        <w:lang w:val="en-us" w:eastAsia="en-us" w:bidi="en-us"/>
      </w:rPr>
    </w:lvl>
  </w:abstractNum>
  <w:abstractNum w:abstractNumId="37">
    <w:multiLevelType w:val="hybridMultilevel"/>
    <w:lvl w:ilvl="0">
      <w:start w:val="0"/>
      <w:numFmt w:val="bullet"/>
      <w:lvlText w:val=""/>
      <w:lvlJc w:val="left"/>
      <w:pPr>
        <w:ind w:left="449" w:hanging="272"/>
      </w:pPr>
      <w:rPr>
        <w:rFonts w:hint="default" w:ascii="Symbol" w:hAnsi="Symbol" w:eastAsia="Symbol" w:cs="Symbol"/>
        <w:w w:val="100"/>
        <w:sz w:val="22"/>
        <w:szCs w:val="22"/>
        <w:lang w:val="en-us" w:eastAsia="en-us" w:bidi="en-us"/>
      </w:rPr>
    </w:lvl>
    <w:lvl w:ilvl="1">
      <w:start w:val="0"/>
      <w:numFmt w:val="bullet"/>
      <w:lvlText w:val="•"/>
      <w:lvlJc w:val="left"/>
      <w:pPr>
        <w:ind w:left="756" w:hanging="272"/>
      </w:pPr>
      <w:rPr>
        <w:rFonts w:hint="default"/>
        <w:lang w:val="en-us" w:eastAsia="en-us" w:bidi="en-us"/>
      </w:rPr>
    </w:lvl>
    <w:lvl w:ilvl="2">
      <w:start w:val="0"/>
      <w:numFmt w:val="bullet"/>
      <w:lvlText w:val="•"/>
      <w:lvlJc w:val="left"/>
      <w:pPr>
        <w:ind w:left="1073" w:hanging="272"/>
      </w:pPr>
      <w:rPr>
        <w:rFonts w:hint="default"/>
        <w:lang w:val="en-us" w:eastAsia="en-us" w:bidi="en-us"/>
      </w:rPr>
    </w:lvl>
    <w:lvl w:ilvl="3">
      <w:start w:val="0"/>
      <w:numFmt w:val="bullet"/>
      <w:lvlText w:val="•"/>
      <w:lvlJc w:val="left"/>
      <w:pPr>
        <w:ind w:left="1390" w:hanging="272"/>
      </w:pPr>
      <w:rPr>
        <w:rFonts w:hint="default"/>
        <w:lang w:val="en-us" w:eastAsia="en-us" w:bidi="en-us"/>
      </w:rPr>
    </w:lvl>
    <w:lvl w:ilvl="4">
      <w:start w:val="0"/>
      <w:numFmt w:val="bullet"/>
      <w:lvlText w:val="•"/>
      <w:lvlJc w:val="left"/>
      <w:pPr>
        <w:ind w:left="1706" w:hanging="272"/>
      </w:pPr>
      <w:rPr>
        <w:rFonts w:hint="default"/>
        <w:lang w:val="en-us" w:eastAsia="en-us" w:bidi="en-us"/>
      </w:rPr>
    </w:lvl>
    <w:lvl w:ilvl="5">
      <w:start w:val="0"/>
      <w:numFmt w:val="bullet"/>
      <w:lvlText w:val="•"/>
      <w:lvlJc w:val="left"/>
      <w:pPr>
        <w:ind w:left="2023" w:hanging="272"/>
      </w:pPr>
      <w:rPr>
        <w:rFonts w:hint="default"/>
        <w:lang w:val="en-us" w:eastAsia="en-us" w:bidi="en-us"/>
      </w:rPr>
    </w:lvl>
    <w:lvl w:ilvl="6">
      <w:start w:val="0"/>
      <w:numFmt w:val="bullet"/>
      <w:lvlText w:val="•"/>
      <w:lvlJc w:val="left"/>
      <w:pPr>
        <w:ind w:left="2340" w:hanging="272"/>
      </w:pPr>
      <w:rPr>
        <w:rFonts w:hint="default"/>
        <w:lang w:val="en-us" w:eastAsia="en-us" w:bidi="en-us"/>
      </w:rPr>
    </w:lvl>
    <w:lvl w:ilvl="7">
      <w:start w:val="0"/>
      <w:numFmt w:val="bullet"/>
      <w:lvlText w:val="•"/>
      <w:lvlJc w:val="left"/>
      <w:pPr>
        <w:ind w:left="2656" w:hanging="272"/>
      </w:pPr>
      <w:rPr>
        <w:rFonts w:hint="default"/>
        <w:lang w:val="en-us" w:eastAsia="en-us" w:bidi="en-us"/>
      </w:rPr>
    </w:lvl>
    <w:lvl w:ilvl="8">
      <w:start w:val="0"/>
      <w:numFmt w:val="bullet"/>
      <w:lvlText w:val="•"/>
      <w:lvlJc w:val="left"/>
      <w:pPr>
        <w:ind w:left="2973" w:hanging="272"/>
      </w:pPr>
      <w:rPr>
        <w:rFonts w:hint="default"/>
        <w:lang w:val="en-us" w:eastAsia="en-us" w:bidi="en-us"/>
      </w:rPr>
    </w:lvl>
  </w:abstractNum>
  <w:abstractNum w:abstractNumId="36">
    <w:multiLevelType w:val="hybridMultilevel"/>
    <w:lvl w:ilvl="0">
      <w:start w:val="0"/>
      <w:numFmt w:val="bullet"/>
      <w:lvlText w:val=""/>
      <w:lvlJc w:val="left"/>
      <w:pPr>
        <w:ind w:left="825" w:hanging="418"/>
      </w:pPr>
      <w:rPr>
        <w:rFonts w:hint="default" w:ascii="Symbol" w:hAnsi="Symbol" w:eastAsia="Symbol" w:cs="Symbol"/>
        <w:w w:val="100"/>
        <w:sz w:val="22"/>
        <w:szCs w:val="22"/>
        <w:lang w:val="en-us" w:eastAsia="en-us" w:bidi="en-us"/>
      </w:rPr>
    </w:lvl>
    <w:lvl w:ilvl="1">
      <w:start w:val="0"/>
      <w:numFmt w:val="bullet"/>
      <w:lvlText w:val="•"/>
      <w:lvlJc w:val="left"/>
      <w:pPr>
        <w:ind w:left="1096" w:hanging="418"/>
      </w:pPr>
      <w:rPr>
        <w:rFonts w:hint="default"/>
        <w:lang w:val="en-us" w:eastAsia="en-us" w:bidi="en-us"/>
      </w:rPr>
    </w:lvl>
    <w:lvl w:ilvl="2">
      <w:start w:val="0"/>
      <w:numFmt w:val="bullet"/>
      <w:lvlText w:val="•"/>
      <w:lvlJc w:val="left"/>
      <w:pPr>
        <w:ind w:left="1372" w:hanging="418"/>
      </w:pPr>
      <w:rPr>
        <w:rFonts w:hint="default"/>
        <w:lang w:val="en-us" w:eastAsia="en-us" w:bidi="en-us"/>
      </w:rPr>
    </w:lvl>
    <w:lvl w:ilvl="3">
      <w:start w:val="0"/>
      <w:numFmt w:val="bullet"/>
      <w:lvlText w:val="•"/>
      <w:lvlJc w:val="left"/>
      <w:pPr>
        <w:ind w:left="1648" w:hanging="418"/>
      </w:pPr>
      <w:rPr>
        <w:rFonts w:hint="default"/>
        <w:lang w:val="en-us" w:eastAsia="en-us" w:bidi="en-us"/>
      </w:rPr>
    </w:lvl>
    <w:lvl w:ilvl="4">
      <w:start w:val="0"/>
      <w:numFmt w:val="bullet"/>
      <w:lvlText w:val="•"/>
      <w:lvlJc w:val="left"/>
      <w:pPr>
        <w:ind w:left="1925" w:hanging="418"/>
      </w:pPr>
      <w:rPr>
        <w:rFonts w:hint="default"/>
        <w:lang w:val="en-us" w:eastAsia="en-us" w:bidi="en-us"/>
      </w:rPr>
    </w:lvl>
    <w:lvl w:ilvl="5">
      <w:start w:val="0"/>
      <w:numFmt w:val="bullet"/>
      <w:lvlText w:val="•"/>
      <w:lvlJc w:val="left"/>
      <w:pPr>
        <w:ind w:left="2201" w:hanging="418"/>
      </w:pPr>
      <w:rPr>
        <w:rFonts w:hint="default"/>
        <w:lang w:val="en-us" w:eastAsia="en-us" w:bidi="en-us"/>
      </w:rPr>
    </w:lvl>
    <w:lvl w:ilvl="6">
      <w:start w:val="0"/>
      <w:numFmt w:val="bullet"/>
      <w:lvlText w:val="•"/>
      <w:lvlJc w:val="left"/>
      <w:pPr>
        <w:ind w:left="2477" w:hanging="418"/>
      </w:pPr>
      <w:rPr>
        <w:rFonts w:hint="default"/>
        <w:lang w:val="en-us" w:eastAsia="en-us" w:bidi="en-us"/>
      </w:rPr>
    </w:lvl>
    <w:lvl w:ilvl="7">
      <w:start w:val="0"/>
      <w:numFmt w:val="bullet"/>
      <w:lvlText w:val="•"/>
      <w:lvlJc w:val="left"/>
      <w:pPr>
        <w:ind w:left="2754" w:hanging="418"/>
      </w:pPr>
      <w:rPr>
        <w:rFonts w:hint="default"/>
        <w:lang w:val="en-us" w:eastAsia="en-us" w:bidi="en-us"/>
      </w:rPr>
    </w:lvl>
    <w:lvl w:ilvl="8">
      <w:start w:val="0"/>
      <w:numFmt w:val="bullet"/>
      <w:lvlText w:val="•"/>
      <w:lvlJc w:val="left"/>
      <w:pPr>
        <w:ind w:left="3030" w:hanging="418"/>
      </w:pPr>
      <w:rPr>
        <w:rFonts w:hint="default"/>
        <w:lang w:val="en-us" w:eastAsia="en-us" w:bidi="en-us"/>
      </w:rPr>
    </w:lvl>
  </w:abstractNum>
  <w:abstractNum w:abstractNumId="35">
    <w:multiLevelType w:val="hybridMultilevel"/>
    <w:lvl w:ilvl="0">
      <w:start w:val="0"/>
      <w:numFmt w:val="bullet"/>
      <w:lvlText w:val=""/>
      <w:lvlJc w:val="left"/>
      <w:pPr>
        <w:ind w:left="825" w:hanging="361"/>
      </w:pPr>
      <w:rPr>
        <w:rFonts w:hint="default" w:ascii="Symbol" w:hAnsi="Symbol" w:eastAsia="Symbol" w:cs="Symbol"/>
        <w:w w:val="100"/>
        <w:sz w:val="22"/>
        <w:szCs w:val="22"/>
        <w:lang w:val="en-us" w:eastAsia="en-us" w:bidi="en-us"/>
      </w:rPr>
    </w:lvl>
    <w:lvl w:ilvl="1">
      <w:start w:val="0"/>
      <w:numFmt w:val="bullet"/>
      <w:lvlText w:val="•"/>
      <w:lvlJc w:val="left"/>
      <w:pPr>
        <w:ind w:left="940" w:hanging="361"/>
      </w:pPr>
      <w:rPr>
        <w:rFonts w:hint="default"/>
        <w:lang w:val="en-us" w:eastAsia="en-us" w:bidi="en-us"/>
      </w:rPr>
    </w:lvl>
    <w:lvl w:ilvl="2">
      <w:start w:val="0"/>
      <w:numFmt w:val="bullet"/>
      <w:lvlText w:val="•"/>
      <w:lvlJc w:val="left"/>
      <w:pPr>
        <w:ind w:left="1233" w:hanging="361"/>
      </w:pPr>
      <w:rPr>
        <w:rFonts w:hint="default"/>
        <w:lang w:val="en-us" w:eastAsia="en-us" w:bidi="en-us"/>
      </w:rPr>
    </w:lvl>
    <w:lvl w:ilvl="3">
      <w:start w:val="0"/>
      <w:numFmt w:val="bullet"/>
      <w:lvlText w:val="•"/>
      <w:lvlJc w:val="left"/>
      <w:pPr>
        <w:ind w:left="1527" w:hanging="361"/>
      </w:pPr>
      <w:rPr>
        <w:rFonts w:hint="default"/>
        <w:lang w:val="en-us" w:eastAsia="en-us" w:bidi="en-us"/>
      </w:rPr>
    </w:lvl>
    <w:lvl w:ilvl="4">
      <w:start w:val="0"/>
      <w:numFmt w:val="bullet"/>
      <w:lvlText w:val="•"/>
      <w:lvlJc w:val="left"/>
      <w:pPr>
        <w:ind w:left="1821" w:hanging="361"/>
      </w:pPr>
      <w:rPr>
        <w:rFonts w:hint="default"/>
        <w:lang w:val="en-us" w:eastAsia="en-us" w:bidi="en-us"/>
      </w:rPr>
    </w:lvl>
    <w:lvl w:ilvl="5">
      <w:start w:val="0"/>
      <w:numFmt w:val="bullet"/>
      <w:lvlText w:val="•"/>
      <w:lvlJc w:val="left"/>
      <w:pPr>
        <w:ind w:left="2114" w:hanging="361"/>
      </w:pPr>
      <w:rPr>
        <w:rFonts w:hint="default"/>
        <w:lang w:val="en-us" w:eastAsia="en-us" w:bidi="en-us"/>
      </w:rPr>
    </w:lvl>
    <w:lvl w:ilvl="6">
      <w:start w:val="0"/>
      <w:numFmt w:val="bullet"/>
      <w:lvlText w:val="•"/>
      <w:lvlJc w:val="left"/>
      <w:pPr>
        <w:ind w:left="2408" w:hanging="361"/>
      </w:pPr>
      <w:rPr>
        <w:rFonts w:hint="default"/>
        <w:lang w:val="en-us" w:eastAsia="en-us" w:bidi="en-us"/>
      </w:rPr>
    </w:lvl>
    <w:lvl w:ilvl="7">
      <w:start w:val="0"/>
      <w:numFmt w:val="bullet"/>
      <w:lvlText w:val="•"/>
      <w:lvlJc w:val="left"/>
      <w:pPr>
        <w:ind w:left="2702" w:hanging="361"/>
      </w:pPr>
      <w:rPr>
        <w:rFonts w:hint="default"/>
        <w:lang w:val="en-us" w:eastAsia="en-us" w:bidi="en-us"/>
      </w:rPr>
    </w:lvl>
    <w:lvl w:ilvl="8">
      <w:start w:val="0"/>
      <w:numFmt w:val="bullet"/>
      <w:lvlText w:val="•"/>
      <w:lvlJc w:val="left"/>
      <w:pPr>
        <w:ind w:left="2995" w:hanging="361"/>
      </w:pPr>
      <w:rPr>
        <w:rFonts w:hint="default"/>
        <w:lang w:val="en-us" w:eastAsia="en-us" w:bidi="en-us"/>
      </w:rPr>
    </w:lvl>
  </w:abstractNum>
  <w:abstractNum w:abstractNumId="34">
    <w:multiLevelType w:val="hybridMultilevel"/>
    <w:lvl w:ilvl="0">
      <w:start w:val="0"/>
      <w:numFmt w:val="bullet"/>
      <w:lvlText w:val=""/>
      <w:lvlJc w:val="left"/>
      <w:pPr>
        <w:ind w:left="825" w:hanging="418"/>
      </w:pPr>
      <w:rPr>
        <w:rFonts w:hint="default"/>
        <w:w w:val="100"/>
        <w:lang w:val="en-us" w:eastAsia="en-us" w:bidi="en-us"/>
      </w:rPr>
    </w:lvl>
    <w:lvl w:ilvl="1">
      <w:start w:val="0"/>
      <w:numFmt w:val="bullet"/>
      <w:lvlText w:val="•"/>
      <w:lvlJc w:val="left"/>
      <w:pPr>
        <w:ind w:left="1096" w:hanging="418"/>
      </w:pPr>
      <w:rPr>
        <w:rFonts w:hint="default"/>
        <w:lang w:val="en-us" w:eastAsia="en-us" w:bidi="en-us"/>
      </w:rPr>
    </w:lvl>
    <w:lvl w:ilvl="2">
      <w:start w:val="0"/>
      <w:numFmt w:val="bullet"/>
      <w:lvlText w:val="•"/>
      <w:lvlJc w:val="left"/>
      <w:pPr>
        <w:ind w:left="1372" w:hanging="418"/>
      </w:pPr>
      <w:rPr>
        <w:rFonts w:hint="default"/>
        <w:lang w:val="en-us" w:eastAsia="en-us" w:bidi="en-us"/>
      </w:rPr>
    </w:lvl>
    <w:lvl w:ilvl="3">
      <w:start w:val="0"/>
      <w:numFmt w:val="bullet"/>
      <w:lvlText w:val="•"/>
      <w:lvlJc w:val="left"/>
      <w:pPr>
        <w:ind w:left="1648" w:hanging="418"/>
      </w:pPr>
      <w:rPr>
        <w:rFonts w:hint="default"/>
        <w:lang w:val="en-us" w:eastAsia="en-us" w:bidi="en-us"/>
      </w:rPr>
    </w:lvl>
    <w:lvl w:ilvl="4">
      <w:start w:val="0"/>
      <w:numFmt w:val="bullet"/>
      <w:lvlText w:val="•"/>
      <w:lvlJc w:val="left"/>
      <w:pPr>
        <w:ind w:left="1925" w:hanging="418"/>
      </w:pPr>
      <w:rPr>
        <w:rFonts w:hint="default"/>
        <w:lang w:val="en-us" w:eastAsia="en-us" w:bidi="en-us"/>
      </w:rPr>
    </w:lvl>
    <w:lvl w:ilvl="5">
      <w:start w:val="0"/>
      <w:numFmt w:val="bullet"/>
      <w:lvlText w:val="•"/>
      <w:lvlJc w:val="left"/>
      <w:pPr>
        <w:ind w:left="2201" w:hanging="418"/>
      </w:pPr>
      <w:rPr>
        <w:rFonts w:hint="default"/>
        <w:lang w:val="en-us" w:eastAsia="en-us" w:bidi="en-us"/>
      </w:rPr>
    </w:lvl>
    <w:lvl w:ilvl="6">
      <w:start w:val="0"/>
      <w:numFmt w:val="bullet"/>
      <w:lvlText w:val="•"/>
      <w:lvlJc w:val="left"/>
      <w:pPr>
        <w:ind w:left="2477" w:hanging="418"/>
      </w:pPr>
      <w:rPr>
        <w:rFonts w:hint="default"/>
        <w:lang w:val="en-us" w:eastAsia="en-us" w:bidi="en-us"/>
      </w:rPr>
    </w:lvl>
    <w:lvl w:ilvl="7">
      <w:start w:val="0"/>
      <w:numFmt w:val="bullet"/>
      <w:lvlText w:val="•"/>
      <w:lvlJc w:val="left"/>
      <w:pPr>
        <w:ind w:left="2754" w:hanging="418"/>
      </w:pPr>
      <w:rPr>
        <w:rFonts w:hint="default"/>
        <w:lang w:val="en-us" w:eastAsia="en-us" w:bidi="en-us"/>
      </w:rPr>
    </w:lvl>
    <w:lvl w:ilvl="8">
      <w:start w:val="0"/>
      <w:numFmt w:val="bullet"/>
      <w:lvlText w:val="•"/>
      <w:lvlJc w:val="left"/>
      <w:pPr>
        <w:ind w:left="3030" w:hanging="418"/>
      </w:pPr>
      <w:rPr>
        <w:rFonts w:hint="default"/>
        <w:lang w:val="en-us" w:eastAsia="en-us" w:bidi="en-us"/>
      </w:rPr>
    </w:lvl>
  </w:abstractNum>
  <w:abstractNum w:abstractNumId="33">
    <w:multiLevelType w:val="hybridMultilevel"/>
    <w:lvl w:ilvl="0">
      <w:start w:val="0"/>
      <w:numFmt w:val="bullet"/>
      <w:lvlText w:val=""/>
      <w:lvlJc w:val="left"/>
      <w:pPr>
        <w:ind w:left="1060" w:hanging="361"/>
      </w:pPr>
      <w:rPr>
        <w:rFonts w:hint="default"/>
        <w:w w:val="100"/>
        <w:lang w:val="en-us" w:eastAsia="en-us" w:bidi="en-us"/>
      </w:rPr>
    </w:lvl>
    <w:lvl w:ilvl="1">
      <w:start w:val="0"/>
      <w:numFmt w:val="bullet"/>
      <w:lvlText w:val="•"/>
      <w:lvlJc w:val="left"/>
      <w:pPr>
        <w:ind w:left="2466" w:hanging="361"/>
      </w:pPr>
      <w:rPr>
        <w:rFonts w:hint="default"/>
        <w:lang w:val="en-us" w:eastAsia="en-us" w:bidi="en-us"/>
      </w:rPr>
    </w:lvl>
    <w:lvl w:ilvl="2">
      <w:start w:val="0"/>
      <w:numFmt w:val="bullet"/>
      <w:lvlText w:val="•"/>
      <w:lvlJc w:val="left"/>
      <w:pPr>
        <w:ind w:left="3872" w:hanging="361"/>
      </w:pPr>
      <w:rPr>
        <w:rFonts w:hint="default"/>
        <w:lang w:val="en-us" w:eastAsia="en-us" w:bidi="en-us"/>
      </w:rPr>
    </w:lvl>
    <w:lvl w:ilvl="3">
      <w:start w:val="0"/>
      <w:numFmt w:val="bullet"/>
      <w:lvlText w:val="•"/>
      <w:lvlJc w:val="left"/>
      <w:pPr>
        <w:ind w:left="5278" w:hanging="361"/>
      </w:pPr>
      <w:rPr>
        <w:rFonts w:hint="default"/>
        <w:lang w:val="en-us" w:eastAsia="en-us" w:bidi="en-us"/>
      </w:rPr>
    </w:lvl>
    <w:lvl w:ilvl="4">
      <w:start w:val="0"/>
      <w:numFmt w:val="bullet"/>
      <w:lvlText w:val="•"/>
      <w:lvlJc w:val="left"/>
      <w:pPr>
        <w:ind w:left="6684" w:hanging="361"/>
      </w:pPr>
      <w:rPr>
        <w:rFonts w:hint="default"/>
        <w:lang w:val="en-us" w:eastAsia="en-us" w:bidi="en-us"/>
      </w:rPr>
    </w:lvl>
    <w:lvl w:ilvl="5">
      <w:start w:val="0"/>
      <w:numFmt w:val="bullet"/>
      <w:lvlText w:val="•"/>
      <w:lvlJc w:val="left"/>
      <w:pPr>
        <w:ind w:left="8090" w:hanging="361"/>
      </w:pPr>
      <w:rPr>
        <w:rFonts w:hint="default"/>
        <w:lang w:val="en-us" w:eastAsia="en-us" w:bidi="en-us"/>
      </w:rPr>
    </w:lvl>
    <w:lvl w:ilvl="6">
      <w:start w:val="0"/>
      <w:numFmt w:val="bullet"/>
      <w:lvlText w:val="•"/>
      <w:lvlJc w:val="left"/>
      <w:pPr>
        <w:ind w:left="9496" w:hanging="361"/>
      </w:pPr>
      <w:rPr>
        <w:rFonts w:hint="default"/>
        <w:lang w:val="en-us" w:eastAsia="en-us" w:bidi="en-us"/>
      </w:rPr>
    </w:lvl>
    <w:lvl w:ilvl="7">
      <w:start w:val="0"/>
      <w:numFmt w:val="bullet"/>
      <w:lvlText w:val="•"/>
      <w:lvlJc w:val="left"/>
      <w:pPr>
        <w:ind w:left="10902" w:hanging="361"/>
      </w:pPr>
      <w:rPr>
        <w:rFonts w:hint="default"/>
        <w:lang w:val="en-us" w:eastAsia="en-us" w:bidi="en-us"/>
      </w:rPr>
    </w:lvl>
    <w:lvl w:ilvl="8">
      <w:start w:val="0"/>
      <w:numFmt w:val="bullet"/>
      <w:lvlText w:val="•"/>
      <w:lvlJc w:val="left"/>
      <w:pPr>
        <w:ind w:left="12308" w:hanging="361"/>
      </w:pPr>
      <w:rPr>
        <w:rFonts w:hint="default"/>
        <w:lang w:val="en-us" w:eastAsia="en-us" w:bidi="en-us"/>
      </w:rPr>
    </w:lvl>
  </w:abstractNum>
  <w:abstractNum w:abstractNumId="32">
    <w:multiLevelType w:val="hybridMultilevel"/>
    <w:lvl w:ilvl="0">
      <w:start w:val="1"/>
      <w:numFmt w:val="decimal"/>
      <w:lvlText w:val="%1."/>
      <w:lvlJc w:val="left"/>
      <w:pPr>
        <w:ind w:left="1689" w:hanging="269"/>
        <w:jc w:val="left"/>
      </w:pPr>
      <w:rPr>
        <w:rFonts w:hint="default" w:ascii="Calibri" w:hAnsi="Calibri" w:eastAsia="Calibri" w:cs="Calibri"/>
        <w:w w:val="100"/>
        <w:sz w:val="22"/>
        <w:szCs w:val="22"/>
        <w:lang w:val="en-us" w:eastAsia="en-us" w:bidi="en-us"/>
      </w:rPr>
    </w:lvl>
    <w:lvl w:ilvl="1">
      <w:start w:val="0"/>
      <w:numFmt w:val="bullet"/>
      <w:lvlText w:val=""/>
      <w:lvlJc w:val="left"/>
      <w:pPr>
        <w:ind w:left="2140" w:hanging="361"/>
      </w:pPr>
      <w:rPr>
        <w:rFonts w:hint="default" w:ascii="Symbol" w:hAnsi="Symbol" w:eastAsia="Symbol" w:cs="Symbol"/>
        <w:w w:val="100"/>
        <w:sz w:val="22"/>
        <w:szCs w:val="22"/>
        <w:lang w:val="en-us" w:eastAsia="en-us" w:bidi="en-us"/>
      </w:rPr>
    </w:lvl>
    <w:lvl w:ilvl="2">
      <w:start w:val="0"/>
      <w:numFmt w:val="bullet"/>
      <w:lvlText w:val="•"/>
      <w:lvlJc w:val="left"/>
      <w:pPr>
        <w:ind w:left="3582" w:hanging="361"/>
      </w:pPr>
      <w:rPr>
        <w:rFonts w:hint="default"/>
        <w:lang w:val="en-us" w:eastAsia="en-us" w:bidi="en-us"/>
      </w:rPr>
    </w:lvl>
    <w:lvl w:ilvl="3">
      <w:start w:val="0"/>
      <w:numFmt w:val="bullet"/>
      <w:lvlText w:val="•"/>
      <w:lvlJc w:val="left"/>
      <w:pPr>
        <w:ind w:left="5024" w:hanging="361"/>
      </w:pPr>
      <w:rPr>
        <w:rFonts w:hint="default"/>
        <w:lang w:val="en-us" w:eastAsia="en-us" w:bidi="en-us"/>
      </w:rPr>
    </w:lvl>
    <w:lvl w:ilvl="4">
      <w:start w:val="0"/>
      <w:numFmt w:val="bullet"/>
      <w:lvlText w:val="•"/>
      <w:lvlJc w:val="left"/>
      <w:pPr>
        <w:ind w:left="6466" w:hanging="361"/>
      </w:pPr>
      <w:rPr>
        <w:rFonts w:hint="default"/>
        <w:lang w:val="en-us" w:eastAsia="en-us" w:bidi="en-us"/>
      </w:rPr>
    </w:lvl>
    <w:lvl w:ilvl="5">
      <w:start w:val="0"/>
      <w:numFmt w:val="bullet"/>
      <w:lvlText w:val="•"/>
      <w:lvlJc w:val="left"/>
      <w:pPr>
        <w:ind w:left="7908" w:hanging="361"/>
      </w:pPr>
      <w:rPr>
        <w:rFonts w:hint="default"/>
        <w:lang w:val="en-us" w:eastAsia="en-us" w:bidi="en-us"/>
      </w:rPr>
    </w:lvl>
    <w:lvl w:ilvl="6">
      <w:start w:val="0"/>
      <w:numFmt w:val="bullet"/>
      <w:lvlText w:val="•"/>
      <w:lvlJc w:val="left"/>
      <w:pPr>
        <w:ind w:left="9351" w:hanging="361"/>
      </w:pPr>
      <w:rPr>
        <w:rFonts w:hint="default"/>
        <w:lang w:val="en-us" w:eastAsia="en-us" w:bidi="en-us"/>
      </w:rPr>
    </w:lvl>
    <w:lvl w:ilvl="7">
      <w:start w:val="0"/>
      <w:numFmt w:val="bullet"/>
      <w:lvlText w:val="•"/>
      <w:lvlJc w:val="left"/>
      <w:pPr>
        <w:ind w:left="10793" w:hanging="361"/>
      </w:pPr>
      <w:rPr>
        <w:rFonts w:hint="default"/>
        <w:lang w:val="en-us" w:eastAsia="en-us" w:bidi="en-us"/>
      </w:rPr>
    </w:lvl>
    <w:lvl w:ilvl="8">
      <w:start w:val="0"/>
      <w:numFmt w:val="bullet"/>
      <w:lvlText w:val="•"/>
      <w:lvlJc w:val="left"/>
      <w:pPr>
        <w:ind w:left="12235" w:hanging="361"/>
      </w:pPr>
      <w:rPr>
        <w:rFonts w:hint="default"/>
        <w:lang w:val="en-us" w:eastAsia="en-us" w:bidi="en-us"/>
      </w:rPr>
    </w:lvl>
  </w:abstractNum>
  <w:abstractNum w:abstractNumId="31">
    <w:multiLevelType w:val="hybridMultilevel"/>
    <w:lvl w:ilvl="0">
      <w:start w:val="1"/>
      <w:numFmt w:val="decimal"/>
      <w:lvlText w:val="%1."/>
      <w:lvlJc w:val="left"/>
      <w:pPr>
        <w:ind w:left="1638" w:hanging="219"/>
        <w:jc w:val="left"/>
      </w:pPr>
      <w:rPr>
        <w:rFonts w:hint="default" w:ascii="Calibri" w:hAnsi="Calibri" w:eastAsia="Calibri" w:cs="Calibri"/>
        <w:w w:val="100"/>
        <w:sz w:val="22"/>
        <w:szCs w:val="22"/>
        <w:lang w:val="en-us" w:eastAsia="en-us" w:bidi="en-us"/>
      </w:rPr>
    </w:lvl>
    <w:lvl w:ilvl="1">
      <w:start w:val="0"/>
      <w:numFmt w:val="bullet"/>
      <w:lvlText w:val="•"/>
      <w:lvlJc w:val="left"/>
      <w:pPr>
        <w:ind w:left="2988" w:hanging="219"/>
      </w:pPr>
      <w:rPr>
        <w:rFonts w:hint="default"/>
        <w:lang w:val="en-us" w:eastAsia="en-us" w:bidi="en-us"/>
      </w:rPr>
    </w:lvl>
    <w:lvl w:ilvl="2">
      <w:start w:val="0"/>
      <w:numFmt w:val="bullet"/>
      <w:lvlText w:val="•"/>
      <w:lvlJc w:val="left"/>
      <w:pPr>
        <w:ind w:left="4336" w:hanging="219"/>
      </w:pPr>
      <w:rPr>
        <w:rFonts w:hint="default"/>
        <w:lang w:val="en-us" w:eastAsia="en-us" w:bidi="en-us"/>
      </w:rPr>
    </w:lvl>
    <w:lvl w:ilvl="3">
      <w:start w:val="0"/>
      <w:numFmt w:val="bullet"/>
      <w:lvlText w:val="•"/>
      <w:lvlJc w:val="left"/>
      <w:pPr>
        <w:ind w:left="5684" w:hanging="219"/>
      </w:pPr>
      <w:rPr>
        <w:rFonts w:hint="default"/>
        <w:lang w:val="en-us" w:eastAsia="en-us" w:bidi="en-us"/>
      </w:rPr>
    </w:lvl>
    <w:lvl w:ilvl="4">
      <w:start w:val="0"/>
      <w:numFmt w:val="bullet"/>
      <w:lvlText w:val="•"/>
      <w:lvlJc w:val="left"/>
      <w:pPr>
        <w:ind w:left="7032" w:hanging="219"/>
      </w:pPr>
      <w:rPr>
        <w:rFonts w:hint="default"/>
        <w:lang w:val="en-us" w:eastAsia="en-us" w:bidi="en-us"/>
      </w:rPr>
    </w:lvl>
    <w:lvl w:ilvl="5">
      <w:start w:val="0"/>
      <w:numFmt w:val="bullet"/>
      <w:lvlText w:val="•"/>
      <w:lvlJc w:val="left"/>
      <w:pPr>
        <w:ind w:left="8380" w:hanging="219"/>
      </w:pPr>
      <w:rPr>
        <w:rFonts w:hint="default"/>
        <w:lang w:val="en-us" w:eastAsia="en-us" w:bidi="en-us"/>
      </w:rPr>
    </w:lvl>
    <w:lvl w:ilvl="6">
      <w:start w:val="0"/>
      <w:numFmt w:val="bullet"/>
      <w:lvlText w:val="•"/>
      <w:lvlJc w:val="left"/>
      <w:pPr>
        <w:ind w:left="9728" w:hanging="219"/>
      </w:pPr>
      <w:rPr>
        <w:rFonts w:hint="default"/>
        <w:lang w:val="en-us" w:eastAsia="en-us" w:bidi="en-us"/>
      </w:rPr>
    </w:lvl>
    <w:lvl w:ilvl="7">
      <w:start w:val="0"/>
      <w:numFmt w:val="bullet"/>
      <w:lvlText w:val="•"/>
      <w:lvlJc w:val="left"/>
      <w:pPr>
        <w:ind w:left="11076" w:hanging="219"/>
      </w:pPr>
      <w:rPr>
        <w:rFonts w:hint="default"/>
        <w:lang w:val="en-us" w:eastAsia="en-us" w:bidi="en-us"/>
      </w:rPr>
    </w:lvl>
    <w:lvl w:ilvl="8">
      <w:start w:val="0"/>
      <w:numFmt w:val="bullet"/>
      <w:lvlText w:val="•"/>
      <w:lvlJc w:val="left"/>
      <w:pPr>
        <w:ind w:left="12424" w:hanging="219"/>
      </w:pPr>
      <w:rPr>
        <w:rFonts w:hint="default"/>
        <w:lang w:val="en-us" w:eastAsia="en-us" w:bidi="en-us"/>
      </w:rPr>
    </w:lvl>
  </w:abstractNum>
  <w:abstractNum w:abstractNumId="30">
    <w:multiLevelType w:val="hybridMultilevel"/>
    <w:lvl w:ilvl="0">
      <w:start w:val="1"/>
      <w:numFmt w:val="decimal"/>
      <w:lvlText w:val="%1."/>
      <w:lvlJc w:val="left"/>
      <w:pPr>
        <w:ind w:left="1780" w:hanging="361"/>
        <w:jc w:val="left"/>
      </w:pPr>
      <w:rPr>
        <w:rFonts w:hint="default"/>
        <w:w w:val="100"/>
        <w:lang w:val="en-us" w:eastAsia="en-us" w:bidi="en-us"/>
      </w:rPr>
    </w:lvl>
    <w:lvl w:ilvl="1">
      <w:start w:val="0"/>
      <w:numFmt w:val="bullet"/>
      <w:lvlText w:val="•"/>
      <w:lvlJc w:val="left"/>
      <w:pPr>
        <w:ind w:left="3114" w:hanging="361"/>
      </w:pPr>
      <w:rPr>
        <w:rFonts w:hint="default"/>
        <w:lang w:val="en-us" w:eastAsia="en-us" w:bidi="en-us"/>
      </w:rPr>
    </w:lvl>
    <w:lvl w:ilvl="2">
      <w:start w:val="0"/>
      <w:numFmt w:val="bullet"/>
      <w:lvlText w:val="•"/>
      <w:lvlJc w:val="left"/>
      <w:pPr>
        <w:ind w:left="4448" w:hanging="361"/>
      </w:pPr>
      <w:rPr>
        <w:rFonts w:hint="default"/>
        <w:lang w:val="en-us" w:eastAsia="en-us" w:bidi="en-us"/>
      </w:rPr>
    </w:lvl>
    <w:lvl w:ilvl="3">
      <w:start w:val="0"/>
      <w:numFmt w:val="bullet"/>
      <w:lvlText w:val="•"/>
      <w:lvlJc w:val="left"/>
      <w:pPr>
        <w:ind w:left="5782" w:hanging="361"/>
      </w:pPr>
      <w:rPr>
        <w:rFonts w:hint="default"/>
        <w:lang w:val="en-us" w:eastAsia="en-us" w:bidi="en-us"/>
      </w:rPr>
    </w:lvl>
    <w:lvl w:ilvl="4">
      <w:start w:val="0"/>
      <w:numFmt w:val="bullet"/>
      <w:lvlText w:val="•"/>
      <w:lvlJc w:val="left"/>
      <w:pPr>
        <w:ind w:left="7116" w:hanging="361"/>
      </w:pPr>
      <w:rPr>
        <w:rFonts w:hint="default"/>
        <w:lang w:val="en-us" w:eastAsia="en-us" w:bidi="en-us"/>
      </w:rPr>
    </w:lvl>
    <w:lvl w:ilvl="5">
      <w:start w:val="0"/>
      <w:numFmt w:val="bullet"/>
      <w:lvlText w:val="•"/>
      <w:lvlJc w:val="left"/>
      <w:pPr>
        <w:ind w:left="8450" w:hanging="361"/>
      </w:pPr>
      <w:rPr>
        <w:rFonts w:hint="default"/>
        <w:lang w:val="en-us" w:eastAsia="en-us" w:bidi="en-us"/>
      </w:rPr>
    </w:lvl>
    <w:lvl w:ilvl="6">
      <w:start w:val="0"/>
      <w:numFmt w:val="bullet"/>
      <w:lvlText w:val="•"/>
      <w:lvlJc w:val="left"/>
      <w:pPr>
        <w:ind w:left="9784" w:hanging="361"/>
      </w:pPr>
      <w:rPr>
        <w:rFonts w:hint="default"/>
        <w:lang w:val="en-us" w:eastAsia="en-us" w:bidi="en-us"/>
      </w:rPr>
    </w:lvl>
    <w:lvl w:ilvl="7">
      <w:start w:val="0"/>
      <w:numFmt w:val="bullet"/>
      <w:lvlText w:val="•"/>
      <w:lvlJc w:val="left"/>
      <w:pPr>
        <w:ind w:left="11118" w:hanging="361"/>
      </w:pPr>
      <w:rPr>
        <w:rFonts w:hint="default"/>
        <w:lang w:val="en-us" w:eastAsia="en-us" w:bidi="en-us"/>
      </w:rPr>
    </w:lvl>
    <w:lvl w:ilvl="8">
      <w:start w:val="0"/>
      <w:numFmt w:val="bullet"/>
      <w:lvlText w:val="•"/>
      <w:lvlJc w:val="left"/>
      <w:pPr>
        <w:ind w:left="12452" w:hanging="361"/>
      </w:pPr>
      <w:rPr>
        <w:rFonts w:hint="default"/>
        <w:lang w:val="en-us" w:eastAsia="en-us" w:bidi="en-us"/>
      </w:rPr>
    </w:lvl>
  </w:abstractNum>
  <w:abstractNum w:abstractNumId="29">
    <w:multiLevelType w:val="hybridMultilevel"/>
    <w:lvl w:ilvl="0">
      <w:start w:val="1"/>
      <w:numFmt w:val="decimal"/>
      <w:lvlText w:val="%1."/>
      <w:lvlJc w:val="left"/>
      <w:pPr>
        <w:ind w:left="1420" w:hanging="361"/>
        <w:jc w:val="left"/>
      </w:pPr>
      <w:rPr>
        <w:rFonts w:hint="default" w:ascii="Calibri" w:hAnsi="Calibri" w:eastAsia="Calibri" w:cs="Calibri"/>
        <w:w w:val="100"/>
        <w:sz w:val="22"/>
        <w:szCs w:val="22"/>
        <w:lang w:val="en-us" w:eastAsia="en-us" w:bidi="en-us"/>
      </w:rPr>
    </w:lvl>
    <w:lvl w:ilvl="1">
      <w:start w:val="1"/>
      <w:numFmt w:val="lowerLetter"/>
      <w:lvlText w:val="%2."/>
      <w:lvlJc w:val="left"/>
      <w:pPr>
        <w:ind w:left="1780" w:hanging="360"/>
        <w:jc w:val="left"/>
      </w:pPr>
      <w:rPr>
        <w:rFonts w:hint="default" w:ascii="Calibri" w:hAnsi="Calibri" w:eastAsia="Calibri" w:cs="Calibri"/>
        <w:spacing w:val="-1"/>
        <w:w w:val="100"/>
        <w:sz w:val="22"/>
        <w:szCs w:val="22"/>
        <w:lang w:val="en-us" w:eastAsia="en-us" w:bidi="en-us"/>
      </w:rPr>
    </w:lvl>
    <w:lvl w:ilvl="2">
      <w:start w:val="1"/>
      <w:numFmt w:val="lowerRoman"/>
      <w:lvlText w:val="%3."/>
      <w:lvlJc w:val="left"/>
      <w:pPr>
        <w:ind w:left="2499" w:hanging="466"/>
        <w:jc w:val="right"/>
      </w:pPr>
      <w:rPr>
        <w:rFonts w:hint="default" w:ascii="Calibri" w:hAnsi="Calibri" w:eastAsia="Calibri" w:cs="Calibri"/>
        <w:spacing w:val="-1"/>
        <w:w w:val="100"/>
        <w:sz w:val="22"/>
        <w:szCs w:val="22"/>
        <w:lang w:val="en-us" w:eastAsia="en-us" w:bidi="en-us"/>
      </w:rPr>
    </w:lvl>
    <w:lvl w:ilvl="3">
      <w:start w:val="1"/>
      <w:numFmt w:val="decimal"/>
      <w:lvlText w:val="%4."/>
      <w:lvlJc w:val="left"/>
      <w:pPr>
        <w:ind w:left="3940" w:hanging="361"/>
        <w:jc w:val="left"/>
      </w:pPr>
      <w:rPr>
        <w:rFonts w:hint="default" w:ascii="Calibri" w:hAnsi="Calibri" w:eastAsia="Calibri" w:cs="Calibri"/>
        <w:w w:val="100"/>
        <w:sz w:val="22"/>
        <w:szCs w:val="22"/>
        <w:lang w:val="en-us" w:eastAsia="en-us" w:bidi="en-us"/>
      </w:rPr>
    </w:lvl>
    <w:lvl w:ilvl="4">
      <w:start w:val="0"/>
      <w:numFmt w:val="bullet"/>
      <w:lvlText w:val="•"/>
      <w:lvlJc w:val="left"/>
      <w:pPr>
        <w:ind w:left="3940" w:hanging="361"/>
      </w:pPr>
      <w:rPr>
        <w:rFonts w:hint="default"/>
        <w:lang w:val="en-us" w:eastAsia="en-us" w:bidi="en-us"/>
      </w:rPr>
    </w:lvl>
    <w:lvl w:ilvl="5">
      <w:start w:val="0"/>
      <w:numFmt w:val="bullet"/>
      <w:lvlText w:val="•"/>
      <w:lvlJc w:val="left"/>
      <w:pPr>
        <w:ind w:left="5803" w:hanging="361"/>
      </w:pPr>
      <w:rPr>
        <w:rFonts w:hint="default"/>
        <w:lang w:val="en-us" w:eastAsia="en-us" w:bidi="en-us"/>
      </w:rPr>
    </w:lvl>
    <w:lvl w:ilvl="6">
      <w:start w:val="0"/>
      <w:numFmt w:val="bullet"/>
      <w:lvlText w:val="•"/>
      <w:lvlJc w:val="left"/>
      <w:pPr>
        <w:ind w:left="7666" w:hanging="361"/>
      </w:pPr>
      <w:rPr>
        <w:rFonts w:hint="default"/>
        <w:lang w:val="en-us" w:eastAsia="en-us" w:bidi="en-us"/>
      </w:rPr>
    </w:lvl>
    <w:lvl w:ilvl="7">
      <w:start w:val="0"/>
      <w:numFmt w:val="bullet"/>
      <w:lvlText w:val="•"/>
      <w:lvlJc w:val="left"/>
      <w:pPr>
        <w:ind w:left="9530" w:hanging="361"/>
      </w:pPr>
      <w:rPr>
        <w:rFonts w:hint="default"/>
        <w:lang w:val="en-us" w:eastAsia="en-us" w:bidi="en-us"/>
      </w:rPr>
    </w:lvl>
    <w:lvl w:ilvl="8">
      <w:start w:val="0"/>
      <w:numFmt w:val="bullet"/>
      <w:lvlText w:val="•"/>
      <w:lvlJc w:val="left"/>
      <w:pPr>
        <w:ind w:left="11393" w:hanging="361"/>
      </w:pPr>
      <w:rPr>
        <w:rFonts w:hint="default"/>
        <w:lang w:val="en-us" w:eastAsia="en-us" w:bidi="en-us"/>
      </w:rPr>
    </w:lvl>
  </w:abstractNum>
  <w:abstractNum w:abstractNumId="28">
    <w:multiLevelType w:val="hybridMultilevel"/>
    <w:lvl w:ilvl="0">
      <w:start w:val="0"/>
      <w:numFmt w:val="bullet"/>
      <w:lvlText w:val=""/>
      <w:lvlJc w:val="left"/>
      <w:pPr>
        <w:ind w:left="1778" w:hanging="361"/>
      </w:pPr>
      <w:rPr>
        <w:rFonts w:hint="default" w:ascii="Symbol" w:hAnsi="Symbol" w:eastAsia="Symbol" w:cs="Symbol"/>
        <w:w w:val="100"/>
        <w:sz w:val="22"/>
        <w:szCs w:val="22"/>
        <w:lang w:val="en-us" w:eastAsia="en-us" w:bidi="en-us"/>
      </w:rPr>
    </w:lvl>
    <w:lvl w:ilvl="1">
      <w:start w:val="0"/>
      <w:numFmt w:val="bullet"/>
      <w:lvlText w:val=""/>
      <w:lvlJc w:val="left"/>
      <w:pPr>
        <w:ind w:left="1059" w:hanging="361"/>
      </w:pPr>
      <w:rPr>
        <w:rFonts w:hint="default" w:ascii="Symbol" w:hAnsi="Symbol" w:eastAsia="Symbol" w:cs="Symbol"/>
        <w:w w:val="100"/>
        <w:sz w:val="22"/>
        <w:szCs w:val="22"/>
        <w:lang w:val="en-us" w:eastAsia="en-us" w:bidi="en-us"/>
      </w:rPr>
    </w:lvl>
    <w:lvl w:ilvl="2">
      <w:start w:val="0"/>
      <w:numFmt w:val="bullet"/>
      <w:lvlText w:val="•"/>
      <w:lvlJc w:val="left"/>
      <w:pPr>
        <w:ind w:left="3262" w:hanging="361"/>
      </w:pPr>
      <w:rPr>
        <w:rFonts w:hint="default"/>
        <w:lang w:val="en-us" w:eastAsia="en-us" w:bidi="en-us"/>
      </w:rPr>
    </w:lvl>
    <w:lvl w:ilvl="3">
      <w:start w:val="0"/>
      <w:numFmt w:val="bullet"/>
      <w:lvlText w:val="•"/>
      <w:lvlJc w:val="left"/>
      <w:pPr>
        <w:ind w:left="4744" w:hanging="361"/>
      </w:pPr>
      <w:rPr>
        <w:rFonts w:hint="default"/>
        <w:lang w:val="en-us" w:eastAsia="en-us" w:bidi="en-us"/>
      </w:rPr>
    </w:lvl>
    <w:lvl w:ilvl="4">
      <w:start w:val="0"/>
      <w:numFmt w:val="bullet"/>
      <w:lvlText w:val="•"/>
      <w:lvlJc w:val="left"/>
      <w:pPr>
        <w:ind w:left="6226" w:hanging="361"/>
      </w:pPr>
      <w:rPr>
        <w:rFonts w:hint="default"/>
        <w:lang w:val="en-us" w:eastAsia="en-us" w:bidi="en-us"/>
      </w:rPr>
    </w:lvl>
    <w:lvl w:ilvl="5">
      <w:start w:val="0"/>
      <w:numFmt w:val="bullet"/>
      <w:lvlText w:val="•"/>
      <w:lvlJc w:val="left"/>
      <w:pPr>
        <w:ind w:left="7708" w:hanging="361"/>
      </w:pPr>
      <w:rPr>
        <w:rFonts w:hint="default"/>
        <w:lang w:val="en-us" w:eastAsia="en-us" w:bidi="en-us"/>
      </w:rPr>
    </w:lvl>
    <w:lvl w:ilvl="6">
      <w:start w:val="0"/>
      <w:numFmt w:val="bullet"/>
      <w:lvlText w:val="•"/>
      <w:lvlJc w:val="left"/>
      <w:pPr>
        <w:ind w:left="9191" w:hanging="361"/>
      </w:pPr>
      <w:rPr>
        <w:rFonts w:hint="default"/>
        <w:lang w:val="en-us" w:eastAsia="en-us" w:bidi="en-us"/>
      </w:rPr>
    </w:lvl>
    <w:lvl w:ilvl="7">
      <w:start w:val="0"/>
      <w:numFmt w:val="bullet"/>
      <w:lvlText w:val="•"/>
      <w:lvlJc w:val="left"/>
      <w:pPr>
        <w:ind w:left="10673" w:hanging="361"/>
      </w:pPr>
      <w:rPr>
        <w:rFonts w:hint="default"/>
        <w:lang w:val="en-us" w:eastAsia="en-us" w:bidi="en-us"/>
      </w:rPr>
    </w:lvl>
    <w:lvl w:ilvl="8">
      <w:start w:val="0"/>
      <w:numFmt w:val="bullet"/>
      <w:lvlText w:val="•"/>
      <w:lvlJc w:val="left"/>
      <w:pPr>
        <w:ind w:left="12155" w:hanging="361"/>
      </w:pPr>
      <w:rPr>
        <w:rFonts w:hint="default"/>
        <w:lang w:val="en-us" w:eastAsia="en-us" w:bidi="en-us"/>
      </w:rPr>
    </w:lvl>
  </w:abstractNum>
  <w:abstractNum w:abstractNumId="27">
    <w:multiLevelType w:val="hybridMultilevel"/>
    <w:lvl w:ilvl="0">
      <w:start w:val="1"/>
      <w:numFmt w:val="decimal"/>
      <w:lvlText w:val="%1."/>
      <w:lvlJc w:val="left"/>
      <w:pPr>
        <w:ind w:left="2233" w:hanging="361"/>
        <w:jc w:val="left"/>
      </w:pPr>
      <w:rPr>
        <w:rFonts w:hint="default" w:ascii="Calibri" w:hAnsi="Calibri" w:eastAsia="Calibri" w:cs="Calibri"/>
        <w:w w:val="100"/>
        <w:sz w:val="22"/>
        <w:szCs w:val="22"/>
        <w:lang w:val="en-us" w:eastAsia="en-us" w:bidi="en-us"/>
      </w:rPr>
    </w:lvl>
    <w:lvl w:ilvl="1">
      <w:start w:val="1"/>
      <w:numFmt w:val="lowerLetter"/>
      <w:lvlText w:val="%2."/>
      <w:lvlJc w:val="left"/>
      <w:pPr>
        <w:ind w:left="2953" w:hanging="360"/>
        <w:jc w:val="left"/>
      </w:pPr>
      <w:rPr>
        <w:rFonts w:hint="default" w:ascii="Calibri" w:hAnsi="Calibri" w:eastAsia="Calibri" w:cs="Calibri"/>
        <w:spacing w:val="-1"/>
        <w:w w:val="100"/>
        <w:sz w:val="22"/>
        <w:szCs w:val="22"/>
        <w:lang w:val="en-us" w:eastAsia="en-us" w:bidi="en-us"/>
      </w:rPr>
    </w:lvl>
    <w:lvl w:ilvl="2">
      <w:start w:val="0"/>
      <w:numFmt w:val="bullet"/>
      <w:lvlText w:val="•"/>
      <w:lvlJc w:val="left"/>
      <w:pPr>
        <w:ind w:left="4311" w:hanging="360"/>
      </w:pPr>
      <w:rPr>
        <w:rFonts w:hint="default"/>
        <w:lang w:val="en-us" w:eastAsia="en-us" w:bidi="en-us"/>
      </w:rPr>
    </w:lvl>
    <w:lvl w:ilvl="3">
      <w:start w:val="0"/>
      <w:numFmt w:val="bullet"/>
      <w:lvlText w:val="•"/>
      <w:lvlJc w:val="left"/>
      <w:pPr>
        <w:ind w:left="5662" w:hanging="360"/>
      </w:pPr>
      <w:rPr>
        <w:rFonts w:hint="default"/>
        <w:lang w:val="en-us" w:eastAsia="en-us" w:bidi="en-us"/>
      </w:rPr>
    </w:lvl>
    <w:lvl w:ilvl="4">
      <w:start w:val="0"/>
      <w:numFmt w:val="bullet"/>
      <w:lvlText w:val="•"/>
      <w:lvlJc w:val="left"/>
      <w:pPr>
        <w:ind w:left="7013" w:hanging="360"/>
      </w:pPr>
      <w:rPr>
        <w:rFonts w:hint="default"/>
        <w:lang w:val="en-us" w:eastAsia="en-us" w:bidi="en-us"/>
      </w:rPr>
    </w:lvl>
    <w:lvl w:ilvl="5">
      <w:start w:val="0"/>
      <w:numFmt w:val="bullet"/>
      <w:lvlText w:val="•"/>
      <w:lvlJc w:val="left"/>
      <w:pPr>
        <w:ind w:left="8364" w:hanging="360"/>
      </w:pPr>
      <w:rPr>
        <w:rFonts w:hint="default"/>
        <w:lang w:val="en-us" w:eastAsia="en-us" w:bidi="en-us"/>
      </w:rPr>
    </w:lvl>
    <w:lvl w:ilvl="6">
      <w:start w:val="0"/>
      <w:numFmt w:val="bullet"/>
      <w:lvlText w:val="•"/>
      <w:lvlJc w:val="left"/>
      <w:pPr>
        <w:ind w:left="9715" w:hanging="360"/>
      </w:pPr>
      <w:rPr>
        <w:rFonts w:hint="default"/>
        <w:lang w:val="en-us" w:eastAsia="en-us" w:bidi="en-us"/>
      </w:rPr>
    </w:lvl>
    <w:lvl w:ilvl="7">
      <w:start w:val="0"/>
      <w:numFmt w:val="bullet"/>
      <w:lvlText w:val="•"/>
      <w:lvlJc w:val="left"/>
      <w:pPr>
        <w:ind w:left="11066" w:hanging="360"/>
      </w:pPr>
      <w:rPr>
        <w:rFonts w:hint="default"/>
        <w:lang w:val="en-us" w:eastAsia="en-us" w:bidi="en-us"/>
      </w:rPr>
    </w:lvl>
    <w:lvl w:ilvl="8">
      <w:start w:val="0"/>
      <w:numFmt w:val="bullet"/>
      <w:lvlText w:val="•"/>
      <w:lvlJc w:val="left"/>
      <w:pPr>
        <w:ind w:left="12417" w:hanging="360"/>
      </w:pPr>
      <w:rPr>
        <w:rFonts w:hint="default"/>
        <w:lang w:val="en-us" w:eastAsia="en-us" w:bidi="en-us"/>
      </w:rPr>
    </w:lvl>
  </w:abstractNum>
  <w:abstractNum w:abstractNumId="25">
    <w:multiLevelType w:val="hybridMultilevel"/>
    <w:lvl w:ilvl="0">
      <w:start w:val="0"/>
      <w:numFmt w:val="bullet"/>
      <w:lvlText w:val=""/>
      <w:lvlJc w:val="left"/>
      <w:pPr>
        <w:ind w:left="464" w:hanging="361"/>
      </w:pPr>
      <w:rPr>
        <w:rFonts w:hint="default" w:ascii="Symbol" w:hAnsi="Symbol" w:eastAsia="Symbol" w:cs="Symbol"/>
        <w:w w:val="100"/>
        <w:sz w:val="22"/>
        <w:szCs w:val="22"/>
        <w:lang w:val="en-us" w:eastAsia="en-us" w:bidi="en-us"/>
      </w:rPr>
    </w:lvl>
    <w:lvl w:ilvl="1">
      <w:start w:val="0"/>
      <w:numFmt w:val="bullet"/>
      <w:lvlText w:val="•"/>
      <w:lvlJc w:val="left"/>
      <w:pPr>
        <w:ind w:left="694" w:hanging="361"/>
      </w:pPr>
      <w:rPr>
        <w:rFonts w:hint="default"/>
        <w:lang w:val="en-us" w:eastAsia="en-us" w:bidi="en-us"/>
      </w:rPr>
    </w:lvl>
    <w:lvl w:ilvl="2">
      <w:start w:val="0"/>
      <w:numFmt w:val="bullet"/>
      <w:lvlText w:val="•"/>
      <w:lvlJc w:val="left"/>
      <w:pPr>
        <w:ind w:left="928" w:hanging="361"/>
      </w:pPr>
      <w:rPr>
        <w:rFonts w:hint="default"/>
        <w:lang w:val="en-us" w:eastAsia="en-us" w:bidi="en-us"/>
      </w:rPr>
    </w:lvl>
    <w:lvl w:ilvl="3">
      <w:start w:val="0"/>
      <w:numFmt w:val="bullet"/>
      <w:lvlText w:val="•"/>
      <w:lvlJc w:val="left"/>
      <w:pPr>
        <w:ind w:left="1162" w:hanging="361"/>
      </w:pPr>
      <w:rPr>
        <w:rFonts w:hint="default"/>
        <w:lang w:val="en-us" w:eastAsia="en-us" w:bidi="en-us"/>
      </w:rPr>
    </w:lvl>
    <w:lvl w:ilvl="4">
      <w:start w:val="0"/>
      <w:numFmt w:val="bullet"/>
      <w:lvlText w:val="•"/>
      <w:lvlJc w:val="left"/>
      <w:pPr>
        <w:ind w:left="1396" w:hanging="361"/>
      </w:pPr>
      <w:rPr>
        <w:rFonts w:hint="default"/>
        <w:lang w:val="en-us" w:eastAsia="en-us" w:bidi="en-us"/>
      </w:rPr>
    </w:lvl>
    <w:lvl w:ilvl="5">
      <w:start w:val="0"/>
      <w:numFmt w:val="bullet"/>
      <w:lvlText w:val="•"/>
      <w:lvlJc w:val="left"/>
      <w:pPr>
        <w:ind w:left="1630" w:hanging="361"/>
      </w:pPr>
      <w:rPr>
        <w:rFonts w:hint="default"/>
        <w:lang w:val="en-us" w:eastAsia="en-us" w:bidi="en-us"/>
      </w:rPr>
    </w:lvl>
    <w:lvl w:ilvl="6">
      <w:start w:val="0"/>
      <w:numFmt w:val="bullet"/>
      <w:lvlText w:val="•"/>
      <w:lvlJc w:val="left"/>
      <w:pPr>
        <w:ind w:left="1864" w:hanging="361"/>
      </w:pPr>
      <w:rPr>
        <w:rFonts w:hint="default"/>
        <w:lang w:val="en-us" w:eastAsia="en-us" w:bidi="en-us"/>
      </w:rPr>
    </w:lvl>
    <w:lvl w:ilvl="7">
      <w:start w:val="0"/>
      <w:numFmt w:val="bullet"/>
      <w:lvlText w:val="•"/>
      <w:lvlJc w:val="left"/>
      <w:pPr>
        <w:ind w:left="2098" w:hanging="361"/>
      </w:pPr>
      <w:rPr>
        <w:rFonts w:hint="default"/>
        <w:lang w:val="en-us" w:eastAsia="en-us" w:bidi="en-us"/>
      </w:rPr>
    </w:lvl>
    <w:lvl w:ilvl="8">
      <w:start w:val="0"/>
      <w:numFmt w:val="bullet"/>
      <w:lvlText w:val="•"/>
      <w:lvlJc w:val="left"/>
      <w:pPr>
        <w:ind w:left="2332" w:hanging="361"/>
      </w:pPr>
      <w:rPr>
        <w:rFonts w:hint="default"/>
        <w:lang w:val="en-us" w:eastAsia="en-us" w:bidi="en-us"/>
      </w:rPr>
    </w:lvl>
  </w:abstractNum>
  <w:abstractNum w:abstractNumId="24">
    <w:multiLevelType w:val="hybridMultilevel"/>
    <w:lvl w:ilvl="0">
      <w:start w:val="2"/>
      <w:numFmt w:val="lowerLetter"/>
      <w:lvlText w:val="(%1)"/>
      <w:lvlJc w:val="left"/>
      <w:pPr>
        <w:ind w:left="107" w:hanging="300"/>
        <w:jc w:val="left"/>
      </w:pPr>
      <w:rPr>
        <w:rFonts w:hint="default" w:ascii="Calibri" w:hAnsi="Calibri" w:eastAsia="Calibri" w:cs="Calibri"/>
        <w:spacing w:val="-1"/>
        <w:w w:val="100"/>
        <w:sz w:val="22"/>
        <w:szCs w:val="22"/>
        <w:lang w:val="en-us" w:eastAsia="en-us" w:bidi="en-us"/>
      </w:rPr>
    </w:lvl>
    <w:lvl w:ilvl="1">
      <w:start w:val="0"/>
      <w:numFmt w:val="bullet"/>
      <w:lvlText w:val="•"/>
      <w:lvlJc w:val="left"/>
      <w:pPr>
        <w:ind w:left="357" w:hanging="300"/>
      </w:pPr>
      <w:rPr>
        <w:rFonts w:hint="default"/>
        <w:lang w:val="en-us" w:eastAsia="en-us" w:bidi="en-us"/>
      </w:rPr>
    </w:lvl>
    <w:lvl w:ilvl="2">
      <w:start w:val="0"/>
      <w:numFmt w:val="bullet"/>
      <w:lvlText w:val="•"/>
      <w:lvlJc w:val="left"/>
      <w:pPr>
        <w:ind w:left="615" w:hanging="300"/>
      </w:pPr>
      <w:rPr>
        <w:rFonts w:hint="default"/>
        <w:lang w:val="en-us" w:eastAsia="en-us" w:bidi="en-us"/>
      </w:rPr>
    </w:lvl>
    <w:lvl w:ilvl="3">
      <w:start w:val="0"/>
      <w:numFmt w:val="bullet"/>
      <w:lvlText w:val="•"/>
      <w:lvlJc w:val="left"/>
      <w:pPr>
        <w:ind w:left="873" w:hanging="300"/>
      </w:pPr>
      <w:rPr>
        <w:rFonts w:hint="default"/>
        <w:lang w:val="en-us" w:eastAsia="en-us" w:bidi="en-us"/>
      </w:rPr>
    </w:lvl>
    <w:lvl w:ilvl="4">
      <w:start w:val="0"/>
      <w:numFmt w:val="bullet"/>
      <w:lvlText w:val="•"/>
      <w:lvlJc w:val="left"/>
      <w:pPr>
        <w:ind w:left="1131" w:hanging="300"/>
      </w:pPr>
      <w:rPr>
        <w:rFonts w:hint="default"/>
        <w:lang w:val="en-us" w:eastAsia="en-us" w:bidi="en-us"/>
      </w:rPr>
    </w:lvl>
    <w:lvl w:ilvl="5">
      <w:start w:val="0"/>
      <w:numFmt w:val="bullet"/>
      <w:lvlText w:val="•"/>
      <w:lvlJc w:val="left"/>
      <w:pPr>
        <w:ind w:left="1389" w:hanging="300"/>
      </w:pPr>
      <w:rPr>
        <w:rFonts w:hint="default"/>
        <w:lang w:val="en-us" w:eastAsia="en-us" w:bidi="en-us"/>
      </w:rPr>
    </w:lvl>
    <w:lvl w:ilvl="6">
      <w:start w:val="0"/>
      <w:numFmt w:val="bullet"/>
      <w:lvlText w:val="•"/>
      <w:lvlJc w:val="left"/>
      <w:pPr>
        <w:ind w:left="1646" w:hanging="300"/>
      </w:pPr>
      <w:rPr>
        <w:rFonts w:hint="default"/>
        <w:lang w:val="en-us" w:eastAsia="en-us" w:bidi="en-us"/>
      </w:rPr>
    </w:lvl>
    <w:lvl w:ilvl="7">
      <w:start w:val="0"/>
      <w:numFmt w:val="bullet"/>
      <w:lvlText w:val="•"/>
      <w:lvlJc w:val="left"/>
      <w:pPr>
        <w:ind w:left="1904" w:hanging="300"/>
      </w:pPr>
      <w:rPr>
        <w:rFonts w:hint="default"/>
        <w:lang w:val="en-us" w:eastAsia="en-us" w:bidi="en-us"/>
      </w:rPr>
    </w:lvl>
    <w:lvl w:ilvl="8">
      <w:start w:val="0"/>
      <w:numFmt w:val="bullet"/>
      <w:lvlText w:val="•"/>
      <w:lvlJc w:val="left"/>
      <w:pPr>
        <w:ind w:left="2162" w:hanging="300"/>
      </w:pPr>
      <w:rPr>
        <w:rFonts w:hint="default"/>
        <w:lang w:val="en-us" w:eastAsia="en-us" w:bidi="en-us"/>
      </w:rPr>
    </w:lvl>
  </w:abstractNum>
  <w:abstractNum w:abstractNumId="23">
    <w:multiLevelType w:val="hybridMultilevel"/>
    <w:lvl w:ilvl="0">
      <w:start w:val="2"/>
      <w:numFmt w:val="decimal"/>
      <w:lvlText w:val="(%1)"/>
      <w:lvlJc w:val="left"/>
      <w:pPr>
        <w:ind w:left="107" w:hanging="296"/>
        <w:jc w:val="left"/>
      </w:pPr>
      <w:rPr>
        <w:rFonts w:hint="default" w:ascii="Calibri" w:hAnsi="Calibri" w:eastAsia="Calibri" w:cs="Calibri"/>
        <w:w w:val="100"/>
        <w:sz w:val="22"/>
        <w:szCs w:val="22"/>
        <w:lang w:val="en-us" w:eastAsia="en-us" w:bidi="en-us"/>
      </w:rPr>
    </w:lvl>
    <w:lvl w:ilvl="1">
      <w:start w:val="1"/>
      <w:numFmt w:val="lowerLetter"/>
      <w:lvlText w:val="(%2)"/>
      <w:lvlJc w:val="left"/>
      <w:pPr>
        <w:ind w:left="107" w:hanging="291"/>
        <w:jc w:val="left"/>
      </w:pPr>
      <w:rPr>
        <w:rFonts w:hint="default" w:ascii="Calibri" w:hAnsi="Calibri" w:eastAsia="Calibri" w:cs="Calibri"/>
        <w:spacing w:val="-1"/>
        <w:w w:val="100"/>
        <w:sz w:val="22"/>
        <w:szCs w:val="22"/>
        <w:lang w:val="en-us" w:eastAsia="en-us" w:bidi="en-us"/>
      </w:rPr>
    </w:lvl>
    <w:lvl w:ilvl="2">
      <w:start w:val="0"/>
      <w:numFmt w:val="bullet"/>
      <w:lvlText w:val="•"/>
      <w:lvlJc w:val="left"/>
      <w:pPr>
        <w:ind w:left="615" w:hanging="291"/>
      </w:pPr>
      <w:rPr>
        <w:rFonts w:hint="default"/>
        <w:lang w:val="en-us" w:eastAsia="en-us" w:bidi="en-us"/>
      </w:rPr>
    </w:lvl>
    <w:lvl w:ilvl="3">
      <w:start w:val="0"/>
      <w:numFmt w:val="bullet"/>
      <w:lvlText w:val="•"/>
      <w:lvlJc w:val="left"/>
      <w:pPr>
        <w:ind w:left="873" w:hanging="291"/>
      </w:pPr>
      <w:rPr>
        <w:rFonts w:hint="default"/>
        <w:lang w:val="en-us" w:eastAsia="en-us" w:bidi="en-us"/>
      </w:rPr>
    </w:lvl>
    <w:lvl w:ilvl="4">
      <w:start w:val="0"/>
      <w:numFmt w:val="bullet"/>
      <w:lvlText w:val="•"/>
      <w:lvlJc w:val="left"/>
      <w:pPr>
        <w:ind w:left="1131" w:hanging="291"/>
      </w:pPr>
      <w:rPr>
        <w:rFonts w:hint="default"/>
        <w:lang w:val="en-us" w:eastAsia="en-us" w:bidi="en-us"/>
      </w:rPr>
    </w:lvl>
    <w:lvl w:ilvl="5">
      <w:start w:val="0"/>
      <w:numFmt w:val="bullet"/>
      <w:lvlText w:val="•"/>
      <w:lvlJc w:val="left"/>
      <w:pPr>
        <w:ind w:left="1389" w:hanging="291"/>
      </w:pPr>
      <w:rPr>
        <w:rFonts w:hint="default"/>
        <w:lang w:val="en-us" w:eastAsia="en-us" w:bidi="en-us"/>
      </w:rPr>
    </w:lvl>
    <w:lvl w:ilvl="6">
      <w:start w:val="0"/>
      <w:numFmt w:val="bullet"/>
      <w:lvlText w:val="•"/>
      <w:lvlJc w:val="left"/>
      <w:pPr>
        <w:ind w:left="1646" w:hanging="291"/>
      </w:pPr>
      <w:rPr>
        <w:rFonts w:hint="default"/>
        <w:lang w:val="en-us" w:eastAsia="en-us" w:bidi="en-us"/>
      </w:rPr>
    </w:lvl>
    <w:lvl w:ilvl="7">
      <w:start w:val="0"/>
      <w:numFmt w:val="bullet"/>
      <w:lvlText w:val="•"/>
      <w:lvlJc w:val="left"/>
      <w:pPr>
        <w:ind w:left="1904" w:hanging="291"/>
      </w:pPr>
      <w:rPr>
        <w:rFonts w:hint="default"/>
        <w:lang w:val="en-us" w:eastAsia="en-us" w:bidi="en-us"/>
      </w:rPr>
    </w:lvl>
    <w:lvl w:ilvl="8">
      <w:start w:val="0"/>
      <w:numFmt w:val="bullet"/>
      <w:lvlText w:val="•"/>
      <w:lvlJc w:val="left"/>
      <w:pPr>
        <w:ind w:left="2162" w:hanging="291"/>
      </w:pPr>
      <w:rPr>
        <w:rFonts w:hint="default"/>
        <w:lang w:val="en-us" w:eastAsia="en-us" w:bidi="en-us"/>
      </w:rPr>
    </w:lvl>
  </w:abstractNum>
  <w:abstractNum w:abstractNumId="22">
    <w:multiLevelType w:val="hybridMultilevel"/>
    <w:lvl w:ilvl="0">
      <w:start w:val="0"/>
      <w:numFmt w:val="bullet"/>
      <w:lvlText w:val=""/>
      <w:lvlJc w:val="left"/>
      <w:pPr>
        <w:ind w:left="466" w:hanging="361"/>
      </w:pPr>
      <w:rPr>
        <w:rFonts w:hint="default" w:ascii="Symbol" w:hAnsi="Symbol" w:eastAsia="Symbol" w:cs="Symbol"/>
        <w:w w:val="100"/>
        <w:sz w:val="22"/>
        <w:szCs w:val="22"/>
        <w:lang w:val="en-us" w:eastAsia="en-us" w:bidi="en-us"/>
      </w:rPr>
    </w:lvl>
    <w:lvl w:ilvl="1">
      <w:start w:val="0"/>
      <w:numFmt w:val="bullet"/>
      <w:lvlText w:val="•"/>
      <w:lvlJc w:val="left"/>
      <w:pPr>
        <w:ind w:left="722" w:hanging="361"/>
      </w:pPr>
      <w:rPr>
        <w:rFonts w:hint="default"/>
        <w:lang w:val="en-us" w:eastAsia="en-us" w:bidi="en-us"/>
      </w:rPr>
    </w:lvl>
    <w:lvl w:ilvl="2">
      <w:start w:val="0"/>
      <w:numFmt w:val="bullet"/>
      <w:lvlText w:val="•"/>
      <w:lvlJc w:val="left"/>
      <w:pPr>
        <w:ind w:left="985" w:hanging="361"/>
      </w:pPr>
      <w:rPr>
        <w:rFonts w:hint="default"/>
        <w:lang w:val="en-us" w:eastAsia="en-us" w:bidi="en-us"/>
      </w:rPr>
    </w:lvl>
    <w:lvl w:ilvl="3">
      <w:start w:val="0"/>
      <w:numFmt w:val="bullet"/>
      <w:lvlText w:val="•"/>
      <w:lvlJc w:val="left"/>
      <w:pPr>
        <w:ind w:left="1248" w:hanging="361"/>
      </w:pPr>
      <w:rPr>
        <w:rFonts w:hint="default"/>
        <w:lang w:val="en-us" w:eastAsia="en-us" w:bidi="en-us"/>
      </w:rPr>
    </w:lvl>
    <w:lvl w:ilvl="4">
      <w:start w:val="0"/>
      <w:numFmt w:val="bullet"/>
      <w:lvlText w:val="•"/>
      <w:lvlJc w:val="left"/>
      <w:pPr>
        <w:ind w:left="1510" w:hanging="361"/>
      </w:pPr>
      <w:rPr>
        <w:rFonts w:hint="default"/>
        <w:lang w:val="en-us" w:eastAsia="en-us" w:bidi="en-us"/>
      </w:rPr>
    </w:lvl>
    <w:lvl w:ilvl="5">
      <w:start w:val="0"/>
      <w:numFmt w:val="bullet"/>
      <w:lvlText w:val="•"/>
      <w:lvlJc w:val="left"/>
      <w:pPr>
        <w:ind w:left="1773" w:hanging="361"/>
      </w:pPr>
      <w:rPr>
        <w:rFonts w:hint="default"/>
        <w:lang w:val="en-us" w:eastAsia="en-us" w:bidi="en-us"/>
      </w:rPr>
    </w:lvl>
    <w:lvl w:ilvl="6">
      <w:start w:val="0"/>
      <w:numFmt w:val="bullet"/>
      <w:lvlText w:val="•"/>
      <w:lvlJc w:val="left"/>
      <w:pPr>
        <w:ind w:left="2036" w:hanging="361"/>
      </w:pPr>
      <w:rPr>
        <w:rFonts w:hint="default"/>
        <w:lang w:val="en-us" w:eastAsia="en-us" w:bidi="en-us"/>
      </w:rPr>
    </w:lvl>
    <w:lvl w:ilvl="7">
      <w:start w:val="0"/>
      <w:numFmt w:val="bullet"/>
      <w:lvlText w:val="•"/>
      <w:lvlJc w:val="left"/>
      <w:pPr>
        <w:ind w:left="2298" w:hanging="361"/>
      </w:pPr>
      <w:rPr>
        <w:rFonts w:hint="default"/>
        <w:lang w:val="en-us" w:eastAsia="en-us" w:bidi="en-us"/>
      </w:rPr>
    </w:lvl>
    <w:lvl w:ilvl="8">
      <w:start w:val="0"/>
      <w:numFmt w:val="bullet"/>
      <w:lvlText w:val="•"/>
      <w:lvlJc w:val="left"/>
      <w:pPr>
        <w:ind w:left="2561" w:hanging="361"/>
      </w:pPr>
      <w:rPr>
        <w:rFonts w:hint="default"/>
        <w:lang w:val="en-us" w:eastAsia="en-us" w:bidi="en-us"/>
      </w:rPr>
    </w:lvl>
  </w:abstractNum>
  <w:abstractNum w:abstractNumId="21">
    <w:multiLevelType w:val="hybridMultilevel"/>
    <w:lvl w:ilvl="0">
      <w:start w:val="0"/>
      <w:numFmt w:val="bullet"/>
      <w:lvlText w:val=""/>
      <w:lvlJc w:val="left"/>
      <w:pPr>
        <w:ind w:left="466" w:hanging="361"/>
      </w:pPr>
      <w:rPr>
        <w:rFonts w:hint="default" w:ascii="Symbol" w:hAnsi="Symbol" w:eastAsia="Symbol" w:cs="Symbol"/>
        <w:w w:val="100"/>
        <w:sz w:val="22"/>
        <w:szCs w:val="22"/>
        <w:lang w:val="en-us" w:eastAsia="en-us" w:bidi="en-us"/>
      </w:rPr>
    </w:lvl>
    <w:lvl w:ilvl="1">
      <w:start w:val="0"/>
      <w:numFmt w:val="bullet"/>
      <w:lvlText w:val="•"/>
      <w:lvlJc w:val="left"/>
      <w:pPr>
        <w:ind w:left="722" w:hanging="361"/>
      </w:pPr>
      <w:rPr>
        <w:rFonts w:hint="default"/>
        <w:lang w:val="en-us" w:eastAsia="en-us" w:bidi="en-us"/>
      </w:rPr>
    </w:lvl>
    <w:lvl w:ilvl="2">
      <w:start w:val="0"/>
      <w:numFmt w:val="bullet"/>
      <w:lvlText w:val="•"/>
      <w:lvlJc w:val="left"/>
      <w:pPr>
        <w:ind w:left="985" w:hanging="361"/>
      </w:pPr>
      <w:rPr>
        <w:rFonts w:hint="default"/>
        <w:lang w:val="en-us" w:eastAsia="en-us" w:bidi="en-us"/>
      </w:rPr>
    </w:lvl>
    <w:lvl w:ilvl="3">
      <w:start w:val="0"/>
      <w:numFmt w:val="bullet"/>
      <w:lvlText w:val="•"/>
      <w:lvlJc w:val="left"/>
      <w:pPr>
        <w:ind w:left="1248" w:hanging="361"/>
      </w:pPr>
      <w:rPr>
        <w:rFonts w:hint="default"/>
        <w:lang w:val="en-us" w:eastAsia="en-us" w:bidi="en-us"/>
      </w:rPr>
    </w:lvl>
    <w:lvl w:ilvl="4">
      <w:start w:val="0"/>
      <w:numFmt w:val="bullet"/>
      <w:lvlText w:val="•"/>
      <w:lvlJc w:val="left"/>
      <w:pPr>
        <w:ind w:left="1510" w:hanging="361"/>
      </w:pPr>
      <w:rPr>
        <w:rFonts w:hint="default"/>
        <w:lang w:val="en-us" w:eastAsia="en-us" w:bidi="en-us"/>
      </w:rPr>
    </w:lvl>
    <w:lvl w:ilvl="5">
      <w:start w:val="0"/>
      <w:numFmt w:val="bullet"/>
      <w:lvlText w:val="•"/>
      <w:lvlJc w:val="left"/>
      <w:pPr>
        <w:ind w:left="1773" w:hanging="361"/>
      </w:pPr>
      <w:rPr>
        <w:rFonts w:hint="default"/>
        <w:lang w:val="en-us" w:eastAsia="en-us" w:bidi="en-us"/>
      </w:rPr>
    </w:lvl>
    <w:lvl w:ilvl="6">
      <w:start w:val="0"/>
      <w:numFmt w:val="bullet"/>
      <w:lvlText w:val="•"/>
      <w:lvlJc w:val="left"/>
      <w:pPr>
        <w:ind w:left="2036" w:hanging="361"/>
      </w:pPr>
      <w:rPr>
        <w:rFonts w:hint="default"/>
        <w:lang w:val="en-us" w:eastAsia="en-us" w:bidi="en-us"/>
      </w:rPr>
    </w:lvl>
    <w:lvl w:ilvl="7">
      <w:start w:val="0"/>
      <w:numFmt w:val="bullet"/>
      <w:lvlText w:val="•"/>
      <w:lvlJc w:val="left"/>
      <w:pPr>
        <w:ind w:left="2298" w:hanging="361"/>
      </w:pPr>
      <w:rPr>
        <w:rFonts w:hint="default"/>
        <w:lang w:val="en-us" w:eastAsia="en-us" w:bidi="en-us"/>
      </w:rPr>
    </w:lvl>
    <w:lvl w:ilvl="8">
      <w:start w:val="0"/>
      <w:numFmt w:val="bullet"/>
      <w:lvlText w:val="•"/>
      <w:lvlJc w:val="left"/>
      <w:pPr>
        <w:ind w:left="2561" w:hanging="361"/>
      </w:pPr>
      <w:rPr>
        <w:rFonts w:hint="default"/>
        <w:lang w:val="en-us" w:eastAsia="en-us" w:bidi="en-us"/>
      </w:rPr>
    </w:lvl>
  </w:abstractNum>
  <w:abstractNum w:abstractNumId="20">
    <w:multiLevelType w:val="hybridMultilevel"/>
    <w:lvl w:ilvl="0">
      <w:start w:val="0"/>
      <w:numFmt w:val="bullet"/>
      <w:lvlText w:val=""/>
      <w:lvlJc w:val="left"/>
      <w:pPr>
        <w:ind w:left="466" w:hanging="361"/>
      </w:pPr>
      <w:rPr>
        <w:rFonts w:hint="default" w:ascii="Symbol" w:hAnsi="Symbol" w:eastAsia="Symbol" w:cs="Symbol"/>
        <w:w w:val="100"/>
        <w:sz w:val="22"/>
        <w:szCs w:val="22"/>
        <w:lang w:val="en-us" w:eastAsia="en-us" w:bidi="en-us"/>
      </w:rPr>
    </w:lvl>
    <w:lvl w:ilvl="1">
      <w:start w:val="0"/>
      <w:numFmt w:val="bullet"/>
      <w:lvlText w:val="•"/>
      <w:lvlJc w:val="left"/>
      <w:pPr>
        <w:ind w:left="722" w:hanging="361"/>
      </w:pPr>
      <w:rPr>
        <w:rFonts w:hint="default"/>
        <w:lang w:val="en-us" w:eastAsia="en-us" w:bidi="en-us"/>
      </w:rPr>
    </w:lvl>
    <w:lvl w:ilvl="2">
      <w:start w:val="0"/>
      <w:numFmt w:val="bullet"/>
      <w:lvlText w:val="•"/>
      <w:lvlJc w:val="left"/>
      <w:pPr>
        <w:ind w:left="985" w:hanging="361"/>
      </w:pPr>
      <w:rPr>
        <w:rFonts w:hint="default"/>
        <w:lang w:val="en-us" w:eastAsia="en-us" w:bidi="en-us"/>
      </w:rPr>
    </w:lvl>
    <w:lvl w:ilvl="3">
      <w:start w:val="0"/>
      <w:numFmt w:val="bullet"/>
      <w:lvlText w:val="•"/>
      <w:lvlJc w:val="left"/>
      <w:pPr>
        <w:ind w:left="1248" w:hanging="361"/>
      </w:pPr>
      <w:rPr>
        <w:rFonts w:hint="default"/>
        <w:lang w:val="en-us" w:eastAsia="en-us" w:bidi="en-us"/>
      </w:rPr>
    </w:lvl>
    <w:lvl w:ilvl="4">
      <w:start w:val="0"/>
      <w:numFmt w:val="bullet"/>
      <w:lvlText w:val="•"/>
      <w:lvlJc w:val="left"/>
      <w:pPr>
        <w:ind w:left="1510" w:hanging="361"/>
      </w:pPr>
      <w:rPr>
        <w:rFonts w:hint="default"/>
        <w:lang w:val="en-us" w:eastAsia="en-us" w:bidi="en-us"/>
      </w:rPr>
    </w:lvl>
    <w:lvl w:ilvl="5">
      <w:start w:val="0"/>
      <w:numFmt w:val="bullet"/>
      <w:lvlText w:val="•"/>
      <w:lvlJc w:val="left"/>
      <w:pPr>
        <w:ind w:left="1773" w:hanging="361"/>
      </w:pPr>
      <w:rPr>
        <w:rFonts w:hint="default"/>
        <w:lang w:val="en-us" w:eastAsia="en-us" w:bidi="en-us"/>
      </w:rPr>
    </w:lvl>
    <w:lvl w:ilvl="6">
      <w:start w:val="0"/>
      <w:numFmt w:val="bullet"/>
      <w:lvlText w:val="•"/>
      <w:lvlJc w:val="left"/>
      <w:pPr>
        <w:ind w:left="2036" w:hanging="361"/>
      </w:pPr>
      <w:rPr>
        <w:rFonts w:hint="default"/>
        <w:lang w:val="en-us" w:eastAsia="en-us" w:bidi="en-us"/>
      </w:rPr>
    </w:lvl>
    <w:lvl w:ilvl="7">
      <w:start w:val="0"/>
      <w:numFmt w:val="bullet"/>
      <w:lvlText w:val="•"/>
      <w:lvlJc w:val="left"/>
      <w:pPr>
        <w:ind w:left="2298" w:hanging="361"/>
      </w:pPr>
      <w:rPr>
        <w:rFonts w:hint="default"/>
        <w:lang w:val="en-us" w:eastAsia="en-us" w:bidi="en-us"/>
      </w:rPr>
    </w:lvl>
    <w:lvl w:ilvl="8">
      <w:start w:val="0"/>
      <w:numFmt w:val="bullet"/>
      <w:lvlText w:val="•"/>
      <w:lvlJc w:val="left"/>
      <w:pPr>
        <w:ind w:left="2561" w:hanging="361"/>
      </w:pPr>
      <w:rPr>
        <w:rFonts w:hint="default"/>
        <w:lang w:val="en-us" w:eastAsia="en-us" w:bidi="en-us"/>
      </w:rPr>
    </w:lvl>
  </w:abstractNum>
  <w:abstractNum w:abstractNumId="19">
    <w:multiLevelType w:val="hybridMultilevel"/>
    <w:lvl w:ilvl="0">
      <w:start w:val="0"/>
      <w:numFmt w:val="bullet"/>
      <w:lvlText w:val=""/>
      <w:lvlJc w:val="left"/>
      <w:pPr>
        <w:ind w:left="466" w:hanging="361"/>
      </w:pPr>
      <w:rPr>
        <w:rFonts w:hint="default" w:ascii="Symbol" w:hAnsi="Symbol" w:eastAsia="Symbol" w:cs="Symbol"/>
        <w:w w:val="100"/>
        <w:sz w:val="22"/>
        <w:szCs w:val="22"/>
        <w:lang w:val="en-us" w:eastAsia="en-us" w:bidi="en-us"/>
      </w:rPr>
    </w:lvl>
    <w:lvl w:ilvl="1">
      <w:start w:val="0"/>
      <w:numFmt w:val="bullet"/>
      <w:lvlText w:val="•"/>
      <w:lvlJc w:val="left"/>
      <w:pPr>
        <w:ind w:left="722" w:hanging="361"/>
      </w:pPr>
      <w:rPr>
        <w:rFonts w:hint="default"/>
        <w:lang w:val="en-us" w:eastAsia="en-us" w:bidi="en-us"/>
      </w:rPr>
    </w:lvl>
    <w:lvl w:ilvl="2">
      <w:start w:val="0"/>
      <w:numFmt w:val="bullet"/>
      <w:lvlText w:val="•"/>
      <w:lvlJc w:val="left"/>
      <w:pPr>
        <w:ind w:left="985" w:hanging="361"/>
      </w:pPr>
      <w:rPr>
        <w:rFonts w:hint="default"/>
        <w:lang w:val="en-us" w:eastAsia="en-us" w:bidi="en-us"/>
      </w:rPr>
    </w:lvl>
    <w:lvl w:ilvl="3">
      <w:start w:val="0"/>
      <w:numFmt w:val="bullet"/>
      <w:lvlText w:val="•"/>
      <w:lvlJc w:val="left"/>
      <w:pPr>
        <w:ind w:left="1248" w:hanging="361"/>
      </w:pPr>
      <w:rPr>
        <w:rFonts w:hint="default"/>
        <w:lang w:val="en-us" w:eastAsia="en-us" w:bidi="en-us"/>
      </w:rPr>
    </w:lvl>
    <w:lvl w:ilvl="4">
      <w:start w:val="0"/>
      <w:numFmt w:val="bullet"/>
      <w:lvlText w:val="•"/>
      <w:lvlJc w:val="left"/>
      <w:pPr>
        <w:ind w:left="1510" w:hanging="361"/>
      </w:pPr>
      <w:rPr>
        <w:rFonts w:hint="default"/>
        <w:lang w:val="en-us" w:eastAsia="en-us" w:bidi="en-us"/>
      </w:rPr>
    </w:lvl>
    <w:lvl w:ilvl="5">
      <w:start w:val="0"/>
      <w:numFmt w:val="bullet"/>
      <w:lvlText w:val="•"/>
      <w:lvlJc w:val="left"/>
      <w:pPr>
        <w:ind w:left="1773" w:hanging="361"/>
      </w:pPr>
      <w:rPr>
        <w:rFonts w:hint="default"/>
        <w:lang w:val="en-us" w:eastAsia="en-us" w:bidi="en-us"/>
      </w:rPr>
    </w:lvl>
    <w:lvl w:ilvl="6">
      <w:start w:val="0"/>
      <w:numFmt w:val="bullet"/>
      <w:lvlText w:val="•"/>
      <w:lvlJc w:val="left"/>
      <w:pPr>
        <w:ind w:left="2036" w:hanging="361"/>
      </w:pPr>
      <w:rPr>
        <w:rFonts w:hint="default"/>
        <w:lang w:val="en-us" w:eastAsia="en-us" w:bidi="en-us"/>
      </w:rPr>
    </w:lvl>
    <w:lvl w:ilvl="7">
      <w:start w:val="0"/>
      <w:numFmt w:val="bullet"/>
      <w:lvlText w:val="•"/>
      <w:lvlJc w:val="left"/>
      <w:pPr>
        <w:ind w:left="2298" w:hanging="361"/>
      </w:pPr>
      <w:rPr>
        <w:rFonts w:hint="default"/>
        <w:lang w:val="en-us" w:eastAsia="en-us" w:bidi="en-us"/>
      </w:rPr>
    </w:lvl>
    <w:lvl w:ilvl="8">
      <w:start w:val="0"/>
      <w:numFmt w:val="bullet"/>
      <w:lvlText w:val="•"/>
      <w:lvlJc w:val="left"/>
      <w:pPr>
        <w:ind w:left="2561" w:hanging="361"/>
      </w:pPr>
      <w:rPr>
        <w:rFonts w:hint="default"/>
        <w:lang w:val="en-us" w:eastAsia="en-us" w:bidi="en-us"/>
      </w:rPr>
    </w:lvl>
  </w:abstractNum>
  <w:abstractNum w:abstractNumId="18">
    <w:multiLevelType w:val="hybridMultilevel"/>
    <w:lvl w:ilvl="0">
      <w:start w:val="0"/>
      <w:numFmt w:val="bullet"/>
      <w:lvlText w:val=""/>
      <w:lvlJc w:val="left"/>
      <w:pPr>
        <w:ind w:left="466" w:hanging="361"/>
      </w:pPr>
      <w:rPr>
        <w:rFonts w:hint="default" w:ascii="Symbol" w:hAnsi="Symbol" w:eastAsia="Symbol" w:cs="Symbol"/>
        <w:w w:val="100"/>
        <w:sz w:val="22"/>
        <w:szCs w:val="22"/>
        <w:lang w:val="en-us" w:eastAsia="en-us" w:bidi="en-us"/>
      </w:rPr>
    </w:lvl>
    <w:lvl w:ilvl="1">
      <w:start w:val="0"/>
      <w:numFmt w:val="bullet"/>
      <w:lvlText w:val="•"/>
      <w:lvlJc w:val="left"/>
      <w:pPr>
        <w:ind w:left="722" w:hanging="361"/>
      </w:pPr>
      <w:rPr>
        <w:rFonts w:hint="default"/>
        <w:lang w:val="en-us" w:eastAsia="en-us" w:bidi="en-us"/>
      </w:rPr>
    </w:lvl>
    <w:lvl w:ilvl="2">
      <w:start w:val="0"/>
      <w:numFmt w:val="bullet"/>
      <w:lvlText w:val="•"/>
      <w:lvlJc w:val="left"/>
      <w:pPr>
        <w:ind w:left="985" w:hanging="361"/>
      </w:pPr>
      <w:rPr>
        <w:rFonts w:hint="default"/>
        <w:lang w:val="en-us" w:eastAsia="en-us" w:bidi="en-us"/>
      </w:rPr>
    </w:lvl>
    <w:lvl w:ilvl="3">
      <w:start w:val="0"/>
      <w:numFmt w:val="bullet"/>
      <w:lvlText w:val="•"/>
      <w:lvlJc w:val="left"/>
      <w:pPr>
        <w:ind w:left="1248" w:hanging="361"/>
      </w:pPr>
      <w:rPr>
        <w:rFonts w:hint="default"/>
        <w:lang w:val="en-us" w:eastAsia="en-us" w:bidi="en-us"/>
      </w:rPr>
    </w:lvl>
    <w:lvl w:ilvl="4">
      <w:start w:val="0"/>
      <w:numFmt w:val="bullet"/>
      <w:lvlText w:val="•"/>
      <w:lvlJc w:val="left"/>
      <w:pPr>
        <w:ind w:left="1510" w:hanging="361"/>
      </w:pPr>
      <w:rPr>
        <w:rFonts w:hint="default"/>
        <w:lang w:val="en-us" w:eastAsia="en-us" w:bidi="en-us"/>
      </w:rPr>
    </w:lvl>
    <w:lvl w:ilvl="5">
      <w:start w:val="0"/>
      <w:numFmt w:val="bullet"/>
      <w:lvlText w:val="•"/>
      <w:lvlJc w:val="left"/>
      <w:pPr>
        <w:ind w:left="1773" w:hanging="361"/>
      </w:pPr>
      <w:rPr>
        <w:rFonts w:hint="default"/>
        <w:lang w:val="en-us" w:eastAsia="en-us" w:bidi="en-us"/>
      </w:rPr>
    </w:lvl>
    <w:lvl w:ilvl="6">
      <w:start w:val="0"/>
      <w:numFmt w:val="bullet"/>
      <w:lvlText w:val="•"/>
      <w:lvlJc w:val="left"/>
      <w:pPr>
        <w:ind w:left="2036" w:hanging="361"/>
      </w:pPr>
      <w:rPr>
        <w:rFonts w:hint="default"/>
        <w:lang w:val="en-us" w:eastAsia="en-us" w:bidi="en-us"/>
      </w:rPr>
    </w:lvl>
    <w:lvl w:ilvl="7">
      <w:start w:val="0"/>
      <w:numFmt w:val="bullet"/>
      <w:lvlText w:val="•"/>
      <w:lvlJc w:val="left"/>
      <w:pPr>
        <w:ind w:left="2298" w:hanging="361"/>
      </w:pPr>
      <w:rPr>
        <w:rFonts w:hint="default"/>
        <w:lang w:val="en-us" w:eastAsia="en-us" w:bidi="en-us"/>
      </w:rPr>
    </w:lvl>
    <w:lvl w:ilvl="8">
      <w:start w:val="0"/>
      <w:numFmt w:val="bullet"/>
      <w:lvlText w:val="•"/>
      <w:lvlJc w:val="left"/>
      <w:pPr>
        <w:ind w:left="2561" w:hanging="361"/>
      </w:pPr>
      <w:rPr>
        <w:rFonts w:hint="default"/>
        <w:lang w:val="en-us" w:eastAsia="en-us" w:bidi="en-us"/>
      </w:rPr>
    </w:lvl>
  </w:abstractNum>
  <w:abstractNum w:abstractNumId="17">
    <w:multiLevelType w:val="hybridMultilevel"/>
    <w:lvl w:ilvl="0">
      <w:start w:val="0"/>
      <w:numFmt w:val="bullet"/>
      <w:lvlText w:val=""/>
      <w:lvlJc w:val="left"/>
      <w:pPr>
        <w:ind w:left="466" w:hanging="360"/>
      </w:pPr>
      <w:rPr>
        <w:rFonts w:hint="default" w:ascii="Symbol" w:hAnsi="Symbol" w:eastAsia="Symbol" w:cs="Symbol"/>
        <w:w w:val="100"/>
        <w:sz w:val="22"/>
        <w:szCs w:val="22"/>
        <w:lang w:val="en-us" w:eastAsia="en-us" w:bidi="en-us"/>
      </w:rPr>
    </w:lvl>
    <w:lvl w:ilvl="1">
      <w:start w:val="0"/>
      <w:numFmt w:val="bullet"/>
      <w:lvlText w:val="•"/>
      <w:lvlJc w:val="left"/>
      <w:pPr>
        <w:ind w:left="722" w:hanging="360"/>
      </w:pPr>
      <w:rPr>
        <w:rFonts w:hint="default"/>
        <w:lang w:val="en-us" w:eastAsia="en-us" w:bidi="en-us"/>
      </w:rPr>
    </w:lvl>
    <w:lvl w:ilvl="2">
      <w:start w:val="0"/>
      <w:numFmt w:val="bullet"/>
      <w:lvlText w:val="•"/>
      <w:lvlJc w:val="left"/>
      <w:pPr>
        <w:ind w:left="985" w:hanging="360"/>
      </w:pPr>
      <w:rPr>
        <w:rFonts w:hint="default"/>
        <w:lang w:val="en-us" w:eastAsia="en-us" w:bidi="en-us"/>
      </w:rPr>
    </w:lvl>
    <w:lvl w:ilvl="3">
      <w:start w:val="0"/>
      <w:numFmt w:val="bullet"/>
      <w:lvlText w:val="•"/>
      <w:lvlJc w:val="left"/>
      <w:pPr>
        <w:ind w:left="1248" w:hanging="360"/>
      </w:pPr>
      <w:rPr>
        <w:rFonts w:hint="default"/>
        <w:lang w:val="en-us" w:eastAsia="en-us" w:bidi="en-us"/>
      </w:rPr>
    </w:lvl>
    <w:lvl w:ilvl="4">
      <w:start w:val="0"/>
      <w:numFmt w:val="bullet"/>
      <w:lvlText w:val="•"/>
      <w:lvlJc w:val="left"/>
      <w:pPr>
        <w:ind w:left="1510" w:hanging="360"/>
      </w:pPr>
      <w:rPr>
        <w:rFonts w:hint="default"/>
        <w:lang w:val="en-us" w:eastAsia="en-us" w:bidi="en-us"/>
      </w:rPr>
    </w:lvl>
    <w:lvl w:ilvl="5">
      <w:start w:val="0"/>
      <w:numFmt w:val="bullet"/>
      <w:lvlText w:val="•"/>
      <w:lvlJc w:val="left"/>
      <w:pPr>
        <w:ind w:left="1773" w:hanging="360"/>
      </w:pPr>
      <w:rPr>
        <w:rFonts w:hint="default"/>
        <w:lang w:val="en-us" w:eastAsia="en-us" w:bidi="en-us"/>
      </w:rPr>
    </w:lvl>
    <w:lvl w:ilvl="6">
      <w:start w:val="0"/>
      <w:numFmt w:val="bullet"/>
      <w:lvlText w:val="•"/>
      <w:lvlJc w:val="left"/>
      <w:pPr>
        <w:ind w:left="2036" w:hanging="360"/>
      </w:pPr>
      <w:rPr>
        <w:rFonts w:hint="default"/>
        <w:lang w:val="en-us" w:eastAsia="en-us" w:bidi="en-us"/>
      </w:rPr>
    </w:lvl>
    <w:lvl w:ilvl="7">
      <w:start w:val="0"/>
      <w:numFmt w:val="bullet"/>
      <w:lvlText w:val="•"/>
      <w:lvlJc w:val="left"/>
      <w:pPr>
        <w:ind w:left="2298" w:hanging="360"/>
      </w:pPr>
      <w:rPr>
        <w:rFonts w:hint="default"/>
        <w:lang w:val="en-us" w:eastAsia="en-us" w:bidi="en-us"/>
      </w:rPr>
    </w:lvl>
    <w:lvl w:ilvl="8">
      <w:start w:val="0"/>
      <w:numFmt w:val="bullet"/>
      <w:lvlText w:val="•"/>
      <w:lvlJc w:val="left"/>
      <w:pPr>
        <w:ind w:left="2561" w:hanging="360"/>
      </w:pPr>
      <w:rPr>
        <w:rFonts w:hint="default"/>
        <w:lang w:val="en-us" w:eastAsia="en-us" w:bidi="en-us"/>
      </w:rPr>
    </w:lvl>
  </w:abstractNum>
  <w:abstractNum w:abstractNumId="16">
    <w:multiLevelType w:val="hybridMultilevel"/>
    <w:lvl w:ilvl="0">
      <w:start w:val="0"/>
      <w:numFmt w:val="bullet"/>
      <w:lvlText w:val=""/>
      <w:lvlJc w:val="left"/>
      <w:pPr>
        <w:ind w:left="466" w:hanging="361"/>
      </w:pPr>
      <w:rPr>
        <w:rFonts w:hint="default" w:ascii="Symbol" w:hAnsi="Symbol" w:eastAsia="Symbol" w:cs="Symbol"/>
        <w:w w:val="100"/>
        <w:sz w:val="22"/>
        <w:szCs w:val="22"/>
        <w:lang w:val="en-us" w:eastAsia="en-us" w:bidi="en-us"/>
      </w:rPr>
    </w:lvl>
    <w:lvl w:ilvl="1">
      <w:start w:val="0"/>
      <w:numFmt w:val="bullet"/>
      <w:lvlText w:val="•"/>
      <w:lvlJc w:val="left"/>
      <w:pPr>
        <w:ind w:left="722" w:hanging="361"/>
      </w:pPr>
      <w:rPr>
        <w:rFonts w:hint="default"/>
        <w:lang w:val="en-us" w:eastAsia="en-us" w:bidi="en-us"/>
      </w:rPr>
    </w:lvl>
    <w:lvl w:ilvl="2">
      <w:start w:val="0"/>
      <w:numFmt w:val="bullet"/>
      <w:lvlText w:val="•"/>
      <w:lvlJc w:val="left"/>
      <w:pPr>
        <w:ind w:left="985" w:hanging="361"/>
      </w:pPr>
      <w:rPr>
        <w:rFonts w:hint="default"/>
        <w:lang w:val="en-us" w:eastAsia="en-us" w:bidi="en-us"/>
      </w:rPr>
    </w:lvl>
    <w:lvl w:ilvl="3">
      <w:start w:val="0"/>
      <w:numFmt w:val="bullet"/>
      <w:lvlText w:val="•"/>
      <w:lvlJc w:val="left"/>
      <w:pPr>
        <w:ind w:left="1248" w:hanging="361"/>
      </w:pPr>
      <w:rPr>
        <w:rFonts w:hint="default"/>
        <w:lang w:val="en-us" w:eastAsia="en-us" w:bidi="en-us"/>
      </w:rPr>
    </w:lvl>
    <w:lvl w:ilvl="4">
      <w:start w:val="0"/>
      <w:numFmt w:val="bullet"/>
      <w:lvlText w:val="•"/>
      <w:lvlJc w:val="left"/>
      <w:pPr>
        <w:ind w:left="1510" w:hanging="361"/>
      </w:pPr>
      <w:rPr>
        <w:rFonts w:hint="default"/>
        <w:lang w:val="en-us" w:eastAsia="en-us" w:bidi="en-us"/>
      </w:rPr>
    </w:lvl>
    <w:lvl w:ilvl="5">
      <w:start w:val="0"/>
      <w:numFmt w:val="bullet"/>
      <w:lvlText w:val="•"/>
      <w:lvlJc w:val="left"/>
      <w:pPr>
        <w:ind w:left="1773" w:hanging="361"/>
      </w:pPr>
      <w:rPr>
        <w:rFonts w:hint="default"/>
        <w:lang w:val="en-us" w:eastAsia="en-us" w:bidi="en-us"/>
      </w:rPr>
    </w:lvl>
    <w:lvl w:ilvl="6">
      <w:start w:val="0"/>
      <w:numFmt w:val="bullet"/>
      <w:lvlText w:val="•"/>
      <w:lvlJc w:val="left"/>
      <w:pPr>
        <w:ind w:left="2036" w:hanging="361"/>
      </w:pPr>
      <w:rPr>
        <w:rFonts w:hint="default"/>
        <w:lang w:val="en-us" w:eastAsia="en-us" w:bidi="en-us"/>
      </w:rPr>
    </w:lvl>
    <w:lvl w:ilvl="7">
      <w:start w:val="0"/>
      <w:numFmt w:val="bullet"/>
      <w:lvlText w:val="•"/>
      <w:lvlJc w:val="left"/>
      <w:pPr>
        <w:ind w:left="2298" w:hanging="361"/>
      </w:pPr>
      <w:rPr>
        <w:rFonts w:hint="default"/>
        <w:lang w:val="en-us" w:eastAsia="en-us" w:bidi="en-us"/>
      </w:rPr>
    </w:lvl>
    <w:lvl w:ilvl="8">
      <w:start w:val="0"/>
      <w:numFmt w:val="bullet"/>
      <w:lvlText w:val="•"/>
      <w:lvlJc w:val="left"/>
      <w:pPr>
        <w:ind w:left="2561" w:hanging="361"/>
      </w:pPr>
      <w:rPr>
        <w:rFonts w:hint="default"/>
        <w:lang w:val="en-us" w:eastAsia="en-us" w:bidi="en-us"/>
      </w:rPr>
    </w:lvl>
  </w:abstractNum>
  <w:abstractNum w:abstractNumId="15">
    <w:multiLevelType w:val="hybridMultilevel"/>
    <w:lvl w:ilvl="0">
      <w:start w:val="0"/>
      <w:numFmt w:val="bullet"/>
      <w:lvlText w:val=""/>
      <w:lvlJc w:val="left"/>
      <w:pPr>
        <w:ind w:left="466" w:hanging="361"/>
      </w:pPr>
      <w:rPr>
        <w:rFonts w:hint="default" w:ascii="Symbol" w:hAnsi="Symbol" w:eastAsia="Symbol" w:cs="Symbol"/>
        <w:w w:val="100"/>
        <w:sz w:val="22"/>
        <w:szCs w:val="22"/>
        <w:lang w:val="en-us" w:eastAsia="en-us" w:bidi="en-us"/>
      </w:rPr>
    </w:lvl>
    <w:lvl w:ilvl="1">
      <w:start w:val="0"/>
      <w:numFmt w:val="bullet"/>
      <w:lvlText w:val="•"/>
      <w:lvlJc w:val="left"/>
      <w:pPr>
        <w:ind w:left="722" w:hanging="361"/>
      </w:pPr>
      <w:rPr>
        <w:rFonts w:hint="default"/>
        <w:lang w:val="en-us" w:eastAsia="en-us" w:bidi="en-us"/>
      </w:rPr>
    </w:lvl>
    <w:lvl w:ilvl="2">
      <w:start w:val="0"/>
      <w:numFmt w:val="bullet"/>
      <w:lvlText w:val="•"/>
      <w:lvlJc w:val="left"/>
      <w:pPr>
        <w:ind w:left="985" w:hanging="361"/>
      </w:pPr>
      <w:rPr>
        <w:rFonts w:hint="default"/>
        <w:lang w:val="en-us" w:eastAsia="en-us" w:bidi="en-us"/>
      </w:rPr>
    </w:lvl>
    <w:lvl w:ilvl="3">
      <w:start w:val="0"/>
      <w:numFmt w:val="bullet"/>
      <w:lvlText w:val="•"/>
      <w:lvlJc w:val="left"/>
      <w:pPr>
        <w:ind w:left="1248" w:hanging="361"/>
      </w:pPr>
      <w:rPr>
        <w:rFonts w:hint="default"/>
        <w:lang w:val="en-us" w:eastAsia="en-us" w:bidi="en-us"/>
      </w:rPr>
    </w:lvl>
    <w:lvl w:ilvl="4">
      <w:start w:val="0"/>
      <w:numFmt w:val="bullet"/>
      <w:lvlText w:val="•"/>
      <w:lvlJc w:val="left"/>
      <w:pPr>
        <w:ind w:left="1510" w:hanging="361"/>
      </w:pPr>
      <w:rPr>
        <w:rFonts w:hint="default"/>
        <w:lang w:val="en-us" w:eastAsia="en-us" w:bidi="en-us"/>
      </w:rPr>
    </w:lvl>
    <w:lvl w:ilvl="5">
      <w:start w:val="0"/>
      <w:numFmt w:val="bullet"/>
      <w:lvlText w:val="•"/>
      <w:lvlJc w:val="left"/>
      <w:pPr>
        <w:ind w:left="1773" w:hanging="361"/>
      </w:pPr>
      <w:rPr>
        <w:rFonts w:hint="default"/>
        <w:lang w:val="en-us" w:eastAsia="en-us" w:bidi="en-us"/>
      </w:rPr>
    </w:lvl>
    <w:lvl w:ilvl="6">
      <w:start w:val="0"/>
      <w:numFmt w:val="bullet"/>
      <w:lvlText w:val="•"/>
      <w:lvlJc w:val="left"/>
      <w:pPr>
        <w:ind w:left="2036" w:hanging="361"/>
      </w:pPr>
      <w:rPr>
        <w:rFonts w:hint="default"/>
        <w:lang w:val="en-us" w:eastAsia="en-us" w:bidi="en-us"/>
      </w:rPr>
    </w:lvl>
    <w:lvl w:ilvl="7">
      <w:start w:val="0"/>
      <w:numFmt w:val="bullet"/>
      <w:lvlText w:val="•"/>
      <w:lvlJc w:val="left"/>
      <w:pPr>
        <w:ind w:left="2298" w:hanging="361"/>
      </w:pPr>
      <w:rPr>
        <w:rFonts w:hint="default"/>
        <w:lang w:val="en-us" w:eastAsia="en-us" w:bidi="en-us"/>
      </w:rPr>
    </w:lvl>
    <w:lvl w:ilvl="8">
      <w:start w:val="0"/>
      <w:numFmt w:val="bullet"/>
      <w:lvlText w:val="•"/>
      <w:lvlJc w:val="left"/>
      <w:pPr>
        <w:ind w:left="2561" w:hanging="361"/>
      </w:pPr>
      <w:rPr>
        <w:rFonts w:hint="default"/>
        <w:lang w:val="en-us" w:eastAsia="en-us" w:bidi="en-us"/>
      </w:rPr>
    </w:lvl>
  </w:abstractNum>
  <w:abstractNum w:abstractNumId="14">
    <w:multiLevelType w:val="hybridMultilevel"/>
    <w:lvl w:ilvl="0">
      <w:start w:val="0"/>
      <w:numFmt w:val="bullet"/>
      <w:lvlText w:val=""/>
      <w:lvlJc w:val="left"/>
      <w:pPr>
        <w:ind w:left="466" w:hanging="361"/>
      </w:pPr>
      <w:rPr>
        <w:rFonts w:hint="default" w:ascii="Symbol" w:hAnsi="Symbol" w:eastAsia="Symbol" w:cs="Symbol"/>
        <w:w w:val="100"/>
        <w:sz w:val="22"/>
        <w:szCs w:val="22"/>
        <w:lang w:val="en-us" w:eastAsia="en-us" w:bidi="en-us"/>
      </w:rPr>
    </w:lvl>
    <w:lvl w:ilvl="1">
      <w:start w:val="0"/>
      <w:numFmt w:val="bullet"/>
      <w:lvlText w:val="•"/>
      <w:lvlJc w:val="left"/>
      <w:pPr>
        <w:ind w:left="722" w:hanging="361"/>
      </w:pPr>
      <w:rPr>
        <w:rFonts w:hint="default"/>
        <w:lang w:val="en-us" w:eastAsia="en-us" w:bidi="en-us"/>
      </w:rPr>
    </w:lvl>
    <w:lvl w:ilvl="2">
      <w:start w:val="0"/>
      <w:numFmt w:val="bullet"/>
      <w:lvlText w:val="•"/>
      <w:lvlJc w:val="left"/>
      <w:pPr>
        <w:ind w:left="985" w:hanging="361"/>
      </w:pPr>
      <w:rPr>
        <w:rFonts w:hint="default"/>
        <w:lang w:val="en-us" w:eastAsia="en-us" w:bidi="en-us"/>
      </w:rPr>
    </w:lvl>
    <w:lvl w:ilvl="3">
      <w:start w:val="0"/>
      <w:numFmt w:val="bullet"/>
      <w:lvlText w:val="•"/>
      <w:lvlJc w:val="left"/>
      <w:pPr>
        <w:ind w:left="1248" w:hanging="361"/>
      </w:pPr>
      <w:rPr>
        <w:rFonts w:hint="default"/>
        <w:lang w:val="en-us" w:eastAsia="en-us" w:bidi="en-us"/>
      </w:rPr>
    </w:lvl>
    <w:lvl w:ilvl="4">
      <w:start w:val="0"/>
      <w:numFmt w:val="bullet"/>
      <w:lvlText w:val="•"/>
      <w:lvlJc w:val="left"/>
      <w:pPr>
        <w:ind w:left="1510" w:hanging="361"/>
      </w:pPr>
      <w:rPr>
        <w:rFonts w:hint="default"/>
        <w:lang w:val="en-us" w:eastAsia="en-us" w:bidi="en-us"/>
      </w:rPr>
    </w:lvl>
    <w:lvl w:ilvl="5">
      <w:start w:val="0"/>
      <w:numFmt w:val="bullet"/>
      <w:lvlText w:val="•"/>
      <w:lvlJc w:val="left"/>
      <w:pPr>
        <w:ind w:left="1773" w:hanging="361"/>
      </w:pPr>
      <w:rPr>
        <w:rFonts w:hint="default"/>
        <w:lang w:val="en-us" w:eastAsia="en-us" w:bidi="en-us"/>
      </w:rPr>
    </w:lvl>
    <w:lvl w:ilvl="6">
      <w:start w:val="0"/>
      <w:numFmt w:val="bullet"/>
      <w:lvlText w:val="•"/>
      <w:lvlJc w:val="left"/>
      <w:pPr>
        <w:ind w:left="2036" w:hanging="361"/>
      </w:pPr>
      <w:rPr>
        <w:rFonts w:hint="default"/>
        <w:lang w:val="en-us" w:eastAsia="en-us" w:bidi="en-us"/>
      </w:rPr>
    </w:lvl>
    <w:lvl w:ilvl="7">
      <w:start w:val="0"/>
      <w:numFmt w:val="bullet"/>
      <w:lvlText w:val="•"/>
      <w:lvlJc w:val="left"/>
      <w:pPr>
        <w:ind w:left="2298" w:hanging="361"/>
      </w:pPr>
      <w:rPr>
        <w:rFonts w:hint="default"/>
        <w:lang w:val="en-us" w:eastAsia="en-us" w:bidi="en-us"/>
      </w:rPr>
    </w:lvl>
    <w:lvl w:ilvl="8">
      <w:start w:val="0"/>
      <w:numFmt w:val="bullet"/>
      <w:lvlText w:val="•"/>
      <w:lvlJc w:val="left"/>
      <w:pPr>
        <w:ind w:left="2561" w:hanging="361"/>
      </w:pPr>
      <w:rPr>
        <w:rFonts w:hint="default"/>
        <w:lang w:val="en-us" w:eastAsia="en-us" w:bidi="en-us"/>
      </w:rPr>
    </w:lvl>
  </w:abstractNum>
  <w:abstractNum w:abstractNumId="13">
    <w:multiLevelType w:val="hybridMultilevel"/>
    <w:lvl w:ilvl="0">
      <w:start w:val="0"/>
      <w:numFmt w:val="bullet"/>
      <w:lvlText w:val=""/>
      <w:lvlJc w:val="left"/>
      <w:pPr>
        <w:ind w:left="466" w:hanging="361"/>
      </w:pPr>
      <w:rPr>
        <w:rFonts w:hint="default" w:ascii="Symbol" w:hAnsi="Symbol" w:eastAsia="Symbol" w:cs="Symbol"/>
        <w:w w:val="100"/>
        <w:sz w:val="22"/>
        <w:szCs w:val="22"/>
        <w:lang w:val="en-us" w:eastAsia="en-us" w:bidi="en-us"/>
      </w:rPr>
    </w:lvl>
    <w:lvl w:ilvl="1">
      <w:start w:val="0"/>
      <w:numFmt w:val="bullet"/>
      <w:lvlText w:val="•"/>
      <w:lvlJc w:val="left"/>
      <w:pPr>
        <w:ind w:left="722" w:hanging="361"/>
      </w:pPr>
      <w:rPr>
        <w:rFonts w:hint="default"/>
        <w:lang w:val="en-us" w:eastAsia="en-us" w:bidi="en-us"/>
      </w:rPr>
    </w:lvl>
    <w:lvl w:ilvl="2">
      <w:start w:val="0"/>
      <w:numFmt w:val="bullet"/>
      <w:lvlText w:val="•"/>
      <w:lvlJc w:val="left"/>
      <w:pPr>
        <w:ind w:left="985" w:hanging="361"/>
      </w:pPr>
      <w:rPr>
        <w:rFonts w:hint="default"/>
        <w:lang w:val="en-us" w:eastAsia="en-us" w:bidi="en-us"/>
      </w:rPr>
    </w:lvl>
    <w:lvl w:ilvl="3">
      <w:start w:val="0"/>
      <w:numFmt w:val="bullet"/>
      <w:lvlText w:val="•"/>
      <w:lvlJc w:val="left"/>
      <w:pPr>
        <w:ind w:left="1248" w:hanging="361"/>
      </w:pPr>
      <w:rPr>
        <w:rFonts w:hint="default"/>
        <w:lang w:val="en-us" w:eastAsia="en-us" w:bidi="en-us"/>
      </w:rPr>
    </w:lvl>
    <w:lvl w:ilvl="4">
      <w:start w:val="0"/>
      <w:numFmt w:val="bullet"/>
      <w:lvlText w:val="•"/>
      <w:lvlJc w:val="left"/>
      <w:pPr>
        <w:ind w:left="1510" w:hanging="361"/>
      </w:pPr>
      <w:rPr>
        <w:rFonts w:hint="default"/>
        <w:lang w:val="en-us" w:eastAsia="en-us" w:bidi="en-us"/>
      </w:rPr>
    </w:lvl>
    <w:lvl w:ilvl="5">
      <w:start w:val="0"/>
      <w:numFmt w:val="bullet"/>
      <w:lvlText w:val="•"/>
      <w:lvlJc w:val="left"/>
      <w:pPr>
        <w:ind w:left="1773" w:hanging="361"/>
      </w:pPr>
      <w:rPr>
        <w:rFonts w:hint="default"/>
        <w:lang w:val="en-us" w:eastAsia="en-us" w:bidi="en-us"/>
      </w:rPr>
    </w:lvl>
    <w:lvl w:ilvl="6">
      <w:start w:val="0"/>
      <w:numFmt w:val="bullet"/>
      <w:lvlText w:val="•"/>
      <w:lvlJc w:val="left"/>
      <w:pPr>
        <w:ind w:left="2036" w:hanging="361"/>
      </w:pPr>
      <w:rPr>
        <w:rFonts w:hint="default"/>
        <w:lang w:val="en-us" w:eastAsia="en-us" w:bidi="en-us"/>
      </w:rPr>
    </w:lvl>
    <w:lvl w:ilvl="7">
      <w:start w:val="0"/>
      <w:numFmt w:val="bullet"/>
      <w:lvlText w:val="•"/>
      <w:lvlJc w:val="left"/>
      <w:pPr>
        <w:ind w:left="2298" w:hanging="361"/>
      </w:pPr>
      <w:rPr>
        <w:rFonts w:hint="default"/>
        <w:lang w:val="en-us" w:eastAsia="en-us" w:bidi="en-us"/>
      </w:rPr>
    </w:lvl>
    <w:lvl w:ilvl="8">
      <w:start w:val="0"/>
      <w:numFmt w:val="bullet"/>
      <w:lvlText w:val="•"/>
      <w:lvlJc w:val="left"/>
      <w:pPr>
        <w:ind w:left="2561" w:hanging="361"/>
      </w:pPr>
      <w:rPr>
        <w:rFonts w:hint="default"/>
        <w:lang w:val="en-us" w:eastAsia="en-us" w:bidi="en-us"/>
      </w:rPr>
    </w:lvl>
  </w:abstractNum>
  <w:abstractNum w:abstractNumId="12">
    <w:multiLevelType w:val="hybridMultilevel"/>
    <w:lvl w:ilvl="0">
      <w:start w:val="0"/>
      <w:numFmt w:val="bullet"/>
      <w:lvlText w:val=""/>
      <w:lvlJc w:val="left"/>
      <w:pPr>
        <w:ind w:left="466" w:hanging="360"/>
      </w:pPr>
      <w:rPr>
        <w:rFonts w:hint="default" w:ascii="Symbol" w:hAnsi="Symbol" w:eastAsia="Symbol" w:cs="Symbol"/>
        <w:w w:val="100"/>
        <w:sz w:val="22"/>
        <w:szCs w:val="22"/>
        <w:lang w:val="en-us" w:eastAsia="en-us" w:bidi="en-us"/>
      </w:rPr>
    </w:lvl>
    <w:lvl w:ilvl="1">
      <w:start w:val="0"/>
      <w:numFmt w:val="bullet"/>
      <w:lvlText w:val="•"/>
      <w:lvlJc w:val="left"/>
      <w:pPr>
        <w:ind w:left="722" w:hanging="360"/>
      </w:pPr>
      <w:rPr>
        <w:rFonts w:hint="default"/>
        <w:lang w:val="en-us" w:eastAsia="en-us" w:bidi="en-us"/>
      </w:rPr>
    </w:lvl>
    <w:lvl w:ilvl="2">
      <w:start w:val="0"/>
      <w:numFmt w:val="bullet"/>
      <w:lvlText w:val="•"/>
      <w:lvlJc w:val="left"/>
      <w:pPr>
        <w:ind w:left="985" w:hanging="360"/>
      </w:pPr>
      <w:rPr>
        <w:rFonts w:hint="default"/>
        <w:lang w:val="en-us" w:eastAsia="en-us" w:bidi="en-us"/>
      </w:rPr>
    </w:lvl>
    <w:lvl w:ilvl="3">
      <w:start w:val="0"/>
      <w:numFmt w:val="bullet"/>
      <w:lvlText w:val="•"/>
      <w:lvlJc w:val="left"/>
      <w:pPr>
        <w:ind w:left="1248" w:hanging="360"/>
      </w:pPr>
      <w:rPr>
        <w:rFonts w:hint="default"/>
        <w:lang w:val="en-us" w:eastAsia="en-us" w:bidi="en-us"/>
      </w:rPr>
    </w:lvl>
    <w:lvl w:ilvl="4">
      <w:start w:val="0"/>
      <w:numFmt w:val="bullet"/>
      <w:lvlText w:val="•"/>
      <w:lvlJc w:val="left"/>
      <w:pPr>
        <w:ind w:left="1510" w:hanging="360"/>
      </w:pPr>
      <w:rPr>
        <w:rFonts w:hint="default"/>
        <w:lang w:val="en-us" w:eastAsia="en-us" w:bidi="en-us"/>
      </w:rPr>
    </w:lvl>
    <w:lvl w:ilvl="5">
      <w:start w:val="0"/>
      <w:numFmt w:val="bullet"/>
      <w:lvlText w:val="•"/>
      <w:lvlJc w:val="left"/>
      <w:pPr>
        <w:ind w:left="1773" w:hanging="360"/>
      </w:pPr>
      <w:rPr>
        <w:rFonts w:hint="default"/>
        <w:lang w:val="en-us" w:eastAsia="en-us" w:bidi="en-us"/>
      </w:rPr>
    </w:lvl>
    <w:lvl w:ilvl="6">
      <w:start w:val="0"/>
      <w:numFmt w:val="bullet"/>
      <w:lvlText w:val="•"/>
      <w:lvlJc w:val="left"/>
      <w:pPr>
        <w:ind w:left="2036" w:hanging="360"/>
      </w:pPr>
      <w:rPr>
        <w:rFonts w:hint="default"/>
        <w:lang w:val="en-us" w:eastAsia="en-us" w:bidi="en-us"/>
      </w:rPr>
    </w:lvl>
    <w:lvl w:ilvl="7">
      <w:start w:val="0"/>
      <w:numFmt w:val="bullet"/>
      <w:lvlText w:val="•"/>
      <w:lvlJc w:val="left"/>
      <w:pPr>
        <w:ind w:left="2298" w:hanging="360"/>
      </w:pPr>
      <w:rPr>
        <w:rFonts w:hint="default"/>
        <w:lang w:val="en-us" w:eastAsia="en-us" w:bidi="en-us"/>
      </w:rPr>
    </w:lvl>
    <w:lvl w:ilvl="8">
      <w:start w:val="0"/>
      <w:numFmt w:val="bullet"/>
      <w:lvlText w:val="•"/>
      <w:lvlJc w:val="left"/>
      <w:pPr>
        <w:ind w:left="2561" w:hanging="360"/>
      </w:pPr>
      <w:rPr>
        <w:rFonts w:hint="default"/>
        <w:lang w:val="en-us" w:eastAsia="en-us" w:bidi="en-us"/>
      </w:rPr>
    </w:lvl>
  </w:abstractNum>
  <w:abstractNum w:abstractNumId="11">
    <w:multiLevelType w:val="hybridMultilevel"/>
    <w:lvl w:ilvl="0">
      <w:start w:val="0"/>
      <w:numFmt w:val="bullet"/>
      <w:lvlText w:val=""/>
      <w:lvlJc w:val="left"/>
      <w:pPr>
        <w:ind w:left="466" w:hanging="361"/>
      </w:pPr>
      <w:rPr>
        <w:rFonts w:hint="default" w:ascii="Symbol" w:hAnsi="Symbol" w:eastAsia="Symbol" w:cs="Symbol"/>
        <w:w w:val="100"/>
        <w:sz w:val="22"/>
        <w:szCs w:val="22"/>
        <w:lang w:val="en-us" w:eastAsia="en-us" w:bidi="en-us"/>
      </w:rPr>
    </w:lvl>
    <w:lvl w:ilvl="1">
      <w:start w:val="0"/>
      <w:numFmt w:val="bullet"/>
      <w:lvlText w:val="•"/>
      <w:lvlJc w:val="left"/>
      <w:pPr>
        <w:ind w:left="722" w:hanging="361"/>
      </w:pPr>
      <w:rPr>
        <w:rFonts w:hint="default"/>
        <w:lang w:val="en-us" w:eastAsia="en-us" w:bidi="en-us"/>
      </w:rPr>
    </w:lvl>
    <w:lvl w:ilvl="2">
      <w:start w:val="0"/>
      <w:numFmt w:val="bullet"/>
      <w:lvlText w:val="•"/>
      <w:lvlJc w:val="left"/>
      <w:pPr>
        <w:ind w:left="985" w:hanging="361"/>
      </w:pPr>
      <w:rPr>
        <w:rFonts w:hint="default"/>
        <w:lang w:val="en-us" w:eastAsia="en-us" w:bidi="en-us"/>
      </w:rPr>
    </w:lvl>
    <w:lvl w:ilvl="3">
      <w:start w:val="0"/>
      <w:numFmt w:val="bullet"/>
      <w:lvlText w:val="•"/>
      <w:lvlJc w:val="left"/>
      <w:pPr>
        <w:ind w:left="1248" w:hanging="361"/>
      </w:pPr>
      <w:rPr>
        <w:rFonts w:hint="default"/>
        <w:lang w:val="en-us" w:eastAsia="en-us" w:bidi="en-us"/>
      </w:rPr>
    </w:lvl>
    <w:lvl w:ilvl="4">
      <w:start w:val="0"/>
      <w:numFmt w:val="bullet"/>
      <w:lvlText w:val="•"/>
      <w:lvlJc w:val="left"/>
      <w:pPr>
        <w:ind w:left="1510" w:hanging="361"/>
      </w:pPr>
      <w:rPr>
        <w:rFonts w:hint="default"/>
        <w:lang w:val="en-us" w:eastAsia="en-us" w:bidi="en-us"/>
      </w:rPr>
    </w:lvl>
    <w:lvl w:ilvl="5">
      <w:start w:val="0"/>
      <w:numFmt w:val="bullet"/>
      <w:lvlText w:val="•"/>
      <w:lvlJc w:val="left"/>
      <w:pPr>
        <w:ind w:left="1773" w:hanging="361"/>
      </w:pPr>
      <w:rPr>
        <w:rFonts w:hint="default"/>
        <w:lang w:val="en-us" w:eastAsia="en-us" w:bidi="en-us"/>
      </w:rPr>
    </w:lvl>
    <w:lvl w:ilvl="6">
      <w:start w:val="0"/>
      <w:numFmt w:val="bullet"/>
      <w:lvlText w:val="•"/>
      <w:lvlJc w:val="left"/>
      <w:pPr>
        <w:ind w:left="2036" w:hanging="361"/>
      </w:pPr>
      <w:rPr>
        <w:rFonts w:hint="default"/>
        <w:lang w:val="en-us" w:eastAsia="en-us" w:bidi="en-us"/>
      </w:rPr>
    </w:lvl>
    <w:lvl w:ilvl="7">
      <w:start w:val="0"/>
      <w:numFmt w:val="bullet"/>
      <w:lvlText w:val="•"/>
      <w:lvlJc w:val="left"/>
      <w:pPr>
        <w:ind w:left="2298" w:hanging="361"/>
      </w:pPr>
      <w:rPr>
        <w:rFonts w:hint="default"/>
        <w:lang w:val="en-us" w:eastAsia="en-us" w:bidi="en-us"/>
      </w:rPr>
    </w:lvl>
    <w:lvl w:ilvl="8">
      <w:start w:val="0"/>
      <w:numFmt w:val="bullet"/>
      <w:lvlText w:val="•"/>
      <w:lvlJc w:val="left"/>
      <w:pPr>
        <w:ind w:left="2561" w:hanging="361"/>
      </w:pPr>
      <w:rPr>
        <w:rFonts w:hint="default"/>
        <w:lang w:val="en-us" w:eastAsia="en-us" w:bidi="en-us"/>
      </w:rPr>
    </w:lvl>
  </w:abstractNum>
  <w:abstractNum w:abstractNumId="10">
    <w:multiLevelType w:val="hybridMultilevel"/>
    <w:lvl w:ilvl="0">
      <w:start w:val="0"/>
      <w:numFmt w:val="bullet"/>
      <w:lvlText w:val=""/>
      <w:lvlJc w:val="left"/>
      <w:pPr>
        <w:ind w:left="467" w:hanging="360"/>
      </w:pPr>
      <w:rPr>
        <w:rFonts w:hint="default" w:ascii="Symbol" w:hAnsi="Symbol" w:eastAsia="Symbol" w:cs="Symbol"/>
        <w:w w:val="100"/>
        <w:sz w:val="22"/>
        <w:szCs w:val="22"/>
        <w:lang w:val="en-us" w:eastAsia="en-us" w:bidi="en-us"/>
      </w:rPr>
    </w:lvl>
    <w:lvl w:ilvl="1">
      <w:start w:val="0"/>
      <w:numFmt w:val="bullet"/>
      <w:lvlText w:val="•"/>
      <w:lvlJc w:val="left"/>
      <w:pPr>
        <w:ind w:left="833" w:hanging="360"/>
      </w:pPr>
      <w:rPr>
        <w:rFonts w:hint="default"/>
        <w:lang w:val="en-us" w:eastAsia="en-us" w:bidi="en-us"/>
      </w:rPr>
    </w:lvl>
    <w:lvl w:ilvl="2">
      <w:start w:val="0"/>
      <w:numFmt w:val="bullet"/>
      <w:lvlText w:val="•"/>
      <w:lvlJc w:val="left"/>
      <w:pPr>
        <w:ind w:left="1207" w:hanging="360"/>
      </w:pPr>
      <w:rPr>
        <w:rFonts w:hint="default"/>
        <w:lang w:val="en-us" w:eastAsia="en-us" w:bidi="en-us"/>
      </w:rPr>
    </w:lvl>
    <w:lvl w:ilvl="3">
      <w:start w:val="0"/>
      <w:numFmt w:val="bullet"/>
      <w:lvlText w:val="•"/>
      <w:lvlJc w:val="left"/>
      <w:pPr>
        <w:ind w:left="1581" w:hanging="360"/>
      </w:pPr>
      <w:rPr>
        <w:rFonts w:hint="default"/>
        <w:lang w:val="en-us" w:eastAsia="en-us" w:bidi="en-us"/>
      </w:rPr>
    </w:lvl>
    <w:lvl w:ilvl="4">
      <w:start w:val="0"/>
      <w:numFmt w:val="bullet"/>
      <w:lvlText w:val="•"/>
      <w:lvlJc w:val="left"/>
      <w:pPr>
        <w:ind w:left="1955" w:hanging="360"/>
      </w:pPr>
      <w:rPr>
        <w:rFonts w:hint="default"/>
        <w:lang w:val="en-us" w:eastAsia="en-us" w:bidi="en-us"/>
      </w:rPr>
    </w:lvl>
    <w:lvl w:ilvl="5">
      <w:start w:val="0"/>
      <w:numFmt w:val="bullet"/>
      <w:lvlText w:val="•"/>
      <w:lvlJc w:val="left"/>
      <w:pPr>
        <w:ind w:left="2329" w:hanging="360"/>
      </w:pPr>
      <w:rPr>
        <w:rFonts w:hint="default"/>
        <w:lang w:val="en-us" w:eastAsia="en-us" w:bidi="en-us"/>
      </w:rPr>
    </w:lvl>
    <w:lvl w:ilvl="6">
      <w:start w:val="0"/>
      <w:numFmt w:val="bullet"/>
      <w:lvlText w:val="•"/>
      <w:lvlJc w:val="left"/>
      <w:pPr>
        <w:ind w:left="2702" w:hanging="360"/>
      </w:pPr>
      <w:rPr>
        <w:rFonts w:hint="default"/>
        <w:lang w:val="en-us" w:eastAsia="en-us" w:bidi="en-us"/>
      </w:rPr>
    </w:lvl>
    <w:lvl w:ilvl="7">
      <w:start w:val="0"/>
      <w:numFmt w:val="bullet"/>
      <w:lvlText w:val="•"/>
      <w:lvlJc w:val="left"/>
      <w:pPr>
        <w:ind w:left="3076" w:hanging="360"/>
      </w:pPr>
      <w:rPr>
        <w:rFonts w:hint="default"/>
        <w:lang w:val="en-us" w:eastAsia="en-us" w:bidi="en-us"/>
      </w:rPr>
    </w:lvl>
    <w:lvl w:ilvl="8">
      <w:start w:val="0"/>
      <w:numFmt w:val="bullet"/>
      <w:lvlText w:val="•"/>
      <w:lvlJc w:val="left"/>
      <w:pPr>
        <w:ind w:left="3450" w:hanging="360"/>
      </w:pPr>
      <w:rPr>
        <w:rFonts w:hint="default"/>
        <w:lang w:val="en-us" w:eastAsia="en-us" w:bidi="en-us"/>
      </w:rPr>
    </w:lvl>
  </w:abstractNum>
  <w:abstractNum w:abstractNumId="9">
    <w:multiLevelType w:val="hybridMultilevel"/>
    <w:lvl w:ilvl="0">
      <w:start w:val="0"/>
      <w:numFmt w:val="bullet"/>
      <w:lvlText w:val=""/>
      <w:lvlJc w:val="left"/>
      <w:pPr>
        <w:ind w:left="464" w:hanging="361"/>
      </w:pPr>
      <w:rPr>
        <w:rFonts w:hint="default" w:ascii="Symbol" w:hAnsi="Symbol" w:eastAsia="Symbol" w:cs="Symbol"/>
        <w:w w:val="100"/>
        <w:sz w:val="22"/>
        <w:szCs w:val="22"/>
        <w:lang w:val="en-us" w:eastAsia="en-us" w:bidi="en-us"/>
      </w:rPr>
    </w:lvl>
    <w:lvl w:ilvl="1">
      <w:start w:val="0"/>
      <w:numFmt w:val="bullet"/>
      <w:lvlText w:val="•"/>
      <w:lvlJc w:val="left"/>
      <w:pPr>
        <w:ind w:left="694" w:hanging="361"/>
      </w:pPr>
      <w:rPr>
        <w:rFonts w:hint="default"/>
        <w:lang w:val="en-us" w:eastAsia="en-us" w:bidi="en-us"/>
      </w:rPr>
    </w:lvl>
    <w:lvl w:ilvl="2">
      <w:start w:val="0"/>
      <w:numFmt w:val="bullet"/>
      <w:lvlText w:val="•"/>
      <w:lvlJc w:val="left"/>
      <w:pPr>
        <w:ind w:left="928" w:hanging="361"/>
      </w:pPr>
      <w:rPr>
        <w:rFonts w:hint="default"/>
        <w:lang w:val="en-us" w:eastAsia="en-us" w:bidi="en-us"/>
      </w:rPr>
    </w:lvl>
    <w:lvl w:ilvl="3">
      <w:start w:val="0"/>
      <w:numFmt w:val="bullet"/>
      <w:lvlText w:val="•"/>
      <w:lvlJc w:val="left"/>
      <w:pPr>
        <w:ind w:left="1162" w:hanging="361"/>
      </w:pPr>
      <w:rPr>
        <w:rFonts w:hint="default"/>
        <w:lang w:val="en-us" w:eastAsia="en-us" w:bidi="en-us"/>
      </w:rPr>
    </w:lvl>
    <w:lvl w:ilvl="4">
      <w:start w:val="0"/>
      <w:numFmt w:val="bullet"/>
      <w:lvlText w:val="•"/>
      <w:lvlJc w:val="left"/>
      <w:pPr>
        <w:ind w:left="1396" w:hanging="361"/>
      </w:pPr>
      <w:rPr>
        <w:rFonts w:hint="default"/>
        <w:lang w:val="en-us" w:eastAsia="en-us" w:bidi="en-us"/>
      </w:rPr>
    </w:lvl>
    <w:lvl w:ilvl="5">
      <w:start w:val="0"/>
      <w:numFmt w:val="bullet"/>
      <w:lvlText w:val="•"/>
      <w:lvlJc w:val="left"/>
      <w:pPr>
        <w:ind w:left="1630" w:hanging="361"/>
      </w:pPr>
      <w:rPr>
        <w:rFonts w:hint="default"/>
        <w:lang w:val="en-us" w:eastAsia="en-us" w:bidi="en-us"/>
      </w:rPr>
    </w:lvl>
    <w:lvl w:ilvl="6">
      <w:start w:val="0"/>
      <w:numFmt w:val="bullet"/>
      <w:lvlText w:val="•"/>
      <w:lvlJc w:val="left"/>
      <w:pPr>
        <w:ind w:left="1864" w:hanging="361"/>
      </w:pPr>
      <w:rPr>
        <w:rFonts w:hint="default"/>
        <w:lang w:val="en-us" w:eastAsia="en-us" w:bidi="en-us"/>
      </w:rPr>
    </w:lvl>
    <w:lvl w:ilvl="7">
      <w:start w:val="0"/>
      <w:numFmt w:val="bullet"/>
      <w:lvlText w:val="•"/>
      <w:lvlJc w:val="left"/>
      <w:pPr>
        <w:ind w:left="2098" w:hanging="361"/>
      </w:pPr>
      <w:rPr>
        <w:rFonts w:hint="default"/>
        <w:lang w:val="en-us" w:eastAsia="en-us" w:bidi="en-us"/>
      </w:rPr>
    </w:lvl>
    <w:lvl w:ilvl="8">
      <w:start w:val="0"/>
      <w:numFmt w:val="bullet"/>
      <w:lvlText w:val="•"/>
      <w:lvlJc w:val="left"/>
      <w:pPr>
        <w:ind w:left="2332" w:hanging="361"/>
      </w:pPr>
      <w:rPr>
        <w:rFonts w:hint="default"/>
        <w:lang w:val="en-us" w:eastAsia="en-us" w:bidi="en-us"/>
      </w:rPr>
    </w:lvl>
  </w:abstractNum>
  <w:abstractNum w:abstractNumId="8">
    <w:multiLevelType w:val="hybridMultilevel"/>
    <w:lvl w:ilvl="0">
      <w:start w:val="0"/>
      <w:numFmt w:val="bullet"/>
      <w:lvlText w:val=""/>
      <w:lvlJc w:val="left"/>
      <w:pPr>
        <w:ind w:left="466" w:hanging="361"/>
      </w:pPr>
      <w:rPr>
        <w:rFonts w:hint="default" w:ascii="Symbol" w:hAnsi="Symbol" w:eastAsia="Symbol" w:cs="Symbol"/>
        <w:w w:val="100"/>
        <w:sz w:val="22"/>
        <w:szCs w:val="22"/>
        <w:lang w:val="en-us" w:eastAsia="en-us" w:bidi="en-us"/>
      </w:rPr>
    </w:lvl>
    <w:lvl w:ilvl="1">
      <w:start w:val="0"/>
      <w:numFmt w:val="bullet"/>
      <w:lvlText w:val="•"/>
      <w:lvlJc w:val="left"/>
      <w:pPr>
        <w:ind w:left="693" w:hanging="361"/>
      </w:pPr>
      <w:rPr>
        <w:rFonts w:hint="default"/>
        <w:lang w:val="en-us" w:eastAsia="en-us" w:bidi="en-us"/>
      </w:rPr>
    </w:lvl>
    <w:lvl w:ilvl="2">
      <w:start w:val="0"/>
      <w:numFmt w:val="bullet"/>
      <w:lvlText w:val="•"/>
      <w:lvlJc w:val="left"/>
      <w:pPr>
        <w:ind w:left="927" w:hanging="361"/>
      </w:pPr>
      <w:rPr>
        <w:rFonts w:hint="default"/>
        <w:lang w:val="en-us" w:eastAsia="en-us" w:bidi="en-us"/>
      </w:rPr>
    </w:lvl>
    <w:lvl w:ilvl="3">
      <w:start w:val="0"/>
      <w:numFmt w:val="bullet"/>
      <w:lvlText w:val="•"/>
      <w:lvlJc w:val="left"/>
      <w:pPr>
        <w:ind w:left="1161" w:hanging="361"/>
      </w:pPr>
      <w:rPr>
        <w:rFonts w:hint="default"/>
        <w:lang w:val="en-us" w:eastAsia="en-us" w:bidi="en-us"/>
      </w:rPr>
    </w:lvl>
    <w:lvl w:ilvl="4">
      <w:start w:val="0"/>
      <w:numFmt w:val="bullet"/>
      <w:lvlText w:val="•"/>
      <w:lvlJc w:val="left"/>
      <w:pPr>
        <w:ind w:left="1395" w:hanging="361"/>
      </w:pPr>
      <w:rPr>
        <w:rFonts w:hint="default"/>
        <w:lang w:val="en-us" w:eastAsia="en-us" w:bidi="en-us"/>
      </w:rPr>
    </w:lvl>
    <w:lvl w:ilvl="5">
      <w:start w:val="0"/>
      <w:numFmt w:val="bullet"/>
      <w:lvlText w:val="•"/>
      <w:lvlJc w:val="left"/>
      <w:pPr>
        <w:ind w:left="1629" w:hanging="361"/>
      </w:pPr>
      <w:rPr>
        <w:rFonts w:hint="default"/>
        <w:lang w:val="en-us" w:eastAsia="en-us" w:bidi="en-us"/>
      </w:rPr>
    </w:lvl>
    <w:lvl w:ilvl="6">
      <w:start w:val="0"/>
      <w:numFmt w:val="bullet"/>
      <w:lvlText w:val="•"/>
      <w:lvlJc w:val="left"/>
      <w:pPr>
        <w:ind w:left="1863" w:hanging="361"/>
      </w:pPr>
      <w:rPr>
        <w:rFonts w:hint="default"/>
        <w:lang w:val="en-us" w:eastAsia="en-us" w:bidi="en-us"/>
      </w:rPr>
    </w:lvl>
    <w:lvl w:ilvl="7">
      <w:start w:val="0"/>
      <w:numFmt w:val="bullet"/>
      <w:lvlText w:val="•"/>
      <w:lvlJc w:val="left"/>
      <w:pPr>
        <w:ind w:left="2097" w:hanging="361"/>
      </w:pPr>
      <w:rPr>
        <w:rFonts w:hint="default"/>
        <w:lang w:val="en-us" w:eastAsia="en-us" w:bidi="en-us"/>
      </w:rPr>
    </w:lvl>
    <w:lvl w:ilvl="8">
      <w:start w:val="0"/>
      <w:numFmt w:val="bullet"/>
      <w:lvlText w:val="•"/>
      <w:lvlJc w:val="left"/>
      <w:pPr>
        <w:ind w:left="2331" w:hanging="361"/>
      </w:pPr>
      <w:rPr>
        <w:rFonts w:hint="default"/>
        <w:lang w:val="en-us" w:eastAsia="en-us" w:bidi="en-us"/>
      </w:rPr>
    </w:lvl>
  </w:abstractNum>
  <w:abstractNum w:abstractNumId="7">
    <w:multiLevelType w:val="hybridMultilevel"/>
    <w:lvl w:ilvl="0">
      <w:start w:val="2"/>
      <w:numFmt w:val="decimal"/>
      <w:lvlText w:val="(%1)"/>
      <w:lvlJc w:val="left"/>
      <w:pPr>
        <w:ind w:left="112" w:hanging="296"/>
        <w:jc w:val="left"/>
      </w:pPr>
      <w:rPr>
        <w:rFonts w:hint="default" w:ascii="Calibri" w:hAnsi="Calibri" w:eastAsia="Calibri" w:cs="Calibri"/>
        <w:w w:val="100"/>
        <w:sz w:val="22"/>
        <w:szCs w:val="22"/>
        <w:lang w:val="en-us" w:eastAsia="en-us" w:bidi="en-us"/>
      </w:rPr>
    </w:lvl>
    <w:lvl w:ilvl="1">
      <w:start w:val="1"/>
      <w:numFmt w:val="lowerLetter"/>
      <w:lvlText w:val="(%2)"/>
      <w:lvlJc w:val="left"/>
      <w:pPr>
        <w:ind w:left="112" w:hanging="291"/>
        <w:jc w:val="left"/>
      </w:pPr>
      <w:rPr>
        <w:rFonts w:hint="default" w:ascii="Calibri" w:hAnsi="Calibri" w:eastAsia="Calibri" w:cs="Calibri"/>
        <w:spacing w:val="-1"/>
        <w:w w:val="100"/>
        <w:sz w:val="22"/>
        <w:szCs w:val="22"/>
        <w:lang w:val="en-us" w:eastAsia="en-us" w:bidi="en-us"/>
      </w:rPr>
    </w:lvl>
    <w:lvl w:ilvl="2">
      <w:start w:val="0"/>
      <w:numFmt w:val="bullet"/>
      <w:lvlText w:val="•"/>
      <w:lvlJc w:val="left"/>
      <w:pPr>
        <w:ind w:left="722" w:hanging="291"/>
      </w:pPr>
      <w:rPr>
        <w:rFonts w:hint="default"/>
        <w:lang w:val="en-us" w:eastAsia="en-us" w:bidi="en-us"/>
      </w:rPr>
    </w:lvl>
    <w:lvl w:ilvl="3">
      <w:start w:val="0"/>
      <w:numFmt w:val="bullet"/>
      <w:lvlText w:val="•"/>
      <w:lvlJc w:val="left"/>
      <w:pPr>
        <w:ind w:left="1023" w:hanging="291"/>
      </w:pPr>
      <w:rPr>
        <w:rFonts w:hint="default"/>
        <w:lang w:val="en-us" w:eastAsia="en-us" w:bidi="en-us"/>
      </w:rPr>
    </w:lvl>
    <w:lvl w:ilvl="4">
      <w:start w:val="0"/>
      <w:numFmt w:val="bullet"/>
      <w:lvlText w:val="•"/>
      <w:lvlJc w:val="left"/>
      <w:pPr>
        <w:ind w:left="1324" w:hanging="291"/>
      </w:pPr>
      <w:rPr>
        <w:rFonts w:hint="default"/>
        <w:lang w:val="en-us" w:eastAsia="en-us" w:bidi="en-us"/>
      </w:rPr>
    </w:lvl>
    <w:lvl w:ilvl="5">
      <w:start w:val="0"/>
      <w:numFmt w:val="bullet"/>
      <w:lvlText w:val="•"/>
      <w:lvlJc w:val="left"/>
      <w:pPr>
        <w:ind w:left="1625" w:hanging="291"/>
      </w:pPr>
      <w:rPr>
        <w:rFonts w:hint="default"/>
        <w:lang w:val="en-us" w:eastAsia="en-us" w:bidi="en-us"/>
      </w:rPr>
    </w:lvl>
    <w:lvl w:ilvl="6">
      <w:start w:val="0"/>
      <w:numFmt w:val="bullet"/>
      <w:lvlText w:val="•"/>
      <w:lvlJc w:val="left"/>
      <w:pPr>
        <w:ind w:left="1926" w:hanging="291"/>
      </w:pPr>
      <w:rPr>
        <w:rFonts w:hint="default"/>
        <w:lang w:val="en-us" w:eastAsia="en-us" w:bidi="en-us"/>
      </w:rPr>
    </w:lvl>
    <w:lvl w:ilvl="7">
      <w:start w:val="0"/>
      <w:numFmt w:val="bullet"/>
      <w:lvlText w:val="•"/>
      <w:lvlJc w:val="left"/>
      <w:pPr>
        <w:ind w:left="2227" w:hanging="291"/>
      </w:pPr>
      <w:rPr>
        <w:rFonts w:hint="default"/>
        <w:lang w:val="en-us" w:eastAsia="en-us" w:bidi="en-us"/>
      </w:rPr>
    </w:lvl>
    <w:lvl w:ilvl="8">
      <w:start w:val="0"/>
      <w:numFmt w:val="bullet"/>
      <w:lvlText w:val="•"/>
      <w:lvlJc w:val="left"/>
      <w:pPr>
        <w:ind w:left="2528" w:hanging="291"/>
      </w:pPr>
      <w:rPr>
        <w:rFonts w:hint="default"/>
        <w:lang w:val="en-us" w:eastAsia="en-us" w:bidi="en-us"/>
      </w:rPr>
    </w:lvl>
  </w:abstractNum>
  <w:abstractNum w:abstractNumId="6">
    <w:multiLevelType w:val="hybridMultilevel"/>
    <w:lvl w:ilvl="0">
      <w:start w:val="0"/>
      <w:numFmt w:val="bullet"/>
      <w:lvlText w:val=""/>
      <w:lvlJc w:val="left"/>
      <w:pPr>
        <w:ind w:left="468" w:hanging="360"/>
      </w:pPr>
      <w:rPr>
        <w:rFonts w:hint="default" w:ascii="Symbol" w:hAnsi="Symbol" w:eastAsia="Symbol" w:cs="Symbol"/>
        <w:w w:val="100"/>
        <w:sz w:val="22"/>
        <w:szCs w:val="22"/>
        <w:lang w:val="en-us" w:eastAsia="en-us" w:bidi="en-us"/>
      </w:rPr>
    </w:lvl>
    <w:lvl w:ilvl="1">
      <w:start w:val="0"/>
      <w:numFmt w:val="bullet"/>
      <w:lvlText w:val="•"/>
      <w:lvlJc w:val="left"/>
      <w:pPr>
        <w:ind w:left="714" w:hanging="360"/>
      </w:pPr>
      <w:rPr>
        <w:rFonts w:hint="default"/>
        <w:lang w:val="en-us" w:eastAsia="en-us" w:bidi="en-us"/>
      </w:rPr>
    </w:lvl>
    <w:lvl w:ilvl="2">
      <w:start w:val="0"/>
      <w:numFmt w:val="bullet"/>
      <w:lvlText w:val="•"/>
      <w:lvlJc w:val="left"/>
      <w:pPr>
        <w:ind w:left="969" w:hanging="360"/>
      </w:pPr>
      <w:rPr>
        <w:rFonts w:hint="default"/>
        <w:lang w:val="en-us" w:eastAsia="en-us" w:bidi="en-us"/>
      </w:rPr>
    </w:lvl>
    <w:lvl w:ilvl="3">
      <w:start w:val="0"/>
      <w:numFmt w:val="bullet"/>
      <w:lvlText w:val="•"/>
      <w:lvlJc w:val="left"/>
      <w:pPr>
        <w:ind w:left="1223" w:hanging="360"/>
      </w:pPr>
      <w:rPr>
        <w:rFonts w:hint="default"/>
        <w:lang w:val="en-us" w:eastAsia="en-us" w:bidi="en-us"/>
      </w:rPr>
    </w:lvl>
    <w:lvl w:ilvl="4">
      <w:start w:val="0"/>
      <w:numFmt w:val="bullet"/>
      <w:lvlText w:val="•"/>
      <w:lvlJc w:val="left"/>
      <w:pPr>
        <w:ind w:left="1478" w:hanging="360"/>
      </w:pPr>
      <w:rPr>
        <w:rFonts w:hint="default"/>
        <w:lang w:val="en-us" w:eastAsia="en-us" w:bidi="en-us"/>
      </w:rPr>
    </w:lvl>
    <w:lvl w:ilvl="5">
      <w:start w:val="0"/>
      <w:numFmt w:val="bullet"/>
      <w:lvlText w:val="•"/>
      <w:lvlJc w:val="left"/>
      <w:pPr>
        <w:ind w:left="1733" w:hanging="360"/>
      </w:pPr>
      <w:rPr>
        <w:rFonts w:hint="default"/>
        <w:lang w:val="en-us" w:eastAsia="en-us" w:bidi="en-us"/>
      </w:rPr>
    </w:lvl>
    <w:lvl w:ilvl="6">
      <w:start w:val="0"/>
      <w:numFmt w:val="bullet"/>
      <w:lvlText w:val="•"/>
      <w:lvlJc w:val="left"/>
      <w:pPr>
        <w:ind w:left="1987" w:hanging="360"/>
      </w:pPr>
      <w:rPr>
        <w:rFonts w:hint="default"/>
        <w:lang w:val="en-us" w:eastAsia="en-us" w:bidi="en-us"/>
      </w:rPr>
    </w:lvl>
    <w:lvl w:ilvl="7">
      <w:start w:val="0"/>
      <w:numFmt w:val="bullet"/>
      <w:lvlText w:val="•"/>
      <w:lvlJc w:val="left"/>
      <w:pPr>
        <w:ind w:left="2242" w:hanging="360"/>
      </w:pPr>
      <w:rPr>
        <w:rFonts w:hint="default"/>
        <w:lang w:val="en-us" w:eastAsia="en-us" w:bidi="en-us"/>
      </w:rPr>
    </w:lvl>
    <w:lvl w:ilvl="8">
      <w:start w:val="0"/>
      <w:numFmt w:val="bullet"/>
      <w:lvlText w:val="•"/>
      <w:lvlJc w:val="left"/>
      <w:pPr>
        <w:ind w:left="2496" w:hanging="360"/>
      </w:pPr>
      <w:rPr>
        <w:rFonts w:hint="default"/>
        <w:lang w:val="en-us" w:eastAsia="en-us" w:bidi="en-us"/>
      </w:rPr>
    </w:lvl>
  </w:abstractNum>
  <w:abstractNum w:abstractNumId="5">
    <w:multiLevelType w:val="hybridMultilevel"/>
    <w:lvl w:ilvl="0">
      <w:start w:val="0"/>
      <w:numFmt w:val="bullet"/>
      <w:lvlText w:val=""/>
      <w:lvlJc w:val="left"/>
      <w:pPr>
        <w:ind w:left="468" w:hanging="361"/>
      </w:pPr>
      <w:rPr>
        <w:rFonts w:hint="default" w:ascii="Symbol" w:hAnsi="Symbol" w:eastAsia="Symbol" w:cs="Symbol"/>
        <w:w w:val="100"/>
        <w:sz w:val="22"/>
        <w:szCs w:val="22"/>
        <w:lang w:val="en-us" w:eastAsia="en-us" w:bidi="en-us"/>
      </w:rPr>
    </w:lvl>
    <w:lvl w:ilvl="1">
      <w:start w:val="0"/>
      <w:numFmt w:val="bullet"/>
      <w:lvlText w:val="•"/>
      <w:lvlJc w:val="left"/>
      <w:pPr>
        <w:ind w:left="714" w:hanging="361"/>
      </w:pPr>
      <w:rPr>
        <w:rFonts w:hint="default"/>
        <w:lang w:val="en-us" w:eastAsia="en-us" w:bidi="en-us"/>
      </w:rPr>
    </w:lvl>
    <w:lvl w:ilvl="2">
      <w:start w:val="0"/>
      <w:numFmt w:val="bullet"/>
      <w:lvlText w:val="•"/>
      <w:lvlJc w:val="left"/>
      <w:pPr>
        <w:ind w:left="969" w:hanging="361"/>
      </w:pPr>
      <w:rPr>
        <w:rFonts w:hint="default"/>
        <w:lang w:val="en-us" w:eastAsia="en-us" w:bidi="en-us"/>
      </w:rPr>
    </w:lvl>
    <w:lvl w:ilvl="3">
      <w:start w:val="0"/>
      <w:numFmt w:val="bullet"/>
      <w:lvlText w:val="•"/>
      <w:lvlJc w:val="left"/>
      <w:pPr>
        <w:ind w:left="1223" w:hanging="361"/>
      </w:pPr>
      <w:rPr>
        <w:rFonts w:hint="default"/>
        <w:lang w:val="en-us" w:eastAsia="en-us" w:bidi="en-us"/>
      </w:rPr>
    </w:lvl>
    <w:lvl w:ilvl="4">
      <w:start w:val="0"/>
      <w:numFmt w:val="bullet"/>
      <w:lvlText w:val="•"/>
      <w:lvlJc w:val="left"/>
      <w:pPr>
        <w:ind w:left="1478" w:hanging="361"/>
      </w:pPr>
      <w:rPr>
        <w:rFonts w:hint="default"/>
        <w:lang w:val="en-us" w:eastAsia="en-us" w:bidi="en-us"/>
      </w:rPr>
    </w:lvl>
    <w:lvl w:ilvl="5">
      <w:start w:val="0"/>
      <w:numFmt w:val="bullet"/>
      <w:lvlText w:val="•"/>
      <w:lvlJc w:val="left"/>
      <w:pPr>
        <w:ind w:left="1733" w:hanging="361"/>
      </w:pPr>
      <w:rPr>
        <w:rFonts w:hint="default"/>
        <w:lang w:val="en-us" w:eastAsia="en-us" w:bidi="en-us"/>
      </w:rPr>
    </w:lvl>
    <w:lvl w:ilvl="6">
      <w:start w:val="0"/>
      <w:numFmt w:val="bullet"/>
      <w:lvlText w:val="•"/>
      <w:lvlJc w:val="left"/>
      <w:pPr>
        <w:ind w:left="1987" w:hanging="361"/>
      </w:pPr>
      <w:rPr>
        <w:rFonts w:hint="default"/>
        <w:lang w:val="en-us" w:eastAsia="en-us" w:bidi="en-us"/>
      </w:rPr>
    </w:lvl>
    <w:lvl w:ilvl="7">
      <w:start w:val="0"/>
      <w:numFmt w:val="bullet"/>
      <w:lvlText w:val="•"/>
      <w:lvlJc w:val="left"/>
      <w:pPr>
        <w:ind w:left="2242" w:hanging="361"/>
      </w:pPr>
      <w:rPr>
        <w:rFonts w:hint="default"/>
        <w:lang w:val="en-us" w:eastAsia="en-us" w:bidi="en-us"/>
      </w:rPr>
    </w:lvl>
    <w:lvl w:ilvl="8">
      <w:start w:val="0"/>
      <w:numFmt w:val="bullet"/>
      <w:lvlText w:val="•"/>
      <w:lvlJc w:val="left"/>
      <w:pPr>
        <w:ind w:left="2496" w:hanging="361"/>
      </w:pPr>
      <w:rPr>
        <w:rFonts w:hint="default"/>
        <w:lang w:val="en-us" w:eastAsia="en-us" w:bidi="en-us"/>
      </w:rPr>
    </w:lvl>
  </w:abstractNum>
  <w:abstractNum w:abstractNumId="4">
    <w:multiLevelType w:val="hybridMultilevel"/>
    <w:lvl w:ilvl="0">
      <w:start w:val="0"/>
      <w:numFmt w:val="bullet"/>
      <w:lvlText w:val=""/>
      <w:lvlJc w:val="left"/>
      <w:pPr>
        <w:ind w:left="827" w:hanging="361"/>
      </w:pPr>
      <w:rPr>
        <w:rFonts w:hint="default" w:ascii="Symbol" w:hAnsi="Symbol" w:eastAsia="Symbol" w:cs="Symbol"/>
        <w:w w:val="100"/>
        <w:sz w:val="22"/>
        <w:szCs w:val="22"/>
        <w:lang w:val="en-us" w:eastAsia="en-us" w:bidi="en-us"/>
      </w:rPr>
    </w:lvl>
    <w:lvl w:ilvl="1">
      <w:start w:val="0"/>
      <w:numFmt w:val="bullet"/>
      <w:lvlText w:val="•"/>
      <w:lvlJc w:val="left"/>
      <w:pPr>
        <w:ind w:left="1078" w:hanging="361"/>
      </w:pPr>
      <w:rPr>
        <w:rFonts w:hint="default"/>
        <w:lang w:val="en-us" w:eastAsia="en-us" w:bidi="en-us"/>
      </w:rPr>
    </w:lvl>
    <w:lvl w:ilvl="2">
      <w:start w:val="0"/>
      <w:numFmt w:val="bullet"/>
      <w:lvlText w:val="•"/>
      <w:lvlJc w:val="left"/>
      <w:pPr>
        <w:ind w:left="1336" w:hanging="361"/>
      </w:pPr>
      <w:rPr>
        <w:rFonts w:hint="default"/>
        <w:lang w:val="en-us" w:eastAsia="en-us" w:bidi="en-us"/>
      </w:rPr>
    </w:lvl>
    <w:lvl w:ilvl="3">
      <w:start w:val="0"/>
      <w:numFmt w:val="bullet"/>
      <w:lvlText w:val="•"/>
      <w:lvlJc w:val="left"/>
      <w:pPr>
        <w:ind w:left="1594" w:hanging="361"/>
      </w:pPr>
      <w:rPr>
        <w:rFonts w:hint="default"/>
        <w:lang w:val="en-us" w:eastAsia="en-us" w:bidi="en-us"/>
      </w:rPr>
    </w:lvl>
    <w:lvl w:ilvl="4">
      <w:start w:val="0"/>
      <w:numFmt w:val="bullet"/>
      <w:lvlText w:val="•"/>
      <w:lvlJc w:val="left"/>
      <w:pPr>
        <w:ind w:left="1852" w:hanging="361"/>
      </w:pPr>
      <w:rPr>
        <w:rFonts w:hint="default"/>
        <w:lang w:val="en-us" w:eastAsia="en-us" w:bidi="en-us"/>
      </w:rPr>
    </w:lvl>
    <w:lvl w:ilvl="5">
      <w:start w:val="0"/>
      <w:numFmt w:val="bullet"/>
      <w:lvlText w:val="•"/>
      <w:lvlJc w:val="left"/>
      <w:pPr>
        <w:ind w:left="2110" w:hanging="361"/>
      </w:pPr>
      <w:rPr>
        <w:rFonts w:hint="default"/>
        <w:lang w:val="en-us" w:eastAsia="en-us" w:bidi="en-us"/>
      </w:rPr>
    </w:lvl>
    <w:lvl w:ilvl="6">
      <w:start w:val="0"/>
      <w:numFmt w:val="bullet"/>
      <w:lvlText w:val="•"/>
      <w:lvlJc w:val="left"/>
      <w:pPr>
        <w:ind w:left="2368" w:hanging="361"/>
      </w:pPr>
      <w:rPr>
        <w:rFonts w:hint="default"/>
        <w:lang w:val="en-us" w:eastAsia="en-us" w:bidi="en-us"/>
      </w:rPr>
    </w:lvl>
    <w:lvl w:ilvl="7">
      <w:start w:val="0"/>
      <w:numFmt w:val="bullet"/>
      <w:lvlText w:val="•"/>
      <w:lvlJc w:val="left"/>
      <w:pPr>
        <w:ind w:left="2626" w:hanging="361"/>
      </w:pPr>
      <w:rPr>
        <w:rFonts w:hint="default"/>
        <w:lang w:val="en-us" w:eastAsia="en-us" w:bidi="en-us"/>
      </w:rPr>
    </w:lvl>
    <w:lvl w:ilvl="8">
      <w:start w:val="0"/>
      <w:numFmt w:val="bullet"/>
      <w:lvlText w:val="•"/>
      <w:lvlJc w:val="left"/>
      <w:pPr>
        <w:ind w:left="2884" w:hanging="361"/>
      </w:pPr>
      <w:rPr>
        <w:rFonts w:hint="default"/>
        <w:lang w:val="en-us" w:eastAsia="en-us" w:bidi="en-us"/>
      </w:rPr>
    </w:lvl>
  </w:abstractNum>
  <w:abstractNum w:abstractNumId="3">
    <w:multiLevelType w:val="hybridMultilevel"/>
    <w:lvl w:ilvl="0">
      <w:start w:val="2"/>
      <w:numFmt w:val="decimal"/>
      <w:lvlText w:val="%1."/>
      <w:lvlJc w:val="left"/>
      <w:pPr>
        <w:ind w:left="506" w:hanging="360"/>
        <w:jc w:val="left"/>
      </w:pPr>
      <w:rPr>
        <w:rFonts w:hint="default" w:ascii="Calibri" w:hAnsi="Calibri" w:eastAsia="Calibri" w:cs="Calibri"/>
        <w:w w:val="100"/>
        <w:sz w:val="22"/>
        <w:szCs w:val="22"/>
        <w:lang w:val="en-us" w:eastAsia="en-us" w:bidi="en-us"/>
      </w:rPr>
    </w:lvl>
    <w:lvl w:ilvl="1">
      <w:start w:val="0"/>
      <w:numFmt w:val="bullet"/>
      <w:lvlText w:val="•"/>
      <w:lvlJc w:val="left"/>
      <w:pPr>
        <w:ind w:left="750" w:hanging="360"/>
      </w:pPr>
      <w:rPr>
        <w:rFonts w:hint="default"/>
        <w:lang w:val="en-us" w:eastAsia="en-us" w:bidi="en-us"/>
      </w:rPr>
    </w:lvl>
    <w:lvl w:ilvl="2">
      <w:start w:val="0"/>
      <w:numFmt w:val="bullet"/>
      <w:lvlText w:val="•"/>
      <w:lvlJc w:val="left"/>
      <w:pPr>
        <w:ind w:left="1001" w:hanging="360"/>
      </w:pPr>
      <w:rPr>
        <w:rFonts w:hint="default"/>
        <w:lang w:val="en-us" w:eastAsia="en-us" w:bidi="en-us"/>
      </w:rPr>
    </w:lvl>
    <w:lvl w:ilvl="3">
      <w:start w:val="0"/>
      <w:numFmt w:val="bullet"/>
      <w:lvlText w:val="•"/>
      <w:lvlJc w:val="left"/>
      <w:pPr>
        <w:ind w:left="1251" w:hanging="360"/>
      </w:pPr>
      <w:rPr>
        <w:rFonts w:hint="default"/>
        <w:lang w:val="en-us" w:eastAsia="en-us" w:bidi="en-us"/>
      </w:rPr>
    </w:lvl>
    <w:lvl w:ilvl="4">
      <w:start w:val="0"/>
      <w:numFmt w:val="bullet"/>
      <w:lvlText w:val="•"/>
      <w:lvlJc w:val="left"/>
      <w:pPr>
        <w:ind w:left="1502" w:hanging="360"/>
      </w:pPr>
      <w:rPr>
        <w:rFonts w:hint="default"/>
        <w:lang w:val="en-us" w:eastAsia="en-us" w:bidi="en-us"/>
      </w:rPr>
    </w:lvl>
    <w:lvl w:ilvl="5">
      <w:start w:val="0"/>
      <w:numFmt w:val="bullet"/>
      <w:lvlText w:val="•"/>
      <w:lvlJc w:val="left"/>
      <w:pPr>
        <w:ind w:left="1753" w:hanging="360"/>
      </w:pPr>
      <w:rPr>
        <w:rFonts w:hint="default"/>
        <w:lang w:val="en-us" w:eastAsia="en-us" w:bidi="en-us"/>
      </w:rPr>
    </w:lvl>
    <w:lvl w:ilvl="6">
      <w:start w:val="0"/>
      <w:numFmt w:val="bullet"/>
      <w:lvlText w:val="•"/>
      <w:lvlJc w:val="left"/>
      <w:pPr>
        <w:ind w:left="2003" w:hanging="360"/>
      </w:pPr>
      <w:rPr>
        <w:rFonts w:hint="default"/>
        <w:lang w:val="en-us" w:eastAsia="en-us" w:bidi="en-us"/>
      </w:rPr>
    </w:lvl>
    <w:lvl w:ilvl="7">
      <w:start w:val="0"/>
      <w:numFmt w:val="bullet"/>
      <w:lvlText w:val="•"/>
      <w:lvlJc w:val="left"/>
      <w:pPr>
        <w:ind w:left="2254" w:hanging="360"/>
      </w:pPr>
      <w:rPr>
        <w:rFonts w:hint="default"/>
        <w:lang w:val="en-us" w:eastAsia="en-us" w:bidi="en-us"/>
      </w:rPr>
    </w:lvl>
    <w:lvl w:ilvl="8">
      <w:start w:val="0"/>
      <w:numFmt w:val="bullet"/>
      <w:lvlText w:val="•"/>
      <w:lvlJc w:val="left"/>
      <w:pPr>
        <w:ind w:left="2504" w:hanging="360"/>
      </w:pPr>
      <w:rPr>
        <w:rFonts w:hint="default"/>
        <w:lang w:val="en-us" w:eastAsia="en-us" w:bidi="en-us"/>
      </w:rPr>
    </w:lvl>
  </w:abstractNum>
  <w:abstractNum w:abstractNumId="2">
    <w:multiLevelType w:val="hybridMultilevel"/>
    <w:lvl w:ilvl="0">
      <w:start w:val="1"/>
      <w:numFmt w:val="decimal"/>
      <w:lvlText w:val="%1)"/>
      <w:lvlJc w:val="left"/>
      <w:pPr>
        <w:ind w:left="1419" w:hanging="360"/>
        <w:jc w:val="left"/>
      </w:pPr>
      <w:rPr>
        <w:rFonts w:hint="default" w:ascii="Calibri" w:hAnsi="Calibri" w:eastAsia="Calibri" w:cs="Calibri"/>
        <w:w w:val="100"/>
        <w:sz w:val="22"/>
        <w:szCs w:val="22"/>
        <w:lang w:val="en-us" w:eastAsia="en-us" w:bidi="en-us"/>
      </w:rPr>
    </w:lvl>
    <w:lvl w:ilvl="1">
      <w:start w:val="1"/>
      <w:numFmt w:val="lowerLetter"/>
      <w:lvlText w:val="%2)"/>
      <w:lvlJc w:val="left"/>
      <w:pPr>
        <w:ind w:left="1780" w:hanging="361"/>
        <w:jc w:val="left"/>
      </w:pPr>
      <w:rPr>
        <w:rFonts w:hint="default" w:ascii="Calibri" w:hAnsi="Calibri" w:eastAsia="Calibri" w:cs="Calibri"/>
        <w:spacing w:val="-1"/>
        <w:w w:val="100"/>
        <w:sz w:val="22"/>
        <w:szCs w:val="22"/>
        <w:lang w:val="en-us" w:eastAsia="en-us" w:bidi="en-us"/>
      </w:rPr>
    </w:lvl>
    <w:lvl w:ilvl="2">
      <w:start w:val="1"/>
      <w:numFmt w:val="lowerRoman"/>
      <w:lvlText w:val="%3)"/>
      <w:lvlJc w:val="left"/>
      <w:pPr>
        <w:ind w:left="2139" w:hanging="361"/>
        <w:jc w:val="left"/>
      </w:pPr>
      <w:rPr>
        <w:rFonts w:hint="default" w:ascii="Calibri" w:hAnsi="Calibri" w:eastAsia="Calibri" w:cs="Calibri"/>
        <w:spacing w:val="-1"/>
        <w:w w:val="100"/>
        <w:sz w:val="22"/>
        <w:szCs w:val="22"/>
        <w:lang w:val="en-us" w:eastAsia="en-us" w:bidi="en-us"/>
      </w:rPr>
    </w:lvl>
    <w:lvl w:ilvl="3">
      <w:start w:val="1"/>
      <w:numFmt w:val="decimal"/>
      <w:lvlText w:val="(%4)"/>
      <w:lvlJc w:val="left"/>
      <w:pPr>
        <w:ind w:left="2498" w:hanging="361"/>
        <w:jc w:val="left"/>
      </w:pPr>
      <w:rPr>
        <w:rFonts w:hint="default" w:ascii="Calibri" w:hAnsi="Calibri" w:eastAsia="Calibri" w:cs="Calibri"/>
        <w:w w:val="100"/>
        <w:sz w:val="22"/>
        <w:szCs w:val="22"/>
        <w:lang w:val="en-us" w:eastAsia="en-us" w:bidi="en-us"/>
      </w:rPr>
    </w:lvl>
    <w:lvl w:ilvl="4">
      <w:start w:val="0"/>
      <w:numFmt w:val="bullet"/>
      <w:lvlText w:val="•"/>
      <w:lvlJc w:val="left"/>
      <w:pPr>
        <w:ind w:left="4302" w:hanging="361"/>
      </w:pPr>
      <w:rPr>
        <w:rFonts w:hint="default"/>
        <w:lang w:val="en-us" w:eastAsia="en-us" w:bidi="en-us"/>
      </w:rPr>
    </w:lvl>
    <w:lvl w:ilvl="5">
      <w:start w:val="0"/>
      <w:numFmt w:val="bullet"/>
      <w:lvlText w:val="•"/>
      <w:lvlJc w:val="left"/>
      <w:pPr>
        <w:ind w:left="6105" w:hanging="361"/>
      </w:pPr>
      <w:rPr>
        <w:rFonts w:hint="default"/>
        <w:lang w:val="en-us" w:eastAsia="en-us" w:bidi="en-us"/>
      </w:rPr>
    </w:lvl>
    <w:lvl w:ilvl="6">
      <w:start w:val="0"/>
      <w:numFmt w:val="bullet"/>
      <w:lvlText w:val="•"/>
      <w:lvlJc w:val="left"/>
      <w:pPr>
        <w:ind w:left="7908" w:hanging="361"/>
      </w:pPr>
      <w:rPr>
        <w:rFonts w:hint="default"/>
        <w:lang w:val="en-us" w:eastAsia="en-us" w:bidi="en-us"/>
      </w:rPr>
    </w:lvl>
    <w:lvl w:ilvl="7">
      <w:start w:val="0"/>
      <w:numFmt w:val="bullet"/>
      <w:lvlText w:val="•"/>
      <w:lvlJc w:val="left"/>
      <w:pPr>
        <w:ind w:left="9711" w:hanging="361"/>
      </w:pPr>
      <w:rPr>
        <w:rFonts w:hint="default"/>
        <w:lang w:val="en-us" w:eastAsia="en-us" w:bidi="en-us"/>
      </w:rPr>
    </w:lvl>
    <w:lvl w:ilvl="8">
      <w:start w:val="0"/>
      <w:numFmt w:val="bullet"/>
      <w:lvlText w:val="•"/>
      <w:lvlJc w:val="left"/>
      <w:pPr>
        <w:ind w:left="11514" w:hanging="361"/>
      </w:pPr>
      <w:rPr>
        <w:rFonts w:hint="default"/>
        <w:lang w:val="en-us" w:eastAsia="en-us" w:bidi="en-us"/>
      </w:rPr>
    </w:lvl>
  </w:abstractNum>
  <w:abstractNum w:abstractNumId="1">
    <w:multiLevelType w:val="hybridMultilevel"/>
    <w:lvl w:ilvl="0">
      <w:start w:val="0"/>
      <w:numFmt w:val="bullet"/>
      <w:lvlText w:val=""/>
      <w:lvlJc w:val="left"/>
      <w:pPr>
        <w:ind w:left="2140" w:hanging="361"/>
      </w:pPr>
      <w:rPr>
        <w:rFonts w:hint="default"/>
        <w:w w:val="100"/>
        <w:lang w:val="en-us" w:eastAsia="en-us" w:bidi="en-us"/>
      </w:rPr>
    </w:lvl>
    <w:lvl w:ilvl="1">
      <w:start w:val="0"/>
      <w:numFmt w:val="bullet"/>
      <w:lvlText w:val="o"/>
      <w:lvlJc w:val="left"/>
      <w:pPr>
        <w:ind w:left="2500" w:hanging="360"/>
      </w:pPr>
      <w:rPr>
        <w:rFonts w:hint="default" w:ascii="Courier New" w:hAnsi="Courier New" w:eastAsia="Courier New" w:cs="Courier New"/>
        <w:w w:val="100"/>
        <w:sz w:val="16"/>
        <w:szCs w:val="16"/>
        <w:lang w:val="en-us" w:eastAsia="en-us" w:bidi="en-us"/>
      </w:rPr>
    </w:lvl>
    <w:lvl w:ilvl="2">
      <w:start w:val="0"/>
      <w:numFmt w:val="bullet"/>
      <w:lvlText w:val="•"/>
      <w:lvlJc w:val="left"/>
      <w:pPr>
        <w:ind w:left="3902" w:hanging="360"/>
      </w:pPr>
      <w:rPr>
        <w:rFonts w:hint="default"/>
        <w:lang w:val="en-us" w:eastAsia="en-us" w:bidi="en-us"/>
      </w:rPr>
    </w:lvl>
    <w:lvl w:ilvl="3">
      <w:start w:val="0"/>
      <w:numFmt w:val="bullet"/>
      <w:lvlText w:val="•"/>
      <w:lvlJc w:val="left"/>
      <w:pPr>
        <w:ind w:left="5304" w:hanging="360"/>
      </w:pPr>
      <w:rPr>
        <w:rFonts w:hint="default"/>
        <w:lang w:val="en-us" w:eastAsia="en-us" w:bidi="en-us"/>
      </w:rPr>
    </w:lvl>
    <w:lvl w:ilvl="4">
      <w:start w:val="0"/>
      <w:numFmt w:val="bullet"/>
      <w:lvlText w:val="•"/>
      <w:lvlJc w:val="left"/>
      <w:pPr>
        <w:ind w:left="6706" w:hanging="360"/>
      </w:pPr>
      <w:rPr>
        <w:rFonts w:hint="default"/>
        <w:lang w:val="en-us" w:eastAsia="en-us" w:bidi="en-us"/>
      </w:rPr>
    </w:lvl>
    <w:lvl w:ilvl="5">
      <w:start w:val="0"/>
      <w:numFmt w:val="bullet"/>
      <w:lvlText w:val="•"/>
      <w:lvlJc w:val="left"/>
      <w:pPr>
        <w:ind w:left="8108" w:hanging="360"/>
      </w:pPr>
      <w:rPr>
        <w:rFonts w:hint="default"/>
        <w:lang w:val="en-us" w:eastAsia="en-us" w:bidi="en-us"/>
      </w:rPr>
    </w:lvl>
    <w:lvl w:ilvl="6">
      <w:start w:val="0"/>
      <w:numFmt w:val="bullet"/>
      <w:lvlText w:val="•"/>
      <w:lvlJc w:val="left"/>
      <w:pPr>
        <w:ind w:left="9511" w:hanging="360"/>
      </w:pPr>
      <w:rPr>
        <w:rFonts w:hint="default"/>
        <w:lang w:val="en-us" w:eastAsia="en-us" w:bidi="en-us"/>
      </w:rPr>
    </w:lvl>
    <w:lvl w:ilvl="7">
      <w:start w:val="0"/>
      <w:numFmt w:val="bullet"/>
      <w:lvlText w:val="•"/>
      <w:lvlJc w:val="left"/>
      <w:pPr>
        <w:ind w:left="10913" w:hanging="360"/>
      </w:pPr>
      <w:rPr>
        <w:rFonts w:hint="default"/>
        <w:lang w:val="en-us" w:eastAsia="en-us" w:bidi="en-us"/>
      </w:rPr>
    </w:lvl>
    <w:lvl w:ilvl="8">
      <w:start w:val="0"/>
      <w:numFmt w:val="bullet"/>
      <w:lvlText w:val="•"/>
      <w:lvlJc w:val="left"/>
      <w:pPr>
        <w:ind w:left="12315" w:hanging="360"/>
      </w:pPr>
      <w:rPr>
        <w:rFonts w:hint="default"/>
        <w:lang w:val="en-us" w:eastAsia="en-us" w:bidi="en-us"/>
      </w:rPr>
    </w:lvl>
  </w:abstractNum>
  <w:abstractNum w:abstractNumId="0">
    <w:multiLevelType w:val="hybridMultilevel"/>
    <w:lvl w:ilvl="0">
      <w:start w:val="0"/>
      <w:numFmt w:val="bullet"/>
      <w:lvlText w:val=""/>
      <w:lvlJc w:val="left"/>
      <w:pPr>
        <w:ind w:left="1778" w:hanging="361"/>
      </w:pPr>
      <w:rPr>
        <w:rFonts w:hint="default" w:ascii="Symbol" w:hAnsi="Symbol" w:eastAsia="Symbol" w:cs="Symbol"/>
        <w:w w:val="100"/>
        <w:sz w:val="22"/>
        <w:szCs w:val="22"/>
        <w:lang w:val="en-us" w:eastAsia="en-us" w:bidi="en-us"/>
      </w:rPr>
    </w:lvl>
    <w:lvl w:ilvl="1">
      <w:start w:val="0"/>
      <w:numFmt w:val="bullet"/>
      <w:lvlText w:val=""/>
      <w:lvlJc w:val="left"/>
      <w:pPr>
        <w:ind w:left="2500" w:hanging="361"/>
      </w:pPr>
      <w:rPr>
        <w:rFonts w:hint="default" w:ascii="Symbol" w:hAnsi="Symbol" w:eastAsia="Symbol" w:cs="Symbol"/>
        <w:w w:val="100"/>
        <w:sz w:val="22"/>
        <w:szCs w:val="22"/>
        <w:lang w:val="en-us" w:eastAsia="en-us" w:bidi="en-us"/>
      </w:rPr>
    </w:lvl>
    <w:lvl w:ilvl="2">
      <w:start w:val="0"/>
      <w:numFmt w:val="bullet"/>
      <w:lvlText w:val="o"/>
      <w:lvlJc w:val="left"/>
      <w:pPr>
        <w:ind w:left="3220" w:hanging="361"/>
      </w:pPr>
      <w:rPr>
        <w:rFonts w:hint="default" w:ascii="Courier New" w:hAnsi="Courier New" w:eastAsia="Courier New" w:cs="Courier New"/>
        <w:w w:val="100"/>
        <w:sz w:val="22"/>
        <w:szCs w:val="22"/>
        <w:lang w:val="en-us" w:eastAsia="en-us" w:bidi="en-us"/>
      </w:rPr>
    </w:lvl>
    <w:lvl w:ilvl="3">
      <w:start w:val="0"/>
      <w:numFmt w:val="bullet"/>
      <w:lvlText w:val=""/>
      <w:lvlJc w:val="left"/>
      <w:pPr>
        <w:ind w:left="3940" w:hanging="361"/>
      </w:pPr>
      <w:rPr>
        <w:rFonts w:hint="default" w:ascii="Wingdings" w:hAnsi="Wingdings" w:eastAsia="Wingdings" w:cs="Wingdings"/>
        <w:w w:val="100"/>
        <w:sz w:val="22"/>
        <w:szCs w:val="22"/>
        <w:lang w:val="en-us" w:eastAsia="en-us" w:bidi="en-us"/>
      </w:rPr>
    </w:lvl>
    <w:lvl w:ilvl="4">
      <w:start w:val="0"/>
      <w:numFmt w:val="bullet"/>
      <w:lvlText w:val="•"/>
      <w:lvlJc w:val="left"/>
      <w:pPr>
        <w:ind w:left="5537" w:hanging="361"/>
      </w:pPr>
      <w:rPr>
        <w:rFonts w:hint="default"/>
        <w:lang w:val="en-us" w:eastAsia="en-us" w:bidi="en-us"/>
      </w:rPr>
    </w:lvl>
    <w:lvl w:ilvl="5">
      <w:start w:val="0"/>
      <w:numFmt w:val="bullet"/>
      <w:lvlText w:val="•"/>
      <w:lvlJc w:val="left"/>
      <w:pPr>
        <w:ind w:left="7134" w:hanging="361"/>
      </w:pPr>
      <w:rPr>
        <w:rFonts w:hint="default"/>
        <w:lang w:val="en-us" w:eastAsia="en-us" w:bidi="en-us"/>
      </w:rPr>
    </w:lvl>
    <w:lvl w:ilvl="6">
      <w:start w:val="0"/>
      <w:numFmt w:val="bullet"/>
      <w:lvlText w:val="•"/>
      <w:lvlJc w:val="left"/>
      <w:pPr>
        <w:ind w:left="8731" w:hanging="361"/>
      </w:pPr>
      <w:rPr>
        <w:rFonts w:hint="default"/>
        <w:lang w:val="en-us" w:eastAsia="en-us" w:bidi="en-us"/>
      </w:rPr>
    </w:lvl>
    <w:lvl w:ilvl="7">
      <w:start w:val="0"/>
      <w:numFmt w:val="bullet"/>
      <w:lvlText w:val="•"/>
      <w:lvlJc w:val="left"/>
      <w:pPr>
        <w:ind w:left="10328" w:hanging="361"/>
      </w:pPr>
      <w:rPr>
        <w:rFonts w:hint="default"/>
        <w:lang w:val="en-us" w:eastAsia="en-us" w:bidi="en-us"/>
      </w:rPr>
    </w:lvl>
    <w:lvl w:ilvl="8">
      <w:start w:val="0"/>
      <w:numFmt w:val="bullet"/>
      <w:lvlText w:val="•"/>
      <w:lvlJc w:val="left"/>
      <w:pPr>
        <w:ind w:left="11925" w:hanging="361"/>
      </w:pPr>
      <w:rPr>
        <w:rFonts w:hint="default"/>
        <w:lang w:val="en-us" w:eastAsia="en-us" w:bidi="en-us"/>
      </w:rPr>
    </w:lvl>
  </w:abstractNum>
  <w:num w:numId="27">
    <w:abstractNumId w:val="26"/>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TOC1" w:type="paragraph">
    <w:name w:val="TOC 1"/>
    <w:basedOn w:val="Normal"/>
    <w:uiPriority w:val="1"/>
    <w:qFormat/>
    <w:pPr>
      <w:spacing w:before="52"/>
      <w:ind w:left="1060"/>
    </w:pPr>
    <w:rPr>
      <w:rFonts w:ascii="Calibri" w:hAnsi="Calibri" w:eastAsia="Calibri" w:cs="Calibri"/>
      <w:b/>
      <w:bCs/>
      <w:sz w:val="24"/>
      <w:szCs w:val="24"/>
      <w:lang w:val="en-us" w:eastAsia="en-us" w:bidi="en-us"/>
    </w:rPr>
  </w:style>
  <w:style w:styleId="TOC2" w:type="paragraph">
    <w:name w:val="TOC 2"/>
    <w:basedOn w:val="Normal"/>
    <w:uiPriority w:val="1"/>
    <w:qFormat/>
    <w:pPr>
      <w:spacing w:before="277"/>
      <w:ind w:left="1060"/>
    </w:pPr>
    <w:rPr>
      <w:rFonts w:ascii="Calibri" w:hAnsi="Calibri" w:eastAsia="Calibri" w:cs="Calibri"/>
      <w:b/>
      <w:bCs/>
      <w:sz w:val="20"/>
      <w:szCs w:val="20"/>
      <w:lang w:val="en-us" w:eastAsia="en-us" w:bidi="en-us"/>
    </w:rPr>
  </w:style>
  <w:style w:styleId="BodyText" w:type="paragraph">
    <w:name w:val="Body Text"/>
    <w:basedOn w:val="Normal"/>
    <w:uiPriority w:val="1"/>
    <w:qFormat/>
    <w:pPr/>
    <w:rPr>
      <w:rFonts w:ascii="Calibri" w:hAnsi="Calibri" w:eastAsia="Calibri" w:cs="Calibri"/>
      <w:sz w:val="22"/>
      <w:szCs w:val="22"/>
      <w:lang w:val="en-us" w:eastAsia="en-us" w:bidi="en-us"/>
    </w:rPr>
  </w:style>
  <w:style w:styleId="Heading1" w:type="paragraph">
    <w:name w:val="Heading 1"/>
    <w:basedOn w:val="Normal"/>
    <w:uiPriority w:val="1"/>
    <w:qFormat/>
    <w:pPr>
      <w:ind w:left="1060" w:right="2957"/>
      <w:jc w:val="center"/>
      <w:outlineLvl w:val="1"/>
    </w:pPr>
    <w:rPr>
      <w:rFonts w:ascii="Calibri" w:hAnsi="Calibri" w:eastAsia="Calibri" w:cs="Calibri"/>
      <w:b/>
      <w:bCs/>
      <w:sz w:val="28"/>
      <w:szCs w:val="28"/>
      <w:lang w:val="en-us" w:eastAsia="en-us" w:bidi="en-us"/>
    </w:rPr>
  </w:style>
  <w:style w:styleId="Heading2" w:type="paragraph">
    <w:name w:val="Heading 2"/>
    <w:basedOn w:val="Normal"/>
    <w:uiPriority w:val="1"/>
    <w:qFormat/>
    <w:pPr>
      <w:spacing w:before="52"/>
      <w:ind w:left="1060"/>
      <w:jc w:val="center"/>
      <w:outlineLvl w:val="2"/>
    </w:pPr>
    <w:rPr>
      <w:rFonts w:ascii="Calibri" w:hAnsi="Calibri" w:eastAsia="Calibri" w:cs="Calibri"/>
      <w:b/>
      <w:bCs/>
      <w:sz w:val="24"/>
      <w:szCs w:val="24"/>
      <w:lang w:val="en-us" w:eastAsia="en-us" w:bidi="en-us"/>
    </w:rPr>
  </w:style>
  <w:style w:styleId="Heading3" w:type="paragraph">
    <w:name w:val="Heading 3"/>
    <w:basedOn w:val="Normal"/>
    <w:uiPriority w:val="1"/>
    <w:qFormat/>
    <w:pPr>
      <w:spacing w:before="49"/>
      <w:ind w:left="1060"/>
      <w:outlineLvl w:val="3"/>
    </w:pPr>
    <w:rPr>
      <w:rFonts w:ascii="Calibri" w:hAnsi="Calibri" w:eastAsia="Calibri" w:cs="Calibri"/>
      <w:b/>
      <w:bCs/>
      <w:i/>
      <w:sz w:val="24"/>
      <w:szCs w:val="24"/>
      <w:lang w:val="en-us" w:eastAsia="en-us" w:bidi="en-us"/>
    </w:rPr>
  </w:style>
  <w:style w:styleId="Heading4" w:type="paragraph">
    <w:name w:val="Heading 4"/>
    <w:basedOn w:val="Normal"/>
    <w:uiPriority w:val="1"/>
    <w:qFormat/>
    <w:pPr>
      <w:ind w:left="1780"/>
      <w:outlineLvl w:val="4"/>
    </w:pPr>
    <w:rPr>
      <w:rFonts w:ascii="Calibri" w:hAnsi="Calibri" w:eastAsia="Calibri" w:cs="Calibri"/>
      <w:sz w:val="24"/>
      <w:szCs w:val="24"/>
      <w:lang w:val="en-us" w:eastAsia="en-us" w:bidi="en-us"/>
    </w:rPr>
  </w:style>
  <w:style w:styleId="Heading5" w:type="paragraph">
    <w:name w:val="Heading 5"/>
    <w:basedOn w:val="Normal"/>
    <w:uiPriority w:val="1"/>
    <w:qFormat/>
    <w:pPr>
      <w:ind w:left="1060"/>
      <w:outlineLvl w:val="5"/>
    </w:pPr>
    <w:rPr>
      <w:rFonts w:ascii="Calibri" w:hAnsi="Calibri" w:eastAsia="Calibri" w:cs="Calibri"/>
      <w:i/>
      <w:sz w:val="24"/>
      <w:szCs w:val="24"/>
      <w:lang w:val="en-us" w:eastAsia="en-us" w:bidi="en-us"/>
    </w:rPr>
  </w:style>
  <w:style w:styleId="Heading6" w:type="paragraph">
    <w:name w:val="Heading 6"/>
    <w:basedOn w:val="Normal"/>
    <w:uiPriority w:val="1"/>
    <w:qFormat/>
    <w:pPr>
      <w:spacing w:before="54"/>
      <w:ind w:left="2195" w:right="-18"/>
      <w:outlineLvl w:val="6"/>
    </w:pPr>
    <w:rPr>
      <w:rFonts w:ascii="Calibri" w:hAnsi="Calibri" w:eastAsia="Calibri" w:cs="Calibri"/>
      <w:b/>
      <w:bCs/>
      <w:sz w:val="23"/>
      <w:szCs w:val="23"/>
      <w:lang w:val="en-us" w:eastAsia="en-us" w:bidi="en-us"/>
    </w:rPr>
  </w:style>
  <w:style w:styleId="Heading7" w:type="paragraph">
    <w:name w:val="Heading 7"/>
    <w:basedOn w:val="Normal"/>
    <w:uiPriority w:val="1"/>
    <w:qFormat/>
    <w:pPr>
      <w:spacing w:before="54"/>
      <w:ind w:left="1028" w:right="2957"/>
      <w:jc w:val="center"/>
      <w:outlineLvl w:val="7"/>
    </w:pPr>
    <w:rPr>
      <w:rFonts w:ascii="Calibri" w:hAnsi="Calibri" w:eastAsia="Calibri" w:cs="Calibri"/>
      <w:sz w:val="23"/>
      <w:szCs w:val="23"/>
      <w:lang w:val="en-us" w:eastAsia="en-us" w:bidi="en-us"/>
    </w:rPr>
  </w:style>
  <w:style w:styleId="Heading8" w:type="paragraph">
    <w:name w:val="Heading 8"/>
    <w:basedOn w:val="Normal"/>
    <w:uiPriority w:val="1"/>
    <w:qFormat/>
    <w:pPr>
      <w:ind w:left="1059"/>
      <w:outlineLvl w:val="8"/>
    </w:pPr>
    <w:rPr>
      <w:rFonts w:ascii="Calibri" w:hAnsi="Calibri" w:eastAsia="Calibri" w:cs="Calibri"/>
      <w:b/>
      <w:bCs/>
      <w:sz w:val="22"/>
      <w:szCs w:val="22"/>
      <w:lang w:val="en-us" w:eastAsia="en-us" w:bidi="en-us"/>
    </w:rPr>
  </w:style>
  <w:style w:styleId="ListParagraph" w:type="paragraph">
    <w:name w:val="List Paragraph"/>
    <w:basedOn w:val="Normal"/>
    <w:uiPriority w:val="1"/>
    <w:qFormat/>
    <w:pPr>
      <w:ind w:left="1780" w:hanging="361"/>
    </w:pPr>
    <w:rPr>
      <w:rFonts w:ascii="Calibri" w:hAnsi="Calibri" w:eastAsia="Calibri" w:cs="Calibri"/>
      <w:lang w:val="en-us" w:eastAsia="en-us" w:bidi="en-us"/>
    </w:rPr>
  </w:style>
  <w:style w:styleId="TableParagraph" w:type="paragraph">
    <w:name w:val="Table Paragraph"/>
    <w:basedOn w:val="Normal"/>
    <w:uiPriority w:val="1"/>
    <w:qFormat/>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hyperlink" Target="http://www.altsa.dshs.wa.gov/" TargetMode="External"/><Relationship Id="rId10" Type="http://schemas.openxmlformats.org/officeDocument/2006/relationships/hyperlink" Target="http://www.dshs.wa.gov/ddd/" TargetMode="External"/><Relationship Id="rId11" Type="http://schemas.openxmlformats.org/officeDocument/2006/relationships/hyperlink" Target="https://www.dshs.wa.gov/altsa/residential-care-services/altsa-provider-letters?type=AFH" TargetMode="External"/><Relationship Id="rId12" Type="http://schemas.openxmlformats.org/officeDocument/2006/relationships/hyperlink" Target="https://www.dshs.wa.gov/altsa/residential-care-services/altsa-provider-letters?type=ALF" TargetMode="External"/><Relationship Id="rId13" Type="http://schemas.openxmlformats.org/officeDocument/2006/relationships/hyperlink" Target="https://www.dshs.wa.gov/altsa/stakeholders/home-and-community-based-services-rules-stakeholder-notices" TargetMode="External"/><Relationship Id="rId14" Type="http://schemas.openxmlformats.org/officeDocument/2006/relationships/hyperlink" Target="http://apps.leg.wa.gov/documents/laws/wsr/2014/19/14-19-003.htm" TargetMode="External"/><Relationship Id="rId15" Type="http://schemas.openxmlformats.org/officeDocument/2006/relationships/hyperlink" Target="http://lawfilesext.leg.wa.gov/law/wsr/2014/20/14-20-100.htm" TargetMode="External"/><Relationship Id="rId16" Type="http://schemas.openxmlformats.org/officeDocument/2006/relationships/hyperlink" Target="http://apps.leg.wa.gov/documents/laws/wsr/2014/21/14-21-105.htm" TargetMode="External"/><Relationship Id="rId17" Type="http://schemas.openxmlformats.org/officeDocument/2006/relationships/hyperlink" Target="http://www.dshs.wa.gov/altsa" TargetMode="External"/><Relationship Id="rId18" Type="http://schemas.openxmlformats.org/officeDocument/2006/relationships/hyperlink" Target="http://app.leg.wa.gov/documents/laws/wsr/2015/02/15-02-045.htm" TargetMode="External"/><Relationship Id="rId19" Type="http://schemas.openxmlformats.org/officeDocument/2006/relationships/hyperlink" Target="https://www.dshs.wa.gov/altsa/hcbs-statewide-draft-transition-plan" TargetMode="External"/><Relationship Id="rId20" Type="http://schemas.openxmlformats.org/officeDocument/2006/relationships/hyperlink" Target="http://www.wshfc.org/admin/releases/2016.05.13CommissionFundings.pdf" TargetMode="External"/><Relationship Id="rId21" Type="http://schemas.openxmlformats.org/officeDocument/2006/relationships/hyperlink" Target="http://apps.leg.wa.gov/wac/default.aspx?cite=388-101" TargetMode="External"/><Relationship Id="rId22" Type="http://schemas.openxmlformats.org/officeDocument/2006/relationships/hyperlink" Target="http://apps.leg.wa.gov/wac/default.aspx?cite=388-101D" TargetMode="External"/><Relationship Id="rId23" Type="http://schemas.openxmlformats.org/officeDocument/2006/relationships/hyperlink" Target="http://app.leg.wa.gov/wac/default.aspx?cite=388-823-1095" TargetMode="External"/><Relationship Id="rId24" Type="http://schemas.openxmlformats.org/officeDocument/2006/relationships/hyperlink" Target="http://apps.leg.wa.gov/wac/default.aspx?cite=388-101D-0125" TargetMode="External"/><Relationship Id="rId25" Type="http://schemas.openxmlformats.org/officeDocument/2006/relationships/hyperlink" Target="http://app.leg.wa.gov/wac/default.aspx?cite=388-101D-0125" TargetMode="External"/><Relationship Id="rId26" Type="http://schemas.openxmlformats.org/officeDocument/2006/relationships/hyperlink" Target="http://app.leg.wa.gov/wac/default.aspx?cite=388-101D-0145" TargetMode="External"/><Relationship Id="rId27" Type="http://schemas.openxmlformats.org/officeDocument/2006/relationships/hyperlink" Target="http://app.leg.wa.gov/wac/default.aspx?cite=388-101D-0140" TargetMode="External"/><Relationship Id="rId28" Type="http://schemas.openxmlformats.org/officeDocument/2006/relationships/hyperlink" Target="http://apps.leg.wa.gov/wac/default.aspx?cite=388-101D-0140" TargetMode="External"/><Relationship Id="rId29" Type="http://schemas.openxmlformats.org/officeDocument/2006/relationships/hyperlink" Target="http://apps.leg.wa.gov/wac/default.aspx?cite=388-101D-0145" TargetMode="External"/><Relationship Id="rId30" Type="http://schemas.openxmlformats.org/officeDocument/2006/relationships/hyperlink" Target="http://app.leg.wa.gov/WAC/default.aspx?cite=388.101.3350" TargetMode="External"/><Relationship Id="rId31" Type="http://schemas.openxmlformats.org/officeDocument/2006/relationships/hyperlink" Target="http://apps.leg.wa.gov/Wac/default.aspx?cite=388-101D-0145" TargetMode="External"/><Relationship Id="rId32" Type="http://schemas.openxmlformats.org/officeDocument/2006/relationships/hyperlink" Target="http://apps.leg.wa.gov/wac/default.aspx?cite=388-71-0738" TargetMode="External"/><Relationship Id="rId33" Type="http://schemas.openxmlformats.org/officeDocument/2006/relationships/hyperlink" Target="http://app.leg.wa.gov/wac/default.aspx?cite=388-71-0766" TargetMode="External"/><Relationship Id="rId34" Type="http://schemas.openxmlformats.org/officeDocument/2006/relationships/hyperlink" Target="http://apps.leg.wa.gov/wac/default.aspx?cite=388-71-0702" TargetMode="External"/><Relationship Id="rId35" Type="http://schemas.openxmlformats.org/officeDocument/2006/relationships/hyperlink" Target="http://app.leg.wa.gov/wac/default.aspx?cite=388-71-0718" TargetMode="External"/><Relationship Id="rId36" Type="http://schemas.openxmlformats.org/officeDocument/2006/relationships/hyperlink" Target="http://apps.leg.wa.gov/wac/default.aspx?cite=388-71-0766" TargetMode="External"/><Relationship Id="rId37" Type="http://schemas.openxmlformats.org/officeDocument/2006/relationships/hyperlink" Target="http://app.leg.wa.gov/rcw/default.aspx?cite=70.129.140" TargetMode="External"/><Relationship Id="rId38" Type="http://schemas.openxmlformats.org/officeDocument/2006/relationships/hyperlink" Target="http://app.leg.wa.gov/rcw/default.aspx?cite=70.129.040" TargetMode="External"/><Relationship Id="rId39" Type="http://schemas.openxmlformats.org/officeDocument/2006/relationships/hyperlink" Target="http://app.leg.wa.gov/rcw/default.aspx?cite=70.129.020" TargetMode="External"/><Relationship Id="rId40" Type="http://schemas.openxmlformats.org/officeDocument/2006/relationships/hyperlink" Target="http://app.leg.wa.gov/Wac/default.aspx?cite=388-76-10510" TargetMode="External"/><Relationship Id="rId41" Type="http://schemas.openxmlformats.org/officeDocument/2006/relationships/hyperlink" Target="http://apps.leg.wa.gov/waC/default.aspx?cite=388-76-10620" TargetMode="External"/><Relationship Id="rId42" Type="http://schemas.openxmlformats.org/officeDocument/2006/relationships/hyperlink" Target="http://app.leg.wa.gov/wac/default.aspx?cite=388-76-10640" TargetMode="External"/><Relationship Id="rId43" Type="http://schemas.openxmlformats.org/officeDocument/2006/relationships/hyperlink" Target="http://app.leg.wa.gov/wac/default.aspx?cite=388-76-10555" TargetMode="External"/><Relationship Id="rId44" Type="http://schemas.openxmlformats.org/officeDocument/2006/relationships/hyperlink" Target="http://app.leg.wa.gov/rcw/default.aspx?cite=70.129" TargetMode="External"/><Relationship Id="rId45" Type="http://schemas.openxmlformats.org/officeDocument/2006/relationships/footer" Target="footer2.xml"/><Relationship Id="rId46" Type="http://schemas.openxmlformats.org/officeDocument/2006/relationships/hyperlink" Target="http://app.leg.wa.gov/wac/default.aspx?cite=388-76-10520" TargetMode="External"/><Relationship Id="rId47" Type="http://schemas.openxmlformats.org/officeDocument/2006/relationships/hyperlink" Target="http://apps.leg.wa.gov/rcw/default.aspx?cite=70.129" TargetMode="External"/><Relationship Id="rId48" Type="http://schemas.openxmlformats.org/officeDocument/2006/relationships/footer" Target="footer3.xml"/><Relationship Id="rId49" Type="http://schemas.openxmlformats.org/officeDocument/2006/relationships/hyperlink" Target="http://app.leg.wa.gov/rcw/default.aspx?cite=70.129.005" TargetMode="External"/><Relationship Id="rId50" Type="http://schemas.openxmlformats.org/officeDocument/2006/relationships/hyperlink" Target="http://app.leg.wa.gov/rcw/default.aspx?cite=70.129.120" TargetMode="External"/><Relationship Id="rId51" Type="http://schemas.openxmlformats.org/officeDocument/2006/relationships/footer" Target="footer4.xml"/><Relationship Id="rId52" Type="http://schemas.openxmlformats.org/officeDocument/2006/relationships/hyperlink" Target="http://app.leg.wa.gov/wac/default.aspx?cite=388-76-10685" TargetMode="External"/><Relationship Id="rId53" Type="http://schemas.openxmlformats.org/officeDocument/2006/relationships/hyperlink" Target="http://app.leg.wa.gov/wac/default.aspx?cite=388-110-140" TargetMode="External"/><Relationship Id="rId54" Type="http://schemas.openxmlformats.org/officeDocument/2006/relationships/footer" Target="footer5.xml"/><Relationship Id="rId55" Type="http://schemas.openxmlformats.org/officeDocument/2006/relationships/hyperlink" Target="http://apps.leg.wa.gov/wac/default.aspx?cite=388-78A-3010" TargetMode="External"/><Relationship Id="rId56" Type="http://schemas.openxmlformats.org/officeDocument/2006/relationships/hyperlink" Target="http://app.leg.wa.gov/rcw/default.aspx?cite=70.129.100" TargetMode="External"/><Relationship Id="rId57" Type="http://schemas.openxmlformats.org/officeDocument/2006/relationships/footer" Target="footer6.xml"/><Relationship Id="rId58" Type="http://schemas.openxmlformats.org/officeDocument/2006/relationships/footer" Target="footer7.xml"/><Relationship Id="rId59" Type="http://schemas.openxmlformats.org/officeDocument/2006/relationships/hyperlink" Target="http://app.leg.wa.gov/rcw/default.aspx?cite=70.129.090" TargetMode="External"/><Relationship Id="rId60" Type="http://schemas.openxmlformats.org/officeDocument/2006/relationships/hyperlink" Target="http://app.leg.wa.gov/wac/default.aspx?cite=388-76-10695" TargetMode="External"/><Relationship Id="rId61" Type="http://schemas.openxmlformats.org/officeDocument/2006/relationships/hyperlink" Target="http://app.leg.wa.gov/Wac/default.aspx?cite=388-76-10870" TargetMode="External"/><Relationship Id="rId62" Type="http://schemas.openxmlformats.org/officeDocument/2006/relationships/hyperlink" Target="http://apps.leg.wa.gov/WAC/default.aspx?cite=51-51-0325" TargetMode="External"/><Relationship Id="rId63" Type="http://schemas.openxmlformats.org/officeDocument/2006/relationships/footer" Target="footer8.xml"/><Relationship Id="rId64" Type="http://schemas.openxmlformats.org/officeDocument/2006/relationships/hyperlink" Target="http://app.leg.wa.gov/rcw/default.aspx?cite=70.129.110" TargetMode="External"/><Relationship Id="rId65" Type="http://schemas.openxmlformats.org/officeDocument/2006/relationships/footer" Target="footer9.xml"/><Relationship Id="rId66" Type="http://schemas.openxmlformats.org/officeDocument/2006/relationships/hyperlink" Target="http://apps.leg.wa.gov/rcw/default.aspx?Cite=59" TargetMode="External"/><Relationship Id="rId67" Type="http://schemas.openxmlformats.org/officeDocument/2006/relationships/hyperlink" Target="http://apps.leg.wa.gov/rcw/default.aspx?cite=59.12" TargetMode="External"/><Relationship Id="rId68" Type="http://schemas.openxmlformats.org/officeDocument/2006/relationships/footer" Target="footer10.xml"/><Relationship Id="rId69" Type="http://schemas.openxmlformats.org/officeDocument/2006/relationships/hyperlink" Target="http://apps.leg.wa.gov/WAC/default.aspx?cite=388-110-220" TargetMode="External"/><Relationship Id="rId70" Type="http://schemas.openxmlformats.org/officeDocument/2006/relationships/footer" Target="footer11.xml"/><Relationship Id="rId71" Type="http://schemas.openxmlformats.org/officeDocument/2006/relationships/hyperlink" Target="http://apps.leg.wa.gov/wac/default.aspx?cite=388-145-1300" TargetMode="External"/><Relationship Id="rId72" Type="http://schemas.openxmlformats.org/officeDocument/2006/relationships/hyperlink" Target="http://apps.leg.wa.gov/wac/default.aspx?cite=388-148&amp;full=true" TargetMode="External"/><Relationship Id="rId73" Type="http://schemas.openxmlformats.org/officeDocument/2006/relationships/hyperlink" Target="https://www.dshs.wa.gov/sites/default/files/FSA/forms/pdf/21-059.pdf" TargetMode="External"/><Relationship Id="rId74" Type="http://schemas.openxmlformats.org/officeDocument/2006/relationships/hyperlink" Target="https://www.dshs.wa.gov/sites/default/files/DDA/dda/documents/policy/policy5.19.pdf" TargetMode="External"/><Relationship Id="rId75" Type="http://schemas.openxmlformats.org/officeDocument/2006/relationships/hyperlink" Target="https://www.dshs.wa.gov/sites/default/files/DDA/dda/documents/policy/policy5.20.pdf" TargetMode="External"/><Relationship Id="rId76" Type="http://schemas.openxmlformats.org/officeDocument/2006/relationships/hyperlink" Target="https://www.dshs.wa.gov/sites/default/files/DDA/dda/documents/policy/policy6.12.pdf" TargetMode="External"/><Relationship Id="rId77" Type="http://schemas.openxmlformats.org/officeDocument/2006/relationships/hyperlink" Target="http://apps.leg.wa.gov/wAc/default.aspx?cite=388-826-0040" TargetMode="External"/><Relationship Id="rId78" Type="http://schemas.openxmlformats.org/officeDocument/2006/relationships/hyperlink" Target="https://www.dshs.wa.gov/sites/default/files/DDA/dda/documents/policy/policy4.10.pdf" TargetMode="External"/><Relationship Id="rId79" Type="http://schemas.openxmlformats.org/officeDocument/2006/relationships/hyperlink" Target="http://app.leg.wa.gov/wac/default.aspx?cite=388-145" TargetMode="External"/><Relationship Id="rId80" Type="http://schemas.openxmlformats.org/officeDocument/2006/relationships/hyperlink" Target="http://app.leg.wa.gov/wac/default.aspx?cite=388-148" TargetMode="External"/><Relationship Id="rId81" Type="http://schemas.openxmlformats.org/officeDocument/2006/relationships/hyperlink" Target="http://apps.leg.wa.gov/wac/default.aspx?cite=388-826" TargetMode="External"/><Relationship Id="rId82" Type="http://schemas.openxmlformats.org/officeDocument/2006/relationships/hyperlink" Target="http://app.leg.wa.gov/WAC/default.aspx?cite=388-145-1790" TargetMode="External"/><Relationship Id="rId83" Type="http://schemas.openxmlformats.org/officeDocument/2006/relationships/hyperlink" Target="http://apps.leg.wa.gov/documents/LAWS/WAC/WAC%20388%20%20TITLE/WAC%20388%20-148%20%20CHAPTER/WAC%20388%20-148%20-1515.htm" TargetMode="External"/><Relationship Id="rId84" Type="http://schemas.openxmlformats.org/officeDocument/2006/relationships/hyperlink" Target="http://apps.leg.wa.gov/wac/default.aspx?cite=388-145-1555" TargetMode="External"/><Relationship Id="rId85" Type="http://schemas.openxmlformats.org/officeDocument/2006/relationships/hyperlink" Target="http://apps.leg.wa.gov/wac/default.aspx?cite=388-148-1440" TargetMode="External"/><Relationship Id="rId86" Type="http://schemas.openxmlformats.org/officeDocument/2006/relationships/hyperlink" Target="http://apps.leg.wa.gov/RCW/default.aspx?cite=71A.10.015" TargetMode="External"/><Relationship Id="rId87" Type="http://schemas.openxmlformats.org/officeDocument/2006/relationships/hyperlink" Target="http://app.leg.wa.gov/wac/default.aspx?cite=388-845-2100" TargetMode="External"/><Relationship Id="rId88" Type="http://schemas.openxmlformats.org/officeDocument/2006/relationships/hyperlink" Target="https://www.dshs.wa.gov/sites/default/files/DDA/dda/documents/policy/policy4.11.pdf" TargetMode="External"/><Relationship Id="rId89" Type="http://schemas.openxmlformats.org/officeDocument/2006/relationships/hyperlink" Target="https://www.dshs.wa.gov/sites/default/files/DDA/dda/documents/c_guidelines.pdf" TargetMode="External"/><Relationship Id="rId90" Type="http://schemas.openxmlformats.org/officeDocument/2006/relationships/hyperlink" Target="http://apps.leg.wa.gov/rcw/default.aspx?cite=49.60&amp;full=true" TargetMode="External"/><Relationship Id="rId91" Type="http://schemas.openxmlformats.org/officeDocument/2006/relationships/hyperlink" Target="http://apps.leg.wa.gov/Wac/default.aspx?cite=162-26" TargetMode="External"/><Relationship Id="rId92" Type="http://schemas.openxmlformats.org/officeDocument/2006/relationships/hyperlink" Target="http://app.leg.wa.gov/rcw/default.aspx?cite=49.60" TargetMode="External"/><Relationship Id="rId93" Type="http://schemas.openxmlformats.org/officeDocument/2006/relationships/hyperlink" Target="http://app.leg.wa.gov/rcw/default.aspx?cite=18.130.160" TargetMode="External"/><Relationship Id="rId94" Type="http://schemas.openxmlformats.org/officeDocument/2006/relationships/hyperlink" Target="http://app.leg.wa.gov/wac/default.aspx?cite=162-26" TargetMode="External"/><Relationship Id="rId95" Type="http://schemas.openxmlformats.org/officeDocument/2006/relationships/hyperlink" Target="http://apps.leg.wa.gov/wac/default.aspx?cite=388-101D-0515" TargetMode="External"/><Relationship Id="rId96" Type="http://schemas.openxmlformats.org/officeDocument/2006/relationships/hyperlink" Target="http://apps.leg.wa.gov/wac/default.aspx?cite=388-101D-0550" TargetMode="External"/><Relationship Id="rId97" Type="http://schemas.openxmlformats.org/officeDocument/2006/relationships/hyperlink" Target="http://apps.leg.wa.gov/wac/default.aspx?cite=388-101-3320" TargetMode="External"/><Relationship Id="rId98" Type="http://schemas.openxmlformats.org/officeDocument/2006/relationships/hyperlink" Target="http://apps.leg.wa.gov/Wac/default.aspx?cite=388-101-3360" TargetMode="External"/><Relationship Id="rId99" Type="http://schemas.openxmlformats.org/officeDocument/2006/relationships/hyperlink" Target="http://apps.leg.wa.gov/wac/default.aspx?cite=388-101D-0520" TargetMode="External"/><Relationship Id="rId100" Type="http://schemas.openxmlformats.org/officeDocument/2006/relationships/hyperlink" Target="http://apps.leg.wa.gov/Wac/default.aspx?cite=388-101-4090" TargetMode="External"/><Relationship Id="rId101" Type="http://schemas.openxmlformats.org/officeDocument/2006/relationships/footer" Target="footer12.xml"/><Relationship Id="rId102" Type="http://schemas.openxmlformats.org/officeDocument/2006/relationships/hyperlink" Target="http://app.leg.wa.gov/WAC/default.aspx?cite=162.26" TargetMode="External"/><Relationship Id="rId103" Type="http://schemas.openxmlformats.org/officeDocument/2006/relationships/hyperlink" Target="http://app.leg.wa.gov/rcw/default.aspx?cite=71A.16" TargetMode="External"/><Relationship Id="rId104" Type="http://schemas.openxmlformats.org/officeDocument/2006/relationships/hyperlink" Target="https://www.dshs.wa.gov/sites/default/files/DDA/dda/documents/policy/policy5.14.pdf" TargetMode="External"/><Relationship Id="rId105" Type="http://schemas.openxmlformats.org/officeDocument/2006/relationships/hyperlink" Target="https://www.dshs.wa.gov/sites/default/files/DDA/dda/documents/policy/policy5.18.pdf" TargetMode="External"/><Relationship Id="rId106" Type="http://schemas.openxmlformats.org/officeDocument/2006/relationships/footer" Target="footer13.xml"/><Relationship Id="rId107" Type="http://schemas.openxmlformats.org/officeDocument/2006/relationships/hyperlink" Target="http://app.leg.wa.gov/WAC/default.aspx?cite=388.833.0015" TargetMode="External"/><Relationship Id="rId108" Type="http://schemas.openxmlformats.org/officeDocument/2006/relationships/footer" Target="footer14.xml"/><Relationship Id="rId109" Type="http://schemas.openxmlformats.org/officeDocument/2006/relationships/footer" Target="footer15.xml"/><Relationship Id="rId110" Type="http://schemas.openxmlformats.org/officeDocument/2006/relationships/hyperlink" Target="http://app.leg.wa.gov/rcw/default.aspx?cite=46.71" TargetMode="External"/><Relationship Id="rId111" Type="http://schemas.openxmlformats.org/officeDocument/2006/relationships/footer" Target="footer16.xml"/><Relationship Id="rId112" Type="http://schemas.openxmlformats.org/officeDocument/2006/relationships/hyperlink" Target="http://app.leg.wa.gov/rcw/default.aspx?cite=18.92" TargetMode="External"/><Relationship Id="rId113" Type="http://schemas.openxmlformats.org/officeDocument/2006/relationships/hyperlink" Target="http://app.leg.wa.gov/WAC/default.aspx?cite=246.937" TargetMode="External"/><Relationship Id="rId114" Type="http://schemas.openxmlformats.org/officeDocument/2006/relationships/hyperlink" Target="http://app.leg.wa.gov/WAC/default.aspx?cite=388.76" TargetMode="External"/><Relationship Id="rId115" Type="http://schemas.openxmlformats.org/officeDocument/2006/relationships/hyperlink" Target="http://app.leg.wa.gov/WAC/default.aspx?cite=388.101" TargetMode="External"/><Relationship Id="rId116" Type="http://schemas.openxmlformats.org/officeDocument/2006/relationships/hyperlink" Target="http://apps.leg.wa.gov/Wac/default.aspx?cite=388-101" TargetMode="External"/><Relationship Id="rId117" Type="http://schemas.openxmlformats.org/officeDocument/2006/relationships/hyperlink" Target="http://app.leg.wa.gov/rcw/default.aspx?cite=71A.22.020" TargetMode="External"/><Relationship Id="rId118" Type="http://schemas.openxmlformats.org/officeDocument/2006/relationships/hyperlink" Target="http://app.leg.wa.gov/wac/default.aspx?cite=388-101-3170" TargetMode="External"/><Relationship Id="rId119" Type="http://schemas.openxmlformats.org/officeDocument/2006/relationships/footer" Target="footer17.xml"/><Relationship Id="rId120" Type="http://schemas.openxmlformats.org/officeDocument/2006/relationships/hyperlink" Target="https://www.dshs.wa.gov/sites/default/files/FSA/forms/pdf/14-492.pdf" TargetMode="External"/><Relationship Id="rId121" Type="http://schemas.openxmlformats.org/officeDocument/2006/relationships/footer" Target="footer18.xml"/><Relationship Id="rId122" Type="http://schemas.openxmlformats.org/officeDocument/2006/relationships/hyperlink" Target="http://apps.leg.wa.gov/rcw/default.aspx?cite=59.12&amp;full=true" TargetMode="External"/><Relationship Id="rId123" Type="http://schemas.openxmlformats.org/officeDocument/2006/relationships/hyperlink" Target="http://app.leg.wa.gov/wac/default.aspx?cite=388-829C-020" TargetMode="External"/><Relationship Id="rId124" Type="http://schemas.openxmlformats.org/officeDocument/2006/relationships/hyperlink" Target="http://apps.leg.wa.gov/Wac/default.aspx?cite=388-829C-090" TargetMode="External"/><Relationship Id="rId125" Type="http://schemas.openxmlformats.org/officeDocument/2006/relationships/footer" Target="footer19.xml"/><Relationship Id="rId126" Type="http://schemas.openxmlformats.org/officeDocument/2006/relationships/footer" Target="footer20.xml"/><Relationship Id="rId127" Type="http://schemas.openxmlformats.org/officeDocument/2006/relationships/hyperlink" Target="http://app.leg.wa.gov/wac/default.aspx?cite=388-829C-100" TargetMode="External"/><Relationship Id="rId128" Type="http://schemas.openxmlformats.org/officeDocument/2006/relationships/hyperlink" Target="http://app.leg.wa.gov/wAc/default.aspx?cite=388-829C-320" TargetMode="External"/><Relationship Id="rId129" Type="http://schemas.openxmlformats.org/officeDocument/2006/relationships/hyperlink" Target="http://app.leg.wa.gov/wac/default.aspx?cite=388-845-1400" TargetMode="External"/><Relationship Id="rId130" Type="http://schemas.openxmlformats.org/officeDocument/2006/relationships/footer" Target="footer21.xml"/><Relationship Id="rId131" Type="http://schemas.openxmlformats.org/officeDocument/2006/relationships/footer" Target="footer22.xml"/><Relationship Id="rId132" Type="http://schemas.openxmlformats.org/officeDocument/2006/relationships/hyperlink" Target="http://www.dshs.wa.gov/pdf/adsa/ddd/policies/policy4.11.pdf" TargetMode="External"/><Relationship Id="rId133" Type="http://schemas.openxmlformats.org/officeDocument/2006/relationships/footer" Target="footer23.xml"/><Relationship Id="rId134" Type="http://schemas.openxmlformats.org/officeDocument/2006/relationships/footer" Target="footer24.xml"/><Relationship Id="rId135" Type="http://schemas.openxmlformats.org/officeDocument/2006/relationships/footer" Target="footer25.xml"/><Relationship Id="rId136" Type="http://schemas.openxmlformats.org/officeDocument/2006/relationships/hyperlink" Target="https://www.medicaid.gov/medicaid/hcbs/downloads/settings-that-isolate.pdf" TargetMode="External"/><Relationship Id="rId137" Type="http://schemas.openxmlformats.org/officeDocument/2006/relationships/footer" Target="footer26.xml"/><Relationship Id="rId138" Type="http://schemas.openxmlformats.org/officeDocument/2006/relationships/hyperlink" Target="http://Thesunridgeranch.com/" TargetMode="External"/><Relationship Id="rId139" Type="http://schemas.openxmlformats.org/officeDocument/2006/relationships/hyperlink" Target="http://app.leg.wa.gov/wac/default.aspx?cite=388-110-242" TargetMode="External"/><Relationship Id="rId140" Type="http://schemas.openxmlformats.org/officeDocument/2006/relationships/hyperlink" Target="http://app.leg.wa.gov/wac/default.aspx?cite=388-110-222" TargetMode="External"/><Relationship Id="rId141" Type="http://schemas.openxmlformats.org/officeDocument/2006/relationships/hyperlink" Target="https://www.dshs.wa.gov/sites/default/files/SESA/rpau/documents/102-16-09-035.pdf" TargetMode="External"/><Relationship Id="rId142" Type="http://schemas.openxmlformats.org/officeDocument/2006/relationships/footer" Target="footer27.xml"/><Relationship Id="rId143" Type="http://schemas.openxmlformats.org/officeDocument/2006/relationships/footer" Target="footer28.xml"/><Relationship Id="rId144" Type="http://schemas.openxmlformats.org/officeDocument/2006/relationships/hyperlink" Target="https://www.dshs.wa.gov/sites/default/files/ALTSA/stakeholders/documents/HCBS/Washington%20State%20Transition%20Plan%20for%20New%20HCBS%20Rules.pdf" TargetMode="External"/><Relationship Id="rId145" Type="http://schemas.openxmlformats.org/officeDocument/2006/relationships/footer" Target="footer29.xml"/><Relationship Id="rId146" Type="http://schemas.openxmlformats.org/officeDocument/2006/relationships/hyperlink" Target="https://fortress.wa.gov/dshs/adsaapps/about/factsheets/HCS/2017%20Fact%20Sheet%2C%20Home%20and%20Community%20Based%20Settings%20(HCBS)%20Rules.doc" TargetMode="External"/><Relationship Id="rId147" Type="http://schemas.openxmlformats.org/officeDocument/2006/relationships/hyperlink" Target="https://fortress.wa.gov/dshs/adsaapps/about/factsheets/" TargetMode="External"/><Relationship Id="rId148" Type="http://schemas.openxmlformats.org/officeDocument/2006/relationships/hyperlink" Target="http://lawfilesext.leg.wa.gov/biennium/2015-16/Pdf/Bills/Senate%20Passed%20Legislature/6564-S2.PL.pdf" TargetMode="External"/><Relationship Id="rId149" Type="http://schemas.openxmlformats.org/officeDocument/2006/relationships/footer" Target="footer30.xml"/><Relationship Id="rId150" Type="http://schemas.openxmlformats.org/officeDocument/2006/relationships/hyperlink" Target="http://apps.leg.wa.gov/RCW/default.aspx?cite=70.129" TargetMode="External"/><Relationship Id="rId151" Type="http://schemas.openxmlformats.org/officeDocument/2006/relationships/hyperlink" Target="http://apps.leg.wa.gov/WAC/default.aspx?cite=388-106-1300" TargetMode="External"/><Relationship Id="rId152" Type="http://schemas.openxmlformats.org/officeDocument/2006/relationships/image" Target="media/image4.jpeg"/><Relationship Id="rId153" Type="http://schemas.openxmlformats.org/officeDocument/2006/relationships/image" Target="media/image5.jpeg"/><Relationship Id="rId154" Type="http://schemas.openxmlformats.org/officeDocument/2006/relationships/image" Target="media/image6.jpeg"/><Relationship Id="rId155" Type="http://schemas.openxmlformats.org/officeDocument/2006/relationships/image" Target="media/image7.jpeg"/><Relationship Id="rId156" Type="http://schemas.openxmlformats.org/officeDocument/2006/relationships/image" Target="media/image8.jpeg"/><Relationship Id="rId157" Type="http://schemas.openxmlformats.org/officeDocument/2006/relationships/image" Target="media/image9.jpeg"/><Relationship Id="rId158" Type="http://schemas.openxmlformats.org/officeDocument/2006/relationships/image" Target="media/image10.jpeg"/><Relationship Id="rId159" Type="http://schemas.openxmlformats.org/officeDocument/2006/relationships/image" Target="media/image11.jpeg"/><Relationship Id="rId160" Type="http://schemas.openxmlformats.org/officeDocument/2006/relationships/image" Target="media/image12.jpeg"/><Relationship Id="rId161" Type="http://schemas.openxmlformats.org/officeDocument/2006/relationships/image" Target="media/image13.jpeg"/><Relationship Id="rId162" Type="http://schemas.openxmlformats.org/officeDocument/2006/relationships/image" Target="media/image14.png"/><Relationship Id="rId163" Type="http://schemas.openxmlformats.org/officeDocument/2006/relationships/image" Target="media/image15.png"/><Relationship Id="rId164" Type="http://schemas.openxmlformats.org/officeDocument/2006/relationships/footer" Target="footer31.xml"/><Relationship Id="rId165" Type="http://schemas.openxmlformats.org/officeDocument/2006/relationships/image" Target="media/image16.png"/><Relationship Id="rId166" Type="http://schemas.openxmlformats.org/officeDocument/2006/relationships/footer" Target="footer32.xml"/><Relationship Id="rId167" Type="http://schemas.openxmlformats.org/officeDocument/2006/relationships/image" Target="media/image17.png"/><Relationship Id="rId168" Type="http://schemas.openxmlformats.org/officeDocument/2006/relationships/image" Target="media/image18.png"/><Relationship Id="rId169" Type="http://schemas.openxmlformats.org/officeDocument/2006/relationships/image" Target="media/image19.png"/><Relationship Id="rId170" Type="http://schemas.openxmlformats.org/officeDocument/2006/relationships/image" Target="media/image20.png"/><Relationship Id="rId171" Type="http://schemas.openxmlformats.org/officeDocument/2006/relationships/hyperlink" Target="http://www.ecfr.gov/cgi-bin/text-idx?SID=cbf1182fa8873131143f766778cfda0b&amp;mc=true&amp;node=se42.4.441_1530&amp;rgn=div8" TargetMode="External"/><Relationship Id="rId172" Type="http://schemas.openxmlformats.org/officeDocument/2006/relationships/hyperlink" Target="https://www.dshs.wa.gov/sites/default/files/ALTSA/rcs/documents/afh/015-013.pdf" TargetMode="External"/><Relationship Id="rId173" Type="http://schemas.openxmlformats.org/officeDocument/2006/relationships/hyperlink" Target="https://www.dshs.wa.gov/sites/default/files/ALTSA/rcs/documents/bh/015-014.pdf" TargetMode="External"/><Relationship Id="rId174" Type="http://schemas.openxmlformats.org/officeDocument/2006/relationships/footer" Target="footer33.xml"/><Relationship Id="rId175" Type="http://schemas.openxmlformats.org/officeDocument/2006/relationships/image" Target="media/image21.png"/><Relationship Id="rId176" Type="http://schemas.openxmlformats.org/officeDocument/2006/relationships/image" Target="media/image22.png"/><Relationship Id="rId177" Type="http://schemas.openxmlformats.org/officeDocument/2006/relationships/footer" Target="footer34.xml"/><Relationship Id="rId178" Type="http://schemas.openxmlformats.org/officeDocument/2006/relationships/hyperlink" Target="http://intra.altsa.dshs.wa.gov/docufind/MB/RCS/RCSMB2015/R15-047%20-%20HCBS%20Rules%20%26%20Plans.doc" TargetMode="External"/><Relationship Id="rId179" Type="http://schemas.openxmlformats.org/officeDocument/2006/relationships/hyperlink" Target="https://www.dshs.wa.gov/sites/default/files/ALTSA/rcs/documents/afh/015-017.pdf" TargetMode="External"/><Relationship Id="rId180" Type="http://schemas.openxmlformats.org/officeDocument/2006/relationships/hyperlink" Target="https://www.dshs.wa.gov/sites/default/files/ALTSA/rcs/documents/bh/015-016.pdf" TargetMode="External"/><Relationship Id="rId181" Type="http://schemas.openxmlformats.org/officeDocument/2006/relationships/hyperlink" Target="mailto:Karnavp@dshs.wa.gov" TargetMode="External"/><Relationship Id="rId182" Type="http://schemas.openxmlformats.org/officeDocument/2006/relationships/image" Target="media/image23.png"/><Relationship Id="rId183" Type="http://schemas.openxmlformats.org/officeDocument/2006/relationships/image" Target="media/image24.png"/><Relationship Id="rId184" Type="http://schemas.openxmlformats.org/officeDocument/2006/relationships/footer" Target="footer35.xml"/><Relationship Id="rId185" Type="http://schemas.openxmlformats.org/officeDocument/2006/relationships/footer" Target="footer36.xml"/><Relationship Id="rId186" Type="http://schemas.openxmlformats.org/officeDocument/2006/relationships/image" Target="media/image25.png"/><Relationship Id="rId187" Type="http://schemas.openxmlformats.org/officeDocument/2006/relationships/image" Target="media/image26.jpeg"/><Relationship Id="rId188" Type="http://schemas.openxmlformats.org/officeDocument/2006/relationships/image" Target="media/image27.jpeg"/><Relationship Id="rId189" Type="http://schemas.openxmlformats.org/officeDocument/2006/relationships/image" Target="media/image28.jpeg"/><Relationship Id="rId190" Type="http://schemas.openxmlformats.org/officeDocument/2006/relationships/image" Target="media/image29.jpeg"/><Relationship Id="rId191" Type="http://schemas.openxmlformats.org/officeDocument/2006/relationships/image" Target="media/image30.jpeg"/><Relationship Id="rId192" Type="http://schemas.openxmlformats.org/officeDocument/2006/relationships/image" Target="media/image31.jpeg"/><Relationship Id="rId193" Type="http://schemas.openxmlformats.org/officeDocument/2006/relationships/image" Target="media/image32.jpeg"/><Relationship Id="rId194" Type="http://schemas.openxmlformats.org/officeDocument/2006/relationships/footer" Target="footer37.xml"/><Relationship Id="rId195" Type="http://schemas.openxmlformats.org/officeDocument/2006/relationships/image" Target="media/image33.jpeg"/><Relationship Id="rId196" Type="http://schemas.openxmlformats.org/officeDocument/2006/relationships/footer" Target="footer38.xml"/><Relationship Id="rId197" Type="http://schemas.openxmlformats.org/officeDocument/2006/relationships/image" Target="media/image34.jpeg"/><Relationship Id="rId198" Type="http://schemas.openxmlformats.org/officeDocument/2006/relationships/image" Target="media/image35.jpeg"/><Relationship Id="rId199" Type="http://schemas.openxmlformats.org/officeDocument/2006/relationships/image" Target="media/image36.jpeg"/><Relationship Id="rId200" Type="http://schemas.openxmlformats.org/officeDocument/2006/relationships/image" Target="media/image37.jpeg"/><Relationship Id="rId201" Type="http://schemas.openxmlformats.org/officeDocument/2006/relationships/image" Target="media/image38.jpeg"/><Relationship Id="rId202" Type="http://schemas.openxmlformats.org/officeDocument/2006/relationships/image" Target="media/image39.jpeg"/><Relationship Id="rId203" Type="http://schemas.openxmlformats.org/officeDocument/2006/relationships/image" Target="media/image40.jpeg"/><Relationship Id="rId204" Type="http://schemas.openxmlformats.org/officeDocument/2006/relationships/image" Target="media/image41.jpeg"/><Relationship Id="rId205" Type="http://schemas.openxmlformats.org/officeDocument/2006/relationships/image" Target="media/image42.jpeg"/><Relationship Id="rId206" Type="http://schemas.openxmlformats.org/officeDocument/2006/relationships/image" Target="media/image43.jpeg"/><Relationship Id="rId207" Type="http://schemas.openxmlformats.org/officeDocument/2006/relationships/image" Target="media/image44.jpeg"/><Relationship Id="rId208" Type="http://schemas.openxmlformats.org/officeDocument/2006/relationships/footer" Target="footer39.xml"/><Relationship Id="rId209" Type="http://schemas.openxmlformats.org/officeDocument/2006/relationships/image" Target="media/image45.png"/><Relationship Id="rId210" Type="http://schemas.openxmlformats.org/officeDocument/2006/relationships/footer" Target="footer40.xml"/><Relationship Id="rId211" Type="http://schemas.openxmlformats.org/officeDocument/2006/relationships/image" Target="media/image46.png"/><Relationship Id="rId212" Type="http://schemas.openxmlformats.org/officeDocument/2006/relationships/image" Target="media/image47.png"/><Relationship Id="rId213" Type="http://schemas.openxmlformats.org/officeDocument/2006/relationships/image" Target="media/image48.png"/><Relationship Id="rId214" Type="http://schemas.openxmlformats.org/officeDocument/2006/relationships/image" Target="media/image49.png"/><Relationship Id="rId215" Type="http://schemas.openxmlformats.org/officeDocument/2006/relationships/image" Target="media/image50.png"/><Relationship Id="rId216" Type="http://schemas.openxmlformats.org/officeDocument/2006/relationships/image" Target="media/image51.png"/><Relationship Id="rId217" Type="http://schemas.openxmlformats.org/officeDocument/2006/relationships/image" Target="media/image52.png"/><Relationship Id="rId218" Type="http://schemas.openxmlformats.org/officeDocument/2006/relationships/image" Target="media/image53.png"/><Relationship Id="rId219" Type="http://schemas.openxmlformats.org/officeDocument/2006/relationships/image" Target="media/image54.png"/><Relationship Id="rId220" Type="http://schemas.openxmlformats.org/officeDocument/2006/relationships/footer" Target="footer41.xml"/><Relationship Id="rId221" Type="http://schemas.openxmlformats.org/officeDocument/2006/relationships/footer" Target="footer42.xml"/><Relationship Id="rId222" Type="http://schemas.openxmlformats.org/officeDocument/2006/relationships/image" Target="media/image55.jpeg"/><Relationship Id="rId223" Type="http://schemas.openxmlformats.org/officeDocument/2006/relationships/image" Target="media/image56.jpeg"/><Relationship Id="rId224" Type="http://schemas.openxmlformats.org/officeDocument/2006/relationships/image" Target="media/image57.png"/><Relationship Id="rId225" Type="http://schemas.openxmlformats.org/officeDocument/2006/relationships/image" Target="media/image58.jpeg"/><Relationship Id="rId226" Type="http://schemas.openxmlformats.org/officeDocument/2006/relationships/image" Target="media/image59.png"/><Relationship Id="rId227" Type="http://schemas.openxmlformats.org/officeDocument/2006/relationships/image" Target="media/image60.jpeg"/><Relationship Id="rId228" Type="http://schemas.openxmlformats.org/officeDocument/2006/relationships/image" Target="media/image61.jpeg"/><Relationship Id="rId229" Type="http://schemas.openxmlformats.org/officeDocument/2006/relationships/image" Target="media/image62.jpeg"/><Relationship Id="rId230" Type="http://schemas.openxmlformats.org/officeDocument/2006/relationships/image" Target="media/image63.jpeg"/><Relationship Id="rId231" Type="http://schemas.openxmlformats.org/officeDocument/2006/relationships/image" Target="media/image64.png"/><Relationship Id="rId232" Type="http://schemas.openxmlformats.org/officeDocument/2006/relationships/footer" Target="footer43.xml"/><Relationship Id="rId233" Type="http://schemas.openxmlformats.org/officeDocument/2006/relationships/hyperlink" Target="http://www.dshs.wa.gov/altsa/hcbs-statewide-draft-transition-plan" TargetMode="External"/><Relationship Id="rId234" Type="http://schemas.openxmlformats.org/officeDocument/2006/relationships/hyperlink" Target="http://adsaweb.dshs.wa.gov/docufind/MB/displayHCS.aspx?year=2014" TargetMode="External"/><Relationship Id="rId235" Type="http://schemas.openxmlformats.org/officeDocument/2006/relationships/footer" Target="footer44.xml"/><Relationship Id="rId236" Type="http://schemas.openxmlformats.org/officeDocument/2006/relationships/image" Target="media/image65.png"/><Relationship Id="rId237" Type="http://schemas.openxmlformats.org/officeDocument/2006/relationships/hyperlink" Target="mailto:rollita@dshs.wa.gov" TargetMode="External"/><Relationship Id="rId238" Type="http://schemas.openxmlformats.org/officeDocument/2006/relationships/hyperlink" Target="mailto:Bob.beckman@dshs.wa.gov" TargetMode="External"/><Relationship Id="rId239" Type="http://schemas.openxmlformats.org/officeDocument/2006/relationships/image" Target="media/image66.png"/><Relationship Id="rId2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ALTSA staff</dc:creator>
  <cp:keywords>DSHS ALTSA Washington State’s Revised Statewide Transition Plan for New HCBS Rules</cp:keywords>
  <dc:subject>Washington State’s Revised Statewide Transition Plan for New HCBS Rules</dc:subject>
  <dc:title>Washington State’s Revised Statewide Transition Plan for New HCBS Rules</dc:title>
  <dcterms:created xsi:type="dcterms:W3CDTF">2021-11-17T22:00:05Z</dcterms:created>
  <dcterms:modified xsi:type="dcterms:W3CDTF">2021-11-17T22:00:05Z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2021-11-17T00:00:00Z</vt:filetime>
  </property>
  <property fmtid="{D5CDD505-2E9C-101B-9397-08002B2CF9AE}" pid="3" name="Creator">
    <vt:lpwstr>Acrobat PDFMaker 17 for Word</vt:lpwstr>
  </property>
  <property fmtid="{D5CDD505-2E9C-101B-9397-08002B2CF9AE}" pid="4" name="LastSaved">
    <vt:filetime>2021-11-17T00:00:00Z</vt:filetime>
  </property>
</Properties>
</file>