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EB" w:rsidRPr="00517AAB" w:rsidRDefault="004D3182">
      <w:pPr>
        <w:rPr>
          <w:b/>
          <w:sz w:val="28"/>
          <w:szCs w:val="28"/>
        </w:rPr>
      </w:pPr>
      <w:r w:rsidRPr="00517AAB">
        <w:rPr>
          <w:b/>
          <w:sz w:val="28"/>
          <w:szCs w:val="28"/>
        </w:rPr>
        <w:t>Governor’s Opportunity for Supportive Housing</w:t>
      </w:r>
    </w:p>
    <w:p w:rsidR="004D3182" w:rsidRPr="00517AAB" w:rsidRDefault="00517AAB">
      <w:pPr>
        <w:rPr>
          <w:b/>
          <w:sz w:val="28"/>
          <w:szCs w:val="28"/>
        </w:rPr>
      </w:pPr>
      <w:r w:rsidRPr="00517AAB">
        <w:rPr>
          <w:b/>
          <w:sz w:val="28"/>
          <w:szCs w:val="28"/>
        </w:rPr>
        <w:t>Eligibility</w:t>
      </w:r>
      <w:r w:rsidR="004D3182" w:rsidRPr="00517AAB">
        <w:rPr>
          <w:b/>
          <w:sz w:val="28"/>
          <w:szCs w:val="28"/>
        </w:rPr>
        <w:t>:</w:t>
      </w:r>
    </w:p>
    <w:p w:rsidR="00517AAB" w:rsidRPr="0027495D" w:rsidRDefault="00517AAB" w:rsidP="00517AAB">
      <w:pPr>
        <w:widowControl w:val="0"/>
        <w:rPr>
          <w:rFonts w:cstheme="minorHAnsi"/>
        </w:rPr>
      </w:pPr>
      <w:r>
        <w:rPr>
          <w:rFonts w:cstheme="minorHAnsi"/>
        </w:rPr>
        <w:t>The GOSH service is available for i</w:t>
      </w:r>
      <w:r w:rsidRPr="0027495D">
        <w:rPr>
          <w:rFonts w:cstheme="minorHAnsi"/>
        </w:rPr>
        <w:t>ndividual</w:t>
      </w:r>
      <w:r>
        <w:rPr>
          <w:rFonts w:cstheme="minorHAnsi"/>
        </w:rPr>
        <w:t>s who:</w:t>
      </w:r>
    </w:p>
    <w:p w:rsidR="00517AAB" w:rsidRPr="0027495D" w:rsidRDefault="00517AAB" w:rsidP="00517AAB">
      <w:pPr>
        <w:widowControl w:val="0"/>
        <w:ind w:left="1080" w:hanging="360"/>
        <w:rPr>
          <w:rFonts w:cstheme="minorHAnsi"/>
        </w:rPr>
      </w:pPr>
      <w:r w:rsidRPr="0027495D">
        <w:rPr>
          <w:rFonts w:cstheme="minorHAnsi"/>
          <w:lang w:val="x-none"/>
        </w:rPr>
        <w:t>·</w:t>
      </w:r>
      <w:r w:rsidRPr="0027495D">
        <w:rPr>
          <w:rFonts w:cstheme="minorHAnsi"/>
        </w:rPr>
        <w:t> want to live independently, and</w:t>
      </w:r>
    </w:p>
    <w:p w:rsidR="00517AAB" w:rsidRPr="0027495D" w:rsidRDefault="00517AAB" w:rsidP="00517AAB">
      <w:pPr>
        <w:widowControl w:val="0"/>
        <w:ind w:left="1080" w:hanging="360"/>
        <w:rPr>
          <w:rFonts w:cstheme="minorHAnsi"/>
        </w:rPr>
      </w:pPr>
      <w:r w:rsidRPr="0027495D">
        <w:rPr>
          <w:rFonts w:cstheme="minorHAnsi"/>
          <w:lang w:val="x-none"/>
        </w:rPr>
        <w:t>·</w:t>
      </w:r>
      <w:r>
        <w:rPr>
          <w:rFonts w:cstheme="minorHAnsi"/>
        </w:rPr>
        <w:t> are</w:t>
      </w:r>
      <w:r w:rsidRPr="0027495D">
        <w:rPr>
          <w:rFonts w:cstheme="minorHAnsi"/>
        </w:rPr>
        <w:t xml:space="preserve"> willing to work with a Supportive Housing Provider, and</w:t>
      </w:r>
    </w:p>
    <w:p w:rsidR="00517AAB" w:rsidRPr="0027495D" w:rsidRDefault="00517AAB" w:rsidP="00517AAB">
      <w:pPr>
        <w:widowControl w:val="0"/>
        <w:ind w:left="1080" w:hanging="360"/>
        <w:rPr>
          <w:rFonts w:cstheme="minorHAnsi"/>
        </w:rPr>
      </w:pPr>
      <w:bookmarkStart w:id="0" w:name="_GoBack"/>
      <w:bookmarkEnd w:id="0"/>
      <w:r w:rsidRPr="0027495D">
        <w:rPr>
          <w:rFonts w:cstheme="minorHAnsi"/>
          <w:lang w:val="x-none"/>
        </w:rPr>
        <w:t>·</w:t>
      </w:r>
      <w:r w:rsidRPr="0027495D">
        <w:rPr>
          <w:rFonts w:cstheme="minorHAnsi"/>
        </w:rPr>
        <w:t xml:space="preserve"> qualify for ALTSA services (financially &amp; functionally eligible), and </w:t>
      </w:r>
    </w:p>
    <w:p w:rsidR="00517AAB" w:rsidRPr="007F6E72" w:rsidRDefault="00517AAB" w:rsidP="00517AAB">
      <w:pPr>
        <w:widowControl w:val="0"/>
        <w:ind w:left="1080" w:hanging="360"/>
        <w:rPr>
          <w:rFonts w:cstheme="minorHAnsi"/>
        </w:rPr>
      </w:pPr>
      <w:r w:rsidRPr="0027495D">
        <w:rPr>
          <w:rFonts w:cstheme="minorHAnsi"/>
          <w:lang w:val="x-none"/>
        </w:rPr>
        <w:t>·</w:t>
      </w:r>
      <w:r>
        <w:rPr>
          <w:rFonts w:cstheme="minorHAnsi"/>
        </w:rPr>
        <w:t> are</w:t>
      </w:r>
      <w:r w:rsidRPr="0027495D">
        <w:rPr>
          <w:rFonts w:cstheme="minorHAnsi"/>
        </w:rPr>
        <w:t xml:space="preserve"> </w:t>
      </w:r>
      <w:r w:rsidRPr="007F6E72">
        <w:rPr>
          <w:rFonts w:cstheme="minorHAnsi"/>
        </w:rPr>
        <w:t>discharging or being diverted from Eastern/Western State Hospitals</w:t>
      </w:r>
    </w:p>
    <w:p w:rsidR="00517AAB" w:rsidRDefault="00517AAB" w:rsidP="00517AAB">
      <w:pPr>
        <w:widowControl w:val="0"/>
        <w:ind w:left="1800" w:hanging="360"/>
        <w:rPr>
          <w:rFonts w:cstheme="minorHAnsi"/>
        </w:rPr>
      </w:pPr>
      <w:r w:rsidRPr="007F6E7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D5BE2" wp14:editId="443ADC72">
                <wp:simplePos x="0" y="0"/>
                <wp:positionH relativeFrom="margin">
                  <wp:posOffset>28937</wp:posOffset>
                </wp:positionH>
                <wp:positionV relativeFrom="margin">
                  <wp:posOffset>5726623</wp:posOffset>
                </wp:positionV>
                <wp:extent cx="6178550" cy="1404620"/>
                <wp:effectExtent l="0" t="0" r="1270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04620"/>
                        </a:xfrm>
                        <a:prstGeom prst="rect">
                          <a:avLst/>
                        </a:prstGeom>
                        <a:solidFill>
                          <a:srgbClr val="5C8727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AAB" w:rsidRDefault="00517AAB" w:rsidP="00517AAB">
                            <w:r w:rsidRPr="007269DC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For more information on HCS assessment and transitions for those currently residing in the state psychiatric hospitals please see </w:t>
                            </w:r>
                            <w:hyperlink r:id="rId4" w:history="1">
                              <w:r w:rsidRPr="00007B63">
                                <w:rPr>
                                  <w:rStyle w:val="Hyperlink"/>
                                </w:rPr>
                                <w:t>LTC Manual Chapter 9b: State Hospital Assessments</w:t>
                              </w:r>
                            </w:hyperlink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7D5B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3pt;margin-top:450.9pt;width:4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" fillcolor="#5c8727">
                <v:fill opacity="13107f"/>
                <v:textbox style="mso-fit-shape-to-text:t">
                  <w:txbxContent>
                    <w:p w:rsidR="00517AAB" w:rsidRDefault="00517AAB" w:rsidP="00517AAB">
                      <w:r w:rsidRPr="007269DC">
                        <w:rPr>
                          <w:b/>
                        </w:rPr>
                        <w:t>Note:</w:t>
                      </w:r>
                      <w:r>
                        <w:t xml:space="preserve"> For more information on HCS assessment and transitions for those currently residing in the state psychiatric hospitals please see </w:t>
                      </w:r>
                      <w:hyperlink r:id="rId5" w:history="1">
                        <w:r w:rsidRPr="00007B63">
                          <w:rPr>
                            <w:rStyle w:val="Hyperlink"/>
                          </w:rPr>
                          <w:t>LTC Manual Chapter 9b: State Hospital Assessments</w:t>
                        </w:r>
                      </w:hyperlink>
                      <w:r>
                        <w:t xml:space="preserve">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F6E72">
        <w:rPr>
          <w:rFonts w:cstheme="minorHAnsi"/>
          <w:lang w:val="x-none"/>
        </w:rPr>
        <w:t>·</w:t>
      </w:r>
      <w:r w:rsidRPr="007F6E72">
        <w:rPr>
          <w:rFonts w:cstheme="minorHAnsi"/>
        </w:rPr>
        <w:t>      Diversion is defined as: An individual with a 90 or 180 day commitment order for further involuntary treatment who is discharging from a local commu</w:t>
      </w:r>
      <w:r>
        <w:rPr>
          <w:rFonts w:cstheme="minorHAnsi"/>
        </w:rPr>
        <w:t>nity psychiatric facility in to</w:t>
      </w:r>
      <w:r w:rsidRPr="007F6E72">
        <w:rPr>
          <w:rFonts w:cstheme="minorHAnsi"/>
        </w:rPr>
        <w:t xml:space="preserve"> Home and Community Service</w:t>
      </w:r>
      <w:r>
        <w:rPr>
          <w:rFonts w:cstheme="minorHAnsi"/>
        </w:rPr>
        <w:t>s Long-Term Services</w:t>
      </w:r>
      <w:r w:rsidRPr="007F6E72">
        <w:rPr>
          <w:rFonts w:cstheme="minorHAnsi"/>
        </w:rPr>
        <w:t xml:space="preserve"> and Supports (HCS LTSS); </w:t>
      </w:r>
      <w:r>
        <w:rPr>
          <w:rFonts w:cstheme="minorHAnsi"/>
        </w:rPr>
        <w:t>o</w:t>
      </w:r>
      <w:r w:rsidRPr="008E05A4">
        <w:rPr>
          <w:rFonts w:cstheme="minorHAnsi"/>
        </w:rPr>
        <w:t>r</w:t>
      </w:r>
      <w:r w:rsidRPr="007F6E72">
        <w:rPr>
          <w:rFonts w:cstheme="minorHAnsi"/>
        </w:rPr>
        <w:t xml:space="preserve"> an individual who is detained through the Involuntary Treatment Act who is stabilized and discharged into HCS LTSS prior to the need to petition for a 90 or 180 day commitment order. </w:t>
      </w:r>
    </w:p>
    <w:p w:rsidR="004D3182" w:rsidRDefault="004D3182" w:rsidP="004D3182">
      <w:pPr>
        <w:pStyle w:val="Default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</w:p>
    <w:p w:rsidR="004D3182" w:rsidRDefault="004D3182"/>
    <w:sectPr w:rsidR="004D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82"/>
    <w:rsid w:val="004643EB"/>
    <w:rsid w:val="004D3182"/>
    <w:rsid w:val="00517AAB"/>
    <w:rsid w:val="00A430E9"/>
    <w:rsid w:val="00D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BB1B"/>
  <w15:chartTrackingRefBased/>
  <w15:docId w15:val="{CA3B1B84-87A7-4D14-9631-240E3B2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BodyText"/>
    <w:link w:val="Heading4Char"/>
    <w:uiPriority w:val="9"/>
    <w:qFormat/>
    <w:rsid w:val="00517AAB"/>
    <w:pPr>
      <w:keepNext/>
      <w:keepLines/>
      <w:overflowPunct w:val="0"/>
      <w:autoSpaceDE w:val="0"/>
      <w:autoSpaceDN w:val="0"/>
      <w:adjustRightInd w:val="0"/>
      <w:spacing w:before="140" w:after="0" w:line="220" w:lineRule="atLeast"/>
      <w:textAlignment w:val="baseline"/>
      <w:outlineLvl w:val="3"/>
    </w:pPr>
    <w:rPr>
      <w:rFonts w:ascii="Arial" w:eastAsia="Times New Roman" w:hAnsi="Arial" w:cs="Times New Roman"/>
      <w:b/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D3182"/>
    <w:rPr>
      <w:color w:val="0000FF"/>
      <w:sz w:val="24"/>
      <w:u w:val="single"/>
    </w:rPr>
  </w:style>
  <w:style w:type="paragraph" w:customStyle="1" w:styleId="Default">
    <w:name w:val="Default"/>
    <w:rsid w:val="004D3182"/>
    <w:pPr>
      <w:autoSpaceDE w:val="0"/>
      <w:autoSpaceDN w:val="0"/>
      <w:adjustRightInd w:val="0"/>
      <w:spacing w:after="0" w:line="240" w:lineRule="auto"/>
    </w:pPr>
    <w:rPr>
      <w:rFonts w:ascii="Myriad Roman" w:eastAsia="Times New Roman" w:hAnsi="Myriad Roman" w:cs="Myriad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7AAB"/>
    <w:rPr>
      <w:rFonts w:ascii="Arial" w:eastAsia="Times New Roman" w:hAnsi="Arial" w:cs="Times New Roman"/>
      <w:b/>
      <w:spacing w:val="-4"/>
      <w:kern w:val="28"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7A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ra.altsa.dshs.wa.gov/docufind/LTCManual/documents/Chapter%209b.docx" TargetMode="External"/><Relationship Id="rId4" Type="http://schemas.openxmlformats.org/officeDocument/2006/relationships/hyperlink" Target="http://intra.altsa.dshs.wa.gov/docufind/LTCManual/documents/Chapter%209b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Whitney J (DSHS/ALTSA/HCS)</dc:creator>
  <cp:keywords/>
  <dc:description/>
  <cp:lastModifiedBy>Howard, Whitney J (DSHS/ALTSA/HCS)</cp:lastModifiedBy>
  <cp:revision>2</cp:revision>
  <dcterms:created xsi:type="dcterms:W3CDTF">2020-10-15T21:24:00Z</dcterms:created>
  <dcterms:modified xsi:type="dcterms:W3CDTF">2020-10-15T21:24:00Z</dcterms:modified>
</cp:coreProperties>
</file>