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48" w:rsidRDefault="008355B5" w:rsidP="008355B5">
      <w:pPr>
        <w:jc w:val="center"/>
        <w:rPr>
          <w:sz w:val="36"/>
        </w:rPr>
      </w:pPr>
      <w:r w:rsidRPr="008355B5">
        <w:rPr>
          <w:b/>
          <w:sz w:val="40"/>
        </w:rPr>
        <w:t>SB 6205 Workgroup Task</w:t>
      </w:r>
      <w:proofErr w:type="gramStart"/>
      <w:r w:rsidRPr="008355B5">
        <w:rPr>
          <w:b/>
          <w:sz w:val="40"/>
        </w:rPr>
        <w:t>:</w:t>
      </w:r>
      <w:proofErr w:type="gramEnd"/>
      <w:r w:rsidRPr="008355B5">
        <w:rPr>
          <w:b/>
          <w:sz w:val="40"/>
        </w:rPr>
        <w:br/>
      </w:r>
      <w:r w:rsidRPr="008355B5">
        <w:rPr>
          <w:sz w:val="36"/>
        </w:rPr>
        <w:t>Report to the Legislature</w:t>
      </w:r>
      <w:bookmarkStart w:id="0" w:name="_GoBack"/>
      <w:bookmarkEnd w:id="0"/>
    </w:p>
    <w:p w:rsidR="00B57913" w:rsidRPr="00477648" w:rsidRDefault="00477648" w:rsidP="00477648">
      <w:pPr>
        <w:rPr>
          <w:b/>
          <w:i/>
          <w:sz w:val="40"/>
        </w:rPr>
      </w:pPr>
      <w:r w:rsidRPr="00477648">
        <w:rPr>
          <w:i/>
        </w:rPr>
        <w:t>“</w:t>
      </w:r>
      <w:r w:rsidRPr="00477648">
        <w:rPr>
          <w:i/>
        </w:rPr>
        <w:t>The department of social a</w:t>
      </w:r>
      <w:r w:rsidRPr="00477648">
        <w:rPr>
          <w:i/>
        </w:rPr>
        <w:t xml:space="preserve">nd health </w:t>
      </w:r>
      <w:r w:rsidRPr="00477648">
        <w:rPr>
          <w:i/>
        </w:rPr>
        <w:t>services must convene a stakeholder work group to recommend policy</w:t>
      </w:r>
      <w:r w:rsidRPr="00477648">
        <w:rPr>
          <w:i/>
        </w:rPr>
        <w:t xml:space="preserve"> and best </w:t>
      </w:r>
      <w:r>
        <w:rPr>
          <w:i/>
        </w:rPr>
        <w:t xml:space="preserve">practices </w:t>
      </w:r>
      <w:r w:rsidRPr="00477648">
        <w:rPr>
          <w:i/>
        </w:rPr>
        <w:t xml:space="preserve">for training employers, long-term care </w:t>
      </w:r>
      <w:r w:rsidRPr="00477648">
        <w:rPr>
          <w:i/>
        </w:rPr>
        <w:t>workers, and service recipients to ke</w:t>
      </w:r>
      <w:r w:rsidRPr="00477648">
        <w:rPr>
          <w:i/>
        </w:rPr>
        <w:t xml:space="preserve">ep home care settings free from </w:t>
      </w:r>
      <w:r w:rsidRPr="00477648">
        <w:rPr>
          <w:i/>
        </w:rPr>
        <w:t>discrimination and abusive conduct wh</w:t>
      </w:r>
      <w:r w:rsidRPr="00477648">
        <w:rPr>
          <w:i/>
        </w:rPr>
        <w:t xml:space="preserve">ile maintaining the ability for individuals who need </w:t>
      </w:r>
      <w:r w:rsidRPr="00477648">
        <w:rPr>
          <w:i/>
        </w:rPr>
        <w:t>services</w:t>
      </w:r>
      <w:r w:rsidRPr="00477648">
        <w:rPr>
          <w:i/>
        </w:rPr>
        <w:t xml:space="preserve"> </w:t>
      </w:r>
      <w:r w:rsidRPr="00477648">
        <w:rPr>
          <w:i/>
        </w:rPr>
        <w:t>to</w:t>
      </w:r>
      <w:r w:rsidRPr="00477648">
        <w:rPr>
          <w:i/>
        </w:rPr>
        <w:t xml:space="preserve"> </w:t>
      </w:r>
      <w:r w:rsidRPr="00477648">
        <w:rPr>
          <w:i/>
        </w:rPr>
        <w:t>access</w:t>
      </w:r>
      <w:r w:rsidRPr="00477648">
        <w:rPr>
          <w:i/>
        </w:rPr>
        <w:t xml:space="preserve"> needed services </w:t>
      </w:r>
      <w:r w:rsidRPr="00477648">
        <w:rPr>
          <w:i/>
        </w:rPr>
        <w:t>while</w:t>
      </w:r>
      <w:r w:rsidRPr="00477648">
        <w:rPr>
          <w:i/>
        </w:rPr>
        <w:t xml:space="preserve"> </w:t>
      </w:r>
      <w:r w:rsidRPr="00477648">
        <w:rPr>
          <w:i/>
        </w:rPr>
        <w:t xml:space="preserve">maintaining </w:t>
      </w:r>
      <w:r w:rsidRPr="00477648">
        <w:rPr>
          <w:i/>
        </w:rPr>
        <w:t>the ability to provide services.”</w:t>
      </w:r>
      <w:r w:rsidR="008355B5" w:rsidRPr="00477648">
        <w:rPr>
          <w:i/>
          <w:sz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8355B5" w:rsidTr="00960147">
        <w:tc>
          <w:tcPr>
            <w:tcW w:w="9350" w:type="dxa"/>
            <w:gridSpan w:val="2"/>
          </w:tcPr>
          <w:p w:rsidR="008355B5" w:rsidRPr="00477648" w:rsidRDefault="008355B5" w:rsidP="008355B5">
            <w:pPr>
              <w:jc w:val="center"/>
              <w:rPr>
                <w:b/>
                <w:sz w:val="44"/>
              </w:rPr>
            </w:pPr>
            <w:r w:rsidRPr="00477648">
              <w:rPr>
                <w:b/>
                <w:sz w:val="44"/>
              </w:rPr>
              <w:t>Recommend Policy Changes and</w:t>
            </w:r>
          </w:p>
          <w:p w:rsidR="008355B5" w:rsidRDefault="00594141" w:rsidP="008355B5">
            <w:pPr>
              <w:jc w:val="center"/>
            </w:pPr>
            <w:r>
              <w:rPr>
                <w:b/>
                <w:sz w:val="44"/>
              </w:rPr>
              <w:t>Best Practices</w:t>
            </w:r>
          </w:p>
        </w:tc>
      </w:tr>
      <w:tr w:rsidR="00594141" w:rsidTr="003F33AB">
        <w:tc>
          <w:tcPr>
            <w:tcW w:w="3116" w:type="dxa"/>
            <w:vMerge w:val="restart"/>
            <w:shd w:val="clear" w:color="auto" w:fill="E7E6E6" w:themeFill="background2"/>
          </w:tcPr>
          <w:p w:rsidR="00594141" w:rsidRDefault="00594141" w:rsidP="008355B5">
            <w:pPr>
              <w:jc w:val="center"/>
              <w:rPr>
                <w:b/>
                <w:sz w:val="28"/>
              </w:rPr>
            </w:pPr>
          </w:p>
          <w:p w:rsidR="00594141" w:rsidRPr="00477648" w:rsidRDefault="00594141" w:rsidP="008355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TRAINING</w:t>
            </w:r>
          </w:p>
        </w:tc>
        <w:tc>
          <w:tcPr>
            <w:tcW w:w="6234" w:type="dxa"/>
            <w:shd w:val="clear" w:color="auto" w:fill="E7E6E6" w:themeFill="background2"/>
          </w:tcPr>
          <w:p w:rsidR="00594141" w:rsidRPr="00477648" w:rsidRDefault="00594141" w:rsidP="00594141">
            <w:pPr>
              <w:jc w:val="center"/>
              <w:rPr>
                <w:b/>
                <w:sz w:val="28"/>
              </w:rPr>
            </w:pPr>
            <w:r w:rsidRPr="00477648">
              <w:rPr>
                <w:b/>
                <w:sz w:val="28"/>
              </w:rPr>
              <w:t>Long-Term Care Workers</w:t>
            </w:r>
          </w:p>
        </w:tc>
      </w:tr>
      <w:tr w:rsidR="00594141" w:rsidTr="003F33AB">
        <w:tc>
          <w:tcPr>
            <w:tcW w:w="3116" w:type="dxa"/>
            <w:vMerge/>
            <w:shd w:val="clear" w:color="auto" w:fill="E7E6E6" w:themeFill="background2"/>
          </w:tcPr>
          <w:p w:rsidR="00594141" w:rsidRDefault="00594141" w:rsidP="00594141">
            <w:pPr>
              <w:jc w:val="center"/>
              <w:rPr>
                <w:b/>
                <w:sz w:val="28"/>
              </w:rPr>
            </w:pPr>
          </w:p>
        </w:tc>
        <w:tc>
          <w:tcPr>
            <w:tcW w:w="6234" w:type="dxa"/>
            <w:shd w:val="clear" w:color="auto" w:fill="E7E6E6" w:themeFill="background2"/>
          </w:tcPr>
          <w:p w:rsidR="00594141" w:rsidRPr="00477648" w:rsidRDefault="00594141" w:rsidP="005941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Agency Supervisors</w:t>
            </w:r>
          </w:p>
        </w:tc>
      </w:tr>
      <w:tr w:rsidR="00594141" w:rsidTr="003F33AB">
        <w:tc>
          <w:tcPr>
            <w:tcW w:w="3116" w:type="dxa"/>
            <w:vMerge/>
            <w:shd w:val="clear" w:color="auto" w:fill="E7E6E6" w:themeFill="background2"/>
          </w:tcPr>
          <w:p w:rsidR="00594141" w:rsidRDefault="00594141" w:rsidP="00594141">
            <w:pPr>
              <w:jc w:val="center"/>
              <w:rPr>
                <w:b/>
                <w:sz w:val="28"/>
              </w:rPr>
            </w:pPr>
          </w:p>
        </w:tc>
        <w:tc>
          <w:tcPr>
            <w:tcW w:w="6234" w:type="dxa"/>
            <w:shd w:val="clear" w:color="auto" w:fill="E7E6E6" w:themeFill="background2"/>
          </w:tcPr>
          <w:p w:rsidR="00594141" w:rsidRPr="00477648" w:rsidRDefault="00594141" w:rsidP="00594141">
            <w:pPr>
              <w:jc w:val="center"/>
              <w:rPr>
                <w:b/>
                <w:sz w:val="28"/>
              </w:rPr>
            </w:pPr>
            <w:r w:rsidRPr="00477648">
              <w:rPr>
                <w:b/>
                <w:sz w:val="28"/>
              </w:rPr>
              <w:t>Service Recipients</w:t>
            </w:r>
          </w:p>
        </w:tc>
      </w:tr>
      <w:tr w:rsidR="00594141" w:rsidTr="004C1BD4">
        <w:tc>
          <w:tcPr>
            <w:tcW w:w="3116" w:type="dxa"/>
            <w:vMerge w:val="restart"/>
          </w:tcPr>
          <w:p w:rsidR="00594141" w:rsidRDefault="00594141" w:rsidP="005941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CONTINUATION</w:t>
            </w:r>
          </w:p>
          <w:p w:rsidR="00594141" w:rsidRDefault="00594141" w:rsidP="005941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 DATA</w:t>
            </w:r>
          </w:p>
        </w:tc>
        <w:tc>
          <w:tcPr>
            <w:tcW w:w="6234" w:type="dxa"/>
          </w:tcPr>
          <w:p w:rsidR="00594141" w:rsidRPr="00477648" w:rsidRDefault="00594141" w:rsidP="005941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Collection</w:t>
            </w:r>
          </w:p>
        </w:tc>
      </w:tr>
      <w:tr w:rsidR="00594141" w:rsidTr="004C1BD4">
        <w:tc>
          <w:tcPr>
            <w:tcW w:w="3116" w:type="dxa"/>
            <w:vMerge/>
          </w:tcPr>
          <w:p w:rsidR="00594141" w:rsidRDefault="00594141" w:rsidP="00594141">
            <w:pPr>
              <w:jc w:val="center"/>
              <w:rPr>
                <w:b/>
                <w:sz w:val="28"/>
              </w:rPr>
            </w:pPr>
          </w:p>
        </w:tc>
        <w:tc>
          <w:tcPr>
            <w:tcW w:w="6234" w:type="dxa"/>
          </w:tcPr>
          <w:p w:rsidR="00594141" w:rsidRPr="00477648" w:rsidRDefault="00594141" w:rsidP="005941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Review</w:t>
            </w:r>
          </w:p>
        </w:tc>
      </w:tr>
      <w:tr w:rsidR="00594141" w:rsidTr="003F33AB">
        <w:tc>
          <w:tcPr>
            <w:tcW w:w="9350" w:type="dxa"/>
            <w:gridSpan w:val="2"/>
            <w:shd w:val="clear" w:color="auto" w:fill="E7E6E6" w:themeFill="background2"/>
          </w:tcPr>
          <w:p w:rsidR="00594141" w:rsidRPr="00477648" w:rsidRDefault="00594141" w:rsidP="005941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Future Role of the Workgroup</w:t>
            </w:r>
          </w:p>
        </w:tc>
      </w:tr>
      <w:tr w:rsidR="003F33AB" w:rsidTr="00AF2ED8">
        <w:tc>
          <w:tcPr>
            <w:tcW w:w="9350" w:type="dxa"/>
            <w:gridSpan w:val="2"/>
          </w:tcPr>
          <w:p w:rsidR="003F33AB" w:rsidRPr="00477648" w:rsidRDefault="003F33AB" w:rsidP="005941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 the group is measuring efficacy of recommendations</w:t>
            </w:r>
          </w:p>
        </w:tc>
      </w:tr>
      <w:tr w:rsidR="00594141" w:rsidTr="003F33AB">
        <w:tc>
          <w:tcPr>
            <w:tcW w:w="9350" w:type="dxa"/>
            <w:gridSpan w:val="2"/>
            <w:shd w:val="clear" w:color="auto" w:fill="E7E6E6" w:themeFill="background2"/>
          </w:tcPr>
          <w:p w:rsidR="00594141" w:rsidRPr="003F33AB" w:rsidRDefault="003F33AB" w:rsidP="00594141">
            <w:pPr>
              <w:jc w:val="center"/>
              <w:rPr>
                <w:sz w:val="28"/>
              </w:rPr>
            </w:pPr>
            <w:r w:rsidRPr="003F33AB">
              <w:rPr>
                <w:sz w:val="28"/>
              </w:rPr>
              <w:t>Inform the prevention plans required in section 4 of the act</w:t>
            </w:r>
          </w:p>
        </w:tc>
      </w:tr>
      <w:tr w:rsidR="00594141" w:rsidTr="00B91C9C">
        <w:tc>
          <w:tcPr>
            <w:tcW w:w="9350" w:type="dxa"/>
            <w:gridSpan w:val="2"/>
          </w:tcPr>
          <w:p w:rsidR="00813B7B" w:rsidRDefault="00813B7B" w:rsidP="00594141"/>
          <w:p w:rsidR="00594141" w:rsidRPr="00813B7B" w:rsidRDefault="00594141" w:rsidP="00594141">
            <w:pPr>
              <w:rPr>
                <w:sz w:val="28"/>
              </w:rPr>
            </w:pPr>
            <w:r w:rsidRPr="00813B7B">
              <w:rPr>
                <w:sz w:val="28"/>
              </w:rPr>
              <w:t xml:space="preserve">The workgroup </w:t>
            </w:r>
            <w:r w:rsidRPr="00813B7B">
              <w:rPr>
                <w:b/>
                <w:sz w:val="28"/>
              </w:rPr>
              <w:t>must</w:t>
            </w:r>
            <w:r w:rsidRPr="00813B7B">
              <w:rPr>
                <w:sz w:val="28"/>
              </w:rPr>
              <w:t xml:space="preserve"> consider:</w:t>
            </w:r>
          </w:p>
          <w:p w:rsidR="003F33AB" w:rsidRPr="00813B7B" w:rsidRDefault="003F33AB" w:rsidP="00594141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(a)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Using new employee orientation</w:t>
            </w:r>
            <w:r w:rsidRPr="00813B7B">
              <w:rPr>
                <w:sz w:val="24"/>
              </w:rPr>
              <w:t xml:space="preserve"> to emphasize the prevention of </w:t>
            </w:r>
            <w:r w:rsidRPr="00813B7B">
              <w:rPr>
                <w:sz w:val="24"/>
              </w:rPr>
              <w:t>discrimination and abusive conduct;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(b)</w:t>
            </w:r>
            <w:r w:rsidRPr="00813B7B">
              <w:rPr>
                <w:sz w:val="24"/>
              </w:rPr>
              <w:t xml:space="preserve"> </w:t>
            </w:r>
            <w:r w:rsidR="00813B7B">
              <w:rPr>
                <w:sz w:val="24"/>
              </w:rPr>
              <w:t xml:space="preserve"> The </w:t>
            </w:r>
            <w:r w:rsidRPr="00813B7B">
              <w:rPr>
                <w:sz w:val="24"/>
              </w:rPr>
              <w:t xml:space="preserve">extent to </w:t>
            </w:r>
            <w:r w:rsidRPr="00813B7B">
              <w:rPr>
                <w:sz w:val="24"/>
              </w:rPr>
              <w:t>which</w:t>
            </w:r>
            <w:r w:rsidR="00813B7B">
              <w:rPr>
                <w:sz w:val="24"/>
              </w:rPr>
              <w:t xml:space="preserve"> current training content </w:t>
            </w:r>
            <w:r w:rsidRPr="00813B7B">
              <w:rPr>
                <w:sz w:val="24"/>
              </w:rPr>
              <w:t xml:space="preserve">could </w:t>
            </w:r>
            <w:r w:rsidRPr="00813B7B">
              <w:rPr>
                <w:sz w:val="24"/>
              </w:rPr>
              <w:t>be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modified to cover content within exis</w:t>
            </w:r>
            <w:r w:rsidRPr="00813B7B">
              <w:rPr>
                <w:sz w:val="24"/>
              </w:rPr>
              <w:t xml:space="preserve">ting hours of required training </w:t>
            </w:r>
            <w:r w:rsidRPr="00813B7B">
              <w:rPr>
                <w:sz w:val="24"/>
              </w:rPr>
              <w:t>such as basic, modified basic, and/or continuing education;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 xml:space="preserve">(c) 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Requiring training about dis</w:t>
            </w:r>
            <w:r w:rsidRPr="00813B7B">
              <w:rPr>
                <w:sz w:val="24"/>
              </w:rPr>
              <w:t xml:space="preserve">crimination and abusive conduct </w:t>
            </w:r>
            <w:r w:rsidRPr="00813B7B">
              <w:rPr>
                <w:sz w:val="24"/>
              </w:rPr>
              <w:t>for all employees;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 xml:space="preserve">(d) 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Interactive teaching strateg</w:t>
            </w:r>
            <w:r w:rsidRPr="00813B7B">
              <w:rPr>
                <w:sz w:val="24"/>
              </w:rPr>
              <w:t xml:space="preserve">ies that engage across multiple </w:t>
            </w:r>
            <w:r w:rsidRPr="00813B7B">
              <w:rPr>
                <w:sz w:val="24"/>
              </w:rPr>
              <w:t>literacy levels;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 xml:space="preserve">(e)  </w:t>
            </w:r>
            <w:r w:rsidRPr="00813B7B">
              <w:rPr>
                <w:sz w:val="24"/>
              </w:rPr>
              <w:t>Factors</w:t>
            </w:r>
            <w:r w:rsidRPr="00813B7B">
              <w:rPr>
                <w:sz w:val="24"/>
              </w:rPr>
              <w:t xml:space="preserve"> </w:t>
            </w:r>
            <w:r w:rsidR="00813B7B">
              <w:rPr>
                <w:sz w:val="24"/>
              </w:rPr>
              <w:t xml:space="preserve">that </w:t>
            </w:r>
            <w:r w:rsidRPr="00813B7B">
              <w:rPr>
                <w:sz w:val="24"/>
              </w:rPr>
              <w:t>are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predictive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of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discrimination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and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abusive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conduct;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(f)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The violence escalation cycle;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 xml:space="preserve">(g)  </w:t>
            </w:r>
            <w:r w:rsidRPr="00813B7B">
              <w:rPr>
                <w:sz w:val="24"/>
              </w:rPr>
              <w:t>De-escalation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techniques</w:t>
            </w:r>
            <w:r w:rsidRPr="00813B7B">
              <w:rPr>
                <w:sz w:val="24"/>
              </w:rPr>
              <w:t xml:space="preserve"> </w:t>
            </w:r>
            <w:r w:rsidR="00813B7B">
              <w:rPr>
                <w:sz w:val="24"/>
              </w:rPr>
              <w:t xml:space="preserve">to </w:t>
            </w:r>
            <w:r w:rsidRPr="00813B7B">
              <w:rPr>
                <w:sz w:val="24"/>
              </w:rPr>
              <w:t>minimize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abusive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conduct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or</w:t>
            </w:r>
            <w:r w:rsidRPr="00813B7B">
              <w:rPr>
                <w:sz w:val="24"/>
              </w:rPr>
              <w:t xml:space="preserve"> c</w:t>
            </w:r>
            <w:r w:rsidRPr="00813B7B">
              <w:rPr>
                <w:sz w:val="24"/>
              </w:rPr>
              <w:t>hallenging behavior;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lastRenderedPageBreak/>
              <w:t>(h)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Strategies to prevent physical</w:t>
            </w:r>
            <w:r w:rsidRPr="00813B7B">
              <w:rPr>
                <w:sz w:val="24"/>
              </w:rPr>
              <w:t xml:space="preserve"> harm with hands-on practice or </w:t>
            </w:r>
            <w:r w:rsidRPr="00813B7B">
              <w:rPr>
                <w:sz w:val="24"/>
              </w:rPr>
              <w:t>role play;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</w:t>
            </w:r>
            <w:proofErr w:type="spellStart"/>
            <w:r w:rsidRPr="00813B7B">
              <w:rPr>
                <w:sz w:val="24"/>
              </w:rPr>
              <w:t>i</w:t>
            </w:r>
            <w:proofErr w:type="spellEnd"/>
            <w:r w:rsidRPr="00813B7B">
              <w:rPr>
                <w:sz w:val="24"/>
              </w:rPr>
              <w:t>)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How incorporating informatio</w:t>
            </w:r>
            <w:r w:rsidRPr="00813B7B">
              <w:rPr>
                <w:sz w:val="24"/>
              </w:rPr>
              <w:t xml:space="preserve">n on trauma-informed care could </w:t>
            </w:r>
            <w:r w:rsidRPr="00813B7B">
              <w:rPr>
                <w:sz w:val="24"/>
              </w:rPr>
              <w:t xml:space="preserve">improve the effectiveness of training </w:t>
            </w:r>
            <w:r w:rsidRPr="00813B7B">
              <w:rPr>
                <w:sz w:val="24"/>
              </w:rPr>
              <w:t xml:space="preserve">and reduce interruptions to the </w:t>
            </w:r>
            <w:r w:rsidRPr="00813B7B">
              <w:rPr>
                <w:sz w:val="24"/>
              </w:rPr>
              <w:t>provision of personal care;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(j)</w:t>
            </w:r>
            <w:r w:rsidRPr="00813B7B">
              <w:rPr>
                <w:sz w:val="24"/>
              </w:rPr>
              <w:t xml:space="preserve">  How </w:t>
            </w:r>
            <w:r w:rsidRPr="00813B7B">
              <w:rPr>
                <w:sz w:val="24"/>
              </w:rPr>
              <w:t>incorporating</w:t>
            </w:r>
            <w:r w:rsidRPr="00813B7B">
              <w:rPr>
                <w:sz w:val="24"/>
              </w:rPr>
              <w:t xml:space="preserve"> </w:t>
            </w:r>
            <w:r w:rsidR="00813B7B">
              <w:rPr>
                <w:sz w:val="24"/>
              </w:rPr>
              <w:t xml:space="preserve">person-centered </w:t>
            </w:r>
            <w:r w:rsidRPr="00813B7B">
              <w:rPr>
                <w:sz w:val="24"/>
              </w:rPr>
              <w:t>planning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practices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could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minimize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challenging</w:t>
            </w:r>
            <w:r w:rsidRPr="00813B7B">
              <w:rPr>
                <w:sz w:val="24"/>
              </w:rPr>
              <w:t xml:space="preserve"> </w:t>
            </w:r>
            <w:r w:rsidR="00813B7B">
              <w:rPr>
                <w:sz w:val="24"/>
              </w:rPr>
              <w:t xml:space="preserve">behaviors </w:t>
            </w:r>
            <w:r w:rsidRPr="00813B7B">
              <w:rPr>
                <w:sz w:val="24"/>
              </w:rPr>
              <w:t>and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reduce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interruptions</w:t>
            </w:r>
            <w:r w:rsidRPr="00813B7B">
              <w:rPr>
                <w:sz w:val="24"/>
              </w:rPr>
              <w:t xml:space="preserve"> </w:t>
            </w:r>
            <w:r w:rsidR="00813B7B">
              <w:rPr>
                <w:sz w:val="24"/>
              </w:rPr>
              <w:t xml:space="preserve">to </w:t>
            </w:r>
            <w:r w:rsidRPr="00813B7B">
              <w:rPr>
                <w:sz w:val="24"/>
              </w:rPr>
              <w:t>the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provision of personal care;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(k)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Best practices for documenting and reporting incidents;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 xml:space="preserve">(l)  </w:t>
            </w:r>
            <w:r w:rsidRPr="00813B7B">
              <w:rPr>
                <w:sz w:val="24"/>
              </w:rPr>
              <w:t>The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debriefing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process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for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affected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employees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following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violent acts;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(m)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Resources available to employ</w:t>
            </w:r>
            <w:r w:rsidRPr="00813B7B">
              <w:rPr>
                <w:sz w:val="24"/>
              </w:rPr>
              <w:t xml:space="preserve">ees for coping with the effects </w:t>
            </w:r>
            <w:r w:rsidRPr="00813B7B">
              <w:rPr>
                <w:sz w:val="24"/>
              </w:rPr>
              <w:t>of violence;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DA5D25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(n)</w:t>
            </w:r>
            <w:r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Culturally competent peer-to-p</w:t>
            </w:r>
            <w:r w:rsidRPr="00813B7B">
              <w:rPr>
                <w:sz w:val="24"/>
              </w:rPr>
              <w:t xml:space="preserve">eer training for the prevention </w:t>
            </w:r>
            <w:r w:rsidRPr="00813B7B">
              <w:rPr>
                <w:sz w:val="24"/>
              </w:rPr>
              <w:t>of discrimination and abusive conduct;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(o)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Best practices for training service recipients on preventin</w:t>
            </w:r>
            <w:r w:rsidR="00DA5D25" w:rsidRPr="00813B7B">
              <w:rPr>
                <w:sz w:val="24"/>
              </w:rPr>
              <w:t xml:space="preserve">g </w:t>
            </w:r>
            <w:r w:rsidRPr="00813B7B">
              <w:rPr>
                <w:sz w:val="24"/>
              </w:rPr>
              <w:t>discrimination and abusive conduct in the home care setting;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(p)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Best practices for training direct supervisors on preventing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and responding to reports of </w:t>
            </w:r>
            <w:r w:rsidR="00DA5D25" w:rsidRPr="00813B7B">
              <w:rPr>
                <w:sz w:val="24"/>
              </w:rPr>
              <w:t>d</w:t>
            </w:r>
            <w:r w:rsidRPr="00813B7B">
              <w:rPr>
                <w:sz w:val="24"/>
              </w:rPr>
              <w:t>iscri</w:t>
            </w:r>
            <w:r w:rsidR="00DA5D25" w:rsidRPr="00813B7B">
              <w:rPr>
                <w:sz w:val="24"/>
              </w:rPr>
              <w:t xml:space="preserve">mination and abusive conduct in </w:t>
            </w:r>
            <w:r w:rsidRPr="00813B7B">
              <w:rPr>
                <w:sz w:val="24"/>
              </w:rPr>
              <w:t>the home care setting;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(q)</w:t>
            </w:r>
            <w:r w:rsidR="00DA5D25" w:rsidRPr="00813B7B">
              <w:rPr>
                <w:sz w:val="24"/>
              </w:rPr>
              <w:t xml:space="preserve">  </w:t>
            </w:r>
            <w:r w:rsidRPr="00813B7B">
              <w:rPr>
                <w:sz w:val="24"/>
              </w:rPr>
              <w:t>Recommended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best</w:t>
            </w:r>
            <w:r w:rsid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practices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for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workplace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safety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committees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referenced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in</w:t>
            </w:r>
            <w:r w:rsidRPr="00813B7B">
              <w:rPr>
                <w:sz w:val="24"/>
              </w:rPr>
              <w:tab/>
              <w:t>section</w:t>
            </w:r>
            <w:r w:rsidRPr="00813B7B">
              <w:rPr>
                <w:sz w:val="24"/>
              </w:rPr>
              <w:tab/>
              <w:t>4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of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this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act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and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recommended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topics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to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be</w:t>
            </w:r>
            <w:r w:rsid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included in prevention plans required in section 4 of this act;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(r)</w:t>
            </w:r>
            <w:r w:rsidR="00DA5D25" w:rsidRPr="00813B7B">
              <w:rPr>
                <w:sz w:val="24"/>
              </w:rPr>
              <w:t xml:space="preserve">  </w:t>
            </w:r>
            <w:r w:rsidRPr="00813B7B">
              <w:rPr>
                <w:sz w:val="24"/>
              </w:rPr>
              <w:t>Other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policy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changes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that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will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reduce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discrimination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and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abusive conduct in the workplace and best prepare employees to work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in environments where challenging behavior occurs; and</w:t>
            </w:r>
          </w:p>
          <w:p w:rsidR="00813B7B" w:rsidRPr="00813B7B" w:rsidRDefault="00813B7B" w:rsidP="003F33AB">
            <w:pPr>
              <w:rPr>
                <w:sz w:val="24"/>
              </w:rPr>
            </w:pPr>
          </w:p>
          <w:p w:rsidR="003F33AB" w:rsidRPr="00813B7B" w:rsidRDefault="003F33AB" w:rsidP="003F33AB">
            <w:pPr>
              <w:rPr>
                <w:sz w:val="24"/>
              </w:rPr>
            </w:pPr>
            <w:r w:rsidRPr="00813B7B">
              <w:rPr>
                <w:sz w:val="24"/>
              </w:rPr>
              <w:t>(s)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 xml:space="preserve"> Other best practices from trainings developed in other states</w:t>
            </w:r>
            <w:r w:rsidR="00DA5D25" w:rsidRPr="00813B7B">
              <w:rPr>
                <w:sz w:val="24"/>
              </w:rPr>
              <w:t xml:space="preserve"> </w:t>
            </w:r>
            <w:r w:rsidRPr="00813B7B">
              <w:rPr>
                <w:sz w:val="24"/>
              </w:rPr>
              <w:t>or for other industries to prevent dis</w:t>
            </w:r>
            <w:r w:rsidR="00DA5D25" w:rsidRPr="00813B7B">
              <w:rPr>
                <w:sz w:val="24"/>
              </w:rPr>
              <w:t xml:space="preserve">crimination and abusive conduct </w:t>
            </w:r>
            <w:r w:rsidRPr="00813B7B">
              <w:rPr>
                <w:sz w:val="24"/>
              </w:rPr>
              <w:t>in home care settings or the workplace.</w:t>
            </w:r>
          </w:p>
          <w:p w:rsidR="00594141" w:rsidRDefault="00594141" w:rsidP="00594141"/>
        </w:tc>
      </w:tr>
    </w:tbl>
    <w:p w:rsidR="008355B5" w:rsidRDefault="008355B5"/>
    <w:sectPr w:rsidR="0083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B5"/>
    <w:rsid w:val="001E263D"/>
    <w:rsid w:val="00382D52"/>
    <w:rsid w:val="003A17E1"/>
    <w:rsid w:val="003F33AB"/>
    <w:rsid w:val="004556BC"/>
    <w:rsid w:val="00477648"/>
    <w:rsid w:val="00594141"/>
    <w:rsid w:val="00601C59"/>
    <w:rsid w:val="00813B7B"/>
    <w:rsid w:val="008355B5"/>
    <w:rsid w:val="00B57913"/>
    <w:rsid w:val="00C25BA2"/>
    <w:rsid w:val="00D2323B"/>
    <w:rsid w:val="00DA5D25"/>
    <w:rsid w:val="00E46A1A"/>
    <w:rsid w:val="00F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B5F6"/>
  <w15:chartTrackingRefBased/>
  <w15:docId w15:val="{9517B9A3-0D17-4DEB-B5EA-E55768B1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B443-CDA8-4412-B4DE-EDDFE5AA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Chappell, David J (DSHS/ALTSA/HCS)</dc:creator>
  <cp:keywords/>
  <dc:description/>
  <cp:lastModifiedBy>Chappell, David J (DSHS/ALTSA/HCS)</cp:lastModifiedBy>
  <cp:revision>2</cp:revision>
  <dcterms:created xsi:type="dcterms:W3CDTF">2020-07-22T21:47:00Z</dcterms:created>
  <dcterms:modified xsi:type="dcterms:W3CDTF">2020-07-22T21:47:00Z</dcterms:modified>
</cp:coreProperties>
</file>