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803E" w14:textId="56CB5E12"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14:paraId="19F9E7D4" w14:textId="43889423"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</w:t>
      </w:r>
      <w:r w:rsidR="006878E4">
        <w:rPr>
          <w:rStyle w:val="Hyperlink"/>
          <w:color w:val="auto"/>
          <w:sz w:val="40"/>
          <w:szCs w:val="40"/>
          <w:u w:val="none"/>
        </w:rPr>
        <w:t xml:space="preserve">hursday, </w:t>
      </w:r>
      <w:r w:rsidR="00BA3597">
        <w:rPr>
          <w:rStyle w:val="Hyperlink"/>
          <w:color w:val="auto"/>
          <w:sz w:val="40"/>
          <w:szCs w:val="40"/>
          <w:u w:val="none"/>
        </w:rPr>
        <w:t>January 7, 2021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14:paraId="3AFEAB95" w14:textId="77777777"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14:paraId="0819AAD4" w14:textId="77777777"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14:paraId="081760CB" w14:textId="77777777" w:rsidR="00AD4E6F" w:rsidRPr="00AD4E6F" w:rsidRDefault="00AD4E6F" w:rsidP="00AD4E6F">
      <w:pPr>
        <w:pStyle w:val="DateTime"/>
        <w:jc w:val="center"/>
        <w:rPr>
          <w:vanish/>
        </w:rPr>
      </w:pPr>
      <w:r w:rsidRPr="00AD4E6F">
        <w:rPr>
          <w:vanish/>
        </w:rPr>
        <w:t>Join Zoom Meeting</w:t>
      </w:r>
    </w:p>
    <w:p w14:paraId="5BBB497A" w14:textId="2E341E1D" w:rsidR="001A4407" w:rsidRDefault="00D61F7C" w:rsidP="00AD4E6F">
      <w:pPr>
        <w:pStyle w:val="DateTime"/>
        <w:jc w:val="center"/>
        <w:rPr>
          <w:vanish/>
        </w:rPr>
      </w:pPr>
      <w:hyperlink w:history="1">
        <w:r w:rsidR="00AD4E6F" w:rsidRPr="005B3E0D">
          <w:rPr>
            <w:rStyle w:val="Hyperlink"/>
            <w:vanish/>
          </w:rPr>
          <w:t>https://us02web.zoom.us/j/83822370497?pwd=S3pTTGFXTWtTaHQ1b3hyTVFNeWREdz09</w:t>
        </w:r>
      </w:hyperlink>
    </w:p>
    <w:p w14:paraId="6B96B2EE" w14:textId="77777777" w:rsidR="00AD4E6F" w:rsidRPr="0060510E" w:rsidRDefault="00AD4E6F" w:rsidP="00AD4E6F">
      <w:pPr>
        <w:pStyle w:val="DateTime"/>
        <w:jc w:val="center"/>
        <w:rPr>
          <w:vanish/>
        </w:rPr>
      </w:pPr>
    </w:p>
    <w:p w14:paraId="2E611A11" w14:textId="77777777" w:rsidR="00AD4E6F" w:rsidRDefault="00AD4E6F" w:rsidP="00AD4E6F">
      <w:pPr>
        <w:jc w:val="center"/>
        <w:rPr>
          <w:sz w:val="22"/>
        </w:rPr>
      </w:pPr>
      <w:r>
        <w:t>Dial by your location</w:t>
      </w:r>
    </w:p>
    <w:p w14:paraId="0CD210A7" w14:textId="60B198D1" w:rsidR="00AD4E6F" w:rsidRDefault="00AD4E6F" w:rsidP="00AD4E6F">
      <w:pPr>
        <w:jc w:val="center"/>
      </w:pPr>
      <w:r>
        <w:t>(253) 215-8782 US (Tacoma)</w:t>
      </w:r>
    </w:p>
    <w:p w14:paraId="18407EF7" w14:textId="77777777" w:rsidR="00AD4E6F" w:rsidRPr="00AD4E6F" w:rsidRDefault="00AD4E6F" w:rsidP="00AD4E6F">
      <w:pPr>
        <w:jc w:val="center"/>
      </w:pPr>
    </w:p>
    <w:p w14:paraId="519047CD" w14:textId="77777777" w:rsidR="00AD4E6F" w:rsidRDefault="00AD4E6F" w:rsidP="00AD4E6F">
      <w:pPr>
        <w:jc w:val="center"/>
      </w:pPr>
      <w:r>
        <w:t>Meeting ID: 838 2237 0497</w:t>
      </w:r>
    </w:p>
    <w:p w14:paraId="15BE3AA5" w14:textId="77777777" w:rsidR="00AD4E6F" w:rsidRPr="00B912D8" w:rsidRDefault="00AD4E6F" w:rsidP="00AD4E6F">
      <w:pPr>
        <w:jc w:val="center"/>
      </w:pPr>
    </w:p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14:paraId="62828575" w14:textId="77777777" w:rsidTr="00B912D8">
        <w:trPr>
          <w:cantSplit/>
        </w:trPr>
        <w:tc>
          <w:tcPr>
            <w:tcW w:w="1782" w:type="dxa"/>
          </w:tcPr>
          <w:p w14:paraId="08B46DF4" w14:textId="77777777"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14:paraId="030B7251" w14:textId="77777777"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14:paraId="4F58D7FD" w14:textId="32FE7A8B" w:rsidR="00B912D8" w:rsidRDefault="00D61F7C" w:rsidP="00B912D8">
            <w:sdt>
              <w:sdtPr>
                <w:rPr>
                  <w:szCs w:val="24"/>
                </w:rPr>
                <w:id w:val="-20997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Adrienne Stuart, DD Council, Disability Advocacy Group 1</w:t>
            </w:r>
          </w:p>
          <w:p w14:paraId="1E62D65C" w14:textId="3CD758D1" w:rsidR="00B912D8" w:rsidRDefault="00D61F7C" w:rsidP="00B912D8">
            <w:sdt>
              <w:sdtPr>
                <w:rPr>
                  <w:szCs w:val="24"/>
                </w:rPr>
                <w:id w:val="20746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Alexis </w:t>
            </w:r>
            <w:proofErr w:type="spellStart"/>
            <w:r w:rsidR="00B912D8">
              <w:t>Rodich</w:t>
            </w:r>
            <w:proofErr w:type="spellEnd"/>
            <w:r w:rsidR="00B912D8">
              <w:t>, SEIU 775, Employee Labor Organization 1</w:t>
            </w:r>
          </w:p>
          <w:p w14:paraId="50C64BE8" w14:textId="0AA026D8" w:rsidR="00B912D8" w:rsidRDefault="00D61F7C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14:paraId="625ADDDE" w14:textId="131DDD56" w:rsidR="00B912D8" w:rsidRDefault="00D61F7C" w:rsidP="00B912D8">
            <w:sdt>
              <w:sdtPr>
                <w:rPr>
                  <w:szCs w:val="24"/>
                </w:rPr>
                <w:id w:val="206359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Lee, CDWA, Consumer Direct Employer Representative</w:t>
            </w:r>
          </w:p>
          <w:p w14:paraId="52FE7EA4" w14:textId="32BB1ABD" w:rsidR="00B912D8" w:rsidRDefault="00D61F7C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</w:t>
            </w:r>
            <w:proofErr w:type="spellStart"/>
            <w:r w:rsidR="00B912D8">
              <w:t>Wedekind</w:t>
            </w:r>
            <w:proofErr w:type="spellEnd"/>
            <w:r w:rsidR="00B912D8">
              <w:t>, OPEIU Local #8, Employee Labor Organization 2</w:t>
            </w:r>
          </w:p>
          <w:p w14:paraId="084D3020" w14:textId="4D508710" w:rsidR="00B912D8" w:rsidRDefault="00D61F7C" w:rsidP="00B912D8">
            <w:sdt>
              <w:sdtPr>
                <w:rPr>
                  <w:szCs w:val="24"/>
                </w:rPr>
                <w:id w:val="-1644502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Corinna </w:t>
            </w:r>
            <w:proofErr w:type="spellStart"/>
            <w:r w:rsidR="00B912D8">
              <w:t>Fale</w:t>
            </w:r>
            <w:proofErr w:type="spellEnd"/>
            <w:r w:rsidR="00B912D8">
              <w:t>, Self-Advocate, Service Recipient (DDA)</w:t>
            </w:r>
          </w:p>
          <w:p w14:paraId="143BE73C" w14:textId="20FF644A" w:rsidR="00B912D8" w:rsidRDefault="00D61F7C" w:rsidP="00B912D8">
            <w:sdt>
              <w:sdtPr>
                <w:rPr>
                  <w:szCs w:val="24"/>
                </w:rPr>
                <w:id w:val="-77439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Darla </w:t>
            </w:r>
            <w:proofErr w:type="spellStart"/>
            <w:r w:rsidR="00B912D8">
              <w:t>Helt</w:t>
            </w:r>
            <w:proofErr w:type="spellEnd"/>
            <w:r w:rsidR="00B912D8">
              <w:t>, Executive Director PEACE , Parent of a Service Recipient</w:t>
            </w:r>
          </w:p>
          <w:p w14:paraId="5922B7B2" w14:textId="24D848FA" w:rsidR="00B912D8" w:rsidRDefault="00D61F7C" w:rsidP="00B912D8">
            <w:sdt>
              <w:sdtPr>
                <w:rPr>
                  <w:szCs w:val="24"/>
                </w:rPr>
                <w:id w:val="18186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9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Darryl Johnson, Agency Provider, Long-Term Care Worker 1</w:t>
            </w:r>
          </w:p>
          <w:p w14:paraId="23EE0BC5" w14:textId="27777428" w:rsidR="00B912D8" w:rsidRDefault="00D61F7C" w:rsidP="00B912D8">
            <w:sdt>
              <w:sdtPr>
                <w:rPr>
                  <w:szCs w:val="24"/>
                </w:rPr>
                <w:id w:val="1252164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Dave Budd, Catholic Community Services, Home Care Agency Rep</w:t>
            </w:r>
          </w:p>
          <w:p w14:paraId="7E4651D0" w14:textId="07CF78DA" w:rsidR="00B912D8" w:rsidRDefault="00D61F7C" w:rsidP="00B912D8">
            <w:sdt>
              <w:sdtPr>
                <w:rPr>
                  <w:szCs w:val="24"/>
                </w:rPr>
                <w:id w:val="135252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Diana </w:t>
            </w:r>
            <w:proofErr w:type="spellStart"/>
            <w:r w:rsidR="00B912D8">
              <w:t>Stadden</w:t>
            </w:r>
            <w:proofErr w:type="spellEnd"/>
            <w:r w:rsidR="00B912D8">
              <w:t>, The Arc of Washington, Disability Advocacy Group 2</w:t>
            </w:r>
          </w:p>
          <w:p w14:paraId="6ABDA32D" w14:textId="75FECC13" w:rsidR="00B912D8" w:rsidRDefault="00D61F7C" w:rsidP="00B912D8">
            <w:sdt>
              <w:sdtPr>
                <w:rPr>
                  <w:szCs w:val="24"/>
                </w:rPr>
                <w:id w:val="-13006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14:paraId="0829F70D" w14:textId="3CBC00B3" w:rsidR="00B912D8" w:rsidRDefault="00D61F7C" w:rsidP="00B912D8">
            <w:sdt>
              <w:sdtPr>
                <w:rPr>
                  <w:szCs w:val="24"/>
                </w:rPr>
                <w:id w:val="-5813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Ivanova</w:t>
            </w:r>
            <w:proofErr w:type="spellEnd"/>
            <w:r w:rsidR="00B912D8">
              <w:t xml:space="preserve"> Smith, Advocate, Advocate (General)</w:t>
            </w:r>
          </w:p>
          <w:p w14:paraId="4CF7714F" w14:textId="17FF02CE" w:rsidR="00B912D8" w:rsidRDefault="00D61F7C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14:paraId="4BC2B765" w14:textId="0E05EB50" w:rsidR="00B912D8" w:rsidRDefault="00D61F7C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</w:t>
            </w:r>
            <w:proofErr w:type="spellStart"/>
            <w:r w:rsidR="00B912D8">
              <w:t>Lindstrand</w:t>
            </w:r>
            <w:proofErr w:type="spellEnd"/>
            <w:r w:rsidR="00B912D8">
              <w:t>, Human Rights Commission, HRC Representative</w:t>
            </w:r>
          </w:p>
          <w:p w14:paraId="0802736A" w14:textId="52B45A6F" w:rsidR="00B912D8" w:rsidRDefault="00D61F7C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Marcail</w:t>
            </w:r>
            <w:proofErr w:type="spellEnd"/>
            <w:r w:rsidR="00B912D8">
              <w:t xml:space="preserve"> Moody-Burks, SEIU 775 Benefits Group, Training Partnership Rep</w:t>
            </w:r>
          </w:p>
          <w:p w14:paraId="61125530" w14:textId="025611C0" w:rsidR="00B912D8" w:rsidRDefault="00D61F7C" w:rsidP="00B912D8">
            <w:sdt>
              <w:sdtPr>
                <w:rPr>
                  <w:szCs w:val="24"/>
                </w:rPr>
                <w:id w:val="765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95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Melissa</w:t>
            </w:r>
            <w:r w:rsidR="00CE1C52">
              <w:t>h</w:t>
            </w:r>
            <w:proofErr w:type="spellEnd"/>
            <w:r w:rsidR="00B912D8">
              <w:t xml:space="preserve"> Watts, Individual Provider, Long-Term Care Worker 2</w:t>
            </w:r>
          </w:p>
          <w:p w14:paraId="7FC5CE26" w14:textId="718972B2" w:rsidR="00B912D8" w:rsidRPr="00B912D8" w:rsidRDefault="00D61F7C" w:rsidP="00B912D8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  <w:tr w:rsidR="001C63B1" w:rsidRPr="00DF6FA4" w14:paraId="69B11424" w14:textId="77777777" w:rsidTr="00B912D8">
        <w:trPr>
          <w:cantSplit/>
        </w:trPr>
        <w:tc>
          <w:tcPr>
            <w:tcW w:w="1782" w:type="dxa"/>
          </w:tcPr>
          <w:p w14:paraId="080EA93C" w14:textId="412DF9BC" w:rsidR="001C63B1" w:rsidRDefault="001C63B1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Materials</w:t>
            </w:r>
          </w:p>
        </w:tc>
        <w:tc>
          <w:tcPr>
            <w:tcW w:w="8046" w:type="dxa"/>
          </w:tcPr>
          <w:p w14:paraId="4B2EFD45" w14:textId="19279B8E" w:rsidR="00A34395" w:rsidRDefault="00B43A72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Notes from prior sessio</w:t>
            </w:r>
            <w:r w:rsidR="00A34395">
              <w:rPr>
                <w:szCs w:val="24"/>
              </w:rPr>
              <w:t>n</w:t>
            </w:r>
          </w:p>
          <w:p w14:paraId="0A6CD723" w14:textId="77777777" w:rsidR="00540105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New employee orientation </w:t>
            </w:r>
          </w:p>
          <w:p w14:paraId="0418AA61" w14:textId="77F8449B" w:rsidR="00A34395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Recommendations review</w:t>
            </w:r>
          </w:p>
          <w:p w14:paraId="357F24BC" w14:textId="4B5D86C7" w:rsidR="006878E4" w:rsidRPr="0023052E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Debriefing process</w:t>
            </w:r>
          </w:p>
        </w:tc>
      </w:tr>
    </w:tbl>
    <w:p w14:paraId="66ED5120" w14:textId="6D188B71"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14:paraId="661270F4" w14:textId="6819B35A"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100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7470"/>
      </w:tblGrid>
      <w:tr w:rsidR="00AD7DF4" w:rsidRPr="00AA17E2" w14:paraId="1FBADD7F" w14:textId="4E5D9445" w:rsidTr="00BE0AAA">
        <w:trPr>
          <w:tblHeader/>
        </w:trPr>
        <w:tc>
          <w:tcPr>
            <w:tcW w:w="260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14:paraId="39715F48" w14:textId="4A686775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lastRenderedPageBreak/>
              <w:t>Topic</w:t>
            </w:r>
          </w:p>
        </w:tc>
        <w:tc>
          <w:tcPr>
            <w:tcW w:w="7470" w:type="dxa"/>
            <w:shd w:val="clear" w:color="auto" w:fill="D9D9D9" w:themeFill="background1" w:themeFillShade="D9"/>
          </w:tcPr>
          <w:p w14:paraId="770DEC36" w14:textId="2C5E6E9E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14:paraId="4597F658" w14:textId="6C2BC8F4" w:rsidTr="00BE0AAA">
        <w:tc>
          <w:tcPr>
            <w:tcW w:w="2605" w:type="dxa"/>
            <w:tcMar>
              <w:top w:w="72" w:type="dxa"/>
              <w:bottom w:w="72" w:type="dxa"/>
            </w:tcMar>
          </w:tcPr>
          <w:p w14:paraId="43AC1026" w14:textId="77777777" w:rsidR="00FE747C" w:rsidRPr="00FE747C" w:rsidRDefault="00D041E4" w:rsidP="00FE747C">
            <w:r w:rsidRPr="00FE747C">
              <w:rPr>
                <w:b/>
              </w:rPr>
              <w:t>Presentation</w:t>
            </w:r>
          </w:p>
          <w:p w14:paraId="6D3EEF57" w14:textId="3FCE0667" w:rsidR="00B43A72" w:rsidRPr="00DB7DF1" w:rsidRDefault="00BA3597" w:rsidP="00ED670D">
            <w:pPr>
              <w:pStyle w:val="ListParagraph"/>
              <w:numPr>
                <w:ilvl w:val="0"/>
                <w:numId w:val="28"/>
              </w:numPr>
            </w:pPr>
            <w:r>
              <w:t>Training for Managers (Dave Budd)</w:t>
            </w:r>
          </w:p>
        </w:tc>
        <w:tc>
          <w:tcPr>
            <w:tcW w:w="7470" w:type="dxa"/>
          </w:tcPr>
          <w:p w14:paraId="66C923DC" w14:textId="3A4AC211" w:rsidR="00D52BAC" w:rsidRPr="008B6DF3" w:rsidRDefault="00D52BAC" w:rsidP="00D52BAC">
            <w:r>
              <w:t xml:space="preserve">Catholic Community Services training resources for staff in the CCS Orientation and Safety Manual. Safety for the client and for the employee of CCS. </w:t>
            </w:r>
            <w:r w:rsidR="0065287A">
              <w:t>Find common definitions with support f</w:t>
            </w:r>
            <w:r w:rsidR="00F94BF5">
              <w:t xml:space="preserve">rom the workgroup (the legislation provides definitions). </w:t>
            </w:r>
          </w:p>
        </w:tc>
      </w:tr>
      <w:tr w:rsidR="00540105" w:rsidRPr="00226B31" w14:paraId="5E1F11AE" w14:textId="77777777" w:rsidTr="00BE0AAA">
        <w:tc>
          <w:tcPr>
            <w:tcW w:w="2605" w:type="dxa"/>
            <w:tcMar>
              <w:top w:w="72" w:type="dxa"/>
              <w:bottom w:w="72" w:type="dxa"/>
            </w:tcMar>
          </w:tcPr>
          <w:p w14:paraId="402259AD" w14:textId="77777777" w:rsidR="00540105" w:rsidRPr="009E1A93" w:rsidRDefault="00540105" w:rsidP="0054010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Outstanding Work</w:t>
            </w:r>
          </w:p>
          <w:p w14:paraId="56833834" w14:textId="77777777" w:rsidR="00540105" w:rsidRDefault="00463CBD" w:rsidP="00540105">
            <w:pPr>
              <w:pStyle w:val="ListParagraph"/>
              <w:numPr>
                <w:ilvl w:val="0"/>
                <w:numId w:val="28"/>
              </w:numPr>
            </w:pPr>
            <w:r>
              <w:t>Priority recommendations</w:t>
            </w:r>
          </w:p>
          <w:p w14:paraId="6C2EF876" w14:textId="77777777" w:rsidR="00BA3597" w:rsidRDefault="00BA3597" w:rsidP="00540105">
            <w:pPr>
              <w:pStyle w:val="ListParagraph"/>
              <w:numPr>
                <w:ilvl w:val="0"/>
                <w:numId w:val="28"/>
              </w:numPr>
            </w:pPr>
            <w:r>
              <w:t>Debriefing process</w:t>
            </w:r>
          </w:p>
          <w:p w14:paraId="0EF50DBA" w14:textId="2AFB4DBF" w:rsidR="00BA3597" w:rsidRPr="00540105" w:rsidRDefault="00BA3597" w:rsidP="00540105">
            <w:pPr>
              <w:pStyle w:val="ListParagraph"/>
              <w:numPr>
                <w:ilvl w:val="0"/>
                <w:numId w:val="28"/>
              </w:numPr>
            </w:pPr>
            <w:r>
              <w:t>Person-centered planning practices</w:t>
            </w:r>
          </w:p>
        </w:tc>
        <w:tc>
          <w:tcPr>
            <w:tcW w:w="7470" w:type="dxa"/>
          </w:tcPr>
          <w:p w14:paraId="6A1C636C" w14:textId="5C3039F5" w:rsidR="00540105" w:rsidRPr="008B6DF3" w:rsidRDefault="00C14C73" w:rsidP="00D140CF">
            <w:r>
              <w:t>Draft documents to be reviewed by workgroup b</w:t>
            </w:r>
            <w:r w:rsidR="00D140CF">
              <w:t xml:space="preserve">efore </w:t>
            </w:r>
            <w:r>
              <w:t xml:space="preserve">next meeting. </w:t>
            </w:r>
          </w:p>
        </w:tc>
      </w:tr>
      <w:tr w:rsidR="00AD7DF4" w:rsidRPr="00DF6FA4" w14:paraId="5DC576DC" w14:textId="595AC8EF" w:rsidTr="00BE0AAA">
        <w:tc>
          <w:tcPr>
            <w:tcW w:w="2605" w:type="dxa"/>
            <w:tcMar>
              <w:top w:w="72" w:type="dxa"/>
              <w:bottom w:w="72" w:type="dxa"/>
            </w:tcMar>
          </w:tcPr>
          <w:p w14:paraId="1A45DC9F" w14:textId="35AB9BFE"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14:paraId="402BA370" w14:textId="77777777" w:rsidR="006A42AB" w:rsidRDefault="00BA3597" w:rsidP="00463CBD">
            <w:pPr>
              <w:pStyle w:val="ListParagraph"/>
              <w:numPr>
                <w:ilvl w:val="0"/>
                <w:numId w:val="28"/>
              </w:numPr>
            </w:pPr>
            <w:r>
              <w:t>Training direct supervisors</w:t>
            </w:r>
          </w:p>
          <w:p w14:paraId="32717353" w14:textId="2A88B3E1" w:rsidR="00BA3597" w:rsidRPr="00346936" w:rsidRDefault="00BA3597" w:rsidP="00463CBD">
            <w:pPr>
              <w:pStyle w:val="ListParagraph"/>
              <w:numPr>
                <w:ilvl w:val="0"/>
                <w:numId w:val="28"/>
              </w:numPr>
            </w:pPr>
            <w:r>
              <w:t>Best practices for reporting (if time available)</w:t>
            </w:r>
          </w:p>
        </w:tc>
        <w:tc>
          <w:tcPr>
            <w:tcW w:w="7470" w:type="dxa"/>
          </w:tcPr>
          <w:p w14:paraId="72E1A2F3" w14:textId="503A3835" w:rsidR="00346936" w:rsidRPr="00523CF8" w:rsidRDefault="00523CF8" w:rsidP="00463CBD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Pr="00523CF8">
              <w:rPr>
                <w:b/>
              </w:rPr>
              <w:t>Recommendations</w:t>
            </w:r>
            <w:r>
              <w:rPr>
                <w:b/>
              </w:rPr>
              <w:t xml:space="preserve"> </w:t>
            </w:r>
            <w:r w:rsidR="006765AC">
              <w:rPr>
                <w:b/>
              </w:rPr>
              <w:t xml:space="preserve">for Training Direct Supervisors </w:t>
            </w:r>
            <w:r>
              <w:rPr>
                <w:b/>
              </w:rPr>
              <w:t xml:space="preserve">(more details in separate document): </w:t>
            </w:r>
            <w:r w:rsidRPr="00523CF8">
              <w:rPr>
                <w:b/>
              </w:rPr>
              <w:t xml:space="preserve"> </w:t>
            </w:r>
          </w:p>
          <w:p w14:paraId="009D8BD6" w14:textId="77777777" w:rsidR="00523CF8" w:rsidRDefault="00523CF8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Provide a common definition of harassment, discrimination, and abuse; and a model policy template related to protecting workers for employees to adopt/adapt. </w:t>
            </w:r>
          </w:p>
          <w:p w14:paraId="66E1653B" w14:textId="77777777" w:rsidR="00523CF8" w:rsidRDefault="00523CF8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Person-centered planning and a 1-page sheet describing challenging behaviors (triggers) and possible responses will help better match clients and caregivers. </w:t>
            </w:r>
          </w:p>
          <w:p w14:paraId="37AE55CC" w14:textId="77777777" w:rsidR="00523CF8" w:rsidRDefault="00523CF8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Provide protections to workers who leave an unsafe situation from charges of abandonment. </w:t>
            </w:r>
          </w:p>
          <w:p w14:paraId="5675E025" w14:textId="77777777" w:rsidR="00523CF8" w:rsidRDefault="00523CF8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Take away the judgment about reporting harassment. </w:t>
            </w:r>
          </w:p>
          <w:p w14:paraId="2350D82A" w14:textId="77777777" w:rsidR="005A5659" w:rsidRDefault="005A5659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It is okay to report issues that may not be considered harassment or abuse, but may be uncomfortable for the employee. The purpose would be to get some guidance and support/training to address the situation. </w:t>
            </w:r>
          </w:p>
          <w:p w14:paraId="40D4CAE8" w14:textId="77777777" w:rsidR="002E4A8A" w:rsidRDefault="00A460AB" w:rsidP="00523CF8">
            <w:pPr>
              <w:pStyle w:val="ListParagraph"/>
              <w:numPr>
                <w:ilvl w:val="0"/>
                <w:numId w:val="36"/>
              </w:numPr>
            </w:pPr>
            <w:r>
              <w:t>Certain disabilities may have common behaviors. It may be helpful for a caregiver to know about common behaviors related to a disability to help avoid labeling a challenging behavior as harassment (individual differences exist and must be respected).</w:t>
            </w:r>
          </w:p>
          <w:p w14:paraId="27E90B6D" w14:textId="267D5FBF" w:rsidR="00A460AB" w:rsidRDefault="002E4A8A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People can work as teams. If providers and the client communicate back and forth, they can provide better support as a team. </w:t>
            </w:r>
            <w:r w:rsidR="00A460AB">
              <w:t xml:space="preserve"> </w:t>
            </w:r>
          </w:p>
          <w:p w14:paraId="0279AC00" w14:textId="77777777" w:rsidR="00A460AB" w:rsidRDefault="00A460AB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If </w:t>
            </w:r>
            <w:r w:rsidR="00F61807">
              <w:t xml:space="preserve">service coordinators have a caseload of similar clients, they may be better equipped to provide support to their employees. </w:t>
            </w:r>
          </w:p>
          <w:p w14:paraId="642DDEF7" w14:textId="2D5E132B" w:rsidR="006023D2" w:rsidRDefault="006023D2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De-escalation techniques for supervisors and how to listen so people feel heard are great trainings for supervisors/service coordinators. This helps supervisors to better support employees. </w:t>
            </w:r>
          </w:p>
          <w:p w14:paraId="6042B351" w14:textId="676258B9" w:rsidR="006023D2" w:rsidRDefault="00A535AF" w:rsidP="00523CF8">
            <w:pPr>
              <w:pStyle w:val="ListParagraph"/>
              <w:numPr>
                <w:ilvl w:val="0"/>
                <w:numId w:val="36"/>
              </w:numPr>
            </w:pPr>
            <w:r>
              <w:t xml:space="preserve">Mental health first aid training </w:t>
            </w:r>
            <w:hyperlink r:id="rId13" w:history="1">
              <w:r w:rsidR="004B4350" w:rsidRPr="009D3B4D">
                <w:rPr>
                  <w:rStyle w:val="Hyperlink"/>
                </w:rPr>
                <w:t>www.menta</w:t>
              </w:r>
              <w:r w:rsidR="004B4350" w:rsidRPr="009D3B4D">
                <w:rPr>
                  <w:rStyle w:val="Hyperlink"/>
                </w:rPr>
                <w:t>lhealthfirstaid.org</w:t>
              </w:r>
            </w:hyperlink>
            <w:r w:rsidR="004B4350">
              <w:t xml:space="preserve"> </w:t>
            </w:r>
            <w:r>
              <w:t xml:space="preserve">should be offered to supervisors and service coordinators. </w:t>
            </w:r>
          </w:p>
          <w:p w14:paraId="346A6CA1" w14:textId="77777777" w:rsidR="00DA0907" w:rsidRDefault="00DA0907" w:rsidP="00DA0907">
            <w:pPr>
              <w:pStyle w:val="ListParagraph"/>
              <w:numPr>
                <w:ilvl w:val="0"/>
                <w:numId w:val="36"/>
              </w:numPr>
            </w:pPr>
            <w:r>
              <w:t xml:space="preserve">If the supervisor can help providers know where a new provider’s strengths and weaknesses are which will help them grow their skills and learn. </w:t>
            </w:r>
          </w:p>
          <w:p w14:paraId="1B22D849" w14:textId="77777777" w:rsidR="006765AC" w:rsidRDefault="006765AC" w:rsidP="006765AC"/>
          <w:p w14:paraId="6C7F8776" w14:textId="75EF5411" w:rsidR="006765AC" w:rsidRDefault="006765AC" w:rsidP="006765A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Proposed Recommendations </w:t>
            </w:r>
            <w:r>
              <w:rPr>
                <w:b/>
                <w:iCs/>
              </w:rPr>
              <w:t xml:space="preserve">for Reporting </w:t>
            </w:r>
            <w:r>
              <w:rPr>
                <w:b/>
                <w:iCs/>
              </w:rPr>
              <w:t xml:space="preserve">(more details in separate document): </w:t>
            </w:r>
          </w:p>
          <w:p w14:paraId="3227749D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Agency provider reporting – caregivers are encouraged to report anything that happens to their supervisor, and the supervisor will help address next steps. </w:t>
            </w:r>
          </w:p>
          <w:p w14:paraId="2EB167CE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>Caregivers are encouraged to report incidents.</w:t>
            </w:r>
          </w:p>
          <w:p w14:paraId="66E80939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>Anything out of the ordinary happens, contact supervisor.</w:t>
            </w:r>
          </w:p>
          <w:p w14:paraId="6EB6C32B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Report non-serious incidents to case manager, serious incidents to law enforcement. (IP) CDE service coordinators can act as a middleman. </w:t>
            </w:r>
          </w:p>
          <w:p w14:paraId="746A454D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Employee assistance line staff should help direct next steps, including law enforcement, case manager, or service coordinator. Intent is to have a single point of entry. </w:t>
            </w:r>
          </w:p>
          <w:p w14:paraId="2BF17E67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Are there any HR staff (other staff) in larger agencies that employees can talk to if they feel uncomfortable talking with their supervisor for some reason? </w:t>
            </w:r>
          </w:p>
          <w:p w14:paraId="6A8B10C1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If an employee is experiencing harassment from a supervisor, they should report to a manager or director up the chain of command. </w:t>
            </w:r>
          </w:p>
          <w:p w14:paraId="740EA60F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If an employee observes abuse of a client by another or self-neglect, the employee should report to APS. APS has a number of resources available to provide support. </w:t>
            </w:r>
          </w:p>
          <w:p w14:paraId="71058781" w14:textId="77777777" w:rsidR="006765AC" w:rsidRDefault="006765AC" w:rsidP="006765A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 xml:space="preserve">There should be NO retaliation for reporting any incident, whether or not it meets the definitions of harassment, abuse or discrimination.  </w:t>
            </w:r>
          </w:p>
          <w:p w14:paraId="0ADB5FEE" w14:textId="7103A0E1" w:rsidR="006765AC" w:rsidRPr="00463CBD" w:rsidRDefault="006765AC" w:rsidP="006765AC">
            <w:pPr>
              <w:pStyle w:val="ListParagraph"/>
              <w:numPr>
                <w:ilvl w:val="0"/>
                <w:numId w:val="37"/>
              </w:numPr>
            </w:pPr>
            <w:proofErr w:type="spellStart"/>
            <w:r w:rsidRPr="006765AC">
              <w:rPr>
                <w:iCs/>
              </w:rPr>
              <w:t>Ombuds</w:t>
            </w:r>
            <w:proofErr w:type="spellEnd"/>
            <w:r w:rsidRPr="006765AC">
              <w:rPr>
                <w:iCs/>
              </w:rPr>
              <w:t xml:space="preserve"> office or Disability Rights WA (DRW) may be able to help with resources.</w:t>
            </w:r>
          </w:p>
        </w:tc>
      </w:tr>
      <w:tr w:rsidR="00AD7DF4" w:rsidRPr="00226B31" w14:paraId="01923ABC" w14:textId="6149DA9C" w:rsidTr="00BE0AAA">
        <w:tc>
          <w:tcPr>
            <w:tcW w:w="2605" w:type="dxa"/>
            <w:tcMar>
              <w:top w:w="72" w:type="dxa"/>
              <w:bottom w:w="72" w:type="dxa"/>
            </w:tcMar>
          </w:tcPr>
          <w:p w14:paraId="3EC8EE16" w14:textId="111DE419"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14:paraId="27AA1350" w14:textId="52EA236E" w:rsidR="00983BF0" w:rsidRPr="00DB7DF1" w:rsidRDefault="00BA3597" w:rsidP="009E1A93">
            <w:pPr>
              <w:pStyle w:val="ListParagraph"/>
              <w:numPr>
                <w:ilvl w:val="0"/>
                <w:numId w:val="28"/>
              </w:numPr>
            </w:pPr>
            <w:r>
              <w:t>Best practices for service recipients</w:t>
            </w:r>
          </w:p>
        </w:tc>
        <w:tc>
          <w:tcPr>
            <w:tcW w:w="7470" w:type="dxa"/>
          </w:tcPr>
          <w:p w14:paraId="69547D98" w14:textId="687E926B" w:rsidR="008E0F0A" w:rsidRPr="006765AC" w:rsidRDefault="006765AC" w:rsidP="006765AC">
            <w:pPr>
              <w:rPr>
                <w:iCs/>
              </w:rPr>
            </w:pPr>
            <w:r>
              <w:rPr>
                <w:iCs/>
              </w:rPr>
              <w:t xml:space="preserve">Brief discussion about </w:t>
            </w:r>
            <w:r w:rsidR="00BE65A2">
              <w:rPr>
                <w:iCs/>
              </w:rPr>
              <w:t>objective, reflective</w:t>
            </w:r>
            <w:r w:rsidR="00237604">
              <w:rPr>
                <w:iCs/>
              </w:rPr>
              <w:t xml:space="preserve"> </w:t>
            </w:r>
            <w:r w:rsidR="00BE65A2">
              <w:rPr>
                <w:iCs/>
              </w:rPr>
              <w:t xml:space="preserve">and </w:t>
            </w:r>
            <w:r w:rsidR="00237604">
              <w:rPr>
                <w:iCs/>
              </w:rPr>
              <w:t xml:space="preserve">integrative questions on </w:t>
            </w:r>
            <w:r>
              <w:rPr>
                <w:iCs/>
              </w:rPr>
              <w:t xml:space="preserve">this topic to prepare for next meeting. </w:t>
            </w:r>
            <w:r w:rsidR="008E0F0A" w:rsidRPr="006765AC">
              <w:rPr>
                <w:iCs/>
              </w:rPr>
              <w:t xml:space="preserve"> </w:t>
            </w:r>
          </w:p>
        </w:tc>
      </w:tr>
      <w:tr w:rsidR="00AD7DF4" w:rsidRPr="00226B31" w14:paraId="6826DE78" w14:textId="5D8A2063" w:rsidTr="00BE0AAA">
        <w:tc>
          <w:tcPr>
            <w:tcW w:w="2605" w:type="dxa"/>
            <w:tcMar>
              <w:top w:w="72" w:type="dxa"/>
              <w:bottom w:w="72" w:type="dxa"/>
            </w:tcMar>
          </w:tcPr>
          <w:p w14:paraId="0EC64DB4" w14:textId="4F7E039F"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14:paraId="305DD9BB" w14:textId="1182C3D9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14:paraId="60A028EE" w14:textId="46A5360C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14:paraId="3081A6DB" w14:textId="26724609"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7470" w:type="dxa"/>
          </w:tcPr>
          <w:p w14:paraId="17096AC8" w14:textId="5E4B2628" w:rsidR="00AD7DF4" w:rsidRPr="008B6DF3" w:rsidRDefault="00D767AC" w:rsidP="00D767AC">
            <w:r>
              <w:t xml:space="preserve">Next meeting is January 14. </w:t>
            </w:r>
          </w:p>
        </w:tc>
      </w:tr>
    </w:tbl>
    <w:p w14:paraId="35100DDA" w14:textId="77777777" w:rsidR="00A34395" w:rsidRDefault="00A34395" w:rsidP="00717FC7">
      <w:pPr>
        <w:spacing w:line="276" w:lineRule="auto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45"/>
        <w:gridCol w:w="6210"/>
        <w:gridCol w:w="2250"/>
      </w:tblGrid>
      <w:tr w:rsidR="00A34395" w:rsidRPr="00DF6FA4" w14:paraId="64CDE3B6" w14:textId="77777777" w:rsidTr="00A34395">
        <w:trPr>
          <w:cantSplit/>
          <w:tblHeader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14:paraId="7B221007" w14:textId="77777777"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t>Action Items</w:t>
            </w:r>
          </w:p>
        </w:tc>
      </w:tr>
      <w:tr w:rsidR="00A34395" w:rsidRPr="00DF6FA4" w14:paraId="08049D07" w14:textId="77777777" w:rsidTr="00484E42">
        <w:trPr>
          <w:cantSplit/>
          <w:tblHeader/>
        </w:trPr>
        <w:tc>
          <w:tcPr>
            <w:tcW w:w="1345" w:type="dxa"/>
          </w:tcPr>
          <w:p w14:paraId="49A5B108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6210" w:type="dxa"/>
          </w:tcPr>
          <w:p w14:paraId="748559AB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2250" w:type="dxa"/>
          </w:tcPr>
          <w:p w14:paraId="3ACDE630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14:paraId="458B131D" w14:textId="77777777" w:rsidTr="00484E42">
        <w:trPr>
          <w:cantSplit/>
          <w:trHeight w:val="432"/>
        </w:trPr>
        <w:tc>
          <w:tcPr>
            <w:tcW w:w="1345" w:type="dxa"/>
          </w:tcPr>
          <w:p w14:paraId="3408C400" w14:textId="290A9F51" w:rsidR="00A34395" w:rsidRPr="008B6DF3" w:rsidRDefault="00C14C73" w:rsidP="008E25A9">
            <w:r>
              <w:t>Porsche</w:t>
            </w:r>
          </w:p>
        </w:tc>
        <w:tc>
          <w:tcPr>
            <w:tcW w:w="6210" w:type="dxa"/>
          </w:tcPr>
          <w:p w14:paraId="4F53FF27" w14:textId="0A45F3FC" w:rsidR="00A34395" w:rsidRPr="008B6DF3" w:rsidRDefault="00C14C73" w:rsidP="008E25A9">
            <w:r>
              <w:t>Send workgroup members</w:t>
            </w:r>
            <w:r w:rsidR="00D61F7C">
              <w:t xml:space="preserve"> two </w:t>
            </w:r>
            <w:r w:rsidR="00484E42">
              <w:t>“</w:t>
            </w:r>
            <w:r>
              <w:t>outstanding work documents</w:t>
            </w:r>
            <w:r w:rsidR="00484E42">
              <w:t>”</w:t>
            </w:r>
            <w:r>
              <w:t xml:space="preserve"> for review and feedback/comment in track changes. 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64705C20" w14:textId="16356052" w:rsidR="00A34395" w:rsidRPr="008B6DF3" w:rsidRDefault="00C14C73" w:rsidP="008E25A9">
            <w:r>
              <w:t xml:space="preserve">Next meeting </w:t>
            </w:r>
            <w:r w:rsidR="00D767AC">
              <w:t>on</w:t>
            </w:r>
            <w:r>
              <w:t xml:space="preserve"> January 14 </w:t>
            </w:r>
          </w:p>
        </w:tc>
      </w:tr>
      <w:tr w:rsidR="00A34395" w14:paraId="7F16F41D" w14:textId="77777777" w:rsidTr="00484E42">
        <w:trPr>
          <w:cantSplit/>
          <w:trHeight w:val="432"/>
        </w:trPr>
        <w:tc>
          <w:tcPr>
            <w:tcW w:w="1345" w:type="dxa"/>
          </w:tcPr>
          <w:p w14:paraId="03691110" w14:textId="77777777" w:rsidR="00A34395" w:rsidRPr="008B6DF3" w:rsidRDefault="00A34395" w:rsidP="008E25A9"/>
        </w:tc>
        <w:tc>
          <w:tcPr>
            <w:tcW w:w="6210" w:type="dxa"/>
          </w:tcPr>
          <w:p w14:paraId="70C037E6" w14:textId="77777777" w:rsidR="00A34395" w:rsidRPr="008B6DF3" w:rsidRDefault="00A34395" w:rsidP="008E25A9"/>
        </w:tc>
        <w:tc>
          <w:tcPr>
            <w:tcW w:w="2250" w:type="dxa"/>
          </w:tcPr>
          <w:p w14:paraId="192D6F63" w14:textId="77777777" w:rsidR="00A34395" w:rsidRPr="008B6DF3" w:rsidRDefault="00A34395" w:rsidP="008E25A9"/>
        </w:tc>
      </w:tr>
      <w:tr w:rsidR="00A34395" w14:paraId="7E666A55" w14:textId="77777777" w:rsidTr="00484E42">
        <w:trPr>
          <w:cantSplit/>
          <w:trHeight w:val="432"/>
        </w:trPr>
        <w:tc>
          <w:tcPr>
            <w:tcW w:w="1345" w:type="dxa"/>
          </w:tcPr>
          <w:p w14:paraId="2EA003DB" w14:textId="77777777" w:rsidR="00A34395" w:rsidRPr="008B6DF3" w:rsidRDefault="00A34395" w:rsidP="008E25A9"/>
        </w:tc>
        <w:tc>
          <w:tcPr>
            <w:tcW w:w="6210" w:type="dxa"/>
          </w:tcPr>
          <w:p w14:paraId="4BC0C432" w14:textId="77777777" w:rsidR="00A34395" w:rsidRPr="008B6DF3" w:rsidRDefault="00A34395" w:rsidP="008E25A9"/>
        </w:tc>
        <w:tc>
          <w:tcPr>
            <w:tcW w:w="2250" w:type="dxa"/>
          </w:tcPr>
          <w:p w14:paraId="3D3391A0" w14:textId="77777777" w:rsidR="00A34395" w:rsidRPr="008B6DF3" w:rsidRDefault="00A34395" w:rsidP="008E25A9"/>
        </w:tc>
      </w:tr>
      <w:tr w:rsidR="00A34395" w14:paraId="0088E7EB" w14:textId="77777777" w:rsidTr="00484E42">
        <w:trPr>
          <w:cantSplit/>
          <w:trHeight w:val="432"/>
        </w:trPr>
        <w:tc>
          <w:tcPr>
            <w:tcW w:w="1345" w:type="dxa"/>
          </w:tcPr>
          <w:p w14:paraId="3A0A3C76" w14:textId="77777777" w:rsidR="00A34395" w:rsidRPr="008B6DF3" w:rsidRDefault="00A34395" w:rsidP="008E25A9"/>
        </w:tc>
        <w:tc>
          <w:tcPr>
            <w:tcW w:w="6210" w:type="dxa"/>
          </w:tcPr>
          <w:p w14:paraId="35BE3ED4" w14:textId="77777777" w:rsidR="00A34395" w:rsidRPr="008B6DF3" w:rsidRDefault="00A34395" w:rsidP="008E25A9"/>
        </w:tc>
        <w:tc>
          <w:tcPr>
            <w:tcW w:w="2250" w:type="dxa"/>
          </w:tcPr>
          <w:p w14:paraId="5E7D1B30" w14:textId="77777777" w:rsidR="00A34395" w:rsidRPr="008B6DF3" w:rsidRDefault="00A34395" w:rsidP="008E25A9"/>
        </w:tc>
      </w:tr>
      <w:tr w:rsidR="00A34395" w14:paraId="6C536D01" w14:textId="77777777" w:rsidTr="00484E42">
        <w:trPr>
          <w:cantSplit/>
          <w:trHeight w:val="432"/>
        </w:trPr>
        <w:tc>
          <w:tcPr>
            <w:tcW w:w="1345" w:type="dxa"/>
          </w:tcPr>
          <w:p w14:paraId="1F35CFEE" w14:textId="77777777" w:rsidR="00A34395" w:rsidRPr="008B6DF3" w:rsidRDefault="00A34395" w:rsidP="008E25A9"/>
        </w:tc>
        <w:tc>
          <w:tcPr>
            <w:tcW w:w="6210" w:type="dxa"/>
          </w:tcPr>
          <w:p w14:paraId="6E76A1B8" w14:textId="77777777" w:rsidR="00A34395" w:rsidRPr="008B6DF3" w:rsidRDefault="00A34395" w:rsidP="008E25A9"/>
        </w:tc>
        <w:tc>
          <w:tcPr>
            <w:tcW w:w="2250" w:type="dxa"/>
          </w:tcPr>
          <w:p w14:paraId="58270764" w14:textId="77777777" w:rsidR="00A34395" w:rsidRPr="008B6DF3" w:rsidRDefault="00A34395" w:rsidP="008E25A9"/>
        </w:tc>
      </w:tr>
      <w:tr w:rsidR="00A34395" w14:paraId="76A3DC1A" w14:textId="77777777" w:rsidTr="00484E42">
        <w:trPr>
          <w:cantSplit/>
          <w:trHeight w:val="432"/>
        </w:trPr>
        <w:tc>
          <w:tcPr>
            <w:tcW w:w="1345" w:type="dxa"/>
          </w:tcPr>
          <w:p w14:paraId="5789ABDC" w14:textId="77777777" w:rsidR="00A34395" w:rsidRPr="008B6DF3" w:rsidRDefault="00A34395" w:rsidP="008E25A9"/>
        </w:tc>
        <w:tc>
          <w:tcPr>
            <w:tcW w:w="6210" w:type="dxa"/>
          </w:tcPr>
          <w:p w14:paraId="5792F15C" w14:textId="77777777" w:rsidR="00A34395" w:rsidRPr="008B6DF3" w:rsidRDefault="00A34395" w:rsidP="008E25A9"/>
        </w:tc>
        <w:tc>
          <w:tcPr>
            <w:tcW w:w="2250" w:type="dxa"/>
          </w:tcPr>
          <w:p w14:paraId="3B42397A" w14:textId="77777777" w:rsidR="00A34395" w:rsidRPr="008B6DF3" w:rsidRDefault="00A34395" w:rsidP="008E25A9"/>
        </w:tc>
      </w:tr>
    </w:tbl>
    <w:p w14:paraId="50664A25" w14:textId="36B33AC5" w:rsidR="00DF6FA4" w:rsidRDefault="00DF6FA4" w:rsidP="00717FC7">
      <w:pPr>
        <w:spacing w:line="276" w:lineRule="auto"/>
      </w:pPr>
    </w:p>
    <w:p w14:paraId="65453DD5" w14:textId="77777777"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4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040A" w14:textId="77777777" w:rsidR="00A46F65" w:rsidRDefault="00A46F65">
      <w:r>
        <w:separator/>
      </w:r>
    </w:p>
  </w:endnote>
  <w:endnote w:type="continuationSeparator" w:id="0">
    <w:p w14:paraId="77FB8AA1" w14:textId="77777777" w:rsidR="00A46F65" w:rsidRDefault="00A4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6EB3" w14:textId="77777777" w:rsidR="00A46F65" w:rsidRDefault="00A46F65">
      <w:r>
        <w:separator/>
      </w:r>
    </w:p>
  </w:footnote>
  <w:footnote w:type="continuationSeparator" w:id="0">
    <w:p w14:paraId="3D8C7E4A" w14:textId="77777777" w:rsidR="00A46F65" w:rsidRDefault="00A4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0232" w14:textId="77777777"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D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E9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908B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8688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74218"/>
    <w:multiLevelType w:val="hybridMultilevel"/>
    <w:tmpl w:val="4160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166B6"/>
    <w:multiLevelType w:val="hybridMultilevel"/>
    <w:tmpl w:val="6BDC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20B1E"/>
    <w:multiLevelType w:val="hybridMultilevel"/>
    <w:tmpl w:val="43A2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22909"/>
    <w:multiLevelType w:val="hybridMultilevel"/>
    <w:tmpl w:val="08A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7C8"/>
    <w:multiLevelType w:val="hybridMultilevel"/>
    <w:tmpl w:val="64FA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5C1178"/>
    <w:multiLevelType w:val="hybridMultilevel"/>
    <w:tmpl w:val="E256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845AB"/>
    <w:multiLevelType w:val="hybridMultilevel"/>
    <w:tmpl w:val="CC2C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3303A"/>
    <w:multiLevelType w:val="hybridMultilevel"/>
    <w:tmpl w:val="349C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2"/>
  </w:num>
  <w:num w:numId="6">
    <w:abstractNumId w:val="26"/>
  </w:num>
  <w:num w:numId="7">
    <w:abstractNumId w:val="31"/>
  </w:num>
  <w:num w:numId="8">
    <w:abstractNumId w:val="17"/>
  </w:num>
  <w:num w:numId="9">
    <w:abstractNumId w:val="5"/>
  </w:num>
  <w:num w:numId="10">
    <w:abstractNumId w:val="24"/>
  </w:num>
  <w:num w:numId="11">
    <w:abstractNumId w:val="15"/>
  </w:num>
  <w:num w:numId="12">
    <w:abstractNumId w:val="11"/>
  </w:num>
  <w:num w:numId="13">
    <w:abstractNumId w:val="33"/>
  </w:num>
  <w:num w:numId="14">
    <w:abstractNumId w:val="6"/>
  </w:num>
  <w:num w:numId="15">
    <w:abstractNumId w:val="25"/>
  </w:num>
  <w:num w:numId="16">
    <w:abstractNumId w:val="21"/>
  </w:num>
  <w:num w:numId="17">
    <w:abstractNumId w:val="12"/>
  </w:num>
  <w:num w:numId="18">
    <w:abstractNumId w:val="14"/>
  </w:num>
  <w:num w:numId="19">
    <w:abstractNumId w:val="13"/>
  </w:num>
  <w:num w:numId="20">
    <w:abstractNumId w:val="7"/>
  </w:num>
  <w:num w:numId="21">
    <w:abstractNumId w:val="29"/>
  </w:num>
  <w:num w:numId="22">
    <w:abstractNumId w:val="36"/>
  </w:num>
  <w:num w:numId="23">
    <w:abstractNumId w:val="18"/>
  </w:num>
  <w:num w:numId="24">
    <w:abstractNumId w:val="23"/>
  </w:num>
  <w:num w:numId="25">
    <w:abstractNumId w:val="35"/>
  </w:num>
  <w:num w:numId="26">
    <w:abstractNumId w:val="32"/>
  </w:num>
  <w:num w:numId="27">
    <w:abstractNumId w:val="20"/>
  </w:num>
  <w:num w:numId="28">
    <w:abstractNumId w:val="4"/>
  </w:num>
  <w:num w:numId="29">
    <w:abstractNumId w:val="30"/>
  </w:num>
  <w:num w:numId="30">
    <w:abstractNumId w:val="27"/>
  </w:num>
  <w:num w:numId="31">
    <w:abstractNumId w:val="10"/>
  </w:num>
  <w:num w:numId="32">
    <w:abstractNumId w:val="28"/>
  </w:num>
  <w:num w:numId="33">
    <w:abstractNumId w:val="8"/>
  </w:num>
  <w:num w:numId="34">
    <w:abstractNumId w:val="19"/>
  </w:num>
  <w:num w:numId="35">
    <w:abstractNumId w:val="34"/>
  </w:num>
  <w:num w:numId="36">
    <w:abstractNumId w:val="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13E43"/>
    <w:rsid w:val="00014733"/>
    <w:rsid w:val="00030042"/>
    <w:rsid w:val="000351D3"/>
    <w:rsid w:val="000358DE"/>
    <w:rsid w:val="00037D11"/>
    <w:rsid w:val="00040877"/>
    <w:rsid w:val="00044A48"/>
    <w:rsid w:val="000467CD"/>
    <w:rsid w:val="00047248"/>
    <w:rsid w:val="00056C4A"/>
    <w:rsid w:val="00066C5E"/>
    <w:rsid w:val="00067607"/>
    <w:rsid w:val="00076CE1"/>
    <w:rsid w:val="000A4872"/>
    <w:rsid w:val="000A5123"/>
    <w:rsid w:val="000A6EB1"/>
    <w:rsid w:val="000B23E6"/>
    <w:rsid w:val="000B3FF5"/>
    <w:rsid w:val="000B51F4"/>
    <w:rsid w:val="000C21D2"/>
    <w:rsid w:val="000C25A1"/>
    <w:rsid w:val="000D4B3B"/>
    <w:rsid w:val="000D6762"/>
    <w:rsid w:val="000E59EF"/>
    <w:rsid w:val="000F7EED"/>
    <w:rsid w:val="001017A6"/>
    <w:rsid w:val="00120B86"/>
    <w:rsid w:val="001230B0"/>
    <w:rsid w:val="00131ABE"/>
    <w:rsid w:val="00134946"/>
    <w:rsid w:val="00136129"/>
    <w:rsid w:val="001439CE"/>
    <w:rsid w:val="001526EF"/>
    <w:rsid w:val="0016048D"/>
    <w:rsid w:val="00161C1B"/>
    <w:rsid w:val="001646EB"/>
    <w:rsid w:val="0019385E"/>
    <w:rsid w:val="001A4407"/>
    <w:rsid w:val="001A6FD0"/>
    <w:rsid w:val="001B2FEC"/>
    <w:rsid w:val="001B5320"/>
    <w:rsid w:val="001C3AE9"/>
    <w:rsid w:val="001C63B1"/>
    <w:rsid w:val="001C7925"/>
    <w:rsid w:val="001D1E42"/>
    <w:rsid w:val="001E09B9"/>
    <w:rsid w:val="001E329C"/>
    <w:rsid w:val="001F14E2"/>
    <w:rsid w:val="001F1A94"/>
    <w:rsid w:val="00221DA5"/>
    <w:rsid w:val="00226B31"/>
    <w:rsid w:val="0023052E"/>
    <w:rsid w:val="002324D5"/>
    <w:rsid w:val="00237604"/>
    <w:rsid w:val="002514AC"/>
    <w:rsid w:val="00257116"/>
    <w:rsid w:val="00263446"/>
    <w:rsid w:val="00266DCE"/>
    <w:rsid w:val="00280095"/>
    <w:rsid w:val="00286EDB"/>
    <w:rsid w:val="002B0469"/>
    <w:rsid w:val="002B62B0"/>
    <w:rsid w:val="002E4A8A"/>
    <w:rsid w:val="00303E4D"/>
    <w:rsid w:val="0032127F"/>
    <w:rsid w:val="003420B4"/>
    <w:rsid w:val="00346936"/>
    <w:rsid w:val="003654E7"/>
    <w:rsid w:val="003656D3"/>
    <w:rsid w:val="00370208"/>
    <w:rsid w:val="0037233A"/>
    <w:rsid w:val="003728E5"/>
    <w:rsid w:val="00377428"/>
    <w:rsid w:val="00394A76"/>
    <w:rsid w:val="0039662F"/>
    <w:rsid w:val="003A7F49"/>
    <w:rsid w:val="003B077A"/>
    <w:rsid w:val="003D12F1"/>
    <w:rsid w:val="003D660E"/>
    <w:rsid w:val="003D681D"/>
    <w:rsid w:val="003E6244"/>
    <w:rsid w:val="003F37F6"/>
    <w:rsid w:val="00421271"/>
    <w:rsid w:val="00426A63"/>
    <w:rsid w:val="004403A8"/>
    <w:rsid w:val="00443598"/>
    <w:rsid w:val="004600E1"/>
    <w:rsid w:val="004620FA"/>
    <w:rsid w:val="00463CBD"/>
    <w:rsid w:val="0046457E"/>
    <w:rsid w:val="004652DC"/>
    <w:rsid w:val="00475002"/>
    <w:rsid w:val="00480C98"/>
    <w:rsid w:val="00483B2C"/>
    <w:rsid w:val="00484E42"/>
    <w:rsid w:val="0048699B"/>
    <w:rsid w:val="004968E9"/>
    <w:rsid w:val="004972EB"/>
    <w:rsid w:val="004A17BF"/>
    <w:rsid w:val="004A4BCC"/>
    <w:rsid w:val="004A6F69"/>
    <w:rsid w:val="004B4350"/>
    <w:rsid w:val="004B5EE5"/>
    <w:rsid w:val="004B646D"/>
    <w:rsid w:val="004C272F"/>
    <w:rsid w:val="004D654E"/>
    <w:rsid w:val="004E404E"/>
    <w:rsid w:val="004F010F"/>
    <w:rsid w:val="004F6D2D"/>
    <w:rsid w:val="005212D0"/>
    <w:rsid w:val="00522F49"/>
    <w:rsid w:val="00523CF8"/>
    <w:rsid w:val="00540105"/>
    <w:rsid w:val="00552467"/>
    <w:rsid w:val="0055703D"/>
    <w:rsid w:val="00566A4F"/>
    <w:rsid w:val="005745C2"/>
    <w:rsid w:val="00575B64"/>
    <w:rsid w:val="00582CD3"/>
    <w:rsid w:val="005971A6"/>
    <w:rsid w:val="005A5659"/>
    <w:rsid w:val="005B23B6"/>
    <w:rsid w:val="005B785A"/>
    <w:rsid w:val="005C4DBE"/>
    <w:rsid w:val="005D5F1F"/>
    <w:rsid w:val="005D7568"/>
    <w:rsid w:val="005E52CE"/>
    <w:rsid w:val="005F213F"/>
    <w:rsid w:val="005F7138"/>
    <w:rsid w:val="006023D2"/>
    <w:rsid w:val="00603795"/>
    <w:rsid w:val="00604B4F"/>
    <w:rsid w:val="0060510E"/>
    <w:rsid w:val="006079A4"/>
    <w:rsid w:val="00607E8C"/>
    <w:rsid w:val="00614CAA"/>
    <w:rsid w:val="00614E86"/>
    <w:rsid w:val="00624B68"/>
    <w:rsid w:val="00630D6E"/>
    <w:rsid w:val="00633B9A"/>
    <w:rsid w:val="0064794E"/>
    <w:rsid w:val="006501C9"/>
    <w:rsid w:val="0065287A"/>
    <w:rsid w:val="006530DF"/>
    <w:rsid w:val="006617F2"/>
    <w:rsid w:val="006679DA"/>
    <w:rsid w:val="0067413C"/>
    <w:rsid w:val="0067469C"/>
    <w:rsid w:val="006765AC"/>
    <w:rsid w:val="006816E1"/>
    <w:rsid w:val="006878E4"/>
    <w:rsid w:val="00696FB3"/>
    <w:rsid w:val="006A0E1E"/>
    <w:rsid w:val="006A42AB"/>
    <w:rsid w:val="006A6817"/>
    <w:rsid w:val="006C51EC"/>
    <w:rsid w:val="006C5307"/>
    <w:rsid w:val="006C5C36"/>
    <w:rsid w:val="006E4952"/>
    <w:rsid w:val="006E6702"/>
    <w:rsid w:val="006F173D"/>
    <w:rsid w:val="006F4130"/>
    <w:rsid w:val="006F62CD"/>
    <w:rsid w:val="0070279E"/>
    <w:rsid w:val="00706564"/>
    <w:rsid w:val="00711278"/>
    <w:rsid w:val="00711F07"/>
    <w:rsid w:val="007122B4"/>
    <w:rsid w:val="00717FC7"/>
    <w:rsid w:val="00725CBC"/>
    <w:rsid w:val="00727566"/>
    <w:rsid w:val="007276D9"/>
    <w:rsid w:val="00733A61"/>
    <w:rsid w:val="00734186"/>
    <w:rsid w:val="00743603"/>
    <w:rsid w:val="00743623"/>
    <w:rsid w:val="007472F7"/>
    <w:rsid w:val="00752BF3"/>
    <w:rsid w:val="00761139"/>
    <w:rsid w:val="00761584"/>
    <w:rsid w:val="007664D9"/>
    <w:rsid w:val="007677E6"/>
    <w:rsid w:val="00784A52"/>
    <w:rsid w:val="00787246"/>
    <w:rsid w:val="0078799C"/>
    <w:rsid w:val="007971DA"/>
    <w:rsid w:val="007C417F"/>
    <w:rsid w:val="007D0B88"/>
    <w:rsid w:val="007E090D"/>
    <w:rsid w:val="007E4486"/>
    <w:rsid w:val="007F0017"/>
    <w:rsid w:val="007F7544"/>
    <w:rsid w:val="00805A0F"/>
    <w:rsid w:val="00813ED2"/>
    <w:rsid w:val="00835F3E"/>
    <w:rsid w:val="00853DD4"/>
    <w:rsid w:val="008551F6"/>
    <w:rsid w:val="0086025C"/>
    <w:rsid w:val="00871EC6"/>
    <w:rsid w:val="008930F6"/>
    <w:rsid w:val="00897F23"/>
    <w:rsid w:val="008A56FB"/>
    <w:rsid w:val="008B42CB"/>
    <w:rsid w:val="008B6DF3"/>
    <w:rsid w:val="008D7E4B"/>
    <w:rsid w:val="008E0F0A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83BF0"/>
    <w:rsid w:val="009D236B"/>
    <w:rsid w:val="009E1A93"/>
    <w:rsid w:val="009E7895"/>
    <w:rsid w:val="009F32B1"/>
    <w:rsid w:val="009F3517"/>
    <w:rsid w:val="00A02F1B"/>
    <w:rsid w:val="00A03204"/>
    <w:rsid w:val="00A0525C"/>
    <w:rsid w:val="00A14DC2"/>
    <w:rsid w:val="00A152B8"/>
    <w:rsid w:val="00A171E4"/>
    <w:rsid w:val="00A34395"/>
    <w:rsid w:val="00A4538A"/>
    <w:rsid w:val="00A460AB"/>
    <w:rsid w:val="00A469E4"/>
    <w:rsid w:val="00A46F65"/>
    <w:rsid w:val="00A535AF"/>
    <w:rsid w:val="00A573C5"/>
    <w:rsid w:val="00A62296"/>
    <w:rsid w:val="00A630C6"/>
    <w:rsid w:val="00AA17E2"/>
    <w:rsid w:val="00AB050C"/>
    <w:rsid w:val="00AB4386"/>
    <w:rsid w:val="00AB4AB9"/>
    <w:rsid w:val="00AB707B"/>
    <w:rsid w:val="00AC43E6"/>
    <w:rsid w:val="00AC5EA8"/>
    <w:rsid w:val="00AD4E6F"/>
    <w:rsid w:val="00AD7DF4"/>
    <w:rsid w:val="00AF3238"/>
    <w:rsid w:val="00B00E54"/>
    <w:rsid w:val="00B02025"/>
    <w:rsid w:val="00B07475"/>
    <w:rsid w:val="00B2057E"/>
    <w:rsid w:val="00B27DB4"/>
    <w:rsid w:val="00B36F89"/>
    <w:rsid w:val="00B43A72"/>
    <w:rsid w:val="00B43F7A"/>
    <w:rsid w:val="00B84596"/>
    <w:rsid w:val="00B912D8"/>
    <w:rsid w:val="00B91B39"/>
    <w:rsid w:val="00B94811"/>
    <w:rsid w:val="00BA09AC"/>
    <w:rsid w:val="00BA3597"/>
    <w:rsid w:val="00BA69C5"/>
    <w:rsid w:val="00BB0EBF"/>
    <w:rsid w:val="00BC631D"/>
    <w:rsid w:val="00BC7877"/>
    <w:rsid w:val="00BD0B12"/>
    <w:rsid w:val="00BE0AAA"/>
    <w:rsid w:val="00BE1303"/>
    <w:rsid w:val="00BE65A2"/>
    <w:rsid w:val="00BF200C"/>
    <w:rsid w:val="00BF7F40"/>
    <w:rsid w:val="00C02F59"/>
    <w:rsid w:val="00C14C73"/>
    <w:rsid w:val="00C2602D"/>
    <w:rsid w:val="00C30D82"/>
    <w:rsid w:val="00C3121B"/>
    <w:rsid w:val="00C3197D"/>
    <w:rsid w:val="00C378C9"/>
    <w:rsid w:val="00C42196"/>
    <w:rsid w:val="00C42200"/>
    <w:rsid w:val="00C46749"/>
    <w:rsid w:val="00C508EE"/>
    <w:rsid w:val="00C549DB"/>
    <w:rsid w:val="00C5512D"/>
    <w:rsid w:val="00C62A38"/>
    <w:rsid w:val="00C80A20"/>
    <w:rsid w:val="00C82F93"/>
    <w:rsid w:val="00C91629"/>
    <w:rsid w:val="00CA2918"/>
    <w:rsid w:val="00CA43DC"/>
    <w:rsid w:val="00CC4444"/>
    <w:rsid w:val="00CD3DB0"/>
    <w:rsid w:val="00CE1C52"/>
    <w:rsid w:val="00CE39F0"/>
    <w:rsid w:val="00CE6654"/>
    <w:rsid w:val="00CF196E"/>
    <w:rsid w:val="00D041E4"/>
    <w:rsid w:val="00D072F6"/>
    <w:rsid w:val="00D10D28"/>
    <w:rsid w:val="00D140CF"/>
    <w:rsid w:val="00D22EC2"/>
    <w:rsid w:val="00D26481"/>
    <w:rsid w:val="00D4746B"/>
    <w:rsid w:val="00D52BAC"/>
    <w:rsid w:val="00D55924"/>
    <w:rsid w:val="00D56475"/>
    <w:rsid w:val="00D61F7C"/>
    <w:rsid w:val="00D6476C"/>
    <w:rsid w:val="00D66070"/>
    <w:rsid w:val="00D66CC0"/>
    <w:rsid w:val="00D767AC"/>
    <w:rsid w:val="00D82D30"/>
    <w:rsid w:val="00DA0907"/>
    <w:rsid w:val="00DA14C7"/>
    <w:rsid w:val="00DA7F02"/>
    <w:rsid w:val="00DB2F6B"/>
    <w:rsid w:val="00DB7DF1"/>
    <w:rsid w:val="00DC6CEB"/>
    <w:rsid w:val="00DD0DB2"/>
    <w:rsid w:val="00DD4D68"/>
    <w:rsid w:val="00DD7294"/>
    <w:rsid w:val="00DE6FC7"/>
    <w:rsid w:val="00DF6956"/>
    <w:rsid w:val="00DF6FA4"/>
    <w:rsid w:val="00E0042C"/>
    <w:rsid w:val="00E43251"/>
    <w:rsid w:val="00E44DED"/>
    <w:rsid w:val="00E47222"/>
    <w:rsid w:val="00E55EF7"/>
    <w:rsid w:val="00E60CDC"/>
    <w:rsid w:val="00E649EC"/>
    <w:rsid w:val="00E70751"/>
    <w:rsid w:val="00E720CB"/>
    <w:rsid w:val="00E90CC0"/>
    <w:rsid w:val="00EA0E49"/>
    <w:rsid w:val="00EA2F1C"/>
    <w:rsid w:val="00EA6763"/>
    <w:rsid w:val="00EA7AB4"/>
    <w:rsid w:val="00EB412B"/>
    <w:rsid w:val="00EB60BD"/>
    <w:rsid w:val="00EC14B8"/>
    <w:rsid w:val="00EC1EAD"/>
    <w:rsid w:val="00EC5647"/>
    <w:rsid w:val="00EC5EB4"/>
    <w:rsid w:val="00ED670D"/>
    <w:rsid w:val="00EF543D"/>
    <w:rsid w:val="00F13E8C"/>
    <w:rsid w:val="00F6085F"/>
    <w:rsid w:val="00F61807"/>
    <w:rsid w:val="00F620DD"/>
    <w:rsid w:val="00F62756"/>
    <w:rsid w:val="00F673DB"/>
    <w:rsid w:val="00F67EC3"/>
    <w:rsid w:val="00F76DDD"/>
    <w:rsid w:val="00F828E1"/>
    <w:rsid w:val="00F948F4"/>
    <w:rsid w:val="00F94BF5"/>
    <w:rsid w:val="00FA4CA0"/>
    <w:rsid w:val="00FA563A"/>
    <w:rsid w:val="00FC273E"/>
    <w:rsid w:val="00FC3B75"/>
    <w:rsid w:val="00FC7D69"/>
    <w:rsid w:val="00FE2CD3"/>
    <w:rsid w:val="00FE747C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entalhealthfirstaid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04AF6-B955-46C5-8A03-BA118419090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d0e4f31-a642-48b4-aa0c-e2092225dad2"/>
  </ds:schemaRefs>
</ds:datastoreItem>
</file>

<file path=customXml/itemProps4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F2F5C6-1D55-4BF8-9B00-AE9CAB4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117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59</cp:revision>
  <cp:lastPrinted>2020-12-10T17:13:00Z</cp:lastPrinted>
  <dcterms:created xsi:type="dcterms:W3CDTF">2021-01-07T18:04:00Z</dcterms:created>
  <dcterms:modified xsi:type="dcterms:W3CDTF">2021-01-07T20:00:00Z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