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AFA1" w14:textId="0B9E759C" w:rsidR="001C55DD" w:rsidRPr="0090038F" w:rsidRDefault="001C55DD" w:rsidP="00F004C5">
      <w:pPr>
        <w:spacing w:line="240" w:lineRule="auto"/>
        <w:ind w:left="-288" w:right="-288"/>
        <w:contextualSpacing/>
        <w:rPr>
          <w:rFonts w:cstheme="minorHAnsi"/>
        </w:rPr>
      </w:pPr>
      <w:bookmarkStart w:id="0" w:name="_GoBack"/>
      <w:bookmarkEnd w:id="0"/>
      <w:r w:rsidRPr="0090038F">
        <w:rPr>
          <w:rFonts w:cstheme="minorHAnsi"/>
          <w:color w:val="C00000"/>
        </w:rPr>
        <w:t xml:space="preserve">A Traumatic Brain Injury (TBI) </w:t>
      </w:r>
      <w:r w:rsidRPr="0090038F">
        <w:rPr>
          <w:rFonts w:cstheme="minorHAnsi"/>
        </w:rPr>
        <w:t>may be caused by a bump, blow or jolt to the head or a penetrating head injury that disrupts the normal function of the brain</w:t>
      </w:r>
      <w:r w:rsidR="004D7F09" w:rsidRPr="0090038F">
        <w:rPr>
          <w:rFonts w:cstheme="minorHAnsi"/>
        </w:rPr>
        <w:t xml:space="preserve">. </w:t>
      </w:r>
      <w:r w:rsidR="0000201A" w:rsidRPr="0090038F">
        <w:rPr>
          <w:rFonts w:cstheme="minorHAnsi"/>
        </w:rPr>
        <w:t>TBI can impact anyone of all age groups, cultures and races</w:t>
      </w:r>
      <w:r w:rsidR="00CB7C4A" w:rsidRPr="0090038F">
        <w:rPr>
          <w:rFonts w:cstheme="minorHAnsi"/>
        </w:rPr>
        <w:t xml:space="preserve"> at any time, in any geographical area of the state. TBI planning, coordination, and service delivery must address broad needs across the life span. In Washington State</w:t>
      </w:r>
      <w:r w:rsidR="0000201A" w:rsidRPr="0090038F">
        <w:rPr>
          <w:rFonts w:cstheme="minorHAnsi"/>
        </w:rPr>
        <w:t>,</w:t>
      </w:r>
      <w:r w:rsidR="00CB7C4A" w:rsidRPr="0090038F">
        <w:rPr>
          <w:rFonts w:cstheme="minorHAnsi"/>
        </w:rPr>
        <w:t xml:space="preserve"> it is estimated that at least 30,000 individuals sustain a TBI each year.  Conservative estimates indicate that 145,000 people in Washington State live with a long-term disability as a result of TBI. </w:t>
      </w:r>
      <w:r w:rsidR="003D0C73" w:rsidRPr="00F004C5">
        <w:rPr>
          <w:rFonts w:cstheme="minorHAnsi"/>
          <w:b/>
        </w:rPr>
        <w:t>The Washington Traumatic Brain Injury Strategic Partnership Advisory Council</w:t>
      </w:r>
      <w:r w:rsidR="003D0C73" w:rsidRPr="0090038F">
        <w:rPr>
          <w:rFonts w:cstheme="minorHAnsi"/>
        </w:rPr>
        <w:t xml:space="preserve"> (TBI Council) and the </w:t>
      </w:r>
      <w:r w:rsidR="003D0C73" w:rsidRPr="00F004C5">
        <w:rPr>
          <w:rFonts w:cstheme="minorHAnsi"/>
          <w:b/>
        </w:rPr>
        <w:t>Department of Social and Health Services</w:t>
      </w:r>
      <w:r w:rsidR="003D0C73" w:rsidRPr="0090038F">
        <w:rPr>
          <w:rFonts w:cstheme="minorHAnsi"/>
        </w:rPr>
        <w:t xml:space="preserve"> have collaborated to develop recommendation</w:t>
      </w:r>
      <w:r w:rsidR="00CB7C4A" w:rsidRPr="0090038F">
        <w:rPr>
          <w:rFonts w:cstheme="minorHAnsi"/>
        </w:rPr>
        <w:t xml:space="preserve">s </w:t>
      </w:r>
      <w:r w:rsidR="004D7F09" w:rsidRPr="0090038F">
        <w:rPr>
          <w:rFonts w:cstheme="minorHAnsi"/>
        </w:rPr>
        <w:t>to address the needs of individuals with traumatic brain injuries</w:t>
      </w:r>
      <w:r w:rsidR="003D0C73" w:rsidRPr="0090038F">
        <w:rPr>
          <w:rFonts w:cstheme="minorHAnsi"/>
        </w:rPr>
        <w:t>, which are:</w:t>
      </w:r>
    </w:p>
    <w:p w14:paraId="6C27ABD2" w14:textId="77777777" w:rsidR="003D0C73" w:rsidRPr="0090038F" w:rsidRDefault="003D0C73" w:rsidP="00F734CA">
      <w:pPr>
        <w:pStyle w:val="ListParagraph"/>
        <w:widowControl w:val="0"/>
        <w:numPr>
          <w:ilvl w:val="0"/>
          <w:numId w:val="1"/>
        </w:numPr>
        <w:spacing w:after="160"/>
        <w:ind w:left="-288"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>Continue with the foundational activities outlined in Chapter 74.31 RCW: Information &amp; Referral, Public Awareness, TBI-related Support Groups and activities of the Council;</w:t>
      </w:r>
    </w:p>
    <w:p w14:paraId="48F78CB4" w14:textId="77777777" w:rsidR="003D0C73" w:rsidRPr="0090038F" w:rsidRDefault="003D0C73" w:rsidP="00F734CA">
      <w:pPr>
        <w:pStyle w:val="ListParagraph"/>
        <w:widowControl w:val="0"/>
        <w:spacing w:after="160"/>
        <w:ind w:left="-288" w:right="-288"/>
        <w:rPr>
          <w:rFonts w:asciiTheme="minorHAnsi" w:hAnsiTheme="minorHAnsi" w:cstheme="minorHAnsi"/>
          <w:sz w:val="22"/>
          <w:szCs w:val="22"/>
        </w:rPr>
      </w:pPr>
    </w:p>
    <w:p w14:paraId="5BDDA124" w14:textId="77777777" w:rsidR="003D0C73" w:rsidRPr="0090038F" w:rsidRDefault="003D0C73" w:rsidP="00F734CA">
      <w:pPr>
        <w:pStyle w:val="ListParagraph"/>
        <w:widowControl w:val="0"/>
        <w:numPr>
          <w:ilvl w:val="0"/>
          <w:numId w:val="1"/>
        </w:numPr>
        <w:spacing w:after="160"/>
        <w:ind w:left="-288"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>Build provider capacity through training and education of the medical community, insurance providers, housing and supportive service providers, schools and employers;</w:t>
      </w:r>
    </w:p>
    <w:p w14:paraId="607BD46B" w14:textId="77777777" w:rsidR="003D0C73" w:rsidRPr="0090038F" w:rsidRDefault="003D0C73" w:rsidP="00F734CA">
      <w:pPr>
        <w:pStyle w:val="ListParagraph"/>
        <w:ind w:left="-288" w:right="-288"/>
        <w:rPr>
          <w:rFonts w:asciiTheme="minorHAnsi" w:hAnsiTheme="minorHAnsi" w:cstheme="minorHAnsi"/>
          <w:sz w:val="22"/>
          <w:szCs w:val="22"/>
        </w:rPr>
      </w:pPr>
    </w:p>
    <w:p w14:paraId="0990EDC2" w14:textId="77777777" w:rsidR="003D0C73" w:rsidRPr="0090038F" w:rsidRDefault="003D0C73" w:rsidP="00F734CA">
      <w:pPr>
        <w:pStyle w:val="ListParagraph"/>
        <w:widowControl w:val="0"/>
        <w:numPr>
          <w:ilvl w:val="0"/>
          <w:numId w:val="1"/>
        </w:numPr>
        <w:spacing w:after="160"/>
        <w:ind w:left="-288"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>Improve coordination of policies, programs, and services;</w:t>
      </w:r>
    </w:p>
    <w:p w14:paraId="17FDD9A3" w14:textId="77777777" w:rsidR="003D0C73" w:rsidRPr="0090038F" w:rsidRDefault="003D0C73" w:rsidP="00F734CA">
      <w:pPr>
        <w:pStyle w:val="ListParagraph"/>
        <w:ind w:left="-288" w:right="-288"/>
        <w:rPr>
          <w:rFonts w:asciiTheme="minorHAnsi" w:hAnsiTheme="minorHAnsi" w:cstheme="minorHAnsi"/>
          <w:sz w:val="22"/>
          <w:szCs w:val="22"/>
        </w:rPr>
      </w:pPr>
    </w:p>
    <w:p w14:paraId="0092F180" w14:textId="77777777" w:rsidR="003D0C73" w:rsidRPr="0090038F" w:rsidRDefault="003D0C73" w:rsidP="00F734CA">
      <w:pPr>
        <w:pStyle w:val="ListParagraph"/>
        <w:widowControl w:val="0"/>
        <w:numPr>
          <w:ilvl w:val="0"/>
          <w:numId w:val="1"/>
        </w:numPr>
        <w:spacing w:after="160"/>
        <w:ind w:left="-288"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>Establish partnership agreements with the private sector, state agencies, schools, tribal governments, federal government and others to develop integrated services; and</w:t>
      </w:r>
    </w:p>
    <w:p w14:paraId="20476038" w14:textId="77777777" w:rsidR="003D0C73" w:rsidRPr="0090038F" w:rsidRDefault="003D0C73" w:rsidP="00F734CA">
      <w:pPr>
        <w:pStyle w:val="ListParagraph"/>
        <w:ind w:left="-288" w:right="-288"/>
        <w:rPr>
          <w:rFonts w:asciiTheme="minorHAnsi" w:hAnsiTheme="minorHAnsi" w:cstheme="minorHAnsi"/>
          <w:sz w:val="22"/>
          <w:szCs w:val="22"/>
        </w:rPr>
      </w:pPr>
    </w:p>
    <w:p w14:paraId="6D42F7F8" w14:textId="77777777" w:rsidR="003D0C73" w:rsidRPr="0090038F" w:rsidRDefault="003D0C73" w:rsidP="00F734CA">
      <w:pPr>
        <w:pStyle w:val="ListParagraph"/>
        <w:widowControl w:val="0"/>
        <w:numPr>
          <w:ilvl w:val="0"/>
          <w:numId w:val="1"/>
        </w:numPr>
        <w:spacing w:after="160"/>
        <w:ind w:left="-288"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>Address other areas of focus including systemic reform and self-advocacy.</w:t>
      </w:r>
    </w:p>
    <w:p w14:paraId="421070FD" w14:textId="77777777" w:rsidR="008B79B5" w:rsidRDefault="00472D6B" w:rsidP="008B79B5">
      <w:pPr>
        <w:spacing w:line="240" w:lineRule="auto"/>
        <w:ind w:left="-288" w:right="-288"/>
        <w:contextualSpacing/>
        <w:rPr>
          <w:rFonts w:cstheme="minorHAnsi"/>
        </w:rPr>
      </w:pPr>
      <w:r w:rsidRPr="0090038F">
        <w:rPr>
          <w:rFonts w:cstheme="minorHAnsi"/>
          <w:color w:val="C00000"/>
        </w:rPr>
        <w:t xml:space="preserve">Chapter 74.31 RCW, also known as the Tommy Manning Act, </w:t>
      </w:r>
      <w:r w:rsidRPr="0090038F">
        <w:rPr>
          <w:rFonts w:cstheme="minorHAnsi"/>
        </w:rPr>
        <w:t xml:space="preserve">addresses issues related to Traumatic Brain Injury (TBI). </w:t>
      </w:r>
      <w:r w:rsidR="00141C23" w:rsidRPr="0090038F">
        <w:rPr>
          <w:rFonts w:cstheme="minorHAnsi"/>
        </w:rPr>
        <w:t>When</w:t>
      </w:r>
      <w:r w:rsidR="00321BF2" w:rsidRPr="0090038F">
        <w:rPr>
          <w:rFonts w:cstheme="minorHAnsi"/>
        </w:rPr>
        <w:t xml:space="preserve"> it was enacted</w:t>
      </w:r>
      <w:r w:rsidR="00141C23" w:rsidRPr="0090038F">
        <w:rPr>
          <w:rFonts w:cstheme="minorHAnsi"/>
        </w:rPr>
        <w:t xml:space="preserve"> in 2007</w:t>
      </w:r>
      <w:r w:rsidR="00321BF2" w:rsidRPr="0090038F">
        <w:rPr>
          <w:rFonts w:cstheme="minorHAnsi"/>
        </w:rPr>
        <w:t>, t</w:t>
      </w:r>
      <w:r w:rsidRPr="0090038F">
        <w:rPr>
          <w:rFonts w:cstheme="minorHAnsi"/>
        </w:rPr>
        <w:t xml:space="preserve">he statute </w:t>
      </w:r>
      <w:r w:rsidR="00321BF2" w:rsidRPr="0090038F">
        <w:rPr>
          <w:rFonts w:cstheme="minorHAnsi"/>
        </w:rPr>
        <w:t xml:space="preserve">recognized </w:t>
      </w:r>
      <w:r w:rsidRPr="0090038F">
        <w:rPr>
          <w:rFonts w:cstheme="minorHAnsi"/>
        </w:rPr>
        <w:t>that programs and services were not funded or designed to address the diverse needs of individuals with TBI.</w:t>
      </w:r>
      <w:r w:rsidRPr="0090038F">
        <w:rPr>
          <w:rFonts w:cstheme="minorHAnsi"/>
          <w:color w:val="C00000"/>
        </w:rPr>
        <w:t xml:space="preserve"> </w:t>
      </w:r>
      <w:r w:rsidRPr="0090038F">
        <w:rPr>
          <w:rFonts w:cstheme="minorHAnsi"/>
        </w:rPr>
        <w:t>Over the last ten years</w:t>
      </w:r>
      <w:r w:rsidR="0000201A" w:rsidRPr="0090038F">
        <w:rPr>
          <w:rFonts w:cstheme="minorHAnsi"/>
        </w:rPr>
        <w:t>,</w:t>
      </w:r>
      <w:r w:rsidRPr="0090038F">
        <w:rPr>
          <w:rFonts w:cstheme="minorHAnsi"/>
        </w:rPr>
        <w:t xml:space="preserve"> the TBI Council has help</w:t>
      </w:r>
      <w:r w:rsidR="003B217D" w:rsidRPr="0090038F">
        <w:rPr>
          <w:rFonts w:cstheme="minorHAnsi"/>
        </w:rPr>
        <w:t>ed</w:t>
      </w:r>
      <w:r w:rsidRPr="0090038F">
        <w:rPr>
          <w:rFonts w:cstheme="minorHAnsi"/>
        </w:rPr>
        <w:t xml:space="preserve"> fund the following programs and services.</w:t>
      </w:r>
    </w:p>
    <w:p w14:paraId="1701DFFA" w14:textId="77777777" w:rsidR="008B79B5" w:rsidRDefault="008B79B5" w:rsidP="008B79B5">
      <w:pPr>
        <w:spacing w:line="240" w:lineRule="auto"/>
        <w:ind w:left="-288" w:right="-288"/>
        <w:contextualSpacing/>
        <w:rPr>
          <w:rFonts w:cstheme="minorHAnsi"/>
          <w:color w:val="C00000"/>
        </w:rPr>
      </w:pPr>
    </w:p>
    <w:p w14:paraId="6E533AB9" w14:textId="0BCB72DB" w:rsidR="00C74053" w:rsidRPr="008B79B5" w:rsidRDefault="00C74053" w:rsidP="008B79B5">
      <w:pPr>
        <w:spacing w:line="240" w:lineRule="auto"/>
        <w:ind w:left="-288" w:right="-288"/>
        <w:contextualSpacing/>
        <w:rPr>
          <w:rFonts w:cstheme="minorHAnsi"/>
        </w:rPr>
      </w:pPr>
      <w:r w:rsidRPr="0090038F">
        <w:rPr>
          <w:rFonts w:cstheme="minorHAnsi"/>
          <w:color w:val="C00000"/>
        </w:rPr>
        <w:t>Information and Referral Services:</w:t>
      </w:r>
    </w:p>
    <w:p w14:paraId="0A00B143" w14:textId="729B7587" w:rsidR="00C74053" w:rsidRPr="0090038F" w:rsidRDefault="00C74053" w:rsidP="00F734CA">
      <w:pPr>
        <w:pStyle w:val="ListParagraph"/>
        <w:numPr>
          <w:ilvl w:val="0"/>
          <w:numId w:val="4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 xml:space="preserve">24,000+ individuals and families served through </w:t>
      </w:r>
      <w:r w:rsidR="00112F72" w:rsidRPr="0090038F">
        <w:rPr>
          <w:rFonts w:asciiTheme="minorHAnsi" w:hAnsiTheme="minorHAnsi" w:cstheme="minorHAnsi"/>
          <w:sz w:val="22"/>
          <w:szCs w:val="22"/>
        </w:rPr>
        <w:t xml:space="preserve">the </w:t>
      </w:r>
      <w:r w:rsidRPr="0090038F">
        <w:rPr>
          <w:rFonts w:asciiTheme="minorHAnsi" w:hAnsiTheme="minorHAnsi" w:cstheme="minorHAnsi"/>
          <w:sz w:val="22"/>
          <w:szCs w:val="22"/>
        </w:rPr>
        <w:t>B</w:t>
      </w:r>
      <w:r w:rsidR="00112F72" w:rsidRPr="0090038F">
        <w:rPr>
          <w:rFonts w:asciiTheme="minorHAnsi" w:hAnsiTheme="minorHAnsi" w:cstheme="minorHAnsi"/>
          <w:sz w:val="22"/>
          <w:szCs w:val="22"/>
        </w:rPr>
        <w:t>rain In</w:t>
      </w:r>
      <w:r w:rsidR="000D4F13" w:rsidRPr="0090038F">
        <w:rPr>
          <w:rFonts w:asciiTheme="minorHAnsi" w:hAnsiTheme="minorHAnsi" w:cstheme="minorHAnsi"/>
          <w:sz w:val="22"/>
          <w:szCs w:val="22"/>
        </w:rPr>
        <w:t>j</w:t>
      </w:r>
      <w:r w:rsidR="00112F72" w:rsidRPr="0090038F">
        <w:rPr>
          <w:rFonts w:asciiTheme="minorHAnsi" w:hAnsiTheme="minorHAnsi" w:cstheme="minorHAnsi"/>
          <w:sz w:val="22"/>
          <w:szCs w:val="22"/>
        </w:rPr>
        <w:t>ury Alliance of W</w:t>
      </w:r>
      <w:r w:rsidR="00295705" w:rsidRPr="0090038F">
        <w:rPr>
          <w:rFonts w:asciiTheme="minorHAnsi" w:hAnsiTheme="minorHAnsi" w:cstheme="minorHAnsi"/>
          <w:sz w:val="22"/>
          <w:szCs w:val="22"/>
        </w:rPr>
        <w:t>ashington</w:t>
      </w:r>
      <w:r w:rsidRPr="0090038F">
        <w:rPr>
          <w:rFonts w:asciiTheme="minorHAnsi" w:hAnsiTheme="minorHAnsi" w:cstheme="minorHAnsi"/>
          <w:sz w:val="22"/>
          <w:szCs w:val="22"/>
        </w:rPr>
        <w:t xml:space="preserve"> </w:t>
      </w:r>
      <w:r w:rsidR="003B217D" w:rsidRPr="0090038F">
        <w:rPr>
          <w:rFonts w:asciiTheme="minorHAnsi" w:hAnsiTheme="minorHAnsi" w:cstheme="minorHAnsi"/>
          <w:sz w:val="22"/>
          <w:szCs w:val="22"/>
        </w:rPr>
        <w:t xml:space="preserve">Resource </w:t>
      </w:r>
      <w:r w:rsidRPr="0090038F">
        <w:rPr>
          <w:rFonts w:asciiTheme="minorHAnsi" w:hAnsiTheme="minorHAnsi" w:cstheme="minorHAnsi"/>
          <w:sz w:val="22"/>
          <w:szCs w:val="22"/>
        </w:rPr>
        <w:t>Center.</w:t>
      </w:r>
    </w:p>
    <w:p w14:paraId="579D1A1A" w14:textId="40318400" w:rsidR="00C74053" w:rsidRPr="0090038F" w:rsidRDefault="00C74053" w:rsidP="00F734CA">
      <w:pPr>
        <w:pStyle w:val="ListParagraph"/>
        <w:numPr>
          <w:ilvl w:val="0"/>
          <w:numId w:val="4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>17,000+ veterans and their families received information on TBI through W</w:t>
      </w:r>
      <w:r w:rsidR="00295705" w:rsidRPr="0090038F">
        <w:rPr>
          <w:rFonts w:asciiTheme="minorHAnsi" w:hAnsiTheme="minorHAnsi" w:cstheme="minorHAnsi"/>
          <w:sz w:val="22"/>
          <w:szCs w:val="22"/>
        </w:rPr>
        <w:t>ashington</w:t>
      </w:r>
      <w:r w:rsidR="003B217D" w:rsidRPr="0090038F">
        <w:rPr>
          <w:rFonts w:asciiTheme="minorHAnsi" w:hAnsiTheme="minorHAnsi" w:cstheme="minorHAnsi"/>
          <w:sz w:val="22"/>
          <w:szCs w:val="22"/>
        </w:rPr>
        <w:t xml:space="preserve"> </w:t>
      </w:r>
      <w:r w:rsidR="00295705" w:rsidRPr="0090038F">
        <w:rPr>
          <w:rFonts w:asciiTheme="minorHAnsi" w:hAnsiTheme="minorHAnsi" w:cstheme="minorHAnsi"/>
          <w:sz w:val="22"/>
          <w:szCs w:val="22"/>
        </w:rPr>
        <w:t>Department</w:t>
      </w:r>
      <w:r w:rsidR="003B217D" w:rsidRPr="0090038F">
        <w:rPr>
          <w:rFonts w:asciiTheme="minorHAnsi" w:hAnsiTheme="minorHAnsi" w:cstheme="minorHAnsi"/>
          <w:sz w:val="22"/>
          <w:szCs w:val="22"/>
        </w:rPr>
        <w:t xml:space="preserve"> of Veterans Affairs</w:t>
      </w:r>
      <w:r w:rsidRPr="0090038F">
        <w:rPr>
          <w:rFonts w:asciiTheme="minorHAnsi" w:hAnsiTheme="minorHAnsi" w:cstheme="minorHAnsi"/>
          <w:sz w:val="22"/>
          <w:szCs w:val="22"/>
        </w:rPr>
        <w:t>.</w:t>
      </w:r>
    </w:p>
    <w:p w14:paraId="40FF2B37" w14:textId="00712881" w:rsidR="000868C1" w:rsidRPr="0090038F" w:rsidRDefault="000868C1" w:rsidP="00F734CA">
      <w:pPr>
        <w:pStyle w:val="ListParagraph"/>
        <w:numPr>
          <w:ilvl w:val="0"/>
          <w:numId w:val="4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 xml:space="preserve">75 active members at Seattle </w:t>
      </w:r>
      <w:proofErr w:type="spellStart"/>
      <w:r w:rsidRPr="0090038F">
        <w:rPr>
          <w:rFonts w:asciiTheme="minorHAnsi" w:hAnsiTheme="minorHAnsi" w:cstheme="minorHAnsi"/>
          <w:sz w:val="22"/>
          <w:szCs w:val="22"/>
        </w:rPr>
        <w:t>Brainworks</w:t>
      </w:r>
      <w:proofErr w:type="spellEnd"/>
      <w:r w:rsidRPr="0090038F">
        <w:rPr>
          <w:rFonts w:asciiTheme="minorHAnsi" w:hAnsiTheme="minorHAnsi" w:cstheme="minorHAnsi"/>
          <w:sz w:val="22"/>
          <w:szCs w:val="22"/>
        </w:rPr>
        <w:t xml:space="preserve">, </w:t>
      </w:r>
      <w:r w:rsidR="00A11FEA" w:rsidRPr="0090038F">
        <w:rPr>
          <w:rFonts w:asciiTheme="minorHAnsi" w:hAnsiTheme="minorHAnsi" w:cstheme="minorHAnsi"/>
          <w:sz w:val="22"/>
          <w:szCs w:val="22"/>
        </w:rPr>
        <w:t xml:space="preserve">and is </w:t>
      </w:r>
      <w:r w:rsidRPr="0090038F">
        <w:rPr>
          <w:rFonts w:asciiTheme="minorHAnsi" w:hAnsiTheme="minorHAnsi" w:cstheme="minorHAnsi"/>
          <w:sz w:val="22"/>
          <w:szCs w:val="22"/>
        </w:rPr>
        <w:t>open 225 days per year.</w:t>
      </w:r>
    </w:p>
    <w:p w14:paraId="1829B9AB" w14:textId="77777777" w:rsidR="00C74053" w:rsidRPr="0090038F" w:rsidRDefault="00C74053" w:rsidP="00F734CA">
      <w:pPr>
        <w:spacing w:line="240" w:lineRule="auto"/>
        <w:ind w:left="-288" w:right="-288"/>
        <w:contextualSpacing/>
        <w:rPr>
          <w:rFonts w:cstheme="minorHAnsi"/>
          <w:color w:val="C00000"/>
        </w:rPr>
      </w:pPr>
      <w:r w:rsidRPr="0090038F">
        <w:rPr>
          <w:rFonts w:cstheme="minorHAnsi"/>
          <w:color w:val="C00000"/>
        </w:rPr>
        <w:t>TBI Support Groups:</w:t>
      </w:r>
    </w:p>
    <w:p w14:paraId="13C4A30D" w14:textId="431320AF" w:rsidR="00C74053" w:rsidRPr="0090038F" w:rsidRDefault="00C74053" w:rsidP="00F734CA">
      <w:pPr>
        <w:pStyle w:val="ListParagraph"/>
        <w:numPr>
          <w:ilvl w:val="0"/>
          <w:numId w:val="5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 xml:space="preserve">76 TBI Support Groups </w:t>
      </w:r>
      <w:r w:rsidR="00F031A7" w:rsidRPr="0090038F">
        <w:rPr>
          <w:rFonts w:asciiTheme="minorHAnsi" w:hAnsiTheme="minorHAnsi" w:cstheme="minorHAnsi"/>
          <w:sz w:val="22"/>
          <w:szCs w:val="22"/>
        </w:rPr>
        <w:t xml:space="preserve">with thousands of participants </w:t>
      </w:r>
      <w:r w:rsidRPr="0090038F">
        <w:rPr>
          <w:rFonts w:asciiTheme="minorHAnsi" w:hAnsiTheme="minorHAnsi" w:cstheme="minorHAnsi"/>
          <w:sz w:val="22"/>
          <w:szCs w:val="22"/>
        </w:rPr>
        <w:t xml:space="preserve">across </w:t>
      </w:r>
      <w:r w:rsidR="00F031A7" w:rsidRPr="0090038F">
        <w:rPr>
          <w:rFonts w:asciiTheme="minorHAnsi" w:hAnsiTheme="minorHAnsi" w:cstheme="minorHAnsi"/>
          <w:sz w:val="22"/>
          <w:szCs w:val="22"/>
        </w:rPr>
        <w:t>Washington</w:t>
      </w:r>
      <w:r w:rsidRPr="0090038F">
        <w:rPr>
          <w:rFonts w:asciiTheme="minorHAnsi" w:hAnsiTheme="minorHAnsi" w:cstheme="minorHAnsi"/>
          <w:sz w:val="22"/>
          <w:szCs w:val="22"/>
        </w:rPr>
        <w:t>.</w:t>
      </w:r>
    </w:p>
    <w:p w14:paraId="733147B8" w14:textId="068439BF" w:rsidR="001747A9" w:rsidRPr="0090038F" w:rsidRDefault="00C74053" w:rsidP="00354542">
      <w:pPr>
        <w:pStyle w:val="ListParagraph"/>
        <w:numPr>
          <w:ilvl w:val="0"/>
          <w:numId w:val="5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 xml:space="preserve">122 TBI Support Group </w:t>
      </w:r>
      <w:r w:rsidR="00A11FEA" w:rsidRPr="0090038F">
        <w:rPr>
          <w:rFonts w:asciiTheme="minorHAnsi" w:hAnsiTheme="minorHAnsi" w:cstheme="minorHAnsi"/>
          <w:sz w:val="22"/>
          <w:szCs w:val="22"/>
        </w:rPr>
        <w:t xml:space="preserve">Facilitators trained </w:t>
      </w:r>
      <w:r w:rsidR="00F031A7" w:rsidRPr="0090038F">
        <w:rPr>
          <w:rFonts w:asciiTheme="minorHAnsi" w:hAnsiTheme="minorHAnsi" w:cstheme="minorHAnsi"/>
          <w:sz w:val="22"/>
          <w:szCs w:val="22"/>
        </w:rPr>
        <w:t>across Washington.</w:t>
      </w:r>
    </w:p>
    <w:p w14:paraId="6A3BC568" w14:textId="77777777" w:rsidR="00C74053" w:rsidRPr="0090038F" w:rsidRDefault="00C74053" w:rsidP="00F734CA">
      <w:pPr>
        <w:spacing w:line="240" w:lineRule="auto"/>
        <w:ind w:left="-288" w:right="-288"/>
        <w:contextualSpacing/>
        <w:rPr>
          <w:rFonts w:cstheme="minorHAnsi"/>
          <w:color w:val="C00000"/>
        </w:rPr>
      </w:pPr>
      <w:r w:rsidRPr="0090038F">
        <w:rPr>
          <w:rFonts w:cstheme="minorHAnsi"/>
          <w:color w:val="C00000"/>
        </w:rPr>
        <w:t>Public Awareness:</w:t>
      </w:r>
    </w:p>
    <w:p w14:paraId="12110651" w14:textId="0885B191" w:rsidR="00C74053" w:rsidRPr="0090038F" w:rsidRDefault="00C74053" w:rsidP="00F734CA">
      <w:pPr>
        <w:pStyle w:val="ListParagraph"/>
        <w:numPr>
          <w:ilvl w:val="0"/>
          <w:numId w:val="6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>Over 800 participants in two TBI Conference</w:t>
      </w:r>
      <w:r w:rsidR="003B217D" w:rsidRPr="0090038F">
        <w:rPr>
          <w:rFonts w:asciiTheme="minorHAnsi" w:hAnsiTheme="minorHAnsi" w:cstheme="minorHAnsi"/>
          <w:sz w:val="22"/>
          <w:szCs w:val="22"/>
        </w:rPr>
        <w:t>s</w:t>
      </w:r>
      <w:r w:rsidRPr="009003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60D417" w14:textId="77777777" w:rsidR="001747A9" w:rsidRPr="0090038F" w:rsidRDefault="00C74053" w:rsidP="00F734CA">
      <w:pPr>
        <w:pStyle w:val="ListParagraph"/>
        <w:numPr>
          <w:ilvl w:val="0"/>
          <w:numId w:val="6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>Sponsored 300 scholarships.</w:t>
      </w:r>
    </w:p>
    <w:p w14:paraId="612BDC67" w14:textId="0BB55D3C" w:rsidR="00C74053" w:rsidRPr="0090038F" w:rsidRDefault="00C74053" w:rsidP="00F734CA">
      <w:pPr>
        <w:pStyle w:val="ListParagraph"/>
        <w:numPr>
          <w:ilvl w:val="0"/>
          <w:numId w:val="6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90038F">
        <w:rPr>
          <w:rFonts w:asciiTheme="minorHAnsi" w:hAnsiTheme="minorHAnsi" w:cstheme="minorHAnsi"/>
          <w:sz w:val="22"/>
          <w:szCs w:val="22"/>
        </w:rPr>
        <w:t xml:space="preserve">Sponsored </w:t>
      </w:r>
      <w:r w:rsidR="003B217D" w:rsidRPr="0090038F">
        <w:rPr>
          <w:rFonts w:asciiTheme="minorHAnsi" w:hAnsiTheme="minorHAnsi" w:cstheme="minorHAnsi"/>
          <w:sz w:val="22"/>
          <w:szCs w:val="22"/>
        </w:rPr>
        <w:t>two</w:t>
      </w:r>
      <w:r w:rsidRPr="0090038F">
        <w:rPr>
          <w:rFonts w:asciiTheme="minorHAnsi" w:hAnsiTheme="minorHAnsi" w:cstheme="minorHAnsi"/>
          <w:sz w:val="22"/>
          <w:szCs w:val="22"/>
        </w:rPr>
        <w:t xml:space="preserve"> </w:t>
      </w:r>
      <w:r w:rsidR="003B217D" w:rsidRPr="0090038F">
        <w:rPr>
          <w:rFonts w:asciiTheme="minorHAnsi" w:hAnsiTheme="minorHAnsi" w:cstheme="minorHAnsi"/>
          <w:sz w:val="22"/>
          <w:szCs w:val="22"/>
        </w:rPr>
        <w:t xml:space="preserve">FREE </w:t>
      </w:r>
      <w:r w:rsidRPr="0090038F">
        <w:rPr>
          <w:rFonts w:asciiTheme="minorHAnsi" w:hAnsiTheme="minorHAnsi" w:cstheme="minorHAnsi"/>
          <w:sz w:val="22"/>
          <w:szCs w:val="22"/>
        </w:rPr>
        <w:t>Eastern Washi</w:t>
      </w:r>
      <w:r w:rsidR="00CD6B19" w:rsidRPr="0090038F">
        <w:rPr>
          <w:rFonts w:asciiTheme="minorHAnsi" w:hAnsiTheme="minorHAnsi" w:cstheme="minorHAnsi"/>
          <w:sz w:val="22"/>
          <w:szCs w:val="22"/>
        </w:rPr>
        <w:t>ngton TBI symposium</w:t>
      </w:r>
      <w:r w:rsidR="003B217D" w:rsidRPr="0090038F">
        <w:rPr>
          <w:rFonts w:asciiTheme="minorHAnsi" w:hAnsiTheme="minorHAnsi" w:cstheme="minorHAnsi"/>
          <w:sz w:val="22"/>
          <w:szCs w:val="22"/>
        </w:rPr>
        <w:t>s</w:t>
      </w:r>
      <w:r w:rsidR="00CD6B19" w:rsidRPr="0090038F">
        <w:rPr>
          <w:rFonts w:asciiTheme="minorHAnsi" w:hAnsiTheme="minorHAnsi" w:cstheme="minorHAnsi"/>
          <w:sz w:val="22"/>
          <w:szCs w:val="22"/>
        </w:rPr>
        <w:t xml:space="preserve">, </w:t>
      </w:r>
      <w:r w:rsidRPr="0090038F">
        <w:rPr>
          <w:rFonts w:asciiTheme="minorHAnsi" w:hAnsiTheme="minorHAnsi" w:cstheme="minorHAnsi"/>
          <w:sz w:val="22"/>
          <w:szCs w:val="22"/>
        </w:rPr>
        <w:t>for 100 TBI survivors and caregivers.</w:t>
      </w:r>
    </w:p>
    <w:p w14:paraId="55BBF690" w14:textId="77777777" w:rsidR="00F734CA" w:rsidRPr="0090038F" w:rsidRDefault="00F734CA" w:rsidP="002C1B64">
      <w:pPr>
        <w:spacing w:line="240" w:lineRule="auto"/>
        <w:ind w:left="-288" w:right="-288"/>
        <w:contextualSpacing/>
        <w:rPr>
          <w:rFonts w:cstheme="minorHAnsi"/>
          <w:color w:val="C00000"/>
        </w:rPr>
      </w:pPr>
    </w:p>
    <w:p w14:paraId="6AB3461D" w14:textId="0F0376D3" w:rsidR="007F4382" w:rsidRPr="0090038F" w:rsidRDefault="00472D6B" w:rsidP="002C1B64">
      <w:pPr>
        <w:spacing w:line="240" w:lineRule="auto"/>
        <w:ind w:left="-288" w:right="-288"/>
        <w:contextualSpacing/>
        <w:rPr>
          <w:rFonts w:cstheme="minorHAnsi"/>
        </w:rPr>
      </w:pPr>
      <w:r w:rsidRPr="0090038F">
        <w:rPr>
          <w:rFonts w:cstheme="minorHAnsi"/>
          <w:color w:val="C00000"/>
        </w:rPr>
        <w:t>The futur</w:t>
      </w:r>
      <w:r w:rsidR="006C6D1C" w:rsidRPr="0090038F">
        <w:rPr>
          <w:rFonts w:cstheme="minorHAnsi"/>
          <w:color w:val="C00000"/>
        </w:rPr>
        <w:t>e of the Traumatic Brain Injury Council</w:t>
      </w:r>
      <w:r w:rsidR="00485211" w:rsidRPr="0090038F">
        <w:rPr>
          <w:rFonts w:cstheme="minorHAnsi"/>
        </w:rPr>
        <w:t xml:space="preserve"> will focus on touching as many Washingtonians as possible </w:t>
      </w:r>
      <w:r w:rsidR="002C1B64" w:rsidRPr="0090038F">
        <w:rPr>
          <w:rFonts w:cstheme="minorHAnsi"/>
        </w:rPr>
        <w:t>with</w:t>
      </w:r>
      <w:r w:rsidR="007F4382" w:rsidRPr="0090038F">
        <w:rPr>
          <w:rFonts w:cstheme="minorHAnsi"/>
        </w:rPr>
        <w:t>:</w:t>
      </w:r>
    </w:p>
    <w:tbl>
      <w:tblPr>
        <w:tblStyle w:val="TableGrid"/>
        <w:tblW w:w="0" w:type="auto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927"/>
      </w:tblGrid>
      <w:tr w:rsidR="007F4382" w:rsidRPr="0090038F" w14:paraId="50C153A9" w14:textId="77777777" w:rsidTr="00354542">
        <w:tc>
          <w:tcPr>
            <w:tcW w:w="4423" w:type="dxa"/>
          </w:tcPr>
          <w:p w14:paraId="7A95B98C" w14:textId="77777777" w:rsidR="007F4382" w:rsidRPr="0090038F" w:rsidRDefault="007F4382" w:rsidP="007F4382">
            <w:pPr>
              <w:pStyle w:val="ListParagraph"/>
              <w:numPr>
                <w:ilvl w:val="0"/>
                <w:numId w:val="3"/>
              </w:numPr>
              <w:ind w:left="85" w:right="-28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0038F">
              <w:rPr>
                <w:rFonts w:asciiTheme="minorHAnsi" w:hAnsiTheme="minorHAnsi" w:cstheme="minorHAnsi"/>
                <w:sz w:val="22"/>
                <w:szCs w:val="22"/>
              </w:rPr>
              <w:t>Targeted public awareness</w:t>
            </w:r>
          </w:p>
        </w:tc>
        <w:tc>
          <w:tcPr>
            <w:tcW w:w="4927" w:type="dxa"/>
          </w:tcPr>
          <w:p w14:paraId="5CFC2918" w14:textId="77777777" w:rsidR="007F4382" w:rsidRPr="0090038F" w:rsidRDefault="007F4382" w:rsidP="007F4382">
            <w:pPr>
              <w:pStyle w:val="ListParagraph"/>
              <w:numPr>
                <w:ilvl w:val="0"/>
                <w:numId w:val="3"/>
              </w:numPr>
              <w:ind w:left="342" w:right="-288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90038F">
              <w:rPr>
                <w:rFonts w:asciiTheme="minorHAnsi" w:hAnsiTheme="minorHAnsi" w:cstheme="minorHAnsi"/>
                <w:sz w:val="22"/>
                <w:szCs w:val="22"/>
              </w:rPr>
              <w:t>Prevention programs for all ages</w:t>
            </w:r>
          </w:p>
        </w:tc>
      </w:tr>
      <w:tr w:rsidR="007F4382" w:rsidRPr="0090038F" w14:paraId="29B85EDA" w14:textId="77777777" w:rsidTr="00354542">
        <w:tc>
          <w:tcPr>
            <w:tcW w:w="4423" w:type="dxa"/>
          </w:tcPr>
          <w:p w14:paraId="23B36159" w14:textId="77777777" w:rsidR="007F4382" w:rsidRPr="0090038F" w:rsidRDefault="007F4382" w:rsidP="007F4382">
            <w:pPr>
              <w:pStyle w:val="ListParagraph"/>
              <w:numPr>
                <w:ilvl w:val="0"/>
                <w:numId w:val="3"/>
              </w:numPr>
              <w:ind w:left="85" w:right="-28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0038F">
              <w:rPr>
                <w:rFonts w:asciiTheme="minorHAnsi" w:hAnsiTheme="minorHAnsi" w:cstheme="minorHAnsi"/>
                <w:sz w:val="22"/>
                <w:szCs w:val="22"/>
              </w:rPr>
              <w:t>Outreach to underserved rural areas</w:t>
            </w:r>
          </w:p>
        </w:tc>
        <w:tc>
          <w:tcPr>
            <w:tcW w:w="4927" w:type="dxa"/>
          </w:tcPr>
          <w:p w14:paraId="33AA5CD6" w14:textId="77777777" w:rsidR="007F4382" w:rsidRPr="0090038F" w:rsidRDefault="007F4382" w:rsidP="007F4382">
            <w:pPr>
              <w:pStyle w:val="ListParagraph"/>
              <w:numPr>
                <w:ilvl w:val="0"/>
                <w:numId w:val="3"/>
              </w:numPr>
              <w:ind w:left="342" w:right="-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90038F">
              <w:rPr>
                <w:rFonts w:asciiTheme="minorHAnsi" w:hAnsiTheme="minorHAnsi" w:cstheme="minorHAnsi"/>
                <w:sz w:val="22"/>
                <w:szCs w:val="22"/>
              </w:rPr>
              <w:t>Transitional support for survivors/families</w:t>
            </w:r>
          </w:p>
        </w:tc>
      </w:tr>
      <w:tr w:rsidR="007F4382" w:rsidRPr="0090038F" w14:paraId="3A137142" w14:textId="77777777" w:rsidTr="00354542">
        <w:tc>
          <w:tcPr>
            <w:tcW w:w="9350" w:type="dxa"/>
            <w:gridSpan w:val="2"/>
          </w:tcPr>
          <w:p w14:paraId="211B9442" w14:textId="77777777" w:rsidR="007F4382" w:rsidRPr="0090038F" w:rsidRDefault="007F4382" w:rsidP="007F4382">
            <w:pPr>
              <w:pStyle w:val="ListParagraph"/>
              <w:numPr>
                <w:ilvl w:val="0"/>
                <w:numId w:val="3"/>
              </w:numPr>
              <w:ind w:left="85" w:right="-28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0038F">
              <w:rPr>
                <w:rFonts w:asciiTheme="minorHAnsi" w:hAnsiTheme="minorHAnsi" w:cstheme="minorHAnsi"/>
                <w:sz w:val="22"/>
                <w:szCs w:val="22"/>
              </w:rPr>
              <w:t>Effective screening and intervention in youth sports</w:t>
            </w:r>
          </w:p>
        </w:tc>
      </w:tr>
    </w:tbl>
    <w:p w14:paraId="13225D23" w14:textId="55387813" w:rsidR="008941A5" w:rsidRPr="0090038F" w:rsidRDefault="008941A5" w:rsidP="0075396B">
      <w:pPr>
        <w:spacing w:line="240" w:lineRule="auto"/>
        <w:ind w:right="-288"/>
        <w:contextualSpacing/>
        <w:rPr>
          <w:rFonts w:cstheme="minorHAnsi"/>
          <w:sz w:val="20"/>
          <w:szCs w:val="20"/>
        </w:rPr>
      </w:pPr>
    </w:p>
    <w:sectPr w:rsidR="008941A5" w:rsidRPr="0090038F" w:rsidSect="007901C5">
      <w:headerReference w:type="default" r:id="rId8"/>
      <w:footerReference w:type="default" r:id="rId9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E7066" w14:textId="77777777" w:rsidR="002B5A5E" w:rsidRDefault="002B5A5E" w:rsidP="00C74053">
      <w:pPr>
        <w:spacing w:after="0" w:line="240" w:lineRule="auto"/>
      </w:pPr>
      <w:r>
        <w:separator/>
      </w:r>
    </w:p>
  </w:endnote>
  <w:endnote w:type="continuationSeparator" w:id="0">
    <w:p w14:paraId="1152444A" w14:textId="77777777" w:rsidR="002B5A5E" w:rsidRDefault="002B5A5E" w:rsidP="00C7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5B2A" w14:textId="08DA6003" w:rsidR="007901C5" w:rsidRPr="00F004C5" w:rsidRDefault="00F004C5" w:rsidP="00F004C5">
    <w:pPr>
      <w:pStyle w:val="Footer"/>
      <w:jc w:val="center"/>
      <w:rPr>
        <w:color w:val="C00000"/>
        <w:sz w:val="36"/>
        <w:szCs w:val="36"/>
      </w:rPr>
    </w:pPr>
    <w:r w:rsidRPr="00F004C5">
      <w:rPr>
        <w:color w:val="C00000"/>
        <w:sz w:val="36"/>
        <w:szCs w:val="36"/>
      </w:rPr>
      <w:t>2017 Marks the 10</w:t>
    </w:r>
    <w:r w:rsidRPr="00F004C5">
      <w:rPr>
        <w:color w:val="C00000"/>
        <w:sz w:val="36"/>
        <w:szCs w:val="36"/>
        <w:vertAlign w:val="superscript"/>
      </w:rPr>
      <w:t>th</w:t>
    </w:r>
    <w:r w:rsidRPr="00F004C5">
      <w:rPr>
        <w:color w:val="C00000"/>
        <w:sz w:val="36"/>
        <w:szCs w:val="36"/>
      </w:rPr>
      <w:t xml:space="preserve"> Anniversary of the Tommy Manning Act!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6DA71" w14:textId="77777777" w:rsidR="002B5A5E" w:rsidRDefault="002B5A5E" w:rsidP="00C74053">
      <w:pPr>
        <w:spacing w:after="0" w:line="240" w:lineRule="auto"/>
      </w:pPr>
      <w:r>
        <w:separator/>
      </w:r>
    </w:p>
  </w:footnote>
  <w:footnote w:type="continuationSeparator" w:id="0">
    <w:p w14:paraId="3E8D2CB5" w14:textId="77777777" w:rsidR="002B5A5E" w:rsidRDefault="002B5A5E" w:rsidP="00C7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E3299" w14:textId="77777777" w:rsidR="00C74053" w:rsidRPr="00C74053" w:rsidRDefault="001C55DD" w:rsidP="00C74053">
    <w:pPr>
      <w:spacing w:after="80" w:line="240" w:lineRule="auto"/>
      <w:contextualSpacing/>
      <w:jc w:val="center"/>
      <w:rPr>
        <w:rFonts w:ascii="Trebuchet MS" w:eastAsia="Times New Roman" w:hAnsi="Trebuchet MS" w:cs="Times New Roman"/>
        <w:b/>
        <w:bCs/>
        <w:color w:val="D6615C"/>
        <w:spacing w:val="-10"/>
        <w:kern w:val="28"/>
        <w:sz w:val="40"/>
        <w:szCs w:val="40"/>
        <w:lang w:eastAsia="ja-JP"/>
      </w:rPr>
    </w:pPr>
    <w:r>
      <w:rPr>
        <w:rFonts w:ascii="Trebuchet MS" w:eastAsia="Times New Roman" w:hAnsi="Trebuchet MS" w:cs="Times New Roman"/>
        <w:b/>
        <w:bCs/>
        <w:color w:val="B6332E"/>
        <w:spacing w:val="-10"/>
        <w:kern w:val="28"/>
        <w:sz w:val="40"/>
        <w:szCs w:val="40"/>
        <w:lang w:eastAsia="ja-JP"/>
      </w:rPr>
      <w:t xml:space="preserve">2017 </w:t>
    </w:r>
    <w:r w:rsidR="00C74053" w:rsidRPr="00C74053">
      <w:rPr>
        <w:rFonts w:ascii="Trebuchet MS" w:eastAsia="Times New Roman" w:hAnsi="Trebuchet MS" w:cs="Times New Roman"/>
        <w:b/>
        <w:bCs/>
        <w:color w:val="B6332E"/>
        <w:spacing w:val="-10"/>
        <w:kern w:val="28"/>
        <w:sz w:val="40"/>
        <w:szCs w:val="40"/>
        <w:lang w:eastAsia="ja-JP"/>
      </w:rPr>
      <w:t>Traumatic B</w:t>
    </w:r>
    <w:r>
      <w:rPr>
        <w:rFonts w:ascii="Trebuchet MS" w:eastAsia="Times New Roman" w:hAnsi="Trebuchet MS" w:cs="Times New Roman"/>
        <w:b/>
        <w:bCs/>
        <w:color w:val="B6332E"/>
        <w:spacing w:val="-10"/>
        <w:kern w:val="28"/>
        <w:sz w:val="40"/>
        <w:szCs w:val="40"/>
        <w:lang w:eastAsia="ja-JP"/>
      </w:rPr>
      <w:t>rain Injury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13F5"/>
    <w:multiLevelType w:val="hybridMultilevel"/>
    <w:tmpl w:val="38C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F4A"/>
    <w:multiLevelType w:val="hybridMultilevel"/>
    <w:tmpl w:val="D56AF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137E5"/>
    <w:multiLevelType w:val="hybridMultilevel"/>
    <w:tmpl w:val="32846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C559C"/>
    <w:multiLevelType w:val="hybridMultilevel"/>
    <w:tmpl w:val="F6001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B5A76"/>
    <w:multiLevelType w:val="hybridMultilevel"/>
    <w:tmpl w:val="50DC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22861"/>
    <w:multiLevelType w:val="hybridMultilevel"/>
    <w:tmpl w:val="7658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53"/>
    <w:rsid w:val="0000201A"/>
    <w:rsid w:val="0007528F"/>
    <w:rsid w:val="00085394"/>
    <w:rsid w:val="000868C1"/>
    <w:rsid w:val="000D4F13"/>
    <w:rsid w:val="00112F72"/>
    <w:rsid w:val="00136E62"/>
    <w:rsid w:val="00141C23"/>
    <w:rsid w:val="001747A9"/>
    <w:rsid w:val="00185F27"/>
    <w:rsid w:val="001C55DD"/>
    <w:rsid w:val="00250A45"/>
    <w:rsid w:val="00295705"/>
    <w:rsid w:val="002B5A5E"/>
    <w:rsid w:val="002C1B64"/>
    <w:rsid w:val="00321BF2"/>
    <w:rsid w:val="00354542"/>
    <w:rsid w:val="00372EEC"/>
    <w:rsid w:val="003B217D"/>
    <w:rsid w:val="003D0C73"/>
    <w:rsid w:val="00461FC7"/>
    <w:rsid w:val="00472D6B"/>
    <w:rsid w:val="00485211"/>
    <w:rsid w:val="004D7F09"/>
    <w:rsid w:val="00550D03"/>
    <w:rsid w:val="00575E85"/>
    <w:rsid w:val="006B2A9D"/>
    <w:rsid w:val="006C6D1C"/>
    <w:rsid w:val="0075396B"/>
    <w:rsid w:val="007901C5"/>
    <w:rsid w:val="007F4382"/>
    <w:rsid w:val="008941A5"/>
    <w:rsid w:val="008B79B5"/>
    <w:rsid w:val="0090038F"/>
    <w:rsid w:val="009A2E2A"/>
    <w:rsid w:val="009C0168"/>
    <w:rsid w:val="00A11FEA"/>
    <w:rsid w:val="00B44F75"/>
    <w:rsid w:val="00B80B8A"/>
    <w:rsid w:val="00BA7632"/>
    <w:rsid w:val="00BB5CF1"/>
    <w:rsid w:val="00BE7EF9"/>
    <w:rsid w:val="00C156CB"/>
    <w:rsid w:val="00C617A9"/>
    <w:rsid w:val="00C74053"/>
    <w:rsid w:val="00CB7C4A"/>
    <w:rsid w:val="00CD6B19"/>
    <w:rsid w:val="00D8425C"/>
    <w:rsid w:val="00E46365"/>
    <w:rsid w:val="00F004C5"/>
    <w:rsid w:val="00F031A7"/>
    <w:rsid w:val="00F5570A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758F"/>
  <w15:chartTrackingRefBased/>
  <w15:docId w15:val="{79354D7C-77B0-4888-B4C9-0E8CAF52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53"/>
  </w:style>
  <w:style w:type="paragraph" w:styleId="Footer">
    <w:name w:val="footer"/>
    <w:basedOn w:val="Normal"/>
    <w:link w:val="FooterChar"/>
    <w:uiPriority w:val="99"/>
    <w:unhideWhenUsed/>
    <w:rsid w:val="00C74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53"/>
  </w:style>
  <w:style w:type="paragraph" w:styleId="FootnoteText">
    <w:name w:val="footnote text"/>
    <w:basedOn w:val="Normal"/>
    <w:link w:val="FootnoteTextChar"/>
    <w:uiPriority w:val="99"/>
    <w:semiHidden/>
    <w:unhideWhenUsed/>
    <w:rsid w:val="001C5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5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0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2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7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F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D18A-3F87-4AA1-BC09-6F1B72E7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Scott J (DSHS/HCS)</dc:creator>
  <cp:keywords/>
  <dc:description/>
  <cp:lastModifiedBy>Titus, Tamika D (DSHS/ALTSA/HCS)</cp:lastModifiedBy>
  <cp:revision>2</cp:revision>
  <cp:lastPrinted>2017-02-13T22:51:00Z</cp:lastPrinted>
  <dcterms:created xsi:type="dcterms:W3CDTF">2017-02-15T23:57:00Z</dcterms:created>
  <dcterms:modified xsi:type="dcterms:W3CDTF">2017-02-15T23:57:00Z</dcterms:modified>
</cp:coreProperties>
</file>