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9A" w:rsidRDefault="006D2FA5" w:rsidP="006D2FA5">
      <w:pPr>
        <w:jc w:val="center"/>
        <w:rPr>
          <w:rFonts w:asciiTheme="majorHAnsi" w:hAnsiTheme="majorHAnsi" w:cstheme="majorHAnsi"/>
          <w:sz w:val="32"/>
        </w:rPr>
      </w:pPr>
      <w:r w:rsidRPr="006D2FA5">
        <w:rPr>
          <w:rFonts w:asciiTheme="majorHAnsi" w:hAnsiTheme="majorHAnsi" w:cstheme="majorHAnsi"/>
          <w:sz w:val="32"/>
        </w:rPr>
        <w:t>Alternative Living Services</w:t>
      </w:r>
      <w:r w:rsidR="007E58F4">
        <w:rPr>
          <w:rFonts w:asciiTheme="majorHAnsi" w:hAnsiTheme="majorHAnsi" w:cstheme="majorHAnsi"/>
          <w:sz w:val="32"/>
        </w:rPr>
        <w:t xml:space="preserve"> Overview</w:t>
      </w:r>
    </w:p>
    <w:p w:rsidR="007E58F4" w:rsidRDefault="004E7151" w:rsidP="006D2FA5">
      <w:pPr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8</w:t>
      </w:r>
      <w:r w:rsidR="007E58F4" w:rsidRPr="007E58F4">
        <w:rPr>
          <w:rFonts w:asciiTheme="majorHAnsi" w:hAnsiTheme="majorHAnsi" w:cstheme="majorHAnsi"/>
          <w:sz w:val="24"/>
        </w:rPr>
        <w:t>/</w:t>
      </w:r>
      <w:r>
        <w:rPr>
          <w:rFonts w:asciiTheme="majorHAnsi" w:hAnsiTheme="majorHAnsi" w:cstheme="majorHAnsi"/>
          <w:sz w:val="24"/>
        </w:rPr>
        <w:t>05</w:t>
      </w:r>
      <w:r w:rsidR="007E58F4" w:rsidRPr="007E58F4">
        <w:rPr>
          <w:rFonts w:asciiTheme="majorHAnsi" w:hAnsiTheme="majorHAnsi" w:cstheme="majorHAnsi"/>
          <w:sz w:val="24"/>
        </w:rPr>
        <w:t>/2020</w:t>
      </w:r>
    </w:p>
    <w:p w:rsidR="007E58F4" w:rsidRDefault="007E58F4" w:rsidP="006D2FA5">
      <w:pPr>
        <w:jc w:val="center"/>
        <w:rPr>
          <w:rFonts w:asciiTheme="majorHAnsi" w:hAnsiTheme="majorHAnsi" w:cstheme="majorHAnsi"/>
          <w:sz w:val="24"/>
        </w:rPr>
      </w:pPr>
    </w:p>
    <w:p w:rsidR="007E58F4" w:rsidRDefault="007E58F4" w:rsidP="007E58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What </w:t>
      </w:r>
      <w:r w:rsidR="00BB21CE">
        <w:rPr>
          <w:rFonts w:asciiTheme="majorHAnsi" w:hAnsiTheme="majorHAnsi" w:cstheme="majorHAnsi"/>
          <w:sz w:val="24"/>
        </w:rPr>
        <w:t xml:space="preserve">are </w:t>
      </w:r>
      <w:r>
        <w:rPr>
          <w:rFonts w:asciiTheme="majorHAnsi" w:hAnsiTheme="majorHAnsi" w:cstheme="majorHAnsi"/>
          <w:sz w:val="24"/>
        </w:rPr>
        <w:t xml:space="preserve">Alternative Living </w:t>
      </w:r>
      <w:r w:rsidR="00BB21CE">
        <w:rPr>
          <w:rFonts w:asciiTheme="majorHAnsi" w:hAnsiTheme="majorHAnsi" w:cstheme="majorHAnsi"/>
          <w:sz w:val="24"/>
        </w:rPr>
        <w:t>(AL) s</w:t>
      </w:r>
      <w:r>
        <w:rPr>
          <w:rFonts w:asciiTheme="majorHAnsi" w:hAnsiTheme="majorHAnsi" w:cstheme="majorHAnsi"/>
          <w:sz w:val="24"/>
        </w:rPr>
        <w:t>ervices?</w:t>
      </w:r>
    </w:p>
    <w:p w:rsidR="007E58F4" w:rsidRPr="007E58F4" w:rsidRDefault="00BB21CE" w:rsidP="007E58F4">
      <w:pPr>
        <w:pStyle w:val="Body-Calibriblack"/>
        <w:numPr>
          <w:ilvl w:val="0"/>
          <w:numId w:val="2"/>
        </w:numPr>
        <w:rPr>
          <w:rFonts w:asciiTheme="majorHAnsi" w:eastAsiaTheme="minorHAnsi" w:hAnsiTheme="majorHAnsi" w:cstheme="majorHAnsi"/>
          <w:color w:val="auto"/>
        </w:rPr>
      </w:pPr>
      <w:r>
        <w:rPr>
          <w:rFonts w:asciiTheme="majorHAnsi" w:eastAsiaTheme="minorHAnsi" w:hAnsiTheme="majorHAnsi" w:cstheme="majorHAnsi"/>
          <w:color w:val="auto"/>
        </w:rPr>
        <w:t>AL services h</w:t>
      </w:r>
      <w:r w:rsidR="007E58F4" w:rsidRPr="007E58F4">
        <w:rPr>
          <w:rFonts w:asciiTheme="majorHAnsi" w:eastAsiaTheme="minorHAnsi" w:hAnsiTheme="majorHAnsi" w:cstheme="majorHAnsi"/>
          <w:color w:val="auto"/>
        </w:rPr>
        <w:t>elp individuals acquire skills necessary to live independently</w:t>
      </w:r>
    </w:p>
    <w:p w:rsidR="007E58F4" w:rsidRPr="007E58F4" w:rsidRDefault="007E58F4" w:rsidP="007E58F4">
      <w:pPr>
        <w:pStyle w:val="Body-Calibriblack"/>
        <w:numPr>
          <w:ilvl w:val="0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Services are offered in integrated settings</w:t>
      </w:r>
    </w:p>
    <w:p w:rsidR="007E58F4" w:rsidRPr="007E58F4" w:rsidRDefault="007E58F4" w:rsidP="007E58F4">
      <w:pPr>
        <w:pStyle w:val="Body-Calibriblack"/>
        <w:numPr>
          <w:ilvl w:val="0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Providers are contracted  and can provide services for multiple clients</w:t>
      </w:r>
    </w:p>
    <w:p w:rsidR="007E58F4" w:rsidRPr="007E58F4" w:rsidRDefault="007E58F4" w:rsidP="007E58F4">
      <w:pPr>
        <w:pStyle w:val="Body-Calibriblack"/>
        <w:numPr>
          <w:ilvl w:val="0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Supports may include training to establish a residence, home living, community living, health and safety, social activities, protection and advocacy, and more as needed</w:t>
      </w:r>
    </w:p>
    <w:p w:rsidR="007E58F4" w:rsidRDefault="00611539" w:rsidP="007E58F4">
      <w:pPr>
        <w:pStyle w:val="Body-Calibriblack"/>
        <w:numPr>
          <w:ilvl w:val="0"/>
          <w:numId w:val="2"/>
        </w:numPr>
        <w:rPr>
          <w:rFonts w:asciiTheme="majorHAnsi" w:eastAsiaTheme="minorHAnsi" w:hAnsiTheme="majorHAnsi" w:cstheme="majorHAnsi"/>
          <w:color w:val="auto"/>
        </w:rPr>
      </w:pPr>
      <w:r>
        <w:rPr>
          <w:rFonts w:asciiTheme="majorHAnsi" w:eastAsiaTheme="minorHAnsi" w:hAnsiTheme="majorHAnsi" w:cstheme="majorHAnsi"/>
          <w:color w:val="auto"/>
        </w:rPr>
        <w:t>Clients may receive u</w:t>
      </w:r>
      <w:r w:rsidR="007E58F4" w:rsidRPr="007E58F4">
        <w:rPr>
          <w:rFonts w:asciiTheme="majorHAnsi" w:eastAsiaTheme="minorHAnsi" w:hAnsiTheme="majorHAnsi" w:cstheme="majorHAnsi"/>
          <w:color w:val="auto"/>
        </w:rPr>
        <w:t>p to 40 hours per month</w:t>
      </w:r>
    </w:p>
    <w:p w:rsidR="00611539" w:rsidRDefault="00611539" w:rsidP="00611539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>
        <w:rPr>
          <w:rFonts w:asciiTheme="majorHAnsi" w:eastAsiaTheme="minorHAnsi" w:hAnsiTheme="majorHAnsi" w:cstheme="majorHAnsi"/>
          <w:color w:val="auto"/>
        </w:rPr>
        <w:t>An exception to rule (ETR) may be requested for additional hours</w:t>
      </w:r>
    </w:p>
    <w:p w:rsidR="00611539" w:rsidRPr="008705F5" w:rsidRDefault="00611539" w:rsidP="00215B21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>
        <w:rPr>
          <w:rFonts w:asciiTheme="majorHAnsi" w:eastAsiaTheme="minorHAnsi" w:hAnsiTheme="majorHAnsi" w:cstheme="majorHAnsi"/>
          <w:color w:val="auto"/>
        </w:rPr>
        <w:t>A client may also be eligible to receive  Community First Choice (CFC) services in addition to AL services</w:t>
      </w:r>
    </w:p>
    <w:p w:rsidR="007E58F4" w:rsidRPr="007E58F4" w:rsidRDefault="007E58F4" w:rsidP="007E58F4">
      <w:pPr>
        <w:pStyle w:val="Body-Calibriblack"/>
        <w:numPr>
          <w:ilvl w:val="0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Client Eligibility:</w:t>
      </w:r>
    </w:p>
    <w:p w:rsidR="007E58F4" w:rsidRPr="007E58F4" w:rsidRDefault="007E58F4" w:rsidP="007E58F4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DDA enrolled</w:t>
      </w:r>
    </w:p>
    <w:p w:rsidR="007E58F4" w:rsidRPr="007E58F4" w:rsidRDefault="007E58F4" w:rsidP="007E58F4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18 years of age or older</w:t>
      </w:r>
    </w:p>
    <w:p w:rsidR="007E58F4" w:rsidRPr="007E58F4" w:rsidRDefault="007E58F4" w:rsidP="007E58F4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Core waiver</w:t>
      </w:r>
    </w:p>
    <w:p w:rsidR="007E58F4" w:rsidRPr="007E58F4" w:rsidRDefault="007E58F4" w:rsidP="007E58F4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Assessed as needing residential habilitation services to meet their needs</w:t>
      </w:r>
    </w:p>
    <w:p w:rsidR="007E58F4" w:rsidRPr="007E58F4" w:rsidRDefault="007E58F4" w:rsidP="007E58F4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Living outside their parent’s home or transitioning to their own home within six months</w:t>
      </w:r>
    </w:p>
    <w:p w:rsidR="007E58F4" w:rsidRPr="007E58F4" w:rsidRDefault="007E58F4" w:rsidP="007E58F4">
      <w:pPr>
        <w:pStyle w:val="Body-Calibriblack"/>
        <w:numPr>
          <w:ilvl w:val="1"/>
          <w:numId w:val="2"/>
        </w:numPr>
        <w:rPr>
          <w:rFonts w:asciiTheme="majorHAnsi" w:eastAsiaTheme="minorHAnsi" w:hAnsiTheme="majorHAnsi" w:cstheme="majorHAnsi"/>
          <w:color w:val="auto"/>
        </w:rPr>
      </w:pPr>
      <w:r w:rsidRPr="007E58F4">
        <w:rPr>
          <w:rFonts w:asciiTheme="majorHAnsi" w:eastAsiaTheme="minorHAnsi" w:hAnsiTheme="majorHAnsi" w:cstheme="majorHAnsi"/>
          <w:color w:val="auto"/>
        </w:rPr>
        <w:t>Able to pay for daily living expenses</w:t>
      </w:r>
    </w:p>
    <w:p w:rsidR="001A144A" w:rsidRDefault="00BB21CE" w:rsidP="007E58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Resources:</w:t>
      </w:r>
    </w:p>
    <w:p w:rsidR="007E58F4" w:rsidRDefault="001A144A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 AL </w:t>
      </w:r>
      <w:hyperlink r:id="rId5" w:history="1">
        <w:r w:rsidRPr="00BB21CE">
          <w:rPr>
            <w:rStyle w:val="Hyperlink"/>
            <w:rFonts w:asciiTheme="majorHAnsi" w:hAnsiTheme="majorHAnsi" w:cstheme="majorHAnsi"/>
            <w:sz w:val="24"/>
          </w:rPr>
          <w:t>Fact Sheet</w:t>
        </w:r>
      </w:hyperlink>
      <w:r>
        <w:rPr>
          <w:rFonts w:asciiTheme="majorHAnsi" w:hAnsiTheme="majorHAnsi" w:cstheme="majorHAnsi"/>
          <w:sz w:val="24"/>
        </w:rPr>
        <w:t xml:space="preserve"> </w:t>
      </w:r>
    </w:p>
    <w:p w:rsidR="001A144A" w:rsidRDefault="001A144A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AL WACs are </w:t>
      </w:r>
      <w:hyperlink r:id="rId6" w:history="1">
        <w:r w:rsidRPr="00BB21CE">
          <w:rPr>
            <w:rStyle w:val="Hyperlink"/>
            <w:rFonts w:asciiTheme="majorHAnsi" w:hAnsiTheme="majorHAnsi" w:cstheme="majorHAnsi"/>
            <w:sz w:val="24"/>
          </w:rPr>
          <w:t>388-829A</w:t>
        </w:r>
      </w:hyperlink>
      <w:r>
        <w:rPr>
          <w:rFonts w:asciiTheme="majorHAnsi" w:hAnsiTheme="majorHAnsi" w:cstheme="majorHAnsi"/>
          <w:sz w:val="24"/>
        </w:rPr>
        <w:t xml:space="preserve"> </w:t>
      </w:r>
    </w:p>
    <w:p w:rsidR="001A144A" w:rsidRDefault="001A144A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</w:t>
      </w:r>
      <w:r w:rsidR="004E7151">
        <w:rPr>
          <w:rFonts w:asciiTheme="majorHAnsi" w:hAnsiTheme="majorHAnsi" w:cstheme="majorHAnsi"/>
          <w:sz w:val="24"/>
        </w:rPr>
        <w:t xml:space="preserve">AL Services </w:t>
      </w:r>
      <w:hyperlink r:id="rId7" w:history="1">
        <w:r w:rsidRPr="00BB21CE">
          <w:rPr>
            <w:rStyle w:val="Hyperlink"/>
            <w:rFonts w:asciiTheme="majorHAnsi" w:hAnsiTheme="majorHAnsi" w:cstheme="majorHAnsi"/>
            <w:sz w:val="24"/>
          </w:rPr>
          <w:t xml:space="preserve">Policy 4.09 </w:t>
        </w:r>
      </w:hyperlink>
      <w:r>
        <w:rPr>
          <w:rFonts w:asciiTheme="majorHAnsi" w:hAnsiTheme="majorHAnsi" w:cstheme="majorHAnsi"/>
          <w:sz w:val="24"/>
        </w:rPr>
        <w:t xml:space="preserve"> </w:t>
      </w:r>
    </w:p>
    <w:p w:rsidR="001A144A" w:rsidRDefault="001A144A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 </w:t>
      </w:r>
      <w:r w:rsidR="00BB21CE">
        <w:rPr>
          <w:rFonts w:asciiTheme="majorHAnsi" w:hAnsiTheme="majorHAnsi" w:cstheme="majorHAnsi"/>
          <w:sz w:val="24"/>
        </w:rPr>
        <w:t xml:space="preserve">2020 AL </w:t>
      </w:r>
      <w:r>
        <w:rPr>
          <w:rFonts w:asciiTheme="majorHAnsi" w:hAnsiTheme="majorHAnsi" w:cstheme="majorHAnsi"/>
          <w:sz w:val="24"/>
        </w:rPr>
        <w:t>contract for year 2020 is attached here :</w:t>
      </w:r>
    </w:p>
    <w:p w:rsidR="001A144A" w:rsidRDefault="001A144A" w:rsidP="001A144A">
      <w:pPr>
        <w:pStyle w:val="ListParagraph"/>
        <w:ind w:left="1440"/>
      </w:pPr>
      <w:r>
        <w:rPr>
          <w:rFonts w:asciiTheme="majorHAnsi" w:hAnsiTheme="majorHAnsi" w:cstheme="majorHAnsi"/>
          <w:sz w:val="24"/>
        </w:rPr>
        <w:t xml:space="preserve"> </w:t>
      </w:r>
      <w:bookmarkStart w:id="0" w:name="_MON_1652188466"/>
      <w:bookmarkEnd w:id="0"/>
      <w:r>
        <w:object w:dxaOrig="1508" w:dyaOrig="984" w14:anchorId="4AE7A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8.5pt" o:ole="">
            <v:imagedata r:id="rId8" o:title=""/>
          </v:shape>
          <o:OLEObject Type="Embed" ProgID="Word.Document.12" ShapeID="_x0000_i1025" DrawAspect="Icon" ObjectID="_1661687540" r:id="rId9">
            <o:FieldCodes>\s</o:FieldCodes>
          </o:OLEObject>
        </w:object>
      </w:r>
    </w:p>
    <w:p w:rsidR="001A144A" w:rsidRDefault="001A144A" w:rsidP="001A14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1A144A">
        <w:rPr>
          <w:rFonts w:asciiTheme="majorHAnsi" w:hAnsiTheme="majorHAnsi" w:cstheme="majorHAnsi"/>
          <w:sz w:val="24"/>
        </w:rPr>
        <w:t>What additional Pol</w:t>
      </w:r>
      <w:r>
        <w:rPr>
          <w:rFonts w:asciiTheme="majorHAnsi" w:hAnsiTheme="majorHAnsi" w:cstheme="majorHAnsi"/>
          <w:sz w:val="24"/>
        </w:rPr>
        <w:t>icies or other documents must an AL provider review and follow?</w:t>
      </w:r>
    </w:p>
    <w:p w:rsidR="001A144A" w:rsidRPr="00B36A68" w:rsidRDefault="00523CA4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hyperlink r:id="rId10" w:history="1">
        <w:r w:rsidR="001A144A" w:rsidRPr="00B36A68">
          <w:rPr>
            <w:rStyle w:val="Hyperlink"/>
            <w:rFonts w:asciiTheme="majorHAnsi" w:hAnsiTheme="majorHAnsi" w:cstheme="majorHAnsi"/>
            <w:sz w:val="24"/>
          </w:rPr>
          <w:t>Policy 5.14 Positive Behavior Support</w:t>
        </w:r>
      </w:hyperlink>
    </w:p>
    <w:p w:rsidR="001A144A" w:rsidRPr="00B36A68" w:rsidRDefault="00523CA4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hyperlink r:id="rId11" w:history="1">
        <w:r w:rsidR="001A144A" w:rsidRPr="00B36A68">
          <w:rPr>
            <w:rStyle w:val="Hyperlink"/>
            <w:rFonts w:asciiTheme="majorHAnsi" w:hAnsiTheme="majorHAnsi" w:cstheme="majorHAnsi"/>
            <w:sz w:val="24"/>
          </w:rPr>
          <w:t>Policy 5.15 Use of Restrictive Procedures</w:t>
        </w:r>
      </w:hyperlink>
    </w:p>
    <w:p w:rsidR="001A144A" w:rsidRPr="00B36A68" w:rsidRDefault="00523CA4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hyperlink r:id="rId12" w:history="1">
        <w:r w:rsidR="001A144A" w:rsidRPr="00B36A68">
          <w:rPr>
            <w:rStyle w:val="Hyperlink"/>
            <w:rFonts w:asciiTheme="majorHAnsi" w:hAnsiTheme="majorHAnsi" w:cstheme="majorHAnsi"/>
            <w:sz w:val="24"/>
          </w:rPr>
          <w:t>Policy 5.17 Physical Intervention Techniques</w:t>
        </w:r>
      </w:hyperlink>
    </w:p>
    <w:p w:rsidR="001A144A" w:rsidRPr="00B36A68" w:rsidRDefault="00523CA4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hyperlink r:id="rId13" w:history="1">
        <w:r w:rsidR="001A144A" w:rsidRPr="00B36A68">
          <w:rPr>
            <w:rStyle w:val="Hyperlink"/>
            <w:rFonts w:asciiTheme="majorHAnsi" w:hAnsiTheme="majorHAnsi" w:cstheme="majorHAnsi"/>
            <w:sz w:val="24"/>
          </w:rPr>
          <w:t>Policy 6.11 Residential Allowance Requests</w:t>
        </w:r>
      </w:hyperlink>
    </w:p>
    <w:p w:rsidR="001A144A" w:rsidRPr="00B36A68" w:rsidRDefault="00523CA4" w:rsidP="001A14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hyperlink r:id="rId14" w:history="1">
        <w:r w:rsidR="001A144A" w:rsidRPr="00B36A68">
          <w:rPr>
            <w:rStyle w:val="Hyperlink"/>
            <w:rFonts w:asciiTheme="majorHAnsi" w:hAnsiTheme="majorHAnsi" w:cstheme="majorHAnsi"/>
            <w:sz w:val="24"/>
          </w:rPr>
          <w:t>Policy 6.12 Incident Management and Reporting Requirements</w:t>
        </w:r>
      </w:hyperlink>
    </w:p>
    <w:p w:rsidR="001A144A" w:rsidRPr="00B36A68" w:rsidRDefault="00523CA4" w:rsidP="001A144A">
      <w:pPr>
        <w:pStyle w:val="ListParagraph"/>
        <w:numPr>
          <w:ilvl w:val="1"/>
          <w:numId w:val="1"/>
        </w:numPr>
        <w:rPr>
          <w:rStyle w:val="Hyperlink"/>
          <w:rFonts w:asciiTheme="majorHAnsi" w:hAnsiTheme="majorHAnsi" w:cstheme="majorHAnsi"/>
          <w:color w:val="auto"/>
          <w:sz w:val="28"/>
          <w:u w:val="none"/>
        </w:rPr>
      </w:pPr>
      <w:hyperlink r:id="rId15" w:history="1">
        <w:r w:rsidR="001A144A" w:rsidRPr="00B36A68">
          <w:rPr>
            <w:rStyle w:val="Hyperlink"/>
            <w:rFonts w:asciiTheme="majorHAnsi" w:hAnsiTheme="majorHAnsi" w:cstheme="majorHAnsi"/>
            <w:sz w:val="24"/>
          </w:rPr>
          <w:t>DDA Guiding Values</w:t>
        </w:r>
      </w:hyperlink>
    </w:p>
    <w:p w:rsidR="00915CDE" w:rsidRDefault="004E7151" w:rsidP="00915C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What paperwork d</w:t>
      </w:r>
      <w:r w:rsidR="00B36A68">
        <w:rPr>
          <w:rFonts w:asciiTheme="majorHAnsi" w:hAnsiTheme="majorHAnsi" w:cstheme="majorHAnsi"/>
          <w:sz w:val="24"/>
        </w:rPr>
        <w:t>oes an AL provider maintain on</w:t>
      </w:r>
      <w:r w:rsidR="00915CDE">
        <w:rPr>
          <w:rFonts w:asciiTheme="majorHAnsi" w:hAnsiTheme="majorHAnsi" w:cstheme="majorHAnsi"/>
          <w:sz w:val="24"/>
        </w:rPr>
        <w:t xml:space="preserve"> a regular</w:t>
      </w:r>
      <w:r>
        <w:rPr>
          <w:rFonts w:asciiTheme="majorHAnsi" w:hAnsiTheme="majorHAnsi" w:cstheme="majorHAnsi"/>
          <w:sz w:val="24"/>
        </w:rPr>
        <w:t xml:space="preserve"> basis</w:t>
      </w:r>
      <w:r w:rsidR="00915CDE">
        <w:rPr>
          <w:rFonts w:asciiTheme="majorHAnsi" w:hAnsiTheme="majorHAnsi" w:cstheme="majorHAnsi"/>
          <w:sz w:val="24"/>
        </w:rPr>
        <w:t>?</w:t>
      </w:r>
    </w:p>
    <w:p w:rsidR="00915CDE" w:rsidRDefault="00B36A68" w:rsidP="00B36A68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An AL provider has routine forms they are required to use and submit to the DDA CRM on a regular basis. Some common forms can be found here:</w:t>
      </w:r>
    </w:p>
    <w:p w:rsidR="00B36A68" w:rsidRPr="00B36A68" w:rsidRDefault="00523CA4" w:rsidP="00B36A68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hyperlink r:id="rId16" w:history="1">
        <w:r w:rsidR="00B36A68" w:rsidRPr="00B36A68">
          <w:rPr>
            <w:rStyle w:val="Hyperlink"/>
            <w:rFonts w:asciiTheme="majorHAnsi" w:hAnsiTheme="majorHAnsi" w:cstheme="majorHAnsi"/>
            <w:sz w:val="24"/>
            <w:szCs w:val="24"/>
          </w:rPr>
          <w:t>AL Service Plan and Provider Report Form DSHS 10-269</w:t>
        </w:r>
      </w:hyperlink>
    </w:p>
    <w:p w:rsidR="00B36A68" w:rsidRPr="00B36A68" w:rsidRDefault="00523CA4" w:rsidP="00B36A68">
      <w:pPr>
        <w:pStyle w:val="ListParagraph"/>
        <w:numPr>
          <w:ilvl w:val="2"/>
          <w:numId w:val="1"/>
        </w:numPr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hyperlink r:id="rId17" w:history="1">
        <w:r w:rsidR="00B36A68" w:rsidRPr="00B36A68">
          <w:rPr>
            <w:rStyle w:val="Hyperlink"/>
            <w:rFonts w:asciiTheme="majorHAnsi" w:hAnsiTheme="majorHAnsi" w:cstheme="majorHAnsi"/>
            <w:sz w:val="24"/>
            <w:szCs w:val="24"/>
          </w:rPr>
          <w:t>Alternative Living Services Plan and Provider Progress Report Supplement to DSHS Form 10-269</w:t>
        </w:r>
      </w:hyperlink>
      <w:r w:rsidR="00B36A68" w:rsidRPr="00B36A68">
        <w:rPr>
          <w:rStyle w:val="Hyperlink"/>
          <w:rFonts w:asciiTheme="majorHAnsi" w:hAnsiTheme="majorHAnsi" w:cstheme="majorHAnsi"/>
          <w:sz w:val="24"/>
          <w:szCs w:val="24"/>
        </w:rPr>
        <w:t xml:space="preserve"> Form DSHS 10-269A</w:t>
      </w:r>
    </w:p>
    <w:p w:rsidR="00B36A68" w:rsidRPr="00B36A68" w:rsidRDefault="00523CA4" w:rsidP="00B36A68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hyperlink r:id="rId18" w:history="1">
        <w:r w:rsidR="00B36A68" w:rsidRPr="00B36A68">
          <w:rPr>
            <w:rStyle w:val="Hyperlink"/>
            <w:rFonts w:asciiTheme="majorHAnsi" w:hAnsiTheme="majorHAnsi" w:cstheme="majorHAnsi"/>
            <w:sz w:val="24"/>
            <w:szCs w:val="24"/>
          </w:rPr>
          <w:t>Service Verification and Attendance Record Form DSHS 10-104B</w:t>
        </w:r>
      </w:hyperlink>
    </w:p>
    <w:p w:rsidR="00B36A68" w:rsidRPr="00B36A68" w:rsidRDefault="00523CA4" w:rsidP="00B36A68">
      <w:pPr>
        <w:pStyle w:val="ListParagraph"/>
        <w:numPr>
          <w:ilvl w:val="2"/>
          <w:numId w:val="1"/>
        </w:numPr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hyperlink r:id="rId19" w:history="1">
        <w:r w:rsidR="00B36A68" w:rsidRPr="00B36A68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Companion Home and Alternative Living Services Incident Report </w:t>
        </w:r>
      </w:hyperlink>
      <w:r w:rsidR="00B36A68" w:rsidRPr="00B36A68">
        <w:rPr>
          <w:rStyle w:val="Hyperlink"/>
          <w:rFonts w:asciiTheme="majorHAnsi" w:hAnsiTheme="majorHAnsi" w:cstheme="majorHAnsi"/>
          <w:sz w:val="24"/>
          <w:szCs w:val="24"/>
        </w:rPr>
        <w:t>Form DSHS 15-512</w:t>
      </w:r>
    </w:p>
    <w:p w:rsidR="00B36A68" w:rsidRPr="00215B21" w:rsidRDefault="00523CA4" w:rsidP="00B36A68">
      <w:pPr>
        <w:pStyle w:val="ListParagraph"/>
        <w:numPr>
          <w:ilvl w:val="2"/>
          <w:numId w:val="1"/>
        </w:numPr>
        <w:rPr>
          <w:rStyle w:val="Hyperlink"/>
          <w:rFonts w:asciiTheme="majorHAnsi" w:hAnsiTheme="majorHAnsi" w:cstheme="majorHAnsi"/>
          <w:color w:val="auto"/>
          <w:sz w:val="24"/>
          <w:u w:val="none"/>
        </w:rPr>
      </w:pPr>
      <w:hyperlink r:id="rId20" w:history="1">
        <w:r w:rsidR="00B36A68" w:rsidRPr="00B36A68">
          <w:rPr>
            <w:rStyle w:val="Hyperlink"/>
            <w:rFonts w:asciiTheme="majorHAnsi" w:hAnsiTheme="majorHAnsi" w:cstheme="majorHAnsi"/>
            <w:sz w:val="24"/>
          </w:rPr>
          <w:t>Alternative Living Financial Report Form DSHS 23-034</w:t>
        </w:r>
      </w:hyperlink>
    </w:p>
    <w:p w:rsidR="008705F5" w:rsidRPr="00717A50" w:rsidRDefault="008705F5" w:rsidP="008705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What are t</w:t>
      </w:r>
      <w:r>
        <w:rPr>
          <w:rFonts w:asciiTheme="majorHAnsi" w:hAnsiTheme="majorHAnsi" w:cstheme="majorHAnsi"/>
          <w:sz w:val="24"/>
        </w:rPr>
        <w:t xml:space="preserve">he training requirements for </w:t>
      </w:r>
      <w:r w:rsidRPr="00717A50">
        <w:rPr>
          <w:rFonts w:asciiTheme="majorHAnsi" w:hAnsiTheme="majorHAnsi" w:cstheme="majorHAnsi"/>
          <w:sz w:val="24"/>
        </w:rPr>
        <w:t>AL provider</w:t>
      </w:r>
      <w:r>
        <w:rPr>
          <w:rFonts w:asciiTheme="majorHAnsi" w:hAnsiTheme="majorHAnsi" w:cstheme="majorHAnsi"/>
          <w:sz w:val="24"/>
        </w:rPr>
        <w:t>s</w:t>
      </w:r>
      <w:r w:rsidRPr="00717A50">
        <w:rPr>
          <w:rFonts w:asciiTheme="majorHAnsi" w:hAnsiTheme="majorHAnsi" w:cstheme="majorHAnsi"/>
          <w:sz w:val="24"/>
        </w:rPr>
        <w:t xml:space="preserve">? </w:t>
      </w:r>
    </w:p>
    <w:p w:rsidR="008705F5" w:rsidRPr="00717A50" w:rsidRDefault="008705F5" w:rsidP="008705F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Individuals must have a high school diploma or GED to obtain an Alternative Living provider contract.</w:t>
      </w:r>
    </w:p>
    <w:p w:rsidR="008705F5" w:rsidRPr="00717A50" w:rsidRDefault="008705F5" w:rsidP="008705F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Five hours of Safety and Orientation training (must be completed prior to working directly with a client).</w:t>
      </w:r>
    </w:p>
    <w:p w:rsidR="008705F5" w:rsidRPr="00717A50" w:rsidRDefault="008705F5" w:rsidP="008705F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Forty hours of Residential Services curriculum (includes blood-borne pathogens training)</w:t>
      </w:r>
    </w:p>
    <w:p w:rsidR="008705F5" w:rsidRPr="00717A50" w:rsidRDefault="008705F5" w:rsidP="008705F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Thirty hours of additional topics related to the AL program and population specific topics and can include CPR and First Aid</w:t>
      </w:r>
    </w:p>
    <w:p w:rsidR="008705F5" w:rsidRPr="00717A50" w:rsidRDefault="008705F5" w:rsidP="008705F5">
      <w:pPr>
        <w:pStyle w:val="ListParagraph"/>
        <w:ind w:left="1800"/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(Note: a newly contracted provider who does not have current CPR and First Aid certification upon hire must complete it within 60 days of hire)</w:t>
      </w:r>
    </w:p>
    <w:p w:rsidR="008705F5" w:rsidRPr="00717A50" w:rsidRDefault="008705F5" w:rsidP="008705F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Training listed above must be completed within 120 days of hire date</w:t>
      </w:r>
    </w:p>
    <w:p w:rsidR="008705F5" w:rsidRPr="00717A50" w:rsidRDefault="008705F5" w:rsidP="008705F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717A50">
        <w:rPr>
          <w:rFonts w:asciiTheme="majorHAnsi" w:hAnsiTheme="majorHAnsi" w:cstheme="majorHAnsi"/>
          <w:sz w:val="24"/>
        </w:rPr>
        <w:t>AL providers are required to complete 12 hours of DDA-approved continuing education training each calendar year.</w:t>
      </w:r>
    </w:p>
    <w:p w:rsidR="008705F5" w:rsidRPr="008705F5" w:rsidRDefault="008705F5" w:rsidP="00215B21">
      <w:pPr>
        <w:pStyle w:val="ListParagraph"/>
        <w:numPr>
          <w:ilvl w:val="1"/>
          <w:numId w:val="1"/>
        </w:numPr>
        <w:rPr>
          <w:rStyle w:val="Hyperlink"/>
          <w:rFonts w:asciiTheme="majorHAnsi" w:hAnsiTheme="majorHAnsi" w:cstheme="majorHAnsi"/>
          <w:color w:val="auto"/>
          <w:sz w:val="24"/>
          <w:u w:val="none"/>
        </w:rPr>
      </w:pPr>
      <w:r w:rsidRPr="00717A50">
        <w:rPr>
          <w:rFonts w:asciiTheme="majorHAnsi" w:hAnsiTheme="majorHAnsi" w:cstheme="majorHAnsi"/>
          <w:sz w:val="24"/>
        </w:rPr>
        <w:t>AL providers will be reimbursed for their training time at their current rate of pay.</w:t>
      </w:r>
    </w:p>
    <w:p w:rsidR="00823588" w:rsidRDefault="00823588" w:rsidP="0082358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How are AL services regulated?</w:t>
      </w:r>
    </w:p>
    <w:p w:rsidR="00823588" w:rsidRDefault="00823588" w:rsidP="00823588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DDA contracts with </w:t>
      </w:r>
      <w:r w:rsidR="00215B21">
        <w:rPr>
          <w:rFonts w:asciiTheme="majorHAnsi" w:hAnsiTheme="majorHAnsi" w:cstheme="majorHAnsi"/>
          <w:sz w:val="24"/>
        </w:rPr>
        <w:t>certification</w:t>
      </w:r>
      <w:r w:rsidR="00BB21CE">
        <w:rPr>
          <w:rFonts w:asciiTheme="majorHAnsi" w:hAnsiTheme="majorHAnsi" w:cstheme="majorHAnsi"/>
          <w:sz w:val="24"/>
        </w:rPr>
        <w:t xml:space="preserve"> evaluators </w:t>
      </w:r>
      <w:r>
        <w:rPr>
          <w:rFonts w:asciiTheme="majorHAnsi" w:hAnsiTheme="majorHAnsi" w:cstheme="majorHAnsi"/>
          <w:sz w:val="24"/>
        </w:rPr>
        <w:t>who complete a yearly evaluation review of AL services provided by the provider.</w:t>
      </w:r>
    </w:p>
    <w:p w:rsidR="00823588" w:rsidRDefault="00823588" w:rsidP="00823588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 AL provider needs to keep organized provider and client records per WAC, Policy and Contract requirements as these records will be reviewed annually. </w:t>
      </w:r>
    </w:p>
    <w:p w:rsidR="00823588" w:rsidRPr="00823588" w:rsidRDefault="00823588" w:rsidP="00823588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823588">
        <w:rPr>
          <w:rFonts w:asciiTheme="majorHAnsi" w:hAnsiTheme="majorHAnsi" w:cstheme="majorHAnsi"/>
          <w:sz w:val="24"/>
        </w:rPr>
        <w:t xml:space="preserve">The AL provider will be evaluated using the following tool in addition to client interviews: </w:t>
      </w:r>
      <w:hyperlink r:id="rId21" w:history="1">
        <w:r w:rsidRPr="00823588">
          <w:rPr>
            <w:rStyle w:val="Hyperlink"/>
            <w:rFonts w:asciiTheme="majorHAnsi" w:hAnsiTheme="majorHAnsi" w:cstheme="majorHAnsi"/>
            <w:sz w:val="24"/>
          </w:rPr>
          <w:t>Alternative Living Certification Evaluation Form DSHS 15-388</w:t>
        </w:r>
      </w:hyperlink>
      <w:r w:rsidRPr="00823588">
        <w:rPr>
          <w:sz w:val="24"/>
        </w:rPr>
        <w:t xml:space="preserve"> </w:t>
      </w:r>
    </w:p>
    <w:p w:rsidR="00A23893" w:rsidRDefault="00A23893" w:rsidP="00A238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How is an AL provider paid?</w:t>
      </w:r>
    </w:p>
    <w:p w:rsidR="00A23893" w:rsidRDefault="00A23893" w:rsidP="00A2389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An AL provider is paid a contracted</w:t>
      </w:r>
      <w:r w:rsidR="00BB21CE">
        <w:rPr>
          <w:rFonts w:asciiTheme="majorHAnsi" w:hAnsiTheme="majorHAnsi" w:cstheme="majorHAnsi"/>
          <w:sz w:val="24"/>
        </w:rPr>
        <w:t>,</w:t>
      </w:r>
      <w:r>
        <w:rPr>
          <w:rFonts w:asciiTheme="majorHAnsi" w:hAnsiTheme="majorHAnsi" w:cstheme="majorHAnsi"/>
          <w:sz w:val="24"/>
        </w:rPr>
        <w:t xml:space="preserve"> hourly rate. Client service hours can change, but the rate stays </w:t>
      </w:r>
      <w:r w:rsidR="00A015D0">
        <w:rPr>
          <w:rFonts w:asciiTheme="majorHAnsi" w:hAnsiTheme="majorHAnsi" w:cstheme="majorHAnsi"/>
          <w:sz w:val="24"/>
        </w:rPr>
        <w:t>the same for all clients. All AL</w:t>
      </w:r>
      <w:r>
        <w:rPr>
          <w:rFonts w:asciiTheme="majorHAnsi" w:hAnsiTheme="majorHAnsi" w:cstheme="majorHAnsi"/>
          <w:sz w:val="24"/>
        </w:rPr>
        <w:t xml:space="preserve"> providers are paid at the same hourly rate and the rate is non-negotiable. </w:t>
      </w:r>
    </w:p>
    <w:p w:rsidR="00A23893" w:rsidRDefault="00102082" w:rsidP="00A015D0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 AL service </w:t>
      </w:r>
      <w:r w:rsidR="00B514ED">
        <w:rPr>
          <w:rFonts w:asciiTheme="majorHAnsi" w:hAnsiTheme="majorHAnsi" w:cstheme="majorHAnsi"/>
          <w:sz w:val="24"/>
        </w:rPr>
        <w:t xml:space="preserve">payment </w:t>
      </w:r>
      <w:r>
        <w:rPr>
          <w:rFonts w:asciiTheme="majorHAnsi" w:hAnsiTheme="majorHAnsi" w:cstheme="majorHAnsi"/>
          <w:sz w:val="24"/>
        </w:rPr>
        <w:t>code is SA724 Alternative Living Services</w:t>
      </w:r>
      <w:r w:rsidR="00B514ED">
        <w:rPr>
          <w:rFonts w:asciiTheme="majorHAnsi" w:hAnsiTheme="majorHAnsi" w:cstheme="majorHAnsi"/>
          <w:sz w:val="24"/>
        </w:rPr>
        <w:t>. The current rate is</w:t>
      </w:r>
      <w:r w:rsidR="00A015D0">
        <w:rPr>
          <w:rFonts w:asciiTheme="majorHAnsi" w:hAnsiTheme="majorHAnsi" w:cstheme="majorHAnsi"/>
          <w:sz w:val="24"/>
        </w:rPr>
        <w:t xml:space="preserve"> found under the “DDA Services” </w:t>
      </w:r>
      <w:r w:rsidR="00BB21CE">
        <w:rPr>
          <w:rFonts w:asciiTheme="majorHAnsi" w:hAnsiTheme="majorHAnsi" w:cstheme="majorHAnsi"/>
          <w:sz w:val="24"/>
        </w:rPr>
        <w:t xml:space="preserve">tab </w:t>
      </w:r>
      <w:r w:rsidR="00A015D0">
        <w:rPr>
          <w:rFonts w:asciiTheme="majorHAnsi" w:hAnsiTheme="majorHAnsi" w:cstheme="majorHAnsi"/>
          <w:sz w:val="24"/>
        </w:rPr>
        <w:t xml:space="preserve">in the </w:t>
      </w:r>
      <w:hyperlink r:id="rId22" w:history="1">
        <w:r w:rsidR="00B514ED" w:rsidRPr="00725497">
          <w:rPr>
            <w:rStyle w:val="Strong"/>
            <w:rFonts w:asciiTheme="majorHAnsi" w:hAnsiTheme="majorHAnsi" w:cstheme="majorHAnsi"/>
            <w:b w:val="0"/>
            <w:color w:val="0F5DA3"/>
            <w:sz w:val="24"/>
            <w:szCs w:val="24"/>
            <w:u w:val="single"/>
            <w:lang w:val="en"/>
          </w:rPr>
          <w:t>Developmental Disability Rates</w:t>
        </w:r>
      </w:hyperlink>
      <w:r w:rsidR="00B514ED">
        <w:rPr>
          <w:rStyle w:val="Strong"/>
          <w:rFonts w:asciiTheme="majorHAnsi" w:hAnsiTheme="majorHAnsi" w:cstheme="majorHAnsi"/>
          <w:b w:val="0"/>
          <w:color w:val="0F5DA3"/>
          <w:sz w:val="24"/>
          <w:szCs w:val="24"/>
          <w:u w:val="single"/>
          <w:lang w:val="en"/>
        </w:rPr>
        <w:t xml:space="preserve"> </w:t>
      </w:r>
      <w:r w:rsidR="00B514ED">
        <w:rPr>
          <w:rFonts w:asciiTheme="majorHAnsi" w:hAnsiTheme="majorHAnsi" w:cstheme="majorHAnsi"/>
          <w:sz w:val="24"/>
        </w:rPr>
        <w:t>table</w:t>
      </w:r>
      <w:r>
        <w:rPr>
          <w:rFonts w:asciiTheme="majorHAnsi" w:hAnsiTheme="majorHAnsi" w:cstheme="majorHAnsi"/>
          <w:sz w:val="24"/>
        </w:rPr>
        <w:t xml:space="preserve">. </w:t>
      </w:r>
    </w:p>
    <w:p w:rsidR="008705F5" w:rsidRPr="00215B21" w:rsidRDefault="008705F5" w:rsidP="008705F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When authorized by the CRM, the AL provide</w:t>
      </w:r>
      <w:r w:rsidR="00821920">
        <w:rPr>
          <w:rFonts w:asciiTheme="majorHAnsi" w:hAnsiTheme="majorHAnsi" w:cstheme="majorHAnsi"/>
          <w:sz w:val="24"/>
        </w:rPr>
        <w:t>r</w:t>
      </w:r>
      <w:r>
        <w:rPr>
          <w:rFonts w:asciiTheme="majorHAnsi" w:hAnsiTheme="majorHAnsi" w:cstheme="majorHAnsi"/>
          <w:sz w:val="24"/>
        </w:rPr>
        <w:t xml:space="preserve"> will be reimbursed mileage when providing transportation for the client as part of the AL plan. Mileage is reimbursed at 0.58 cents per mile for 2020. </w:t>
      </w:r>
      <w:r w:rsidRPr="00717A50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FA5B7F" w:rsidRDefault="00FA5B7F" w:rsidP="00FA5B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Where does an AL provider go to claim payment?</w:t>
      </w:r>
    </w:p>
    <w:p w:rsidR="00FA5B7F" w:rsidRDefault="00FA5B7F" w:rsidP="00FA5B7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Because AL providers are not Individual </w:t>
      </w:r>
      <w:r w:rsidR="00BB21CE">
        <w:rPr>
          <w:rFonts w:asciiTheme="majorHAnsi" w:hAnsiTheme="majorHAnsi" w:cstheme="majorHAnsi"/>
          <w:sz w:val="24"/>
        </w:rPr>
        <w:t>providers</w:t>
      </w:r>
      <w:r>
        <w:rPr>
          <w:rFonts w:asciiTheme="majorHAnsi" w:hAnsiTheme="majorHAnsi" w:cstheme="majorHAnsi"/>
          <w:sz w:val="24"/>
        </w:rPr>
        <w:t xml:space="preserve">, but a business, they will use the </w:t>
      </w:r>
      <w:hyperlink r:id="rId23" w:history="1">
        <w:r w:rsidRPr="00725497">
          <w:rPr>
            <w:rStyle w:val="Hyperlink"/>
            <w:rFonts w:asciiTheme="majorHAnsi" w:hAnsiTheme="majorHAnsi" w:cstheme="majorHAnsi"/>
            <w:sz w:val="24"/>
          </w:rPr>
          <w:t>Pro</w:t>
        </w:r>
        <w:r w:rsidR="008705F5">
          <w:rPr>
            <w:rStyle w:val="Hyperlink"/>
            <w:rFonts w:asciiTheme="majorHAnsi" w:hAnsiTheme="majorHAnsi" w:cstheme="majorHAnsi"/>
            <w:sz w:val="24"/>
          </w:rPr>
          <w:t>vide</w:t>
        </w:r>
        <w:r w:rsidRPr="00725497">
          <w:rPr>
            <w:rStyle w:val="Hyperlink"/>
            <w:rFonts w:asciiTheme="majorHAnsi" w:hAnsiTheme="majorHAnsi" w:cstheme="majorHAnsi"/>
            <w:sz w:val="24"/>
          </w:rPr>
          <w:t>rOne</w:t>
        </w:r>
      </w:hyperlink>
      <w:r>
        <w:rPr>
          <w:rFonts w:asciiTheme="majorHAnsi" w:hAnsiTheme="majorHAnsi" w:cstheme="majorHAnsi"/>
          <w:sz w:val="24"/>
        </w:rPr>
        <w:t xml:space="preserve"> system to claim payment.</w:t>
      </w:r>
    </w:p>
    <w:p w:rsidR="00FA5B7F" w:rsidRDefault="00FA5B7F" w:rsidP="00FA5B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Where can an AL provider get more information on the Pro</w:t>
      </w:r>
      <w:r w:rsidR="008705F5">
        <w:rPr>
          <w:rFonts w:asciiTheme="majorHAnsi" w:hAnsiTheme="majorHAnsi" w:cstheme="majorHAnsi"/>
          <w:sz w:val="24"/>
        </w:rPr>
        <w:t>vi</w:t>
      </w:r>
      <w:r>
        <w:rPr>
          <w:rFonts w:asciiTheme="majorHAnsi" w:hAnsiTheme="majorHAnsi" w:cstheme="majorHAnsi"/>
          <w:sz w:val="24"/>
        </w:rPr>
        <w:t>derOne system?</w:t>
      </w:r>
      <w:r w:rsidR="00111FC3">
        <w:rPr>
          <w:rFonts w:asciiTheme="majorHAnsi" w:hAnsiTheme="majorHAnsi" w:cstheme="majorHAnsi"/>
          <w:sz w:val="24"/>
        </w:rPr>
        <w:t xml:space="preserve"> The provider can:</w:t>
      </w:r>
    </w:p>
    <w:p w:rsidR="00725497" w:rsidRPr="00725497" w:rsidRDefault="00111FC3" w:rsidP="00725497">
      <w:pPr>
        <w:pStyle w:val="ListParagraph"/>
        <w:numPr>
          <w:ilvl w:val="1"/>
          <w:numId w:val="1"/>
        </w:numPr>
        <w:rPr>
          <w:rStyle w:val="Hyperlink"/>
          <w:rFonts w:asciiTheme="majorHAnsi" w:hAnsiTheme="majorHAnsi" w:cstheme="majorHAnsi"/>
          <w:color w:val="auto"/>
          <w:sz w:val="24"/>
          <w:u w:val="none"/>
        </w:rPr>
      </w:pPr>
      <w:r>
        <w:rPr>
          <w:rFonts w:asciiTheme="majorHAnsi" w:hAnsiTheme="majorHAnsi" w:cstheme="majorHAnsi"/>
          <w:sz w:val="24"/>
        </w:rPr>
        <w:t>V</w:t>
      </w:r>
      <w:r w:rsidR="00FA5B7F">
        <w:rPr>
          <w:rFonts w:asciiTheme="majorHAnsi" w:hAnsiTheme="majorHAnsi" w:cstheme="majorHAnsi"/>
          <w:sz w:val="24"/>
        </w:rPr>
        <w:t>isit the</w:t>
      </w:r>
      <w:r w:rsidR="00FA5B7F" w:rsidRPr="00FA5B7F">
        <w:rPr>
          <w:rFonts w:asciiTheme="majorHAnsi" w:hAnsiTheme="majorHAnsi" w:cstheme="majorHAnsi"/>
          <w:sz w:val="28"/>
        </w:rPr>
        <w:t xml:space="preserve"> </w:t>
      </w:r>
      <w:hyperlink r:id="rId24" w:history="1">
        <w:r w:rsidR="00FA5B7F" w:rsidRPr="00FA5B7F">
          <w:rPr>
            <w:rStyle w:val="Hyperlink"/>
            <w:rFonts w:asciiTheme="majorHAnsi" w:hAnsiTheme="majorHAnsi" w:cstheme="majorHAnsi"/>
            <w:sz w:val="24"/>
          </w:rPr>
          <w:t>Pro</w:t>
        </w:r>
        <w:r w:rsidR="008705F5">
          <w:rPr>
            <w:rStyle w:val="Hyperlink"/>
            <w:rFonts w:asciiTheme="majorHAnsi" w:hAnsiTheme="majorHAnsi" w:cstheme="majorHAnsi"/>
            <w:sz w:val="24"/>
          </w:rPr>
          <w:t>vi</w:t>
        </w:r>
        <w:r w:rsidR="00FA5B7F" w:rsidRPr="00FA5B7F">
          <w:rPr>
            <w:rStyle w:val="Hyperlink"/>
            <w:rFonts w:asciiTheme="majorHAnsi" w:hAnsiTheme="majorHAnsi" w:cstheme="majorHAnsi"/>
            <w:sz w:val="24"/>
          </w:rPr>
          <w:t>derOne Internet</w:t>
        </w:r>
      </w:hyperlink>
      <w:r w:rsidR="001E5FCF" w:rsidRPr="001E5FCF">
        <w:rPr>
          <w:rStyle w:val="Hyperlink"/>
          <w:rFonts w:asciiTheme="majorHAnsi" w:hAnsiTheme="majorHAnsi" w:cstheme="majorHAnsi"/>
          <w:color w:val="auto"/>
          <w:sz w:val="24"/>
          <w:u w:val="none"/>
        </w:rPr>
        <w:t xml:space="preserve"> particularly the </w:t>
      </w:r>
      <w:hyperlink r:id="rId25" w:history="1">
        <w:r w:rsidR="001E5FCF" w:rsidRPr="001E5FCF">
          <w:rPr>
            <w:rStyle w:val="Hyperlink"/>
            <w:rFonts w:asciiTheme="majorHAnsi" w:hAnsiTheme="majorHAnsi" w:cstheme="majorHAnsi"/>
            <w:sz w:val="24"/>
          </w:rPr>
          <w:t>ProviderOne for social services page</w:t>
        </w:r>
      </w:hyperlink>
    </w:p>
    <w:p w:rsidR="00FA5B7F" w:rsidRPr="00725497" w:rsidRDefault="00111FC3" w:rsidP="0072549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</w:t>
      </w:r>
      <w:r w:rsidR="00FA5B7F" w:rsidRPr="00725497">
        <w:rPr>
          <w:rFonts w:asciiTheme="majorHAnsi" w:hAnsiTheme="majorHAnsi" w:cstheme="majorHAnsi"/>
          <w:sz w:val="24"/>
        </w:rPr>
        <w:t xml:space="preserve">all ProviderOne to receive help in </w:t>
      </w:r>
      <w:r w:rsidR="00725497" w:rsidRPr="00725497">
        <w:rPr>
          <w:rFonts w:asciiTheme="majorHAnsi" w:hAnsiTheme="majorHAnsi" w:cstheme="majorHAnsi"/>
          <w:sz w:val="24"/>
        </w:rPr>
        <w:t>submitting claim</w:t>
      </w:r>
      <w:r w:rsidR="00FA5B7F" w:rsidRPr="00725497">
        <w:rPr>
          <w:rFonts w:asciiTheme="majorHAnsi" w:hAnsiTheme="majorHAnsi" w:cstheme="majorHAnsi"/>
          <w:sz w:val="24"/>
        </w:rPr>
        <w:t>: Technical Support: Health Care Authority (HCA) contact: 800-562-3022 press 5 then 1, or by submitting an online</w:t>
      </w:r>
      <w:r w:rsidR="00C27428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  <w:hyperlink r:id="rId26" w:tgtFrame="_blank" w:history="1">
        <w:r w:rsidR="00C27428" w:rsidRPr="00C27428">
          <w:rPr>
            <w:rStyle w:val="Hyperlink"/>
            <w:rFonts w:asciiTheme="majorHAnsi" w:hAnsiTheme="majorHAnsi" w:cstheme="majorHAnsi"/>
            <w:color w:val="285C82"/>
            <w:sz w:val="24"/>
            <w:szCs w:val="24"/>
          </w:rPr>
          <w:t>Social Service Provider online web form</w:t>
        </w:r>
      </w:hyperlink>
      <w:r w:rsidR="00FA5B7F" w:rsidRPr="00725497">
        <w:rPr>
          <w:rFonts w:asciiTheme="majorHAnsi" w:hAnsiTheme="majorHAnsi" w:cstheme="majorHAnsi"/>
          <w:sz w:val="24"/>
        </w:rPr>
        <w:t xml:space="preserve"> </w:t>
      </w:r>
    </w:p>
    <w:p w:rsidR="00725497" w:rsidRDefault="00111FC3" w:rsidP="00FA5B7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</w:t>
      </w:r>
      <w:r w:rsidR="00725497">
        <w:rPr>
          <w:rFonts w:asciiTheme="majorHAnsi" w:hAnsiTheme="majorHAnsi" w:cstheme="majorHAnsi"/>
          <w:sz w:val="24"/>
        </w:rPr>
        <w:t>ontact the authorizing DDA CRM if the rate is different in ProviderOne than expected</w:t>
      </w:r>
      <w:r w:rsidR="00FA5B7F" w:rsidRPr="00FA5B7F">
        <w:rPr>
          <w:rFonts w:asciiTheme="majorHAnsi" w:hAnsiTheme="majorHAnsi" w:cstheme="majorHAnsi"/>
          <w:sz w:val="24"/>
        </w:rPr>
        <w:tab/>
      </w:r>
    </w:p>
    <w:p w:rsidR="00CB76D0" w:rsidRPr="00CB76D0" w:rsidRDefault="00725497" w:rsidP="00FA5B7F">
      <w:pPr>
        <w:pStyle w:val="ListParagraph"/>
        <w:numPr>
          <w:ilvl w:val="1"/>
          <w:numId w:val="1"/>
        </w:numPr>
        <w:rPr>
          <w:rStyle w:val="Hyperlink"/>
          <w:rFonts w:asciiTheme="majorHAnsi" w:hAnsiTheme="majorHAnsi" w:cstheme="majorHAnsi"/>
          <w:color w:val="auto"/>
          <w:sz w:val="24"/>
          <w:u w:val="none"/>
        </w:rPr>
      </w:pPr>
      <w:r>
        <w:rPr>
          <w:rFonts w:asciiTheme="majorHAnsi" w:hAnsiTheme="majorHAnsi" w:cstheme="majorHAnsi"/>
          <w:sz w:val="24"/>
        </w:rPr>
        <w:t xml:space="preserve">Visit the </w:t>
      </w:r>
      <w:hyperlink r:id="rId27" w:history="1">
        <w:r w:rsidRPr="00725497">
          <w:rPr>
            <w:rStyle w:val="Hyperlink"/>
            <w:rFonts w:asciiTheme="majorHAnsi" w:hAnsiTheme="majorHAnsi" w:cstheme="majorHAnsi"/>
            <w:sz w:val="24"/>
          </w:rPr>
          <w:t>ProviderOne Billing and Resource Guide</w:t>
        </w:r>
      </w:hyperlink>
    </w:p>
    <w:p w:rsidR="00FA5B7F" w:rsidRDefault="00CB76D0" w:rsidP="00FA5B7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</w:rPr>
      </w:pPr>
      <w:r w:rsidRPr="00CB76D0">
        <w:rPr>
          <w:rStyle w:val="Hyperlink"/>
          <w:rFonts w:asciiTheme="majorHAnsi" w:hAnsiTheme="majorHAnsi" w:cstheme="majorHAnsi"/>
          <w:color w:val="auto"/>
          <w:sz w:val="24"/>
          <w:u w:val="none"/>
        </w:rPr>
        <w:t>Read the</w:t>
      </w:r>
      <w:r w:rsidRPr="00CB76D0">
        <w:rPr>
          <w:rStyle w:val="Hyperlink"/>
          <w:rFonts w:asciiTheme="majorHAnsi" w:hAnsiTheme="majorHAnsi" w:cstheme="majorHAnsi"/>
          <w:color w:val="auto"/>
          <w:sz w:val="24"/>
        </w:rPr>
        <w:t xml:space="preserve"> </w:t>
      </w:r>
      <w:hyperlink r:id="rId28" w:history="1">
        <w:r w:rsidRPr="00CB76D0">
          <w:rPr>
            <w:rStyle w:val="Hyperlink"/>
            <w:rFonts w:asciiTheme="majorHAnsi" w:hAnsiTheme="majorHAnsi" w:cstheme="majorHAnsi"/>
            <w:sz w:val="24"/>
          </w:rPr>
          <w:t>DDA FAQ Contracts</w:t>
        </w:r>
      </w:hyperlink>
      <w:r>
        <w:rPr>
          <w:rStyle w:val="Hyperlink"/>
          <w:rFonts w:asciiTheme="majorHAnsi" w:hAnsiTheme="majorHAnsi" w:cstheme="majorHAnsi"/>
          <w:sz w:val="24"/>
        </w:rPr>
        <w:t xml:space="preserve"> </w:t>
      </w:r>
      <w:r w:rsidRPr="00CB76D0">
        <w:rPr>
          <w:rStyle w:val="Hyperlink"/>
          <w:rFonts w:asciiTheme="majorHAnsi" w:hAnsiTheme="majorHAnsi" w:cstheme="majorHAnsi"/>
          <w:color w:val="auto"/>
          <w:sz w:val="24"/>
          <w:u w:val="none"/>
        </w:rPr>
        <w:t>page</w:t>
      </w:r>
      <w:r w:rsidR="00FA5B7F" w:rsidRPr="00FA5B7F">
        <w:rPr>
          <w:rFonts w:asciiTheme="majorHAnsi" w:hAnsiTheme="majorHAnsi" w:cstheme="majorHAnsi"/>
          <w:sz w:val="24"/>
        </w:rPr>
        <w:tab/>
      </w:r>
    </w:p>
    <w:p w:rsidR="00422BD5" w:rsidRPr="00FA5B7F" w:rsidRDefault="00422BD5" w:rsidP="001E5FCF">
      <w:pPr>
        <w:pStyle w:val="ListParagraph"/>
        <w:ind w:left="1440"/>
        <w:rPr>
          <w:rFonts w:asciiTheme="majorHAnsi" w:hAnsiTheme="majorHAnsi" w:cstheme="majorHAnsi"/>
          <w:sz w:val="24"/>
        </w:rPr>
      </w:pPr>
    </w:p>
    <w:sectPr w:rsidR="00422BD5" w:rsidRPr="00FA5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0B9"/>
    <w:multiLevelType w:val="hybridMultilevel"/>
    <w:tmpl w:val="9CBC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65D"/>
    <w:multiLevelType w:val="multilevel"/>
    <w:tmpl w:val="3AA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E54D7"/>
    <w:multiLevelType w:val="hybridMultilevel"/>
    <w:tmpl w:val="84AC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1042A"/>
    <w:multiLevelType w:val="hybridMultilevel"/>
    <w:tmpl w:val="D9E6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A5"/>
    <w:rsid w:val="00102082"/>
    <w:rsid w:val="00111FC3"/>
    <w:rsid w:val="001A144A"/>
    <w:rsid w:val="001E5FCF"/>
    <w:rsid w:val="00215B21"/>
    <w:rsid w:val="00422BD5"/>
    <w:rsid w:val="004A5170"/>
    <w:rsid w:val="004E7151"/>
    <w:rsid w:val="00523CA4"/>
    <w:rsid w:val="005D3CC9"/>
    <w:rsid w:val="00611539"/>
    <w:rsid w:val="006D2FA5"/>
    <w:rsid w:val="00725497"/>
    <w:rsid w:val="00791F13"/>
    <w:rsid w:val="007E58F4"/>
    <w:rsid w:val="00821920"/>
    <w:rsid w:val="00823588"/>
    <w:rsid w:val="008705F5"/>
    <w:rsid w:val="00873F1F"/>
    <w:rsid w:val="00915CDE"/>
    <w:rsid w:val="00A015D0"/>
    <w:rsid w:val="00A23893"/>
    <w:rsid w:val="00AA059A"/>
    <w:rsid w:val="00B36A68"/>
    <w:rsid w:val="00B514ED"/>
    <w:rsid w:val="00BB21CE"/>
    <w:rsid w:val="00C27428"/>
    <w:rsid w:val="00CB76D0"/>
    <w:rsid w:val="00DA0FEE"/>
    <w:rsid w:val="00E51365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52C6"/>
  <w15:chartTrackingRefBased/>
  <w15:docId w15:val="{0691C219-CB22-4A72-97AD-74D89861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7E58F4"/>
    <w:pPr>
      <w:widowControl w:val="0"/>
      <w:autoSpaceDE w:val="0"/>
      <w:autoSpaceDN w:val="0"/>
      <w:spacing w:after="0" w:line="240" w:lineRule="auto"/>
      <w:ind w:left="72"/>
      <w:outlineLvl w:val="1"/>
    </w:pPr>
    <w:rPr>
      <w:rFonts w:ascii="Cambria" w:eastAsia="Cambria" w:hAnsi="Cambria" w:cs="Cambri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7E58F4"/>
    <w:rPr>
      <w:rFonts w:ascii="Cambria" w:eastAsia="Cambria" w:hAnsi="Cambria" w:cs="Cambria"/>
      <w:b/>
      <w:bCs/>
      <w:sz w:val="24"/>
    </w:rPr>
  </w:style>
  <w:style w:type="paragraph" w:customStyle="1" w:styleId="Body-Calibriblack">
    <w:name w:val="Body  - Calibri black"/>
    <w:basedOn w:val="Normal"/>
    <w:qFormat/>
    <w:rsid w:val="007E58F4"/>
    <w:pPr>
      <w:spacing w:after="0" w:line="240" w:lineRule="auto"/>
    </w:pPr>
    <w:rPr>
      <w:rFonts w:ascii="Calibri" w:eastAsia="MS Mincho" w:hAnsi="Calibri" w:cs="Arial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1A14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44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15D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2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dshs.wa.gov/dda/policies-and-rules/policy-manual" TargetMode="External"/><Relationship Id="rId18" Type="http://schemas.openxmlformats.org/officeDocument/2006/relationships/hyperlink" Target="https://www.dshs.wa.gov/office-of-the-secretary/forms?field_number_value=10-104b&amp;title=&amp;=Apply" TargetMode="External"/><Relationship Id="rId26" Type="http://schemas.openxmlformats.org/officeDocument/2006/relationships/hyperlink" Target="https://fortress.wa.gov/hca/p1contactus/home/socialserv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shs.wa.gov/office-of-the-secretary/forms?field_number_value=15-388&amp;title=&amp;=Apply" TargetMode="External"/><Relationship Id="rId7" Type="http://schemas.openxmlformats.org/officeDocument/2006/relationships/hyperlink" Target="https://www.dshs.wa.gov/sites/default/files/DDA/dda/documents/policy/policy4.09.pdf" TargetMode="External"/><Relationship Id="rId12" Type="http://schemas.openxmlformats.org/officeDocument/2006/relationships/hyperlink" Target="https://www.dshs.wa.gov/dda/policies-and-rules/policy-manual" TargetMode="External"/><Relationship Id="rId17" Type="http://schemas.openxmlformats.org/officeDocument/2006/relationships/hyperlink" Target="file:///C:\Users\lutsyko\Desktop\In%20Progress%20%20Folder\Programs\AL\Proivder%20Resrouces\Alternative%20Living%20Services%20Plan%20and%20Provider%20Progress%20Report%20Supplement%20to%20DSHS%20Form%2010-269" TargetMode="External"/><Relationship Id="rId25" Type="http://schemas.openxmlformats.org/officeDocument/2006/relationships/hyperlink" Target="https://www.hca.wa.gov/billers-providers-partners/providerone/providerone-social-servi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shs.wa.gov/office-of-the-secretary/forms?field_number_value=10-269&amp;title=&amp;=Apply" TargetMode="External"/><Relationship Id="rId20" Type="http://schemas.openxmlformats.org/officeDocument/2006/relationships/hyperlink" Target="https://www.dshs.wa.gov/office-of-the-secretary/forms?field_number_value=23-034&amp;title=&amp;=Appl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ps.leg.wa.gov/WAC/default.aspx?cite=388-829A" TargetMode="External"/><Relationship Id="rId11" Type="http://schemas.openxmlformats.org/officeDocument/2006/relationships/hyperlink" Target="https://www.dshs.wa.gov/dda/policies-and-rules/policy-manual" TargetMode="External"/><Relationship Id="rId24" Type="http://schemas.openxmlformats.org/officeDocument/2006/relationships/hyperlink" Target="https://fortress.wa.gov/dshs/adsaapps/providerone/" TargetMode="External"/><Relationship Id="rId5" Type="http://schemas.openxmlformats.org/officeDocument/2006/relationships/hyperlink" Target="https://fortress.wa.gov/dshs/adsaapps/about/factsheets/DDA/Alternative%20Living%20(AL)%20Services.pdf" TargetMode="External"/><Relationship Id="rId15" Type="http://schemas.openxmlformats.org/officeDocument/2006/relationships/hyperlink" Target="https://www.dshs.wa.gov/sites/default/files/DDA/dda/documents/DDA%20Guiding%20Values%20Booklet.pdf" TargetMode="External"/><Relationship Id="rId23" Type="http://schemas.openxmlformats.org/officeDocument/2006/relationships/hyperlink" Target="https://fortress.wa.gov/dshs/adsaapps/providerone/" TargetMode="External"/><Relationship Id="rId28" Type="http://schemas.openxmlformats.org/officeDocument/2006/relationships/hyperlink" Target="https://www.dshs.wa.gov/sites/default/files/DDA/dda/documents/DDA%20Contracts%20Frequently%20Asked%20Questions.pdf" TargetMode="External"/><Relationship Id="rId10" Type="http://schemas.openxmlformats.org/officeDocument/2006/relationships/hyperlink" Target="https://www.dshs.wa.gov/dda/policies-and-rules/policy-manual" TargetMode="External"/><Relationship Id="rId19" Type="http://schemas.openxmlformats.org/officeDocument/2006/relationships/hyperlink" Target="https://www.dshs.wa.gov/office-of-the-secretary/forms?field_number_value=15-512&amp;title=&amp;=Apply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s://www.dshs.wa.gov/dda/policies-and-rules/policy-manual" TargetMode="External"/><Relationship Id="rId22" Type="http://schemas.openxmlformats.org/officeDocument/2006/relationships/hyperlink" Target="https://www.dshs.wa.gov/sites/default/files/ALTSA/msd/documents/All_DDA_Rates.xlsx" TargetMode="External"/><Relationship Id="rId27" Type="http://schemas.openxmlformats.org/officeDocument/2006/relationships/hyperlink" Target="https://www.hca.wa.gov/billers-providers-partners/providerone/providerone-billing-and-resource-gui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Lutsyk, Olga (DSHS/DDA)</dc:creator>
  <cp:keywords/>
  <dc:description/>
  <cp:lastModifiedBy>Morales, Alicia (DSHS/DDA)</cp:lastModifiedBy>
  <cp:revision>1</cp:revision>
  <dcterms:created xsi:type="dcterms:W3CDTF">2020-09-15T22:06:00Z</dcterms:created>
  <dcterms:modified xsi:type="dcterms:W3CDTF">2020-09-15T22:06:00Z</dcterms:modified>
</cp:coreProperties>
</file>