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091" w:rsidRDefault="00BD3091" w:rsidP="00BD3091">
      <w:pPr>
        <w:spacing w:before="0" w:after="0" w:line="240" w:lineRule="auto"/>
        <w:jc w:val="center"/>
        <w:rPr>
          <w:rFonts w:ascii="Cambria" w:hAnsi="Cambria"/>
          <w:b/>
          <w:sz w:val="28"/>
          <w:szCs w:val="28"/>
        </w:rPr>
      </w:pPr>
      <w:r>
        <w:rPr>
          <w:rFonts w:ascii="Cambria" w:hAnsi="Cambria"/>
          <w:b/>
          <w:sz w:val="28"/>
          <w:szCs w:val="28"/>
        </w:rPr>
        <w:t>AFH Community Integration, CI Mileage, Medical Mileage</w:t>
      </w:r>
    </w:p>
    <w:p w:rsidR="00BD3091" w:rsidRDefault="00BD3091" w:rsidP="00BD3091">
      <w:pPr>
        <w:spacing w:before="0" w:after="0" w:line="240" w:lineRule="auto"/>
        <w:jc w:val="center"/>
        <w:rPr>
          <w:rFonts w:ascii="Cambria" w:hAnsi="Cambria"/>
          <w:b/>
          <w:sz w:val="28"/>
          <w:szCs w:val="28"/>
        </w:rPr>
      </w:pPr>
      <w:r>
        <w:rPr>
          <w:rFonts w:ascii="Cambria" w:hAnsi="Cambria"/>
          <w:b/>
          <w:sz w:val="28"/>
          <w:szCs w:val="28"/>
        </w:rPr>
        <w:t>Talking Points for DDA Field Staff</w:t>
      </w:r>
    </w:p>
    <w:p w:rsidR="00F730CD" w:rsidRPr="00BD3091" w:rsidRDefault="00F730CD" w:rsidP="00BD3091">
      <w:pPr>
        <w:spacing w:before="0" w:after="0" w:line="240" w:lineRule="auto"/>
        <w:jc w:val="center"/>
        <w:rPr>
          <w:rFonts w:ascii="Cambria" w:hAnsi="Cambria"/>
          <w:b/>
          <w:sz w:val="28"/>
          <w:szCs w:val="28"/>
        </w:rPr>
      </w:pPr>
    </w:p>
    <w:tbl>
      <w:tblPr>
        <w:tblStyle w:val="TableGrid"/>
        <w:tblW w:w="10975" w:type="dxa"/>
        <w:tblLook w:val="04A0" w:firstRow="1" w:lastRow="0" w:firstColumn="1" w:lastColumn="0" w:noHBand="0" w:noVBand="1"/>
      </w:tblPr>
      <w:tblGrid>
        <w:gridCol w:w="3865"/>
        <w:gridCol w:w="7110"/>
      </w:tblGrid>
      <w:tr w:rsidR="007F37F7" w:rsidRPr="001C5765" w:rsidTr="00F077A3">
        <w:tc>
          <w:tcPr>
            <w:tcW w:w="3865" w:type="dxa"/>
            <w:shd w:val="clear" w:color="auto" w:fill="D5DCE4" w:themeFill="text2" w:themeFillTint="33"/>
            <w:vAlign w:val="center"/>
          </w:tcPr>
          <w:p w:rsidR="007F37F7" w:rsidRPr="005C6828" w:rsidRDefault="007F37F7" w:rsidP="001502C6">
            <w:pPr>
              <w:ind w:left="-113"/>
              <w:jc w:val="center"/>
              <w:rPr>
                <w:rFonts w:ascii="Cambria" w:hAnsi="Cambria"/>
                <w:b/>
                <w:sz w:val="22"/>
                <w:szCs w:val="22"/>
              </w:rPr>
            </w:pPr>
            <w:r w:rsidRPr="005C6828">
              <w:rPr>
                <w:rFonts w:ascii="Cambria" w:hAnsi="Cambria"/>
                <w:b/>
                <w:sz w:val="22"/>
                <w:szCs w:val="22"/>
              </w:rPr>
              <w:t>What is Community Integration?</w:t>
            </w:r>
          </w:p>
        </w:tc>
        <w:tc>
          <w:tcPr>
            <w:tcW w:w="7110" w:type="dxa"/>
            <w:vAlign w:val="center"/>
          </w:tcPr>
          <w:p w:rsidR="007F37F7" w:rsidRPr="005C6828" w:rsidRDefault="00986791" w:rsidP="00BD3091">
            <w:pPr>
              <w:ind w:left="162"/>
              <w:rPr>
                <w:rFonts w:ascii="Cambria" w:hAnsi="Cambria"/>
                <w:sz w:val="22"/>
                <w:szCs w:val="22"/>
              </w:rPr>
            </w:pPr>
            <w:r w:rsidRPr="005C6828">
              <w:rPr>
                <w:rFonts w:ascii="Cambria" w:hAnsi="Cambria"/>
                <w:sz w:val="22"/>
                <w:szCs w:val="22"/>
              </w:rPr>
              <w:t>Community Integration</w:t>
            </w:r>
            <w:r w:rsidR="00BD3091">
              <w:rPr>
                <w:rFonts w:ascii="Cambria" w:hAnsi="Cambria"/>
                <w:sz w:val="22"/>
                <w:szCs w:val="22"/>
              </w:rPr>
              <w:t xml:space="preserve"> means</w:t>
            </w:r>
            <w:r w:rsidRPr="005C6828">
              <w:rPr>
                <w:rFonts w:ascii="Cambria" w:hAnsi="Cambria"/>
                <w:sz w:val="22"/>
                <w:szCs w:val="22"/>
              </w:rPr>
              <w:t xml:space="preserve"> being out in the local community and participating in activities that one chooses.  Participating in community activities also means making new connections with people and developing friendships.</w:t>
            </w:r>
          </w:p>
        </w:tc>
      </w:tr>
      <w:tr w:rsidR="001C5765" w:rsidRPr="001C5765" w:rsidTr="00F077A3">
        <w:tc>
          <w:tcPr>
            <w:tcW w:w="3865" w:type="dxa"/>
            <w:shd w:val="clear" w:color="auto" w:fill="D5DCE4" w:themeFill="text2" w:themeFillTint="33"/>
            <w:vAlign w:val="center"/>
          </w:tcPr>
          <w:p w:rsidR="001C5765" w:rsidRPr="005C6828" w:rsidRDefault="00862AF5" w:rsidP="00862AF5">
            <w:pPr>
              <w:ind w:left="-113"/>
              <w:jc w:val="center"/>
              <w:rPr>
                <w:rFonts w:ascii="Cambria" w:hAnsi="Cambria"/>
                <w:b/>
                <w:sz w:val="22"/>
                <w:szCs w:val="22"/>
                <w:highlight w:val="lightGray"/>
              </w:rPr>
            </w:pPr>
            <w:r w:rsidRPr="005C6828">
              <w:rPr>
                <w:rFonts w:ascii="Cambria" w:hAnsi="Cambria"/>
                <w:b/>
                <w:sz w:val="22"/>
                <w:szCs w:val="22"/>
              </w:rPr>
              <w:t xml:space="preserve">Who can receive </w:t>
            </w:r>
            <w:r w:rsidR="001C5765" w:rsidRPr="005C6828">
              <w:rPr>
                <w:rFonts w:ascii="Cambria" w:hAnsi="Cambria"/>
                <w:b/>
                <w:sz w:val="22"/>
                <w:szCs w:val="22"/>
              </w:rPr>
              <w:t>Community Integration</w:t>
            </w:r>
            <w:r w:rsidRPr="005C6828">
              <w:rPr>
                <w:rFonts w:ascii="Cambria" w:hAnsi="Cambria"/>
                <w:b/>
                <w:sz w:val="22"/>
                <w:szCs w:val="22"/>
              </w:rPr>
              <w:t>?</w:t>
            </w:r>
          </w:p>
        </w:tc>
        <w:tc>
          <w:tcPr>
            <w:tcW w:w="7110" w:type="dxa"/>
            <w:vAlign w:val="center"/>
          </w:tcPr>
          <w:p w:rsidR="001C5765" w:rsidRPr="005C6828" w:rsidRDefault="001C5765">
            <w:pPr>
              <w:ind w:left="162"/>
              <w:rPr>
                <w:rFonts w:ascii="Cambria" w:hAnsi="Cambria"/>
                <w:sz w:val="22"/>
                <w:szCs w:val="22"/>
              </w:rPr>
            </w:pPr>
            <w:r w:rsidRPr="005C6828">
              <w:rPr>
                <w:rFonts w:ascii="Cambria" w:hAnsi="Cambria"/>
                <w:sz w:val="22"/>
                <w:szCs w:val="22"/>
              </w:rPr>
              <w:t>Community Integration is available to DSHS funded residents in Adult Family Homes</w:t>
            </w:r>
            <w:r w:rsidR="00680701">
              <w:rPr>
                <w:rFonts w:ascii="Cambria" w:hAnsi="Cambria"/>
                <w:sz w:val="22"/>
                <w:szCs w:val="22"/>
              </w:rPr>
              <w:t>.</w:t>
            </w:r>
            <w:r w:rsidR="00BD1841">
              <w:rPr>
                <w:rFonts w:ascii="Cambria" w:hAnsi="Cambria"/>
                <w:sz w:val="22"/>
                <w:szCs w:val="22"/>
              </w:rPr>
              <w:t xml:space="preserve">  Community Integration is person-centered and individualized based on each resident’s interests and is intended to be provided individually.  </w:t>
            </w:r>
          </w:p>
        </w:tc>
      </w:tr>
      <w:tr w:rsidR="001C5765" w:rsidRPr="001C5765" w:rsidTr="00F077A3">
        <w:tc>
          <w:tcPr>
            <w:tcW w:w="3865" w:type="dxa"/>
            <w:shd w:val="clear" w:color="auto" w:fill="D5DCE4" w:themeFill="text2" w:themeFillTint="33"/>
            <w:vAlign w:val="center"/>
          </w:tcPr>
          <w:p w:rsidR="001C5765" w:rsidRPr="005C6828" w:rsidRDefault="005566BE" w:rsidP="007F37F7">
            <w:pPr>
              <w:ind w:firstLine="360"/>
              <w:jc w:val="center"/>
              <w:rPr>
                <w:rFonts w:ascii="Cambria" w:hAnsi="Cambria"/>
                <w:b/>
                <w:sz w:val="22"/>
                <w:szCs w:val="22"/>
                <w:highlight w:val="lightGray"/>
              </w:rPr>
            </w:pPr>
            <w:r w:rsidRPr="005C6828">
              <w:rPr>
                <w:rFonts w:ascii="Cambria" w:hAnsi="Cambria"/>
                <w:b/>
                <w:sz w:val="22"/>
                <w:szCs w:val="22"/>
              </w:rPr>
              <w:t xml:space="preserve">Will all residents </w:t>
            </w:r>
            <w:r w:rsidR="00D74894" w:rsidRPr="005C6828">
              <w:rPr>
                <w:rFonts w:ascii="Cambria" w:hAnsi="Cambria"/>
                <w:b/>
                <w:sz w:val="22"/>
                <w:szCs w:val="22"/>
              </w:rPr>
              <w:t>in</w:t>
            </w:r>
            <w:r w:rsidRPr="005C6828">
              <w:rPr>
                <w:rFonts w:ascii="Cambria" w:hAnsi="Cambria"/>
                <w:b/>
                <w:sz w:val="22"/>
                <w:szCs w:val="22"/>
              </w:rPr>
              <w:t xml:space="preserve"> AFHs get Community Integration?</w:t>
            </w:r>
          </w:p>
        </w:tc>
        <w:tc>
          <w:tcPr>
            <w:tcW w:w="7110" w:type="dxa"/>
            <w:vAlign w:val="center"/>
          </w:tcPr>
          <w:p w:rsidR="001C5765" w:rsidRPr="005C6828" w:rsidRDefault="00905E2C" w:rsidP="00D358E1">
            <w:pPr>
              <w:ind w:left="162"/>
              <w:rPr>
                <w:rFonts w:ascii="Cambria" w:hAnsi="Cambria"/>
                <w:sz w:val="22"/>
                <w:szCs w:val="22"/>
              </w:rPr>
            </w:pPr>
            <w:r w:rsidRPr="005C6828">
              <w:rPr>
                <w:rFonts w:ascii="Cambria" w:hAnsi="Cambria"/>
                <w:sz w:val="22"/>
                <w:szCs w:val="22"/>
              </w:rPr>
              <w:t xml:space="preserve">Community Integration </w:t>
            </w:r>
            <w:r w:rsidR="005C07C3" w:rsidRPr="005C6828">
              <w:rPr>
                <w:rFonts w:ascii="Cambria" w:hAnsi="Cambria"/>
                <w:sz w:val="22"/>
                <w:szCs w:val="22"/>
              </w:rPr>
              <w:t xml:space="preserve">is available for </w:t>
            </w:r>
            <w:r w:rsidR="00A178E9" w:rsidRPr="005C6828">
              <w:rPr>
                <w:rFonts w:ascii="Cambria" w:hAnsi="Cambria"/>
                <w:sz w:val="22"/>
                <w:szCs w:val="22"/>
              </w:rPr>
              <w:t xml:space="preserve">DSHS funded </w:t>
            </w:r>
            <w:r w:rsidR="005566BE" w:rsidRPr="005C6828">
              <w:rPr>
                <w:rFonts w:ascii="Cambria" w:hAnsi="Cambria"/>
                <w:sz w:val="22"/>
                <w:szCs w:val="22"/>
              </w:rPr>
              <w:t xml:space="preserve">AFH residents who have an </w:t>
            </w:r>
            <w:r w:rsidR="00D358E1">
              <w:rPr>
                <w:rFonts w:ascii="Cambria" w:hAnsi="Cambria"/>
                <w:sz w:val="22"/>
                <w:szCs w:val="22"/>
              </w:rPr>
              <w:t xml:space="preserve">assessed </w:t>
            </w:r>
            <w:r w:rsidR="005566BE" w:rsidRPr="005C6828">
              <w:rPr>
                <w:rFonts w:ascii="Cambria" w:hAnsi="Cambria"/>
                <w:sz w:val="22"/>
                <w:szCs w:val="22"/>
              </w:rPr>
              <w:t>need for Community integration AND want to participate in their local community.</w:t>
            </w:r>
          </w:p>
        </w:tc>
      </w:tr>
      <w:tr w:rsidR="001C5765" w:rsidRPr="001C5765" w:rsidTr="00F077A3">
        <w:tc>
          <w:tcPr>
            <w:tcW w:w="3865" w:type="dxa"/>
            <w:shd w:val="clear" w:color="auto" w:fill="D5DCE4" w:themeFill="text2" w:themeFillTint="33"/>
            <w:vAlign w:val="center"/>
          </w:tcPr>
          <w:p w:rsidR="001C5765" w:rsidRPr="005C6828" w:rsidRDefault="00C725CC" w:rsidP="007F37F7">
            <w:pPr>
              <w:ind w:left="67"/>
              <w:jc w:val="center"/>
              <w:rPr>
                <w:rFonts w:ascii="Cambria" w:hAnsi="Cambria"/>
                <w:b/>
                <w:sz w:val="22"/>
                <w:szCs w:val="22"/>
              </w:rPr>
            </w:pPr>
            <w:r w:rsidRPr="005C6828">
              <w:rPr>
                <w:rFonts w:ascii="Cambria" w:hAnsi="Cambria"/>
                <w:b/>
                <w:sz w:val="22"/>
                <w:szCs w:val="22"/>
              </w:rPr>
              <w:t>How will the CRM/SSS</w:t>
            </w:r>
            <w:r w:rsidR="00D74894" w:rsidRPr="005C6828">
              <w:rPr>
                <w:rFonts w:ascii="Cambria" w:hAnsi="Cambria"/>
                <w:b/>
                <w:sz w:val="22"/>
                <w:szCs w:val="22"/>
              </w:rPr>
              <w:t xml:space="preserve"> </w:t>
            </w:r>
            <w:r w:rsidR="007F37F7" w:rsidRPr="005C6828">
              <w:rPr>
                <w:rFonts w:ascii="Cambria" w:hAnsi="Cambria"/>
                <w:b/>
                <w:sz w:val="22"/>
                <w:szCs w:val="22"/>
              </w:rPr>
              <w:t xml:space="preserve">identify an </w:t>
            </w:r>
            <w:r w:rsidR="00D74894" w:rsidRPr="005C6828">
              <w:rPr>
                <w:rFonts w:ascii="Cambria" w:hAnsi="Cambria"/>
                <w:b/>
                <w:sz w:val="22"/>
                <w:szCs w:val="22"/>
              </w:rPr>
              <w:t>unmet or partially met need</w:t>
            </w:r>
            <w:r w:rsidR="00862AF5" w:rsidRPr="005C6828">
              <w:rPr>
                <w:rFonts w:ascii="Cambria" w:hAnsi="Cambria"/>
                <w:b/>
                <w:sz w:val="22"/>
                <w:szCs w:val="22"/>
              </w:rPr>
              <w:t xml:space="preserve"> for Community Integration</w:t>
            </w:r>
            <w:r w:rsidR="00D74894" w:rsidRPr="005C6828">
              <w:rPr>
                <w:rFonts w:ascii="Cambria" w:hAnsi="Cambria"/>
                <w:b/>
                <w:sz w:val="22"/>
                <w:szCs w:val="22"/>
              </w:rPr>
              <w:t>?</w:t>
            </w:r>
          </w:p>
        </w:tc>
        <w:tc>
          <w:tcPr>
            <w:tcW w:w="7110" w:type="dxa"/>
            <w:vAlign w:val="center"/>
          </w:tcPr>
          <w:p w:rsidR="001C5765" w:rsidRPr="005C6828" w:rsidRDefault="00E03D66" w:rsidP="00D358E1">
            <w:pPr>
              <w:ind w:left="162"/>
              <w:rPr>
                <w:rFonts w:ascii="Cambria" w:hAnsi="Cambria"/>
                <w:sz w:val="22"/>
                <w:szCs w:val="22"/>
              </w:rPr>
            </w:pPr>
            <w:r w:rsidRPr="005C6828">
              <w:rPr>
                <w:rFonts w:ascii="Cambria" w:hAnsi="Cambria"/>
                <w:sz w:val="22"/>
                <w:szCs w:val="22"/>
              </w:rPr>
              <w:t xml:space="preserve">Several additional </w:t>
            </w:r>
            <w:r w:rsidR="007A56A9" w:rsidRPr="005C6828">
              <w:rPr>
                <w:rFonts w:ascii="Cambria" w:hAnsi="Cambria"/>
                <w:sz w:val="22"/>
                <w:szCs w:val="22"/>
              </w:rPr>
              <w:t>screens</w:t>
            </w:r>
            <w:r w:rsidRPr="005C6828">
              <w:rPr>
                <w:rFonts w:ascii="Cambria" w:hAnsi="Cambria"/>
                <w:sz w:val="22"/>
                <w:szCs w:val="22"/>
              </w:rPr>
              <w:t xml:space="preserve"> have been added to the CARE </w:t>
            </w:r>
            <w:r w:rsidR="007A56A9" w:rsidRPr="005C6828">
              <w:rPr>
                <w:rFonts w:ascii="Cambria" w:hAnsi="Cambria"/>
                <w:sz w:val="22"/>
                <w:szCs w:val="22"/>
              </w:rPr>
              <w:t>tool</w:t>
            </w:r>
            <w:r w:rsidRPr="005C6828">
              <w:rPr>
                <w:rFonts w:ascii="Cambria" w:hAnsi="Cambria"/>
                <w:sz w:val="22"/>
                <w:szCs w:val="22"/>
              </w:rPr>
              <w:t xml:space="preserve"> for </w:t>
            </w:r>
            <w:r w:rsidR="00230506">
              <w:rPr>
                <w:rFonts w:ascii="Cambria" w:hAnsi="Cambria"/>
                <w:sz w:val="22"/>
                <w:szCs w:val="22"/>
              </w:rPr>
              <w:t>CRMs/SSS</w:t>
            </w:r>
            <w:r w:rsidRPr="005C6828">
              <w:rPr>
                <w:rFonts w:ascii="Cambria" w:hAnsi="Cambria"/>
                <w:sz w:val="22"/>
                <w:szCs w:val="22"/>
              </w:rPr>
              <w:t xml:space="preserve"> to </w:t>
            </w:r>
            <w:r w:rsidR="00D358E1">
              <w:rPr>
                <w:rFonts w:ascii="Cambria" w:hAnsi="Cambria"/>
                <w:sz w:val="22"/>
                <w:szCs w:val="22"/>
              </w:rPr>
              <w:t xml:space="preserve">assess </w:t>
            </w:r>
            <w:r w:rsidR="0089618A" w:rsidRPr="005C6828">
              <w:rPr>
                <w:rFonts w:ascii="Cambria" w:hAnsi="Cambria"/>
                <w:sz w:val="22"/>
                <w:szCs w:val="22"/>
              </w:rPr>
              <w:t>Community I</w:t>
            </w:r>
            <w:r w:rsidRPr="005C6828">
              <w:rPr>
                <w:rFonts w:ascii="Cambria" w:hAnsi="Cambria"/>
                <w:sz w:val="22"/>
                <w:szCs w:val="22"/>
              </w:rPr>
              <w:t>ntegration needs</w:t>
            </w:r>
            <w:r w:rsidR="00230506">
              <w:rPr>
                <w:rFonts w:ascii="Cambria" w:hAnsi="Cambria"/>
                <w:sz w:val="22"/>
                <w:szCs w:val="22"/>
              </w:rPr>
              <w:t xml:space="preserve"> for AFH residents</w:t>
            </w:r>
            <w:r w:rsidRPr="005C6828">
              <w:rPr>
                <w:rFonts w:ascii="Cambria" w:hAnsi="Cambria"/>
                <w:sz w:val="22"/>
                <w:szCs w:val="22"/>
              </w:rPr>
              <w:t xml:space="preserve">.   </w:t>
            </w:r>
          </w:p>
        </w:tc>
      </w:tr>
      <w:tr w:rsidR="00C43B87" w:rsidRPr="001C5765" w:rsidTr="00F077A3">
        <w:tc>
          <w:tcPr>
            <w:tcW w:w="3865" w:type="dxa"/>
            <w:shd w:val="clear" w:color="auto" w:fill="D5DCE4" w:themeFill="text2" w:themeFillTint="33"/>
            <w:vAlign w:val="center"/>
          </w:tcPr>
          <w:p w:rsidR="00C43B87" w:rsidRPr="005C6828" w:rsidRDefault="00C43B87" w:rsidP="007E68F6">
            <w:pPr>
              <w:ind w:hanging="23"/>
              <w:jc w:val="center"/>
              <w:rPr>
                <w:rFonts w:ascii="Cambria" w:hAnsi="Cambria"/>
                <w:b/>
                <w:sz w:val="22"/>
                <w:szCs w:val="22"/>
              </w:rPr>
            </w:pPr>
            <w:r w:rsidRPr="005C6828">
              <w:rPr>
                <w:rFonts w:ascii="Cambria" w:hAnsi="Cambria"/>
                <w:b/>
                <w:sz w:val="22"/>
                <w:szCs w:val="22"/>
              </w:rPr>
              <w:t>How many hours per month of Community Integration can an AFH resident receive?</w:t>
            </w:r>
          </w:p>
        </w:tc>
        <w:tc>
          <w:tcPr>
            <w:tcW w:w="7110" w:type="dxa"/>
            <w:vAlign w:val="center"/>
          </w:tcPr>
          <w:p w:rsidR="00C43B87" w:rsidRPr="005C6828" w:rsidRDefault="00C43B87" w:rsidP="00D358E1">
            <w:pPr>
              <w:ind w:left="162"/>
              <w:rPr>
                <w:rFonts w:ascii="Cambria" w:hAnsi="Cambria"/>
                <w:sz w:val="22"/>
                <w:szCs w:val="22"/>
              </w:rPr>
            </w:pPr>
            <w:r w:rsidRPr="005C6828">
              <w:rPr>
                <w:rFonts w:ascii="Cambria" w:hAnsi="Cambria"/>
                <w:sz w:val="22"/>
                <w:szCs w:val="22"/>
              </w:rPr>
              <w:t xml:space="preserve">DSHS funded AFH residents who have an </w:t>
            </w:r>
            <w:r w:rsidR="00D358E1">
              <w:rPr>
                <w:rFonts w:ascii="Cambria" w:hAnsi="Cambria"/>
                <w:sz w:val="22"/>
                <w:szCs w:val="22"/>
              </w:rPr>
              <w:t>assessed</w:t>
            </w:r>
            <w:r w:rsidRPr="005C6828">
              <w:rPr>
                <w:rFonts w:ascii="Cambria" w:hAnsi="Cambria"/>
                <w:sz w:val="22"/>
                <w:szCs w:val="22"/>
              </w:rPr>
              <w:t xml:space="preserve"> need for Community Integration </w:t>
            </w:r>
            <w:r w:rsidR="00230506">
              <w:rPr>
                <w:rFonts w:ascii="Cambria" w:hAnsi="Cambria"/>
                <w:sz w:val="22"/>
                <w:szCs w:val="22"/>
              </w:rPr>
              <w:t xml:space="preserve">and are interested in receiving CI </w:t>
            </w:r>
            <w:r w:rsidRPr="00D358E1">
              <w:rPr>
                <w:rFonts w:ascii="Cambria" w:hAnsi="Cambria"/>
                <w:sz w:val="22"/>
                <w:szCs w:val="22"/>
                <w:u w:val="single"/>
              </w:rPr>
              <w:t xml:space="preserve">will </w:t>
            </w:r>
            <w:r w:rsidR="00D358E1">
              <w:rPr>
                <w:rFonts w:ascii="Cambria" w:hAnsi="Cambria"/>
                <w:sz w:val="22"/>
                <w:szCs w:val="22"/>
                <w:u w:val="single"/>
              </w:rPr>
              <w:t xml:space="preserve">each </w:t>
            </w:r>
            <w:r w:rsidRPr="00D358E1">
              <w:rPr>
                <w:rFonts w:ascii="Cambria" w:hAnsi="Cambria"/>
                <w:sz w:val="22"/>
                <w:szCs w:val="22"/>
                <w:u w:val="single"/>
              </w:rPr>
              <w:t>receive 4 hours per month</w:t>
            </w:r>
            <w:r w:rsidR="00230506" w:rsidRPr="00D358E1">
              <w:rPr>
                <w:rFonts w:ascii="Cambria" w:hAnsi="Cambria"/>
                <w:sz w:val="22"/>
                <w:szCs w:val="22"/>
                <w:u w:val="single"/>
              </w:rPr>
              <w:t>.</w:t>
            </w:r>
          </w:p>
        </w:tc>
      </w:tr>
      <w:tr w:rsidR="00C43B87" w:rsidRPr="001C5765" w:rsidTr="00F077A3">
        <w:tc>
          <w:tcPr>
            <w:tcW w:w="3865" w:type="dxa"/>
            <w:shd w:val="clear" w:color="auto" w:fill="D5DCE4" w:themeFill="text2" w:themeFillTint="33"/>
            <w:vAlign w:val="center"/>
          </w:tcPr>
          <w:p w:rsidR="00C43B87" w:rsidRPr="005C6828" w:rsidRDefault="00C43B87" w:rsidP="007E68F6">
            <w:pPr>
              <w:ind w:hanging="23"/>
              <w:jc w:val="center"/>
              <w:rPr>
                <w:rFonts w:ascii="Cambria" w:hAnsi="Cambria"/>
                <w:b/>
                <w:sz w:val="22"/>
                <w:szCs w:val="22"/>
              </w:rPr>
            </w:pPr>
            <w:r w:rsidRPr="005C6828">
              <w:rPr>
                <w:rFonts w:ascii="Cambria" w:hAnsi="Cambria"/>
                <w:b/>
                <w:sz w:val="22"/>
                <w:szCs w:val="22"/>
              </w:rPr>
              <w:t>What activities are included in the 4 hours of Community Integration per month?</w:t>
            </w:r>
          </w:p>
        </w:tc>
        <w:tc>
          <w:tcPr>
            <w:tcW w:w="7110" w:type="dxa"/>
            <w:vAlign w:val="center"/>
          </w:tcPr>
          <w:p w:rsidR="00C43B87" w:rsidRPr="005C6828" w:rsidRDefault="00C43B87" w:rsidP="00A1201A">
            <w:pPr>
              <w:ind w:left="162"/>
              <w:rPr>
                <w:rFonts w:ascii="Cambria" w:hAnsi="Cambria"/>
                <w:sz w:val="22"/>
                <w:szCs w:val="22"/>
              </w:rPr>
            </w:pPr>
            <w:r w:rsidRPr="005C6828">
              <w:rPr>
                <w:rFonts w:ascii="Cambria" w:hAnsi="Cambria"/>
                <w:sz w:val="22"/>
                <w:szCs w:val="22"/>
              </w:rPr>
              <w:t>The 4 hours of AFH staff time per month may include assisting the resident identify, plan, and arrange activities; arranging</w:t>
            </w:r>
            <w:r w:rsidR="00AA16BA">
              <w:rPr>
                <w:rFonts w:ascii="Cambria" w:hAnsi="Cambria"/>
                <w:sz w:val="22"/>
                <w:szCs w:val="22"/>
              </w:rPr>
              <w:t>/</w:t>
            </w:r>
            <w:r w:rsidR="00A1201A">
              <w:rPr>
                <w:rFonts w:ascii="Cambria" w:hAnsi="Cambria"/>
                <w:sz w:val="22"/>
                <w:szCs w:val="22"/>
              </w:rPr>
              <w:t>assisting</w:t>
            </w:r>
            <w:r w:rsidR="00642125">
              <w:rPr>
                <w:rFonts w:ascii="Cambria" w:hAnsi="Cambria"/>
                <w:sz w:val="22"/>
                <w:szCs w:val="22"/>
              </w:rPr>
              <w:t xml:space="preserve"> the resident to arrange, or </w:t>
            </w:r>
            <w:r w:rsidRPr="005C6828">
              <w:rPr>
                <w:rFonts w:ascii="Cambria" w:hAnsi="Cambria"/>
                <w:sz w:val="22"/>
                <w:szCs w:val="22"/>
              </w:rPr>
              <w:t>providing transportation to/from the activity; accompanying the resident during the activity (if needed); and looking for additional opportunities the resident may want to participate in</w:t>
            </w:r>
            <w:r w:rsidR="00A1201A">
              <w:rPr>
                <w:rFonts w:ascii="Cambria" w:hAnsi="Cambria"/>
                <w:sz w:val="22"/>
                <w:szCs w:val="22"/>
              </w:rPr>
              <w:t xml:space="preserve"> a community activity</w:t>
            </w:r>
            <w:r w:rsidRPr="005C6828">
              <w:rPr>
                <w:rFonts w:ascii="Cambria" w:hAnsi="Cambria"/>
                <w:sz w:val="22"/>
                <w:szCs w:val="22"/>
              </w:rPr>
              <w:t>.</w:t>
            </w:r>
          </w:p>
        </w:tc>
      </w:tr>
      <w:tr w:rsidR="00C43B87" w:rsidRPr="001C5765" w:rsidTr="00F077A3">
        <w:tc>
          <w:tcPr>
            <w:tcW w:w="3865" w:type="dxa"/>
            <w:shd w:val="clear" w:color="auto" w:fill="D5DCE4" w:themeFill="text2" w:themeFillTint="33"/>
            <w:vAlign w:val="center"/>
          </w:tcPr>
          <w:p w:rsidR="00C43B87" w:rsidRPr="005C6828" w:rsidRDefault="00C43B87" w:rsidP="0089618A">
            <w:pPr>
              <w:ind w:hanging="23"/>
              <w:jc w:val="center"/>
              <w:rPr>
                <w:rFonts w:ascii="Cambria" w:hAnsi="Cambria"/>
                <w:b/>
                <w:sz w:val="22"/>
                <w:szCs w:val="22"/>
              </w:rPr>
            </w:pPr>
            <w:r w:rsidRPr="005C6828">
              <w:rPr>
                <w:rFonts w:ascii="Cambria" w:hAnsi="Cambria"/>
                <w:b/>
                <w:sz w:val="22"/>
                <w:szCs w:val="22"/>
              </w:rPr>
              <w:t>What if a resident doesn’t want Community Integration?</w:t>
            </w:r>
          </w:p>
        </w:tc>
        <w:tc>
          <w:tcPr>
            <w:tcW w:w="7110" w:type="dxa"/>
            <w:vAlign w:val="center"/>
          </w:tcPr>
          <w:p w:rsidR="00C43B87" w:rsidRPr="005C6828" w:rsidRDefault="00C43B87" w:rsidP="00D358E1">
            <w:pPr>
              <w:ind w:left="162"/>
              <w:rPr>
                <w:rFonts w:ascii="Cambria" w:hAnsi="Cambria"/>
                <w:sz w:val="22"/>
                <w:szCs w:val="22"/>
              </w:rPr>
            </w:pPr>
            <w:r w:rsidRPr="005C6828">
              <w:rPr>
                <w:rFonts w:ascii="Cambria" w:hAnsi="Cambria"/>
                <w:sz w:val="22"/>
                <w:szCs w:val="22"/>
              </w:rPr>
              <w:t xml:space="preserve">The AFH daily rate for DSHS funded residents will not include Community Integration for those </w:t>
            </w:r>
            <w:r w:rsidR="00A1201A">
              <w:rPr>
                <w:rFonts w:ascii="Cambria" w:hAnsi="Cambria"/>
                <w:sz w:val="22"/>
                <w:szCs w:val="22"/>
              </w:rPr>
              <w:t xml:space="preserve">residents </w:t>
            </w:r>
            <w:r w:rsidRPr="005C6828">
              <w:rPr>
                <w:rFonts w:ascii="Cambria" w:hAnsi="Cambria"/>
                <w:sz w:val="22"/>
                <w:szCs w:val="22"/>
              </w:rPr>
              <w:t xml:space="preserve">who don’t want CI or don’t have an </w:t>
            </w:r>
            <w:r w:rsidR="00D358E1">
              <w:rPr>
                <w:rFonts w:ascii="Cambria" w:hAnsi="Cambria"/>
                <w:sz w:val="22"/>
                <w:szCs w:val="22"/>
              </w:rPr>
              <w:t>assessed</w:t>
            </w:r>
            <w:r w:rsidRPr="005C6828">
              <w:rPr>
                <w:rFonts w:ascii="Cambria" w:hAnsi="Cambria"/>
                <w:sz w:val="22"/>
                <w:szCs w:val="22"/>
              </w:rPr>
              <w:t xml:space="preserve"> need for CI.</w:t>
            </w:r>
          </w:p>
        </w:tc>
      </w:tr>
      <w:tr w:rsidR="00C43B87" w:rsidRPr="001C5765" w:rsidTr="00F077A3">
        <w:tc>
          <w:tcPr>
            <w:tcW w:w="3865" w:type="dxa"/>
            <w:shd w:val="clear" w:color="auto" w:fill="D5DCE4" w:themeFill="text2" w:themeFillTint="33"/>
            <w:vAlign w:val="center"/>
          </w:tcPr>
          <w:p w:rsidR="00C43B87" w:rsidRPr="005C6828" w:rsidRDefault="00C43B87" w:rsidP="0089618A">
            <w:pPr>
              <w:ind w:hanging="23"/>
              <w:jc w:val="center"/>
              <w:rPr>
                <w:rFonts w:ascii="Cambria" w:hAnsi="Cambria"/>
                <w:b/>
                <w:sz w:val="22"/>
                <w:szCs w:val="22"/>
              </w:rPr>
            </w:pPr>
            <w:r w:rsidRPr="005C6828">
              <w:rPr>
                <w:rFonts w:ascii="Cambria" w:hAnsi="Cambria"/>
                <w:b/>
                <w:sz w:val="22"/>
                <w:szCs w:val="22"/>
              </w:rPr>
              <w:t>Does community integration replace the Meaningful Home-Based Activities Pilot?</w:t>
            </w:r>
          </w:p>
        </w:tc>
        <w:tc>
          <w:tcPr>
            <w:tcW w:w="7110" w:type="dxa"/>
            <w:vAlign w:val="center"/>
          </w:tcPr>
          <w:p w:rsidR="00C43B87" w:rsidRPr="005C6828" w:rsidRDefault="00C43B87" w:rsidP="00BD3091">
            <w:pPr>
              <w:ind w:left="162"/>
              <w:rPr>
                <w:rFonts w:ascii="Cambria" w:hAnsi="Cambria"/>
                <w:sz w:val="22"/>
                <w:szCs w:val="22"/>
              </w:rPr>
            </w:pPr>
            <w:r w:rsidRPr="005C6828">
              <w:rPr>
                <w:rFonts w:ascii="Cambria" w:hAnsi="Cambria"/>
                <w:sz w:val="22"/>
                <w:szCs w:val="22"/>
              </w:rPr>
              <w:t xml:space="preserve">No. </w:t>
            </w:r>
            <w:r w:rsidR="00BD3091">
              <w:rPr>
                <w:rFonts w:ascii="Cambria" w:hAnsi="Cambria"/>
                <w:sz w:val="22"/>
                <w:szCs w:val="22"/>
              </w:rPr>
              <w:t xml:space="preserve"> </w:t>
            </w:r>
            <w:r w:rsidRPr="005C6828">
              <w:rPr>
                <w:rFonts w:ascii="Cambria" w:hAnsi="Cambria"/>
                <w:sz w:val="22"/>
                <w:szCs w:val="22"/>
              </w:rPr>
              <w:t>AFH residents participating in the Meaningful Home-Based Activities Pilot who have an assessed need for Community Integration may also receive CI.</w:t>
            </w:r>
          </w:p>
        </w:tc>
      </w:tr>
      <w:tr w:rsidR="00C43B87" w:rsidRPr="001C5765" w:rsidTr="00F077A3">
        <w:tc>
          <w:tcPr>
            <w:tcW w:w="3865" w:type="dxa"/>
            <w:shd w:val="clear" w:color="auto" w:fill="D5DCE4" w:themeFill="text2" w:themeFillTint="33"/>
            <w:vAlign w:val="center"/>
          </w:tcPr>
          <w:p w:rsidR="00C43B87" w:rsidRPr="005C6828" w:rsidRDefault="00C43B87" w:rsidP="0089618A">
            <w:pPr>
              <w:ind w:hanging="23"/>
              <w:jc w:val="center"/>
              <w:rPr>
                <w:rFonts w:ascii="Cambria" w:hAnsi="Cambria"/>
                <w:b/>
                <w:sz w:val="22"/>
                <w:szCs w:val="22"/>
              </w:rPr>
            </w:pPr>
            <w:r w:rsidRPr="005C6828">
              <w:rPr>
                <w:rFonts w:ascii="Cambria" w:hAnsi="Cambria"/>
                <w:b/>
                <w:sz w:val="22"/>
                <w:szCs w:val="22"/>
              </w:rPr>
              <w:t>Who will provide support for Community Integration?</w:t>
            </w:r>
          </w:p>
        </w:tc>
        <w:tc>
          <w:tcPr>
            <w:tcW w:w="7110" w:type="dxa"/>
            <w:vAlign w:val="center"/>
          </w:tcPr>
          <w:p w:rsidR="00C43B87" w:rsidRPr="005C6828" w:rsidRDefault="00C43B87" w:rsidP="00D358E1">
            <w:pPr>
              <w:ind w:left="162"/>
              <w:rPr>
                <w:rFonts w:ascii="Cambria" w:hAnsi="Cambria"/>
                <w:sz w:val="22"/>
                <w:szCs w:val="22"/>
              </w:rPr>
            </w:pPr>
            <w:r w:rsidRPr="005C6828">
              <w:rPr>
                <w:rFonts w:ascii="Cambria" w:hAnsi="Cambria"/>
                <w:sz w:val="22"/>
                <w:szCs w:val="22"/>
              </w:rPr>
              <w:t xml:space="preserve">AFH providers or their staff will provide support to their DSHS funded residents </w:t>
            </w:r>
            <w:r w:rsidR="00D358E1">
              <w:rPr>
                <w:rFonts w:ascii="Cambria" w:hAnsi="Cambria"/>
                <w:sz w:val="22"/>
                <w:szCs w:val="22"/>
              </w:rPr>
              <w:t>who have</w:t>
            </w:r>
            <w:r w:rsidRPr="005C6828">
              <w:rPr>
                <w:rFonts w:ascii="Cambria" w:hAnsi="Cambria"/>
                <w:sz w:val="22"/>
                <w:szCs w:val="22"/>
              </w:rPr>
              <w:t xml:space="preserve"> an </w:t>
            </w:r>
            <w:r w:rsidR="00D358E1">
              <w:rPr>
                <w:rFonts w:ascii="Cambria" w:hAnsi="Cambria"/>
                <w:sz w:val="22"/>
                <w:szCs w:val="22"/>
              </w:rPr>
              <w:t>assessed</w:t>
            </w:r>
            <w:r w:rsidR="00230506">
              <w:rPr>
                <w:rFonts w:ascii="Cambria" w:hAnsi="Cambria"/>
                <w:sz w:val="22"/>
                <w:szCs w:val="22"/>
              </w:rPr>
              <w:t xml:space="preserve"> </w:t>
            </w:r>
            <w:r w:rsidRPr="005C6828">
              <w:rPr>
                <w:rFonts w:ascii="Cambria" w:hAnsi="Cambria"/>
                <w:sz w:val="22"/>
                <w:szCs w:val="22"/>
              </w:rPr>
              <w:t>need for C</w:t>
            </w:r>
            <w:r w:rsidR="00BD3091">
              <w:rPr>
                <w:rFonts w:ascii="Cambria" w:hAnsi="Cambria"/>
                <w:sz w:val="22"/>
                <w:szCs w:val="22"/>
              </w:rPr>
              <w:t>I</w:t>
            </w:r>
            <w:r w:rsidRPr="005C6828">
              <w:rPr>
                <w:rFonts w:ascii="Cambria" w:hAnsi="Cambria"/>
                <w:sz w:val="22"/>
                <w:szCs w:val="22"/>
              </w:rPr>
              <w:t>.</w:t>
            </w:r>
          </w:p>
        </w:tc>
      </w:tr>
      <w:tr w:rsidR="00C43B87" w:rsidRPr="001C5765" w:rsidTr="00F077A3">
        <w:tc>
          <w:tcPr>
            <w:tcW w:w="3865" w:type="dxa"/>
            <w:shd w:val="clear" w:color="auto" w:fill="D5DCE4" w:themeFill="text2" w:themeFillTint="33"/>
            <w:vAlign w:val="center"/>
          </w:tcPr>
          <w:p w:rsidR="00C43B87" w:rsidRPr="005C6828" w:rsidRDefault="00C43B87" w:rsidP="00C43B87">
            <w:pPr>
              <w:ind w:hanging="23"/>
              <w:jc w:val="center"/>
              <w:rPr>
                <w:rFonts w:ascii="Cambria" w:hAnsi="Cambria"/>
                <w:b/>
                <w:sz w:val="22"/>
                <w:szCs w:val="22"/>
              </w:rPr>
            </w:pPr>
            <w:r w:rsidRPr="005C6828">
              <w:rPr>
                <w:rFonts w:ascii="Cambria" w:hAnsi="Cambria"/>
                <w:b/>
                <w:sz w:val="22"/>
                <w:szCs w:val="22"/>
              </w:rPr>
              <w:t>What if a resident has family or friends who take them to community activities?</w:t>
            </w:r>
          </w:p>
        </w:tc>
        <w:tc>
          <w:tcPr>
            <w:tcW w:w="7110" w:type="dxa"/>
            <w:vAlign w:val="center"/>
          </w:tcPr>
          <w:p w:rsidR="00C43B87" w:rsidRPr="005C6828" w:rsidRDefault="00C43B87" w:rsidP="00D358E1">
            <w:pPr>
              <w:ind w:left="162"/>
              <w:rPr>
                <w:rFonts w:ascii="Cambria" w:hAnsi="Cambria"/>
                <w:sz w:val="22"/>
                <w:szCs w:val="22"/>
              </w:rPr>
            </w:pPr>
            <w:r w:rsidRPr="005C6828">
              <w:rPr>
                <w:rFonts w:ascii="Cambria" w:hAnsi="Cambria"/>
                <w:sz w:val="22"/>
                <w:szCs w:val="22"/>
              </w:rPr>
              <w:t>If an AFH resident</w:t>
            </w:r>
            <w:r w:rsidR="00981C33" w:rsidRPr="005C6828">
              <w:rPr>
                <w:rFonts w:ascii="Cambria" w:hAnsi="Cambria"/>
                <w:sz w:val="22"/>
                <w:szCs w:val="22"/>
              </w:rPr>
              <w:t xml:space="preserve"> is interested in </w:t>
            </w:r>
            <w:r w:rsidR="00535A66" w:rsidRPr="005C6828">
              <w:rPr>
                <w:rFonts w:ascii="Cambria" w:hAnsi="Cambria"/>
                <w:sz w:val="22"/>
                <w:szCs w:val="22"/>
              </w:rPr>
              <w:t>more</w:t>
            </w:r>
            <w:r w:rsidR="00981C33" w:rsidRPr="005C6828">
              <w:rPr>
                <w:rFonts w:ascii="Cambria" w:hAnsi="Cambria"/>
                <w:sz w:val="22"/>
                <w:szCs w:val="22"/>
              </w:rPr>
              <w:t xml:space="preserve"> activities in the community beyond what they are doing with family or friends, their Community Integration needs would be </w:t>
            </w:r>
            <w:r w:rsidR="00D358E1">
              <w:rPr>
                <w:rFonts w:ascii="Cambria" w:hAnsi="Cambria"/>
                <w:sz w:val="22"/>
                <w:szCs w:val="22"/>
              </w:rPr>
              <w:t>assessed as partially met</w:t>
            </w:r>
            <w:r w:rsidR="00981C33" w:rsidRPr="005C6828">
              <w:rPr>
                <w:rFonts w:ascii="Cambria" w:hAnsi="Cambria"/>
                <w:sz w:val="22"/>
                <w:szCs w:val="22"/>
              </w:rPr>
              <w:t>.  The resident can receive 4 hours per month of CI</w:t>
            </w:r>
            <w:r w:rsidR="00A1201A">
              <w:rPr>
                <w:rFonts w:ascii="Cambria" w:hAnsi="Cambria"/>
                <w:sz w:val="22"/>
                <w:szCs w:val="22"/>
              </w:rPr>
              <w:t xml:space="preserve"> in addition to the activities provided by their natural supports</w:t>
            </w:r>
            <w:r w:rsidR="00981C33" w:rsidRPr="005C6828">
              <w:rPr>
                <w:rFonts w:ascii="Cambria" w:hAnsi="Cambria"/>
                <w:sz w:val="22"/>
                <w:szCs w:val="22"/>
              </w:rPr>
              <w:t>.</w:t>
            </w:r>
          </w:p>
        </w:tc>
      </w:tr>
      <w:tr w:rsidR="00426986" w:rsidRPr="001C5765" w:rsidTr="00F077A3">
        <w:tc>
          <w:tcPr>
            <w:tcW w:w="3865" w:type="dxa"/>
            <w:shd w:val="clear" w:color="auto" w:fill="D5DCE4" w:themeFill="text2" w:themeFillTint="33"/>
            <w:vAlign w:val="center"/>
          </w:tcPr>
          <w:p w:rsidR="00426986" w:rsidRPr="00DA1469" w:rsidRDefault="00426986" w:rsidP="0089618A">
            <w:pPr>
              <w:ind w:hanging="23"/>
              <w:jc w:val="center"/>
              <w:rPr>
                <w:rFonts w:ascii="Cambria" w:hAnsi="Cambria"/>
                <w:b/>
                <w:sz w:val="22"/>
                <w:szCs w:val="22"/>
              </w:rPr>
            </w:pPr>
            <w:r w:rsidRPr="00DA1469">
              <w:rPr>
                <w:rFonts w:ascii="Cambria" w:hAnsi="Cambria"/>
                <w:b/>
                <w:sz w:val="22"/>
                <w:szCs w:val="22"/>
              </w:rPr>
              <w:t>Can an AFH provider “opt out” of providing Community Integration?</w:t>
            </w:r>
          </w:p>
        </w:tc>
        <w:tc>
          <w:tcPr>
            <w:tcW w:w="7110" w:type="dxa"/>
            <w:vAlign w:val="center"/>
          </w:tcPr>
          <w:p w:rsidR="00426986" w:rsidRPr="00DA1469" w:rsidRDefault="00426986" w:rsidP="00D358E1">
            <w:pPr>
              <w:ind w:left="162"/>
              <w:rPr>
                <w:rFonts w:ascii="Cambria" w:hAnsi="Cambria"/>
                <w:sz w:val="22"/>
                <w:szCs w:val="22"/>
              </w:rPr>
            </w:pPr>
            <w:r w:rsidRPr="00DA1469">
              <w:rPr>
                <w:rFonts w:ascii="Cambria" w:hAnsi="Cambria"/>
                <w:sz w:val="22"/>
                <w:szCs w:val="22"/>
              </w:rPr>
              <w:t xml:space="preserve">No.  If the DSHS funded AFH resident has </w:t>
            </w:r>
            <w:r w:rsidR="001406CA" w:rsidRPr="00DA1469">
              <w:rPr>
                <w:rFonts w:ascii="Cambria" w:hAnsi="Cambria"/>
                <w:sz w:val="22"/>
                <w:szCs w:val="22"/>
              </w:rPr>
              <w:t xml:space="preserve">an </w:t>
            </w:r>
            <w:r w:rsidR="00D358E1" w:rsidRPr="00DA1469">
              <w:rPr>
                <w:rFonts w:ascii="Cambria" w:hAnsi="Cambria"/>
                <w:sz w:val="22"/>
                <w:szCs w:val="22"/>
              </w:rPr>
              <w:t>assessed</w:t>
            </w:r>
            <w:r w:rsidRPr="00DA1469">
              <w:rPr>
                <w:rFonts w:ascii="Cambria" w:hAnsi="Cambria"/>
                <w:sz w:val="22"/>
                <w:szCs w:val="22"/>
              </w:rPr>
              <w:t xml:space="preserve"> need for Community Integration, the AFH provider </w:t>
            </w:r>
            <w:r w:rsidRPr="00DA1469">
              <w:rPr>
                <w:rFonts w:ascii="Cambria" w:hAnsi="Cambria"/>
                <w:b/>
                <w:sz w:val="22"/>
                <w:szCs w:val="22"/>
                <w:u w:val="single"/>
              </w:rPr>
              <w:t>must</w:t>
            </w:r>
            <w:r w:rsidRPr="00DA1469">
              <w:rPr>
                <w:rFonts w:ascii="Cambria" w:hAnsi="Cambria"/>
                <w:sz w:val="22"/>
                <w:szCs w:val="22"/>
              </w:rPr>
              <w:t xml:space="preserve"> </w:t>
            </w:r>
            <w:r w:rsidR="00A1201A" w:rsidRPr="00DA1469">
              <w:rPr>
                <w:rFonts w:ascii="Cambria" w:hAnsi="Cambria"/>
                <w:sz w:val="22"/>
                <w:szCs w:val="22"/>
              </w:rPr>
              <w:t>s</w:t>
            </w:r>
            <w:r w:rsidR="00D358E1" w:rsidRPr="00DA1469">
              <w:rPr>
                <w:rFonts w:ascii="Cambria" w:hAnsi="Cambria"/>
                <w:sz w:val="22"/>
                <w:szCs w:val="22"/>
              </w:rPr>
              <w:t>upport the resident to meet the</w:t>
            </w:r>
            <w:r w:rsidR="00A1201A" w:rsidRPr="00DA1469">
              <w:rPr>
                <w:rFonts w:ascii="Cambria" w:hAnsi="Cambria"/>
                <w:sz w:val="22"/>
                <w:szCs w:val="22"/>
              </w:rPr>
              <w:t xml:space="preserve"> </w:t>
            </w:r>
            <w:r w:rsidR="00D358E1" w:rsidRPr="00DA1469">
              <w:rPr>
                <w:rFonts w:ascii="Cambria" w:hAnsi="Cambria"/>
                <w:sz w:val="22"/>
                <w:szCs w:val="22"/>
              </w:rPr>
              <w:t>assessed</w:t>
            </w:r>
            <w:r w:rsidR="00A1201A" w:rsidRPr="00DA1469">
              <w:rPr>
                <w:rFonts w:ascii="Cambria" w:hAnsi="Cambria"/>
                <w:sz w:val="22"/>
                <w:szCs w:val="22"/>
              </w:rPr>
              <w:t xml:space="preserve"> need</w:t>
            </w:r>
            <w:r w:rsidRPr="00DA1469">
              <w:rPr>
                <w:rFonts w:ascii="Cambria" w:hAnsi="Cambria"/>
                <w:sz w:val="22"/>
                <w:szCs w:val="22"/>
              </w:rPr>
              <w:t>.</w:t>
            </w:r>
          </w:p>
        </w:tc>
      </w:tr>
      <w:tr w:rsidR="001C5765" w:rsidRPr="001C5765" w:rsidTr="00F077A3">
        <w:tc>
          <w:tcPr>
            <w:tcW w:w="3865" w:type="dxa"/>
            <w:shd w:val="clear" w:color="auto" w:fill="D5DCE4" w:themeFill="text2" w:themeFillTint="33"/>
            <w:vAlign w:val="center"/>
          </w:tcPr>
          <w:p w:rsidR="001C5765" w:rsidRPr="005C6828" w:rsidRDefault="007A56A9" w:rsidP="0089618A">
            <w:pPr>
              <w:ind w:hanging="23"/>
              <w:jc w:val="center"/>
              <w:rPr>
                <w:rFonts w:ascii="Cambria" w:hAnsi="Cambria"/>
                <w:b/>
                <w:sz w:val="22"/>
                <w:szCs w:val="22"/>
              </w:rPr>
            </w:pPr>
            <w:r w:rsidRPr="005C6828">
              <w:rPr>
                <w:rFonts w:ascii="Cambria" w:hAnsi="Cambria"/>
                <w:b/>
                <w:sz w:val="22"/>
                <w:szCs w:val="22"/>
              </w:rPr>
              <w:t>How do CRMs/SSS authorize Community Integration in CARE?</w:t>
            </w:r>
          </w:p>
        </w:tc>
        <w:tc>
          <w:tcPr>
            <w:tcW w:w="7110" w:type="dxa"/>
            <w:vAlign w:val="center"/>
          </w:tcPr>
          <w:p w:rsidR="001C5765" w:rsidRPr="005C6828" w:rsidRDefault="008902CF" w:rsidP="001502C6">
            <w:pPr>
              <w:ind w:left="162"/>
              <w:rPr>
                <w:rFonts w:ascii="Cambria" w:hAnsi="Cambria"/>
                <w:sz w:val="22"/>
                <w:szCs w:val="22"/>
              </w:rPr>
            </w:pPr>
            <w:r w:rsidRPr="005C6828">
              <w:rPr>
                <w:rFonts w:ascii="Cambria" w:hAnsi="Cambria"/>
                <w:sz w:val="22"/>
                <w:szCs w:val="22"/>
              </w:rPr>
              <w:t xml:space="preserve">CARE will include Community Integration in the daily rate for </w:t>
            </w:r>
            <w:r w:rsidR="004471B1" w:rsidRPr="005C6828">
              <w:rPr>
                <w:rFonts w:ascii="Cambria" w:hAnsi="Cambria"/>
                <w:sz w:val="22"/>
                <w:szCs w:val="22"/>
              </w:rPr>
              <w:t xml:space="preserve">DSHS funded </w:t>
            </w:r>
            <w:r w:rsidRPr="005C6828">
              <w:rPr>
                <w:rFonts w:ascii="Cambria" w:hAnsi="Cambria"/>
                <w:sz w:val="22"/>
                <w:szCs w:val="22"/>
              </w:rPr>
              <w:t>AFH residents who ha</w:t>
            </w:r>
            <w:r w:rsidR="001502C6" w:rsidRPr="005C6828">
              <w:rPr>
                <w:rFonts w:ascii="Cambria" w:hAnsi="Cambria"/>
                <w:sz w:val="22"/>
                <w:szCs w:val="22"/>
              </w:rPr>
              <w:t>ve an assessed need for support and an interest in participating in community activities.</w:t>
            </w:r>
            <w:r w:rsidR="004471B1" w:rsidRPr="005C6828">
              <w:rPr>
                <w:rFonts w:ascii="Cambria" w:hAnsi="Cambria"/>
                <w:sz w:val="22"/>
                <w:szCs w:val="22"/>
              </w:rPr>
              <w:t xml:space="preserve">  No additional authorization is needed for Community Integration.</w:t>
            </w:r>
          </w:p>
        </w:tc>
      </w:tr>
      <w:tr w:rsidR="001C5765" w:rsidRPr="001C5765" w:rsidTr="00F077A3">
        <w:tc>
          <w:tcPr>
            <w:tcW w:w="3865" w:type="dxa"/>
            <w:shd w:val="clear" w:color="auto" w:fill="D5DCE4" w:themeFill="text2" w:themeFillTint="33"/>
            <w:vAlign w:val="center"/>
          </w:tcPr>
          <w:p w:rsidR="001C5765" w:rsidRPr="005C6828" w:rsidRDefault="007C2E0A" w:rsidP="007C2E0A">
            <w:pPr>
              <w:ind w:left="-23"/>
              <w:jc w:val="center"/>
              <w:rPr>
                <w:rFonts w:ascii="Cambria" w:hAnsi="Cambria"/>
                <w:b/>
                <w:sz w:val="22"/>
                <w:szCs w:val="22"/>
              </w:rPr>
            </w:pPr>
            <w:r w:rsidRPr="005C6828">
              <w:rPr>
                <w:rFonts w:ascii="Cambria" w:hAnsi="Cambria"/>
                <w:b/>
                <w:sz w:val="22"/>
                <w:szCs w:val="22"/>
              </w:rPr>
              <w:t>What about mileage for Community Integration activities?</w:t>
            </w:r>
          </w:p>
        </w:tc>
        <w:tc>
          <w:tcPr>
            <w:tcW w:w="7110" w:type="dxa"/>
            <w:vAlign w:val="center"/>
          </w:tcPr>
          <w:p w:rsidR="001C5765" w:rsidRPr="005C6828" w:rsidRDefault="0082469C" w:rsidP="00D358E1">
            <w:pPr>
              <w:ind w:left="162"/>
              <w:rPr>
                <w:rFonts w:ascii="Cambria" w:hAnsi="Cambria"/>
                <w:sz w:val="22"/>
                <w:szCs w:val="22"/>
              </w:rPr>
            </w:pPr>
            <w:r w:rsidRPr="005C6828">
              <w:rPr>
                <w:rFonts w:ascii="Cambria" w:hAnsi="Cambria"/>
                <w:sz w:val="22"/>
                <w:szCs w:val="22"/>
              </w:rPr>
              <w:t xml:space="preserve">AFH providers may be reimbursed for up to 100 miles per month for transporting the resident to and/or from Community Integration activities if there is an </w:t>
            </w:r>
            <w:r w:rsidR="00D358E1">
              <w:rPr>
                <w:rFonts w:ascii="Cambria" w:hAnsi="Cambria"/>
                <w:sz w:val="22"/>
                <w:szCs w:val="22"/>
              </w:rPr>
              <w:t>assessed</w:t>
            </w:r>
            <w:r w:rsidR="004471B1" w:rsidRPr="005C6828">
              <w:rPr>
                <w:rFonts w:ascii="Cambria" w:hAnsi="Cambria"/>
                <w:sz w:val="22"/>
                <w:szCs w:val="22"/>
              </w:rPr>
              <w:t xml:space="preserve"> </w:t>
            </w:r>
            <w:r w:rsidRPr="005C6828">
              <w:rPr>
                <w:rFonts w:ascii="Cambria" w:hAnsi="Cambria"/>
                <w:sz w:val="22"/>
                <w:szCs w:val="22"/>
              </w:rPr>
              <w:t>need for transportation.</w:t>
            </w:r>
          </w:p>
        </w:tc>
      </w:tr>
      <w:tr w:rsidR="001C5765" w:rsidRPr="001C5765" w:rsidTr="00F077A3">
        <w:tc>
          <w:tcPr>
            <w:tcW w:w="3865" w:type="dxa"/>
            <w:shd w:val="clear" w:color="auto" w:fill="D5DCE4" w:themeFill="text2" w:themeFillTint="33"/>
            <w:vAlign w:val="center"/>
          </w:tcPr>
          <w:p w:rsidR="001C5765" w:rsidRPr="005C6828" w:rsidRDefault="00E50D33" w:rsidP="00150D43">
            <w:pPr>
              <w:ind w:hanging="23"/>
              <w:jc w:val="center"/>
              <w:rPr>
                <w:rFonts w:ascii="Cambria" w:hAnsi="Cambria"/>
                <w:b/>
                <w:sz w:val="22"/>
                <w:szCs w:val="22"/>
              </w:rPr>
            </w:pPr>
            <w:r w:rsidRPr="005C6828">
              <w:rPr>
                <w:rFonts w:ascii="Cambria" w:hAnsi="Cambria"/>
                <w:b/>
                <w:sz w:val="22"/>
                <w:szCs w:val="22"/>
              </w:rPr>
              <w:t>Is</w:t>
            </w:r>
            <w:r w:rsidR="00150D43" w:rsidRPr="005C6828">
              <w:rPr>
                <w:rFonts w:ascii="Cambria" w:hAnsi="Cambria"/>
                <w:b/>
                <w:sz w:val="22"/>
                <w:szCs w:val="22"/>
              </w:rPr>
              <w:t xml:space="preserve"> </w:t>
            </w:r>
            <w:r w:rsidRPr="005C6828">
              <w:rPr>
                <w:rFonts w:ascii="Cambria" w:hAnsi="Cambria"/>
                <w:b/>
                <w:sz w:val="22"/>
                <w:szCs w:val="22"/>
              </w:rPr>
              <w:t>the AFH provider required to transport residents to</w:t>
            </w:r>
            <w:r w:rsidR="00383AC0" w:rsidRPr="005C6828">
              <w:rPr>
                <w:rFonts w:ascii="Cambria" w:hAnsi="Cambria"/>
                <w:b/>
                <w:sz w:val="22"/>
                <w:szCs w:val="22"/>
              </w:rPr>
              <w:t xml:space="preserve">/from </w:t>
            </w:r>
            <w:r w:rsidRPr="005C6828">
              <w:rPr>
                <w:rFonts w:ascii="Cambria" w:hAnsi="Cambria"/>
                <w:b/>
                <w:sz w:val="22"/>
                <w:szCs w:val="22"/>
              </w:rPr>
              <w:t>community activities?</w:t>
            </w:r>
          </w:p>
        </w:tc>
        <w:tc>
          <w:tcPr>
            <w:tcW w:w="7110" w:type="dxa"/>
            <w:vAlign w:val="center"/>
          </w:tcPr>
          <w:p w:rsidR="001C5765" w:rsidRPr="005C6828" w:rsidRDefault="005C5B02" w:rsidP="00D358E1">
            <w:pPr>
              <w:ind w:left="162"/>
              <w:rPr>
                <w:rFonts w:ascii="Cambria" w:hAnsi="Cambria"/>
                <w:sz w:val="22"/>
                <w:szCs w:val="22"/>
              </w:rPr>
            </w:pPr>
            <w:r w:rsidRPr="005C6828">
              <w:rPr>
                <w:rFonts w:ascii="Cambria" w:hAnsi="Cambria"/>
                <w:sz w:val="22"/>
                <w:szCs w:val="22"/>
              </w:rPr>
              <w:t xml:space="preserve">The AFH provider is responsible for arranging transportation to and from community integration activities if the AFH provider or their staff does not </w:t>
            </w:r>
            <w:r w:rsidR="00BD3091">
              <w:rPr>
                <w:rFonts w:ascii="Cambria" w:hAnsi="Cambria"/>
                <w:sz w:val="22"/>
                <w:szCs w:val="22"/>
              </w:rPr>
              <w:t xml:space="preserve">transport </w:t>
            </w:r>
            <w:r w:rsidR="00331F39">
              <w:rPr>
                <w:rFonts w:ascii="Cambria" w:hAnsi="Cambria"/>
                <w:sz w:val="22"/>
                <w:szCs w:val="22"/>
              </w:rPr>
              <w:t xml:space="preserve">residents </w:t>
            </w:r>
            <w:r w:rsidR="00BD3091">
              <w:rPr>
                <w:rFonts w:ascii="Cambria" w:hAnsi="Cambria"/>
                <w:sz w:val="22"/>
                <w:szCs w:val="22"/>
              </w:rPr>
              <w:t xml:space="preserve">who have </w:t>
            </w:r>
            <w:r w:rsidR="00D358E1">
              <w:rPr>
                <w:rFonts w:ascii="Cambria" w:hAnsi="Cambria"/>
                <w:sz w:val="22"/>
                <w:szCs w:val="22"/>
              </w:rPr>
              <w:t>an assessed</w:t>
            </w:r>
            <w:r w:rsidR="00331F39">
              <w:rPr>
                <w:rFonts w:ascii="Cambria" w:hAnsi="Cambria"/>
                <w:sz w:val="22"/>
                <w:szCs w:val="22"/>
              </w:rPr>
              <w:t xml:space="preserve"> need for transportation</w:t>
            </w:r>
            <w:r w:rsidRPr="005C6828">
              <w:rPr>
                <w:rFonts w:ascii="Cambria" w:hAnsi="Cambria"/>
                <w:sz w:val="22"/>
                <w:szCs w:val="22"/>
              </w:rPr>
              <w:t xml:space="preserve">.  </w:t>
            </w:r>
          </w:p>
        </w:tc>
      </w:tr>
      <w:tr w:rsidR="005C6828" w:rsidRPr="001C5765" w:rsidTr="00F077A3">
        <w:tc>
          <w:tcPr>
            <w:tcW w:w="3865" w:type="dxa"/>
            <w:shd w:val="clear" w:color="auto" w:fill="D5DCE4" w:themeFill="text2" w:themeFillTint="33"/>
            <w:vAlign w:val="center"/>
          </w:tcPr>
          <w:p w:rsidR="005C6828" w:rsidRPr="005C6828" w:rsidRDefault="005C6828" w:rsidP="00C43B87">
            <w:pPr>
              <w:ind w:left="247" w:hanging="383"/>
              <w:jc w:val="center"/>
              <w:rPr>
                <w:rFonts w:ascii="Cambria" w:hAnsi="Cambria"/>
                <w:b/>
                <w:sz w:val="22"/>
                <w:szCs w:val="22"/>
              </w:rPr>
            </w:pPr>
            <w:r w:rsidRPr="005C6828">
              <w:rPr>
                <w:rFonts w:ascii="Cambria" w:hAnsi="Cambria"/>
                <w:b/>
                <w:sz w:val="22"/>
                <w:szCs w:val="22"/>
              </w:rPr>
              <w:t>How will CRMs/SSS know if residents are getting out into the community?</w:t>
            </w:r>
          </w:p>
        </w:tc>
        <w:tc>
          <w:tcPr>
            <w:tcW w:w="7110" w:type="dxa"/>
            <w:vAlign w:val="center"/>
          </w:tcPr>
          <w:p w:rsidR="005C6828" w:rsidRPr="005C6828" w:rsidRDefault="005C6828">
            <w:pPr>
              <w:ind w:left="162"/>
              <w:rPr>
                <w:rFonts w:ascii="Cambria" w:hAnsi="Cambria"/>
                <w:sz w:val="22"/>
                <w:szCs w:val="22"/>
              </w:rPr>
            </w:pPr>
            <w:r w:rsidRPr="005C6828">
              <w:rPr>
                <w:rFonts w:ascii="Cambria" w:hAnsi="Cambria"/>
                <w:sz w:val="22"/>
                <w:szCs w:val="22"/>
              </w:rPr>
              <w:t>The AFH provider’s Negotiated Care Plan must include Community Integration when it is an assessed need.  The AFH provider must track the time spent on CI activities for each client with an assessed need</w:t>
            </w:r>
            <w:r w:rsidR="006B4312">
              <w:rPr>
                <w:rFonts w:ascii="Cambria" w:hAnsi="Cambria"/>
                <w:sz w:val="22"/>
                <w:szCs w:val="22"/>
              </w:rPr>
              <w:t>.</w:t>
            </w:r>
            <w:r w:rsidR="00A450C5">
              <w:rPr>
                <w:rFonts w:ascii="Cambria" w:hAnsi="Cambria"/>
                <w:sz w:val="22"/>
                <w:szCs w:val="22"/>
              </w:rPr>
              <w:t xml:space="preserve">  </w:t>
            </w:r>
          </w:p>
        </w:tc>
      </w:tr>
      <w:tr w:rsidR="00D852C7" w:rsidRPr="001C5765" w:rsidTr="00F077A3">
        <w:tc>
          <w:tcPr>
            <w:tcW w:w="3865" w:type="dxa"/>
            <w:shd w:val="clear" w:color="auto" w:fill="D5DCE4" w:themeFill="text2" w:themeFillTint="33"/>
            <w:vAlign w:val="center"/>
          </w:tcPr>
          <w:p w:rsidR="00D852C7" w:rsidRPr="005C6828" w:rsidRDefault="00D852C7">
            <w:pPr>
              <w:ind w:left="247" w:hanging="383"/>
              <w:jc w:val="center"/>
              <w:rPr>
                <w:rFonts w:ascii="Cambria" w:hAnsi="Cambria"/>
                <w:b/>
                <w:sz w:val="22"/>
                <w:szCs w:val="22"/>
              </w:rPr>
            </w:pPr>
            <w:r w:rsidRPr="005C6828">
              <w:rPr>
                <w:rFonts w:ascii="Cambria" w:hAnsi="Cambria"/>
                <w:b/>
                <w:sz w:val="22"/>
                <w:szCs w:val="22"/>
              </w:rPr>
              <w:t xml:space="preserve">Can an AFH provider claim the Community Integration mileage reimbursement to pay </w:t>
            </w:r>
            <w:r w:rsidR="0089618A" w:rsidRPr="005C6828">
              <w:rPr>
                <w:rFonts w:ascii="Cambria" w:hAnsi="Cambria"/>
                <w:b/>
                <w:sz w:val="22"/>
                <w:szCs w:val="22"/>
              </w:rPr>
              <w:t xml:space="preserve">for </w:t>
            </w:r>
            <w:r w:rsidR="00C43B87" w:rsidRPr="005C6828">
              <w:rPr>
                <w:rFonts w:ascii="Cambria" w:hAnsi="Cambria"/>
                <w:b/>
                <w:sz w:val="22"/>
                <w:szCs w:val="22"/>
              </w:rPr>
              <w:t>a bus pass or</w:t>
            </w:r>
            <w:r w:rsidR="0089618A" w:rsidRPr="005C6828">
              <w:rPr>
                <w:rFonts w:ascii="Cambria" w:hAnsi="Cambria"/>
                <w:b/>
                <w:sz w:val="22"/>
                <w:szCs w:val="22"/>
              </w:rPr>
              <w:t xml:space="preserve"> </w:t>
            </w:r>
            <w:r w:rsidR="00C43B87" w:rsidRPr="005C6828">
              <w:rPr>
                <w:rFonts w:ascii="Cambria" w:hAnsi="Cambria"/>
                <w:b/>
                <w:sz w:val="22"/>
                <w:szCs w:val="22"/>
              </w:rPr>
              <w:t xml:space="preserve">to pay for </w:t>
            </w:r>
            <w:r w:rsidRPr="005C6828">
              <w:rPr>
                <w:rFonts w:ascii="Cambria" w:hAnsi="Cambria"/>
                <w:b/>
                <w:sz w:val="22"/>
                <w:szCs w:val="22"/>
              </w:rPr>
              <w:t>transportation</w:t>
            </w:r>
            <w:r w:rsidR="0089618A" w:rsidRPr="005C6828">
              <w:rPr>
                <w:rFonts w:ascii="Cambria" w:hAnsi="Cambria"/>
                <w:b/>
                <w:sz w:val="22"/>
                <w:szCs w:val="22"/>
              </w:rPr>
              <w:t xml:space="preserve"> </w:t>
            </w:r>
            <w:r w:rsidR="00C43B87" w:rsidRPr="005C6828">
              <w:rPr>
                <w:rFonts w:ascii="Cambria" w:hAnsi="Cambria"/>
                <w:b/>
                <w:sz w:val="22"/>
                <w:szCs w:val="22"/>
              </w:rPr>
              <w:t>provided by non-AFH staff?</w:t>
            </w:r>
          </w:p>
        </w:tc>
        <w:tc>
          <w:tcPr>
            <w:tcW w:w="7110" w:type="dxa"/>
            <w:vAlign w:val="center"/>
          </w:tcPr>
          <w:p w:rsidR="00D852C7" w:rsidRPr="005C6828" w:rsidRDefault="00C43B87" w:rsidP="0089618A">
            <w:pPr>
              <w:ind w:left="162"/>
              <w:rPr>
                <w:rFonts w:ascii="Cambria" w:hAnsi="Cambria"/>
                <w:sz w:val="22"/>
                <w:szCs w:val="22"/>
              </w:rPr>
            </w:pPr>
            <w:r w:rsidRPr="005C6828">
              <w:rPr>
                <w:rFonts w:ascii="Cambria" w:hAnsi="Cambria"/>
                <w:sz w:val="22"/>
                <w:szCs w:val="22"/>
              </w:rPr>
              <w:t xml:space="preserve">No.  </w:t>
            </w:r>
            <w:r w:rsidR="00D852C7" w:rsidRPr="005C6828">
              <w:rPr>
                <w:rFonts w:ascii="Cambria" w:hAnsi="Cambria"/>
                <w:sz w:val="22"/>
                <w:szCs w:val="22"/>
              </w:rPr>
              <w:t xml:space="preserve">The AFH provider may be reimbursed up to 100 miles per month for Community Integration mileage ONLY if the AFH provider or their staff </w:t>
            </w:r>
            <w:r w:rsidR="0089618A" w:rsidRPr="005C6828">
              <w:rPr>
                <w:rFonts w:ascii="Cambria" w:hAnsi="Cambria"/>
                <w:sz w:val="22"/>
                <w:szCs w:val="22"/>
              </w:rPr>
              <w:t>transports</w:t>
            </w:r>
            <w:r w:rsidR="00D852C7" w:rsidRPr="005C6828">
              <w:rPr>
                <w:rFonts w:ascii="Cambria" w:hAnsi="Cambria"/>
                <w:sz w:val="22"/>
                <w:szCs w:val="22"/>
              </w:rPr>
              <w:t xml:space="preserve"> the client to and/or from Community Integration activities.</w:t>
            </w:r>
          </w:p>
        </w:tc>
      </w:tr>
      <w:tr w:rsidR="0089618A" w:rsidRPr="001C5765" w:rsidTr="00F077A3">
        <w:tc>
          <w:tcPr>
            <w:tcW w:w="3865" w:type="dxa"/>
            <w:shd w:val="clear" w:color="auto" w:fill="D5DCE4" w:themeFill="text2" w:themeFillTint="33"/>
            <w:vAlign w:val="center"/>
          </w:tcPr>
          <w:p w:rsidR="0089618A" w:rsidRDefault="0089618A" w:rsidP="005C6828">
            <w:pPr>
              <w:ind w:hanging="136"/>
              <w:jc w:val="center"/>
              <w:rPr>
                <w:rFonts w:ascii="Cambria" w:hAnsi="Cambria"/>
                <w:b/>
                <w:sz w:val="22"/>
                <w:szCs w:val="22"/>
              </w:rPr>
            </w:pPr>
            <w:r w:rsidRPr="00642125">
              <w:rPr>
                <w:rFonts w:ascii="Cambria" w:hAnsi="Cambria"/>
                <w:b/>
                <w:sz w:val="22"/>
                <w:szCs w:val="22"/>
              </w:rPr>
              <w:t>Can an AFH provider claim C</w:t>
            </w:r>
            <w:r w:rsidR="005C6828" w:rsidRPr="00642125">
              <w:rPr>
                <w:rFonts w:ascii="Cambria" w:hAnsi="Cambria"/>
                <w:b/>
                <w:sz w:val="22"/>
                <w:szCs w:val="22"/>
              </w:rPr>
              <w:t>I</w:t>
            </w:r>
            <w:r w:rsidRPr="00642125">
              <w:rPr>
                <w:rFonts w:ascii="Cambria" w:hAnsi="Cambria"/>
                <w:b/>
                <w:sz w:val="22"/>
                <w:szCs w:val="22"/>
              </w:rPr>
              <w:t xml:space="preserve"> mileage reimbursement to transport residents to:</w:t>
            </w:r>
          </w:p>
          <w:p w:rsidR="00A450C5" w:rsidRPr="00642125" w:rsidRDefault="00A450C5" w:rsidP="005C6828">
            <w:pPr>
              <w:ind w:hanging="136"/>
              <w:jc w:val="center"/>
              <w:rPr>
                <w:rFonts w:ascii="Cambria" w:hAnsi="Cambria"/>
                <w:b/>
                <w:sz w:val="22"/>
                <w:szCs w:val="22"/>
              </w:rPr>
            </w:pPr>
          </w:p>
          <w:p w:rsidR="0089618A" w:rsidRPr="005C6828" w:rsidRDefault="0089618A" w:rsidP="0089618A">
            <w:pPr>
              <w:pStyle w:val="ListParagraph"/>
              <w:numPr>
                <w:ilvl w:val="0"/>
                <w:numId w:val="2"/>
              </w:numPr>
              <w:jc w:val="both"/>
              <w:rPr>
                <w:rFonts w:ascii="Cambria" w:hAnsi="Cambria"/>
                <w:b/>
                <w:sz w:val="22"/>
                <w:szCs w:val="22"/>
              </w:rPr>
            </w:pPr>
            <w:r w:rsidRPr="005C6828">
              <w:rPr>
                <w:rFonts w:ascii="Cambria" w:hAnsi="Cambria"/>
                <w:b/>
                <w:sz w:val="22"/>
                <w:szCs w:val="22"/>
              </w:rPr>
              <w:t>Work</w:t>
            </w:r>
            <w:r w:rsidR="005C6828" w:rsidRPr="005C6828">
              <w:rPr>
                <w:rFonts w:ascii="Cambria" w:hAnsi="Cambria"/>
                <w:b/>
                <w:sz w:val="22"/>
                <w:szCs w:val="22"/>
              </w:rPr>
              <w:t>/</w:t>
            </w:r>
            <w:r w:rsidRPr="005C6828">
              <w:rPr>
                <w:rFonts w:ascii="Cambria" w:hAnsi="Cambria"/>
                <w:b/>
                <w:sz w:val="22"/>
                <w:szCs w:val="22"/>
              </w:rPr>
              <w:t>bus to go to work?</w:t>
            </w:r>
          </w:p>
          <w:p w:rsidR="0089618A" w:rsidRPr="005C6828" w:rsidRDefault="0089618A" w:rsidP="0089618A">
            <w:pPr>
              <w:pStyle w:val="ListParagraph"/>
              <w:numPr>
                <w:ilvl w:val="0"/>
                <w:numId w:val="2"/>
              </w:numPr>
              <w:rPr>
                <w:rFonts w:ascii="Cambria" w:hAnsi="Cambria"/>
                <w:b/>
                <w:sz w:val="22"/>
                <w:szCs w:val="22"/>
              </w:rPr>
            </w:pPr>
            <w:r w:rsidRPr="005C6828">
              <w:rPr>
                <w:rFonts w:ascii="Cambria" w:hAnsi="Cambria"/>
                <w:b/>
                <w:sz w:val="22"/>
                <w:szCs w:val="22"/>
              </w:rPr>
              <w:t xml:space="preserve"> DVR?</w:t>
            </w:r>
          </w:p>
          <w:p w:rsidR="0089618A" w:rsidRPr="005C6828" w:rsidRDefault="0089618A" w:rsidP="0089618A">
            <w:pPr>
              <w:pStyle w:val="ListParagraph"/>
              <w:numPr>
                <w:ilvl w:val="0"/>
                <w:numId w:val="2"/>
              </w:numPr>
              <w:rPr>
                <w:rFonts w:ascii="Cambria" w:hAnsi="Cambria"/>
                <w:b/>
                <w:sz w:val="22"/>
                <w:szCs w:val="22"/>
              </w:rPr>
            </w:pPr>
            <w:r w:rsidRPr="005C6828">
              <w:rPr>
                <w:rFonts w:ascii="Cambria" w:hAnsi="Cambria"/>
                <w:b/>
                <w:sz w:val="22"/>
                <w:szCs w:val="22"/>
              </w:rPr>
              <w:t xml:space="preserve">Community </w:t>
            </w:r>
            <w:r w:rsidR="00947878" w:rsidRPr="005C6828">
              <w:rPr>
                <w:rFonts w:ascii="Cambria" w:hAnsi="Cambria"/>
                <w:b/>
                <w:sz w:val="22"/>
                <w:szCs w:val="22"/>
              </w:rPr>
              <w:t xml:space="preserve">Inclusion* </w:t>
            </w:r>
            <w:r w:rsidRPr="005C6828">
              <w:rPr>
                <w:rFonts w:ascii="Cambria" w:hAnsi="Cambria"/>
                <w:b/>
                <w:sz w:val="22"/>
                <w:szCs w:val="22"/>
              </w:rPr>
              <w:t>Activities?</w:t>
            </w:r>
          </w:p>
          <w:p w:rsidR="0089618A" w:rsidRPr="005C6828" w:rsidRDefault="0089618A" w:rsidP="0089618A">
            <w:pPr>
              <w:pStyle w:val="ListParagraph"/>
              <w:numPr>
                <w:ilvl w:val="0"/>
                <w:numId w:val="2"/>
              </w:numPr>
              <w:rPr>
                <w:rFonts w:ascii="Cambria" w:hAnsi="Cambria"/>
                <w:b/>
                <w:sz w:val="22"/>
                <w:szCs w:val="22"/>
              </w:rPr>
            </w:pPr>
            <w:r w:rsidRPr="005C6828">
              <w:rPr>
                <w:rFonts w:ascii="Cambria" w:hAnsi="Cambria"/>
                <w:b/>
                <w:sz w:val="22"/>
                <w:szCs w:val="22"/>
              </w:rPr>
              <w:t>Adult Day Health?</w:t>
            </w:r>
          </w:p>
          <w:p w:rsidR="00947878" w:rsidRPr="005C6828" w:rsidRDefault="0089618A" w:rsidP="00947878">
            <w:pPr>
              <w:pStyle w:val="ListParagraph"/>
              <w:numPr>
                <w:ilvl w:val="0"/>
                <w:numId w:val="2"/>
              </w:numPr>
              <w:rPr>
                <w:rFonts w:ascii="Cambria" w:hAnsi="Cambria"/>
                <w:b/>
                <w:sz w:val="22"/>
                <w:szCs w:val="22"/>
              </w:rPr>
            </w:pPr>
            <w:r w:rsidRPr="005C6828">
              <w:rPr>
                <w:rFonts w:ascii="Cambria" w:hAnsi="Cambria"/>
                <w:b/>
                <w:sz w:val="22"/>
                <w:szCs w:val="22"/>
              </w:rPr>
              <w:t>Medical Appointments?</w:t>
            </w:r>
          </w:p>
          <w:p w:rsidR="00947878" w:rsidRPr="005C6828" w:rsidRDefault="00947878" w:rsidP="00947878">
            <w:pPr>
              <w:pStyle w:val="ListParagraph"/>
              <w:numPr>
                <w:ilvl w:val="0"/>
                <w:numId w:val="2"/>
              </w:numPr>
              <w:rPr>
                <w:rFonts w:ascii="Cambria" w:hAnsi="Cambria"/>
                <w:b/>
                <w:sz w:val="22"/>
                <w:szCs w:val="22"/>
              </w:rPr>
            </w:pPr>
            <w:r w:rsidRPr="005C6828">
              <w:rPr>
                <w:rFonts w:ascii="Cambria" w:hAnsi="Cambria"/>
                <w:b/>
                <w:sz w:val="22"/>
                <w:szCs w:val="22"/>
              </w:rPr>
              <w:t>School?</w:t>
            </w:r>
          </w:p>
        </w:tc>
        <w:tc>
          <w:tcPr>
            <w:tcW w:w="7110" w:type="dxa"/>
            <w:vAlign w:val="center"/>
          </w:tcPr>
          <w:p w:rsidR="0089618A" w:rsidRPr="005C6828" w:rsidRDefault="0089618A" w:rsidP="0089618A">
            <w:pPr>
              <w:ind w:left="162"/>
              <w:rPr>
                <w:rFonts w:ascii="Cambria" w:hAnsi="Cambria"/>
                <w:sz w:val="22"/>
                <w:szCs w:val="22"/>
              </w:rPr>
            </w:pPr>
            <w:r w:rsidRPr="005C6828">
              <w:rPr>
                <w:rFonts w:ascii="Cambria" w:hAnsi="Cambria"/>
                <w:sz w:val="22"/>
                <w:szCs w:val="22"/>
              </w:rPr>
              <w:t xml:space="preserve">No.  </w:t>
            </w:r>
            <w:r w:rsidR="003C5070" w:rsidRPr="005C6828">
              <w:rPr>
                <w:rFonts w:ascii="Cambria" w:hAnsi="Cambria"/>
                <w:sz w:val="22"/>
                <w:szCs w:val="22"/>
              </w:rPr>
              <w:t xml:space="preserve">The </w:t>
            </w:r>
            <w:r w:rsidRPr="005C6828">
              <w:rPr>
                <w:rFonts w:ascii="Cambria" w:hAnsi="Cambria"/>
                <w:sz w:val="22"/>
                <w:szCs w:val="22"/>
              </w:rPr>
              <w:t>Community Integration mileage reimbursement cannot be claimed for any of these activities.</w:t>
            </w:r>
          </w:p>
          <w:p w:rsidR="00947878" w:rsidRPr="005C6828" w:rsidRDefault="00947878" w:rsidP="0089618A">
            <w:pPr>
              <w:ind w:left="162"/>
              <w:rPr>
                <w:rFonts w:ascii="Cambria" w:hAnsi="Cambria"/>
                <w:sz w:val="22"/>
                <w:szCs w:val="22"/>
              </w:rPr>
            </w:pPr>
          </w:p>
          <w:p w:rsidR="00947878" w:rsidRPr="005C6828" w:rsidRDefault="00947878" w:rsidP="0089618A">
            <w:pPr>
              <w:ind w:left="162"/>
              <w:rPr>
                <w:rFonts w:ascii="Cambria" w:hAnsi="Cambria"/>
                <w:sz w:val="22"/>
                <w:szCs w:val="22"/>
              </w:rPr>
            </w:pPr>
          </w:p>
          <w:p w:rsidR="00947878" w:rsidRPr="005C6828" w:rsidRDefault="00947878" w:rsidP="005C6828">
            <w:pPr>
              <w:ind w:left="252"/>
              <w:rPr>
                <w:rFonts w:ascii="Cambria" w:hAnsi="Cambria"/>
                <w:sz w:val="22"/>
                <w:szCs w:val="22"/>
              </w:rPr>
            </w:pPr>
            <w:r w:rsidRPr="005C6828">
              <w:rPr>
                <w:rFonts w:ascii="Cambria" w:hAnsi="Cambria"/>
                <w:sz w:val="22"/>
                <w:szCs w:val="22"/>
              </w:rPr>
              <w:t>*Community Inclusion</w:t>
            </w:r>
            <w:r w:rsidR="00B84C41" w:rsidRPr="005C6828">
              <w:rPr>
                <w:rFonts w:ascii="Cambria" w:hAnsi="Cambria"/>
                <w:sz w:val="22"/>
                <w:szCs w:val="22"/>
              </w:rPr>
              <w:t xml:space="preserve"> (formerly Community Access) is a waiver service.</w:t>
            </w:r>
            <w:r w:rsidRPr="005C6828">
              <w:rPr>
                <w:rFonts w:ascii="Cambria" w:hAnsi="Cambria"/>
                <w:sz w:val="22"/>
                <w:szCs w:val="22"/>
              </w:rPr>
              <w:t xml:space="preserve"> </w:t>
            </w:r>
          </w:p>
        </w:tc>
      </w:tr>
      <w:tr w:rsidR="005C6828" w:rsidRPr="001C5765" w:rsidTr="00F077A3">
        <w:tc>
          <w:tcPr>
            <w:tcW w:w="3865" w:type="dxa"/>
            <w:shd w:val="clear" w:color="auto" w:fill="D5DCE4" w:themeFill="text2" w:themeFillTint="33"/>
            <w:vAlign w:val="center"/>
          </w:tcPr>
          <w:p w:rsidR="005C6828" w:rsidRPr="005C6828" w:rsidRDefault="005C6828" w:rsidP="004B127B">
            <w:pPr>
              <w:ind w:left="247" w:hanging="383"/>
              <w:jc w:val="center"/>
              <w:rPr>
                <w:rFonts w:ascii="Cambria" w:hAnsi="Cambria"/>
                <w:b/>
                <w:sz w:val="22"/>
                <w:szCs w:val="22"/>
              </w:rPr>
            </w:pPr>
            <w:r w:rsidRPr="005C6828">
              <w:rPr>
                <w:rFonts w:ascii="Cambria" w:hAnsi="Cambria"/>
                <w:b/>
                <w:sz w:val="22"/>
                <w:szCs w:val="22"/>
              </w:rPr>
              <w:t>What is the difference between Community Integration, Community Inclusion, Community Engagement, and Community Guide?</w:t>
            </w:r>
          </w:p>
        </w:tc>
        <w:tc>
          <w:tcPr>
            <w:tcW w:w="7110" w:type="dxa"/>
            <w:vAlign w:val="center"/>
          </w:tcPr>
          <w:p w:rsidR="005C6828" w:rsidRPr="005C6828" w:rsidRDefault="005C6828" w:rsidP="005C6828">
            <w:pPr>
              <w:pStyle w:val="ListParagraph"/>
              <w:numPr>
                <w:ilvl w:val="0"/>
                <w:numId w:val="3"/>
              </w:numPr>
              <w:ind w:left="162" w:hanging="792"/>
              <w:rPr>
                <w:rFonts w:ascii="Cambria" w:hAnsi="Cambria"/>
                <w:sz w:val="22"/>
                <w:szCs w:val="22"/>
              </w:rPr>
            </w:pPr>
            <w:r w:rsidRPr="005C6828">
              <w:rPr>
                <w:rFonts w:ascii="Cambria" w:hAnsi="Cambria"/>
                <w:sz w:val="22"/>
                <w:szCs w:val="22"/>
                <w:u w:val="single"/>
              </w:rPr>
              <w:t>Community Integration</w:t>
            </w:r>
            <w:r w:rsidRPr="005C6828">
              <w:rPr>
                <w:rFonts w:ascii="Cambria" w:hAnsi="Cambria"/>
                <w:sz w:val="22"/>
                <w:szCs w:val="22"/>
              </w:rPr>
              <w:t xml:space="preserve"> is available only to DSHS funded AFH residents.</w:t>
            </w:r>
          </w:p>
          <w:p w:rsidR="005C6828" w:rsidRPr="005C6828" w:rsidRDefault="005C6828" w:rsidP="005C6828">
            <w:pPr>
              <w:pStyle w:val="ListParagraph"/>
              <w:ind w:left="162"/>
              <w:rPr>
                <w:rFonts w:ascii="Cambria" w:hAnsi="Cambria"/>
                <w:sz w:val="22"/>
                <w:szCs w:val="22"/>
              </w:rPr>
            </w:pPr>
            <w:r w:rsidRPr="005C6828">
              <w:rPr>
                <w:rFonts w:ascii="Cambria" w:hAnsi="Cambria"/>
                <w:sz w:val="22"/>
                <w:szCs w:val="22"/>
                <w:u w:val="single"/>
              </w:rPr>
              <w:t>Community Inclusion</w:t>
            </w:r>
            <w:r w:rsidRPr="005C6828">
              <w:rPr>
                <w:rFonts w:ascii="Cambria" w:hAnsi="Cambria"/>
                <w:sz w:val="22"/>
                <w:szCs w:val="22"/>
              </w:rPr>
              <w:t xml:space="preserve"> is a waiver service  available  for DDA clients who are on a </w:t>
            </w:r>
            <w:r w:rsidR="00681835">
              <w:rPr>
                <w:rFonts w:ascii="Cambria" w:hAnsi="Cambria"/>
                <w:sz w:val="22"/>
                <w:szCs w:val="22"/>
              </w:rPr>
              <w:t>Basic Plus or C</w:t>
            </w:r>
            <w:r w:rsidR="00BD3091">
              <w:rPr>
                <w:rFonts w:ascii="Cambria" w:hAnsi="Cambria"/>
                <w:sz w:val="22"/>
                <w:szCs w:val="22"/>
              </w:rPr>
              <w:t>ore</w:t>
            </w:r>
            <w:r w:rsidR="00681835">
              <w:rPr>
                <w:rFonts w:ascii="Cambria" w:hAnsi="Cambria"/>
                <w:sz w:val="22"/>
                <w:szCs w:val="22"/>
              </w:rPr>
              <w:t xml:space="preserve"> </w:t>
            </w:r>
            <w:r w:rsidRPr="005C6828">
              <w:rPr>
                <w:rFonts w:ascii="Cambria" w:hAnsi="Cambria"/>
                <w:sz w:val="22"/>
                <w:szCs w:val="22"/>
              </w:rPr>
              <w:t>waiver</w:t>
            </w:r>
            <w:r w:rsidR="00680701">
              <w:rPr>
                <w:rFonts w:ascii="Cambria" w:hAnsi="Cambria"/>
                <w:sz w:val="22"/>
                <w:szCs w:val="22"/>
              </w:rPr>
              <w:t xml:space="preserve"> and </w:t>
            </w:r>
            <w:r w:rsidR="00681835">
              <w:rPr>
                <w:rFonts w:ascii="Cambria" w:hAnsi="Cambria"/>
                <w:sz w:val="22"/>
                <w:szCs w:val="22"/>
              </w:rPr>
              <w:t>are either over 62 years of age or have an exception for</w:t>
            </w:r>
            <w:r w:rsidR="00680701">
              <w:rPr>
                <w:rFonts w:ascii="Cambria" w:hAnsi="Cambria"/>
                <w:sz w:val="22"/>
                <w:szCs w:val="22"/>
              </w:rPr>
              <w:t xml:space="preserve"> employment support</w:t>
            </w:r>
            <w:r w:rsidRPr="005C6828">
              <w:rPr>
                <w:rFonts w:ascii="Cambria" w:hAnsi="Cambria"/>
                <w:sz w:val="22"/>
                <w:szCs w:val="22"/>
              </w:rPr>
              <w:t>.</w:t>
            </w:r>
          </w:p>
          <w:p w:rsidR="005C6828" w:rsidRPr="005C6828" w:rsidRDefault="005C6828" w:rsidP="005C6828">
            <w:pPr>
              <w:ind w:left="162"/>
              <w:rPr>
                <w:rFonts w:ascii="Cambria" w:hAnsi="Cambria"/>
                <w:sz w:val="22"/>
                <w:szCs w:val="22"/>
              </w:rPr>
            </w:pPr>
            <w:r w:rsidRPr="005C6828">
              <w:rPr>
                <w:rFonts w:ascii="Cambria" w:hAnsi="Cambria"/>
                <w:sz w:val="22"/>
                <w:szCs w:val="22"/>
                <w:u w:val="single"/>
              </w:rPr>
              <w:t>Community Engagement</w:t>
            </w:r>
            <w:r w:rsidRPr="005C6828">
              <w:rPr>
                <w:rFonts w:ascii="Cambria" w:hAnsi="Cambria"/>
                <w:sz w:val="22"/>
                <w:szCs w:val="22"/>
              </w:rPr>
              <w:t xml:space="preserve"> is available to DDA clients on the IFS waiver.</w:t>
            </w:r>
          </w:p>
          <w:p w:rsidR="005C6828" w:rsidRPr="005C6828" w:rsidRDefault="005C6828" w:rsidP="00681835">
            <w:pPr>
              <w:ind w:left="162"/>
              <w:rPr>
                <w:rFonts w:ascii="Cambria" w:hAnsi="Cambria"/>
                <w:sz w:val="22"/>
                <w:szCs w:val="22"/>
              </w:rPr>
            </w:pPr>
            <w:r w:rsidRPr="005C6828">
              <w:rPr>
                <w:rFonts w:ascii="Cambria" w:hAnsi="Cambria"/>
                <w:sz w:val="22"/>
                <w:szCs w:val="22"/>
                <w:u w:val="single"/>
              </w:rPr>
              <w:t>Community Guide Services</w:t>
            </w:r>
            <w:r w:rsidRPr="005C6828">
              <w:rPr>
                <w:rFonts w:ascii="Cambria" w:hAnsi="Cambria"/>
                <w:sz w:val="22"/>
                <w:szCs w:val="22"/>
              </w:rPr>
              <w:t xml:space="preserve"> is available to DDA clients on the Basic Plus waiver.  It is also available on the Core waiver for clients in </w:t>
            </w:r>
            <w:r w:rsidR="00D358E1">
              <w:rPr>
                <w:rFonts w:ascii="Cambria" w:hAnsi="Cambria"/>
                <w:sz w:val="22"/>
                <w:szCs w:val="22"/>
              </w:rPr>
              <w:t xml:space="preserve">DDA </w:t>
            </w:r>
            <w:r w:rsidRPr="005C6828">
              <w:rPr>
                <w:rFonts w:ascii="Cambria" w:hAnsi="Cambria"/>
                <w:sz w:val="22"/>
                <w:szCs w:val="22"/>
              </w:rPr>
              <w:t xml:space="preserve">non-residential settings. </w:t>
            </w:r>
            <w:r w:rsidR="00680701">
              <w:rPr>
                <w:rFonts w:ascii="Cambria" w:hAnsi="Cambria"/>
                <w:sz w:val="22"/>
                <w:szCs w:val="22"/>
              </w:rPr>
              <w:t xml:space="preserve"> Community Guide Services can be used in combination with employment services.</w:t>
            </w:r>
          </w:p>
        </w:tc>
      </w:tr>
      <w:tr w:rsidR="001C5765" w:rsidRPr="001C5765" w:rsidTr="00F077A3">
        <w:tc>
          <w:tcPr>
            <w:tcW w:w="3865" w:type="dxa"/>
            <w:shd w:val="clear" w:color="auto" w:fill="D5DCE4" w:themeFill="text2" w:themeFillTint="33"/>
            <w:vAlign w:val="center"/>
          </w:tcPr>
          <w:p w:rsidR="001C5765" w:rsidRPr="005C6828" w:rsidRDefault="005C6828" w:rsidP="004B127B">
            <w:pPr>
              <w:ind w:left="247" w:hanging="383"/>
              <w:jc w:val="center"/>
              <w:rPr>
                <w:rFonts w:ascii="Cambria" w:hAnsi="Cambria"/>
                <w:b/>
                <w:sz w:val="22"/>
                <w:szCs w:val="22"/>
              </w:rPr>
            </w:pPr>
            <w:r w:rsidRPr="005C6828">
              <w:rPr>
                <w:rFonts w:ascii="Cambria" w:hAnsi="Cambria"/>
                <w:b/>
                <w:sz w:val="22"/>
                <w:szCs w:val="22"/>
              </w:rPr>
              <w:t>Is the Community Integration mileage included in the daily rate?</w:t>
            </w:r>
          </w:p>
        </w:tc>
        <w:tc>
          <w:tcPr>
            <w:tcW w:w="7110" w:type="dxa"/>
            <w:vAlign w:val="center"/>
          </w:tcPr>
          <w:p w:rsidR="001C5765" w:rsidRPr="005C6828" w:rsidRDefault="005C6828" w:rsidP="00D358E1">
            <w:pPr>
              <w:ind w:left="162"/>
              <w:rPr>
                <w:rFonts w:ascii="Cambria" w:hAnsi="Cambria"/>
                <w:sz w:val="22"/>
                <w:szCs w:val="22"/>
              </w:rPr>
            </w:pPr>
            <w:r w:rsidRPr="005C6828">
              <w:rPr>
                <w:rFonts w:ascii="Cambria" w:hAnsi="Cambria"/>
                <w:sz w:val="22"/>
                <w:szCs w:val="22"/>
              </w:rPr>
              <w:t xml:space="preserve">No.  If the AFH resident has an </w:t>
            </w:r>
            <w:r w:rsidR="00D358E1">
              <w:rPr>
                <w:rFonts w:ascii="Cambria" w:hAnsi="Cambria"/>
                <w:sz w:val="22"/>
                <w:szCs w:val="22"/>
              </w:rPr>
              <w:t>assessed</w:t>
            </w:r>
            <w:r w:rsidRPr="005C6828">
              <w:rPr>
                <w:rFonts w:ascii="Cambria" w:hAnsi="Cambria"/>
                <w:sz w:val="22"/>
                <w:szCs w:val="22"/>
              </w:rPr>
              <w:t xml:space="preserve"> need for Community Integration</w:t>
            </w:r>
            <w:r w:rsidR="006B4312">
              <w:rPr>
                <w:rFonts w:ascii="Cambria" w:hAnsi="Cambria"/>
                <w:sz w:val="22"/>
                <w:szCs w:val="22"/>
              </w:rPr>
              <w:t xml:space="preserve"> mileage</w:t>
            </w:r>
            <w:r w:rsidRPr="005C6828">
              <w:rPr>
                <w:rFonts w:ascii="Cambria" w:hAnsi="Cambria"/>
                <w:sz w:val="22"/>
                <w:szCs w:val="22"/>
              </w:rPr>
              <w:t>, the CRM/SSS will authorize CI mileage separately in ProviderOne.</w:t>
            </w:r>
          </w:p>
        </w:tc>
      </w:tr>
      <w:tr w:rsidR="001C5765" w:rsidRPr="001C5765" w:rsidTr="00F077A3">
        <w:tc>
          <w:tcPr>
            <w:tcW w:w="3865" w:type="dxa"/>
            <w:shd w:val="clear" w:color="auto" w:fill="D5DCE4" w:themeFill="text2" w:themeFillTint="33"/>
            <w:vAlign w:val="center"/>
          </w:tcPr>
          <w:p w:rsidR="001C5765" w:rsidRPr="005C6828" w:rsidRDefault="00DD3F52" w:rsidP="005C6828">
            <w:pPr>
              <w:ind w:left="-23" w:hanging="23"/>
              <w:jc w:val="center"/>
              <w:rPr>
                <w:rFonts w:ascii="Cambria" w:hAnsi="Cambria"/>
                <w:b/>
                <w:sz w:val="22"/>
                <w:szCs w:val="22"/>
              </w:rPr>
            </w:pPr>
            <w:r w:rsidRPr="005C6828">
              <w:rPr>
                <w:rFonts w:ascii="Cambria" w:hAnsi="Cambria"/>
                <w:b/>
                <w:sz w:val="22"/>
                <w:szCs w:val="22"/>
              </w:rPr>
              <w:t>Can AFH providers be reimbursed for transporting residents to and/or from medical appointments?</w:t>
            </w:r>
          </w:p>
        </w:tc>
        <w:tc>
          <w:tcPr>
            <w:tcW w:w="7110" w:type="dxa"/>
            <w:vAlign w:val="center"/>
          </w:tcPr>
          <w:p w:rsidR="001C5765" w:rsidRPr="005C6828" w:rsidRDefault="005C6828" w:rsidP="00681835">
            <w:pPr>
              <w:ind w:left="162"/>
              <w:rPr>
                <w:rFonts w:ascii="Cambria" w:hAnsi="Cambria"/>
                <w:sz w:val="22"/>
                <w:szCs w:val="22"/>
              </w:rPr>
            </w:pPr>
            <w:r w:rsidRPr="005C6828">
              <w:rPr>
                <w:rFonts w:ascii="Cambria" w:hAnsi="Cambria"/>
                <w:sz w:val="22"/>
                <w:szCs w:val="22"/>
              </w:rPr>
              <w:t xml:space="preserve">AFH providers may be reimbursed up to 50 miles per month to transport the resident to/from medical appointments only when Medicaid brokered transportation is unavailable.  </w:t>
            </w:r>
            <w:r w:rsidR="006B4312">
              <w:rPr>
                <w:rFonts w:ascii="Cambria" w:hAnsi="Cambria"/>
                <w:sz w:val="22"/>
                <w:szCs w:val="22"/>
              </w:rPr>
              <w:t>The unmet need must be documented in the resident’s CARE assessment.</w:t>
            </w:r>
            <w:r w:rsidRPr="005C6828">
              <w:rPr>
                <w:rFonts w:ascii="Cambria" w:hAnsi="Cambria"/>
                <w:sz w:val="22"/>
                <w:szCs w:val="22"/>
              </w:rPr>
              <w:t xml:space="preserve"> </w:t>
            </w:r>
          </w:p>
        </w:tc>
      </w:tr>
      <w:tr w:rsidR="00541EEA" w:rsidRPr="001C5765" w:rsidTr="00F077A3">
        <w:tc>
          <w:tcPr>
            <w:tcW w:w="3865" w:type="dxa"/>
            <w:tcBorders>
              <w:bottom w:val="single" w:sz="4" w:space="0" w:color="auto"/>
            </w:tcBorders>
            <w:shd w:val="clear" w:color="auto" w:fill="D5DCE4" w:themeFill="text2" w:themeFillTint="33"/>
            <w:vAlign w:val="center"/>
          </w:tcPr>
          <w:p w:rsidR="00541EEA" w:rsidRPr="005C6828" w:rsidRDefault="00426986" w:rsidP="00426986">
            <w:pPr>
              <w:ind w:left="360"/>
              <w:jc w:val="center"/>
              <w:rPr>
                <w:rFonts w:ascii="Cambria" w:hAnsi="Cambria"/>
                <w:b/>
                <w:sz w:val="22"/>
                <w:szCs w:val="22"/>
              </w:rPr>
            </w:pPr>
            <w:r>
              <w:rPr>
                <w:rFonts w:ascii="Cambria" w:hAnsi="Cambria"/>
                <w:b/>
                <w:sz w:val="22"/>
                <w:szCs w:val="22"/>
              </w:rPr>
              <w:t>Is medical mileage included in the daily rate?</w:t>
            </w:r>
          </w:p>
        </w:tc>
        <w:tc>
          <w:tcPr>
            <w:tcW w:w="7110" w:type="dxa"/>
            <w:vAlign w:val="center"/>
          </w:tcPr>
          <w:p w:rsidR="00541EEA" w:rsidRPr="005C6828" w:rsidRDefault="00426986" w:rsidP="00D358E1">
            <w:pPr>
              <w:ind w:left="162"/>
              <w:rPr>
                <w:rFonts w:ascii="Cambria" w:hAnsi="Cambria"/>
                <w:sz w:val="22"/>
                <w:szCs w:val="22"/>
              </w:rPr>
            </w:pPr>
            <w:r>
              <w:rPr>
                <w:rFonts w:ascii="Cambria" w:hAnsi="Cambria"/>
                <w:sz w:val="22"/>
                <w:szCs w:val="22"/>
              </w:rPr>
              <w:t>No</w:t>
            </w:r>
            <w:r w:rsidR="006B4312">
              <w:rPr>
                <w:rFonts w:ascii="Cambria" w:hAnsi="Cambria"/>
                <w:sz w:val="22"/>
                <w:szCs w:val="22"/>
              </w:rPr>
              <w:t xml:space="preserve">.  If the resident has an </w:t>
            </w:r>
            <w:r w:rsidR="00D358E1">
              <w:rPr>
                <w:rFonts w:ascii="Cambria" w:hAnsi="Cambria"/>
                <w:sz w:val="22"/>
                <w:szCs w:val="22"/>
              </w:rPr>
              <w:t>assessed</w:t>
            </w:r>
            <w:r w:rsidR="006B4312">
              <w:rPr>
                <w:rFonts w:ascii="Cambria" w:hAnsi="Cambria"/>
                <w:sz w:val="22"/>
                <w:szCs w:val="22"/>
              </w:rPr>
              <w:t xml:space="preserve"> need for medical mileage, the CRM/SSS will need to authorize it in ProviderOne.</w:t>
            </w:r>
          </w:p>
        </w:tc>
      </w:tr>
      <w:tr w:rsidR="00541EEA" w:rsidRPr="001C5765" w:rsidTr="00F077A3">
        <w:tc>
          <w:tcPr>
            <w:tcW w:w="3865" w:type="dxa"/>
            <w:tcBorders>
              <w:bottom w:val="single" w:sz="4" w:space="0" w:color="auto"/>
            </w:tcBorders>
            <w:shd w:val="clear" w:color="auto" w:fill="D5DCE4" w:themeFill="text2" w:themeFillTint="33"/>
            <w:vAlign w:val="center"/>
          </w:tcPr>
          <w:p w:rsidR="00541EEA" w:rsidRPr="005C6828" w:rsidRDefault="00BA4E93" w:rsidP="007E68F6">
            <w:pPr>
              <w:ind w:left="360"/>
              <w:jc w:val="center"/>
              <w:rPr>
                <w:rFonts w:ascii="Cambria" w:hAnsi="Cambria"/>
                <w:b/>
                <w:sz w:val="22"/>
                <w:szCs w:val="22"/>
              </w:rPr>
            </w:pPr>
            <w:r w:rsidRPr="005C6828">
              <w:rPr>
                <w:rFonts w:ascii="Cambria" w:hAnsi="Cambria"/>
                <w:b/>
                <w:sz w:val="22"/>
                <w:szCs w:val="22"/>
              </w:rPr>
              <w:t xml:space="preserve">What are the </w:t>
            </w:r>
            <w:r w:rsidR="009D11DC">
              <w:rPr>
                <w:rFonts w:ascii="Cambria" w:hAnsi="Cambria"/>
                <w:b/>
                <w:sz w:val="22"/>
                <w:szCs w:val="22"/>
              </w:rPr>
              <w:t xml:space="preserve">monthly </w:t>
            </w:r>
            <w:r w:rsidRPr="005C6828">
              <w:rPr>
                <w:rFonts w:ascii="Cambria" w:hAnsi="Cambria"/>
                <w:b/>
                <w:sz w:val="22"/>
                <w:szCs w:val="22"/>
              </w:rPr>
              <w:t>documentation expectations for Community Integration, CI Mileage, and Medical Mileage?</w:t>
            </w:r>
          </w:p>
        </w:tc>
        <w:tc>
          <w:tcPr>
            <w:tcW w:w="7110" w:type="dxa"/>
            <w:vAlign w:val="center"/>
          </w:tcPr>
          <w:p w:rsidR="00541EEA" w:rsidRDefault="007D5AF5" w:rsidP="000259C9">
            <w:pPr>
              <w:ind w:left="162"/>
              <w:rPr>
                <w:rFonts w:ascii="Cambria" w:hAnsi="Cambria"/>
                <w:sz w:val="22"/>
                <w:szCs w:val="22"/>
              </w:rPr>
            </w:pPr>
            <w:r>
              <w:rPr>
                <w:rFonts w:ascii="Cambria" w:hAnsi="Cambria"/>
                <w:sz w:val="22"/>
                <w:szCs w:val="22"/>
              </w:rPr>
              <w:t xml:space="preserve">The </w:t>
            </w:r>
            <w:r w:rsidR="000259C9">
              <w:rPr>
                <w:rFonts w:ascii="Cambria" w:hAnsi="Cambria"/>
                <w:sz w:val="22"/>
                <w:szCs w:val="22"/>
              </w:rPr>
              <w:t xml:space="preserve">AFH </w:t>
            </w:r>
            <w:r>
              <w:rPr>
                <w:rFonts w:ascii="Cambria" w:hAnsi="Cambria"/>
                <w:sz w:val="22"/>
                <w:szCs w:val="22"/>
              </w:rPr>
              <w:t>provider</w:t>
            </w:r>
            <w:r w:rsidR="000259C9">
              <w:rPr>
                <w:rFonts w:ascii="Cambria" w:hAnsi="Cambria"/>
                <w:sz w:val="22"/>
                <w:szCs w:val="22"/>
              </w:rPr>
              <w:t xml:space="preserve"> must document all Community Integration activities, C</w:t>
            </w:r>
            <w:r w:rsidR="009D11DC">
              <w:rPr>
                <w:rFonts w:ascii="Cambria" w:hAnsi="Cambria"/>
                <w:sz w:val="22"/>
                <w:szCs w:val="22"/>
              </w:rPr>
              <w:t>I</w:t>
            </w:r>
            <w:r w:rsidR="000259C9">
              <w:rPr>
                <w:rFonts w:ascii="Cambria" w:hAnsi="Cambria"/>
                <w:sz w:val="22"/>
                <w:szCs w:val="22"/>
              </w:rPr>
              <w:t xml:space="preserve"> Mileage, and Medical Mileage that they are claiming reimbursement for.  </w:t>
            </w:r>
          </w:p>
          <w:p w:rsidR="00BD1841" w:rsidRDefault="00BD1841" w:rsidP="00E224C1">
            <w:pPr>
              <w:ind w:left="162" w:firstLine="198"/>
              <w:rPr>
                <w:rFonts w:ascii="Cambria" w:hAnsi="Cambria"/>
                <w:sz w:val="22"/>
                <w:szCs w:val="22"/>
              </w:rPr>
            </w:pPr>
          </w:p>
          <w:p w:rsidR="00BD1841" w:rsidRDefault="00BD1841" w:rsidP="00F077A3">
            <w:pPr>
              <w:ind w:left="162"/>
              <w:rPr>
                <w:rFonts w:ascii="Cambria" w:hAnsi="Cambria"/>
                <w:sz w:val="22"/>
                <w:szCs w:val="22"/>
              </w:rPr>
            </w:pPr>
            <w:r>
              <w:rPr>
                <w:rFonts w:ascii="Cambria" w:hAnsi="Cambria"/>
                <w:sz w:val="22"/>
                <w:szCs w:val="22"/>
              </w:rPr>
              <w:t xml:space="preserve">If two residents are interested in the same activity and want to participate together, the total time and total mileage must be divided </w:t>
            </w:r>
            <w:r w:rsidR="00913F80">
              <w:rPr>
                <w:rFonts w:ascii="Cambria" w:hAnsi="Cambria"/>
                <w:sz w:val="22"/>
                <w:szCs w:val="22"/>
              </w:rPr>
              <w:t>equally between the two</w:t>
            </w:r>
            <w:r>
              <w:rPr>
                <w:rFonts w:ascii="Cambria" w:hAnsi="Cambria"/>
                <w:sz w:val="22"/>
                <w:szCs w:val="22"/>
              </w:rPr>
              <w:t xml:space="preserve"> residents for documentation purposes.  For example, two residents attend an activity that is a total of 4 hours of AFH staff time and staff transport them 30 miles.  Each resident would have received 2 hours each of CI and 15 miles for CI transportation.  </w:t>
            </w:r>
          </w:p>
          <w:p w:rsidR="007D5AF5" w:rsidRPr="005C6828" w:rsidRDefault="007D5AF5" w:rsidP="0009703C">
            <w:pPr>
              <w:ind w:left="162" w:firstLine="198"/>
              <w:rPr>
                <w:rFonts w:ascii="Cambria" w:hAnsi="Cambria"/>
                <w:sz w:val="22"/>
                <w:szCs w:val="22"/>
              </w:rPr>
            </w:pPr>
          </w:p>
        </w:tc>
      </w:tr>
    </w:tbl>
    <w:p w:rsidR="001C5765" w:rsidRDefault="001C5765">
      <w:pPr>
        <w:spacing w:before="0" w:after="0" w:line="240" w:lineRule="auto"/>
        <w:rPr>
          <w:rFonts w:ascii="Cambria" w:hAnsi="Cambria"/>
          <w:b/>
          <w:sz w:val="21"/>
          <w:szCs w:val="21"/>
        </w:rPr>
      </w:pPr>
    </w:p>
    <w:p w:rsidR="00BD3091" w:rsidRDefault="00BD3091">
      <w:pPr>
        <w:spacing w:before="0" w:after="0" w:line="240" w:lineRule="auto"/>
        <w:rPr>
          <w:rFonts w:ascii="Cambria" w:hAnsi="Cambria"/>
          <w:b/>
          <w:sz w:val="21"/>
          <w:szCs w:val="21"/>
        </w:rPr>
      </w:pPr>
    </w:p>
    <w:p w:rsidR="00A450C5" w:rsidRDefault="00A450C5">
      <w:pPr>
        <w:spacing w:before="0" w:after="0" w:line="240" w:lineRule="auto"/>
        <w:rPr>
          <w:rFonts w:ascii="Cambria" w:hAnsi="Cambria"/>
          <w:b/>
          <w:sz w:val="21"/>
          <w:szCs w:val="21"/>
        </w:rPr>
      </w:pPr>
      <w:r>
        <w:rPr>
          <w:rFonts w:ascii="Cambria" w:hAnsi="Cambria"/>
          <w:b/>
          <w:sz w:val="21"/>
          <w:szCs w:val="21"/>
        </w:rPr>
        <w:t>10/6/2017</w:t>
      </w:r>
    </w:p>
    <w:p w:rsidR="00A450C5" w:rsidRPr="00F077A3" w:rsidRDefault="00A450C5">
      <w:pPr>
        <w:spacing w:before="0" w:after="0" w:line="240" w:lineRule="auto"/>
        <w:rPr>
          <w:rFonts w:ascii="Cambria" w:hAnsi="Cambria"/>
          <w:b/>
          <w:sz w:val="21"/>
          <w:szCs w:val="21"/>
        </w:rPr>
      </w:pPr>
    </w:p>
    <w:sectPr w:rsidR="00A450C5" w:rsidRPr="00F077A3" w:rsidSect="00A450C5">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E6A" w:rsidRDefault="00971E6A" w:rsidP="001D5780">
      <w:pPr>
        <w:spacing w:before="0" w:after="0" w:line="240" w:lineRule="auto"/>
      </w:pPr>
      <w:r>
        <w:separator/>
      </w:r>
    </w:p>
  </w:endnote>
  <w:endnote w:type="continuationSeparator" w:id="0">
    <w:p w:rsidR="00971E6A" w:rsidRDefault="00971E6A" w:rsidP="001D578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E6A" w:rsidRDefault="00971E6A" w:rsidP="001D5780">
      <w:pPr>
        <w:spacing w:before="0" w:after="0" w:line="240" w:lineRule="auto"/>
      </w:pPr>
      <w:r>
        <w:separator/>
      </w:r>
    </w:p>
  </w:footnote>
  <w:footnote w:type="continuationSeparator" w:id="0">
    <w:p w:rsidR="00971E6A" w:rsidRDefault="00971E6A" w:rsidP="001D578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965" w:rsidRPr="00F077A3" w:rsidRDefault="00710965" w:rsidP="00F077A3">
    <w:pPr>
      <w:pStyle w:val="Header"/>
      <w:jc w:val="center"/>
      <w:rPr>
        <w:rFonts w:ascii="Cambria" w:hAnsi="Cambria"/>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E405F"/>
    <w:multiLevelType w:val="hybridMultilevel"/>
    <w:tmpl w:val="8E04D382"/>
    <w:lvl w:ilvl="0" w:tplc="04090009">
      <w:start w:val="1"/>
      <w:numFmt w:val="bullet"/>
      <w:lvlText w:val=""/>
      <w:lvlJc w:val="left"/>
      <w:pPr>
        <w:ind w:left="882" w:hanging="360"/>
      </w:pPr>
      <w:rPr>
        <w:rFonts w:ascii="Wingdings" w:hAnsi="Wingdings"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 w15:restartNumberingAfterBreak="0">
    <w:nsid w:val="4EA37785"/>
    <w:multiLevelType w:val="hybridMultilevel"/>
    <w:tmpl w:val="0910E414"/>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2" w15:restartNumberingAfterBreak="0">
    <w:nsid w:val="6F0727CB"/>
    <w:multiLevelType w:val="hybridMultilevel"/>
    <w:tmpl w:val="A1D045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9J5SG2fsy9N/IitUatGd4L2ctIvtjmjA1AXVIEUJ0xX4xnhyCv0FEjCJhhW19cWeg7y5+zSSTC0S3+jE4Ia2mA==" w:salt="vzYicaGBuhxDkmmf8MJ5oA=="/>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80"/>
    <w:rsid w:val="000259C9"/>
    <w:rsid w:val="0009703C"/>
    <w:rsid w:val="000A5FF8"/>
    <w:rsid w:val="000B4066"/>
    <w:rsid w:val="001036CD"/>
    <w:rsid w:val="00114A40"/>
    <w:rsid w:val="00123D11"/>
    <w:rsid w:val="001406CA"/>
    <w:rsid w:val="001468BF"/>
    <w:rsid w:val="001502C6"/>
    <w:rsid w:val="00150D43"/>
    <w:rsid w:val="001817DC"/>
    <w:rsid w:val="001C5765"/>
    <w:rsid w:val="001D5780"/>
    <w:rsid w:val="00230506"/>
    <w:rsid w:val="003203DA"/>
    <w:rsid w:val="003268EB"/>
    <w:rsid w:val="00331F39"/>
    <w:rsid w:val="0036555C"/>
    <w:rsid w:val="00383AC0"/>
    <w:rsid w:val="00386085"/>
    <w:rsid w:val="003C5070"/>
    <w:rsid w:val="00426986"/>
    <w:rsid w:val="0044099C"/>
    <w:rsid w:val="0044467D"/>
    <w:rsid w:val="004471B1"/>
    <w:rsid w:val="00464B3E"/>
    <w:rsid w:val="004B127B"/>
    <w:rsid w:val="004B2ACF"/>
    <w:rsid w:val="004E141F"/>
    <w:rsid w:val="00513CFF"/>
    <w:rsid w:val="00535A66"/>
    <w:rsid w:val="00541EEA"/>
    <w:rsid w:val="005566BE"/>
    <w:rsid w:val="00565F15"/>
    <w:rsid w:val="005C07C3"/>
    <w:rsid w:val="005C5B02"/>
    <w:rsid w:val="005C6828"/>
    <w:rsid w:val="005E1CB8"/>
    <w:rsid w:val="006056B0"/>
    <w:rsid w:val="00605BA7"/>
    <w:rsid w:val="0061746D"/>
    <w:rsid w:val="00642125"/>
    <w:rsid w:val="00680701"/>
    <w:rsid w:val="00681835"/>
    <w:rsid w:val="006B4312"/>
    <w:rsid w:val="00707119"/>
    <w:rsid w:val="00710965"/>
    <w:rsid w:val="007328A5"/>
    <w:rsid w:val="00750CFD"/>
    <w:rsid w:val="007836FC"/>
    <w:rsid w:val="00784EFF"/>
    <w:rsid w:val="007875E2"/>
    <w:rsid w:val="00794D70"/>
    <w:rsid w:val="007964B0"/>
    <w:rsid w:val="007A56A9"/>
    <w:rsid w:val="007C2E0A"/>
    <w:rsid w:val="007D5AF5"/>
    <w:rsid w:val="007E68F6"/>
    <w:rsid w:val="007F37F7"/>
    <w:rsid w:val="00803CD1"/>
    <w:rsid w:val="00812012"/>
    <w:rsid w:val="0082469C"/>
    <w:rsid w:val="008363A8"/>
    <w:rsid w:val="00861938"/>
    <w:rsid w:val="00862AF5"/>
    <w:rsid w:val="00883950"/>
    <w:rsid w:val="008902CF"/>
    <w:rsid w:val="00891532"/>
    <w:rsid w:val="0089618A"/>
    <w:rsid w:val="008F0392"/>
    <w:rsid w:val="00902B0E"/>
    <w:rsid w:val="00905E2C"/>
    <w:rsid w:val="00913F80"/>
    <w:rsid w:val="0093776A"/>
    <w:rsid w:val="00947878"/>
    <w:rsid w:val="00965A60"/>
    <w:rsid w:val="00971E6A"/>
    <w:rsid w:val="009728D9"/>
    <w:rsid w:val="00981C33"/>
    <w:rsid w:val="00986791"/>
    <w:rsid w:val="009D11DC"/>
    <w:rsid w:val="009F5011"/>
    <w:rsid w:val="00A01E26"/>
    <w:rsid w:val="00A059B1"/>
    <w:rsid w:val="00A1201A"/>
    <w:rsid w:val="00A178E9"/>
    <w:rsid w:val="00A450C5"/>
    <w:rsid w:val="00AA16BA"/>
    <w:rsid w:val="00B17CEF"/>
    <w:rsid w:val="00B37E30"/>
    <w:rsid w:val="00B84C41"/>
    <w:rsid w:val="00BA4E93"/>
    <w:rsid w:val="00BB004E"/>
    <w:rsid w:val="00BD1841"/>
    <w:rsid w:val="00BD3091"/>
    <w:rsid w:val="00C10B4C"/>
    <w:rsid w:val="00C1186C"/>
    <w:rsid w:val="00C43B87"/>
    <w:rsid w:val="00C725CC"/>
    <w:rsid w:val="00CB525B"/>
    <w:rsid w:val="00D358E1"/>
    <w:rsid w:val="00D4632A"/>
    <w:rsid w:val="00D74894"/>
    <w:rsid w:val="00D852C7"/>
    <w:rsid w:val="00DA1469"/>
    <w:rsid w:val="00DA5117"/>
    <w:rsid w:val="00DC078A"/>
    <w:rsid w:val="00DD3F52"/>
    <w:rsid w:val="00E03D66"/>
    <w:rsid w:val="00E224C1"/>
    <w:rsid w:val="00E3298C"/>
    <w:rsid w:val="00E42932"/>
    <w:rsid w:val="00E50D33"/>
    <w:rsid w:val="00EA2318"/>
    <w:rsid w:val="00EC6097"/>
    <w:rsid w:val="00EF5776"/>
    <w:rsid w:val="00F077A3"/>
    <w:rsid w:val="00F62266"/>
    <w:rsid w:val="00F730CD"/>
    <w:rsid w:val="00F73B6A"/>
    <w:rsid w:val="00FA45E0"/>
    <w:rsid w:val="00FE3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BF7AD6-C7A2-418D-BC70-9321D7A05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765"/>
  </w:style>
  <w:style w:type="paragraph" w:styleId="Heading1">
    <w:name w:val="heading 1"/>
    <w:basedOn w:val="Normal"/>
    <w:next w:val="Normal"/>
    <w:link w:val="Heading1Char"/>
    <w:uiPriority w:val="9"/>
    <w:qFormat/>
    <w:rsid w:val="001D5780"/>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1D5780"/>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1D5780"/>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1D5780"/>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1D5780"/>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1D5780"/>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1D5780"/>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1D578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D578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780"/>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1D5780"/>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1D5780"/>
    <w:rPr>
      <w:caps/>
      <w:color w:val="1F4D78" w:themeColor="accent1" w:themeShade="7F"/>
      <w:spacing w:val="15"/>
    </w:rPr>
  </w:style>
  <w:style w:type="character" w:customStyle="1" w:styleId="Heading4Char">
    <w:name w:val="Heading 4 Char"/>
    <w:basedOn w:val="DefaultParagraphFont"/>
    <w:link w:val="Heading4"/>
    <w:uiPriority w:val="9"/>
    <w:semiHidden/>
    <w:rsid w:val="001D5780"/>
    <w:rPr>
      <w:caps/>
      <w:color w:val="2E74B5" w:themeColor="accent1" w:themeShade="BF"/>
      <w:spacing w:val="10"/>
    </w:rPr>
  </w:style>
  <w:style w:type="character" w:customStyle="1" w:styleId="Heading5Char">
    <w:name w:val="Heading 5 Char"/>
    <w:basedOn w:val="DefaultParagraphFont"/>
    <w:link w:val="Heading5"/>
    <w:uiPriority w:val="9"/>
    <w:semiHidden/>
    <w:rsid w:val="001D5780"/>
    <w:rPr>
      <w:caps/>
      <w:color w:val="2E74B5" w:themeColor="accent1" w:themeShade="BF"/>
      <w:spacing w:val="10"/>
    </w:rPr>
  </w:style>
  <w:style w:type="character" w:customStyle="1" w:styleId="Heading6Char">
    <w:name w:val="Heading 6 Char"/>
    <w:basedOn w:val="DefaultParagraphFont"/>
    <w:link w:val="Heading6"/>
    <w:uiPriority w:val="9"/>
    <w:semiHidden/>
    <w:rsid w:val="001D5780"/>
    <w:rPr>
      <w:caps/>
      <w:color w:val="2E74B5" w:themeColor="accent1" w:themeShade="BF"/>
      <w:spacing w:val="10"/>
    </w:rPr>
  </w:style>
  <w:style w:type="character" w:customStyle="1" w:styleId="Heading7Char">
    <w:name w:val="Heading 7 Char"/>
    <w:basedOn w:val="DefaultParagraphFont"/>
    <w:link w:val="Heading7"/>
    <w:uiPriority w:val="9"/>
    <w:semiHidden/>
    <w:rsid w:val="001D5780"/>
    <w:rPr>
      <w:caps/>
      <w:color w:val="2E74B5" w:themeColor="accent1" w:themeShade="BF"/>
      <w:spacing w:val="10"/>
    </w:rPr>
  </w:style>
  <w:style w:type="character" w:customStyle="1" w:styleId="Heading8Char">
    <w:name w:val="Heading 8 Char"/>
    <w:basedOn w:val="DefaultParagraphFont"/>
    <w:link w:val="Heading8"/>
    <w:uiPriority w:val="9"/>
    <w:semiHidden/>
    <w:rsid w:val="001D5780"/>
    <w:rPr>
      <w:caps/>
      <w:spacing w:val="10"/>
      <w:sz w:val="18"/>
      <w:szCs w:val="18"/>
    </w:rPr>
  </w:style>
  <w:style w:type="character" w:customStyle="1" w:styleId="Heading9Char">
    <w:name w:val="Heading 9 Char"/>
    <w:basedOn w:val="DefaultParagraphFont"/>
    <w:link w:val="Heading9"/>
    <w:uiPriority w:val="9"/>
    <w:semiHidden/>
    <w:rsid w:val="001D5780"/>
    <w:rPr>
      <w:i/>
      <w:iCs/>
      <w:caps/>
      <w:spacing w:val="10"/>
      <w:sz w:val="18"/>
      <w:szCs w:val="18"/>
    </w:rPr>
  </w:style>
  <w:style w:type="paragraph" w:styleId="Caption">
    <w:name w:val="caption"/>
    <w:basedOn w:val="Normal"/>
    <w:next w:val="Normal"/>
    <w:uiPriority w:val="35"/>
    <w:semiHidden/>
    <w:unhideWhenUsed/>
    <w:qFormat/>
    <w:rsid w:val="001D5780"/>
    <w:rPr>
      <w:b/>
      <w:bCs/>
      <w:color w:val="2E74B5" w:themeColor="accent1" w:themeShade="BF"/>
      <w:sz w:val="16"/>
      <w:szCs w:val="16"/>
    </w:rPr>
  </w:style>
  <w:style w:type="paragraph" w:styleId="Title">
    <w:name w:val="Title"/>
    <w:basedOn w:val="Normal"/>
    <w:next w:val="Normal"/>
    <w:link w:val="TitleChar"/>
    <w:uiPriority w:val="10"/>
    <w:qFormat/>
    <w:rsid w:val="001D5780"/>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1D5780"/>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1D5780"/>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D5780"/>
    <w:rPr>
      <w:caps/>
      <w:color w:val="595959" w:themeColor="text1" w:themeTint="A6"/>
      <w:spacing w:val="10"/>
      <w:sz w:val="21"/>
      <w:szCs w:val="21"/>
    </w:rPr>
  </w:style>
  <w:style w:type="character" w:styleId="Strong">
    <w:name w:val="Strong"/>
    <w:uiPriority w:val="22"/>
    <w:qFormat/>
    <w:rsid w:val="001D5780"/>
    <w:rPr>
      <w:b/>
      <w:bCs/>
    </w:rPr>
  </w:style>
  <w:style w:type="character" w:styleId="Emphasis">
    <w:name w:val="Emphasis"/>
    <w:uiPriority w:val="20"/>
    <w:qFormat/>
    <w:rsid w:val="001D5780"/>
    <w:rPr>
      <w:caps/>
      <w:color w:val="1F4D78" w:themeColor="accent1" w:themeShade="7F"/>
      <w:spacing w:val="5"/>
    </w:rPr>
  </w:style>
  <w:style w:type="paragraph" w:styleId="NoSpacing">
    <w:name w:val="No Spacing"/>
    <w:uiPriority w:val="1"/>
    <w:qFormat/>
    <w:rsid w:val="001D5780"/>
    <w:pPr>
      <w:spacing w:after="0" w:line="240" w:lineRule="auto"/>
    </w:pPr>
  </w:style>
  <w:style w:type="paragraph" w:styleId="Quote">
    <w:name w:val="Quote"/>
    <w:basedOn w:val="Normal"/>
    <w:next w:val="Normal"/>
    <w:link w:val="QuoteChar"/>
    <w:uiPriority w:val="29"/>
    <w:qFormat/>
    <w:rsid w:val="001D5780"/>
    <w:rPr>
      <w:i/>
      <w:iCs/>
      <w:sz w:val="24"/>
      <w:szCs w:val="24"/>
    </w:rPr>
  </w:style>
  <w:style w:type="character" w:customStyle="1" w:styleId="QuoteChar">
    <w:name w:val="Quote Char"/>
    <w:basedOn w:val="DefaultParagraphFont"/>
    <w:link w:val="Quote"/>
    <w:uiPriority w:val="29"/>
    <w:rsid w:val="001D5780"/>
    <w:rPr>
      <w:i/>
      <w:iCs/>
      <w:sz w:val="24"/>
      <w:szCs w:val="24"/>
    </w:rPr>
  </w:style>
  <w:style w:type="paragraph" w:styleId="IntenseQuote">
    <w:name w:val="Intense Quote"/>
    <w:basedOn w:val="Normal"/>
    <w:next w:val="Normal"/>
    <w:link w:val="IntenseQuoteChar"/>
    <w:uiPriority w:val="30"/>
    <w:qFormat/>
    <w:rsid w:val="001D5780"/>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1D5780"/>
    <w:rPr>
      <w:color w:val="5B9BD5" w:themeColor="accent1"/>
      <w:sz w:val="24"/>
      <w:szCs w:val="24"/>
    </w:rPr>
  </w:style>
  <w:style w:type="character" w:styleId="SubtleEmphasis">
    <w:name w:val="Subtle Emphasis"/>
    <w:uiPriority w:val="19"/>
    <w:qFormat/>
    <w:rsid w:val="001D5780"/>
    <w:rPr>
      <w:i/>
      <w:iCs/>
      <w:color w:val="1F4D78" w:themeColor="accent1" w:themeShade="7F"/>
    </w:rPr>
  </w:style>
  <w:style w:type="character" w:styleId="IntenseEmphasis">
    <w:name w:val="Intense Emphasis"/>
    <w:uiPriority w:val="21"/>
    <w:qFormat/>
    <w:rsid w:val="001D5780"/>
    <w:rPr>
      <w:b/>
      <w:bCs/>
      <w:caps/>
      <w:color w:val="1F4D78" w:themeColor="accent1" w:themeShade="7F"/>
      <w:spacing w:val="10"/>
    </w:rPr>
  </w:style>
  <w:style w:type="character" w:styleId="SubtleReference">
    <w:name w:val="Subtle Reference"/>
    <w:uiPriority w:val="31"/>
    <w:qFormat/>
    <w:rsid w:val="001D5780"/>
    <w:rPr>
      <w:b/>
      <w:bCs/>
      <w:color w:val="5B9BD5" w:themeColor="accent1"/>
    </w:rPr>
  </w:style>
  <w:style w:type="character" w:styleId="IntenseReference">
    <w:name w:val="Intense Reference"/>
    <w:uiPriority w:val="32"/>
    <w:qFormat/>
    <w:rsid w:val="001D5780"/>
    <w:rPr>
      <w:b/>
      <w:bCs/>
      <w:i/>
      <w:iCs/>
      <w:caps/>
      <w:color w:val="5B9BD5" w:themeColor="accent1"/>
    </w:rPr>
  </w:style>
  <w:style w:type="character" w:styleId="BookTitle">
    <w:name w:val="Book Title"/>
    <w:uiPriority w:val="33"/>
    <w:qFormat/>
    <w:rsid w:val="001D5780"/>
    <w:rPr>
      <w:b/>
      <w:bCs/>
      <w:i/>
      <w:iCs/>
      <w:spacing w:val="0"/>
    </w:rPr>
  </w:style>
  <w:style w:type="paragraph" w:styleId="TOCHeading">
    <w:name w:val="TOC Heading"/>
    <w:basedOn w:val="Heading1"/>
    <w:next w:val="Normal"/>
    <w:uiPriority w:val="39"/>
    <w:semiHidden/>
    <w:unhideWhenUsed/>
    <w:qFormat/>
    <w:rsid w:val="001D5780"/>
    <w:pPr>
      <w:outlineLvl w:val="9"/>
    </w:pPr>
  </w:style>
  <w:style w:type="table" w:styleId="TableGrid">
    <w:name w:val="Table Grid"/>
    <w:basedOn w:val="TableNormal"/>
    <w:uiPriority w:val="39"/>
    <w:rsid w:val="001D578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578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D5780"/>
  </w:style>
  <w:style w:type="paragraph" w:styleId="Footer">
    <w:name w:val="footer"/>
    <w:basedOn w:val="Normal"/>
    <w:link w:val="FooterChar"/>
    <w:uiPriority w:val="99"/>
    <w:unhideWhenUsed/>
    <w:rsid w:val="001D578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D5780"/>
  </w:style>
  <w:style w:type="paragraph" w:styleId="ListParagraph">
    <w:name w:val="List Paragraph"/>
    <w:basedOn w:val="Normal"/>
    <w:uiPriority w:val="34"/>
    <w:qFormat/>
    <w:rsid w:val="001D5780"/>
    <w:pPr>
      <w:ind w:left="720"/>
      <w:contextualSpacing/>
    </w:pPr>
  </w:style>
  <w:style w:type="character" w:styleId="CommentReference">
    <w:name w:val="annotation reference"/>
    <w:basedOn w:val="DefaultParagraphFont"/>
    <w:uiPriority w:val="99"/>
    <w:semiHidden/>
    <w:unhideWhenUsed/>
    <w:rsid w:val="00A01E26"/>
    <w:rPr>
      <w:sz w:val="16"/>
      <w:szCs w:val="16"/>
    </w:rPr>
  </w:style>
  <w:style w:type="paragraph" w:styleId="CommentText">
    <w:name w:val="annotation text"/>
    <w:basedOn w:val="Normal"/>
    <w:link w:val="CommentTextChar"/>
    <w:uiPriority w:val="99"/>
    <w:semiHidden/>
    <w:unhideWhenUsed/>
    <w:rsid w:val="00A01E26"/>
    <w:pPr>
      <w:spacing w:line="240" w:lineRule="auto"/>
    </w:pPr>
  </w:style>
  <w:style w:type="character" w:customStyle="1" w:styleId="CommentTextChar">
    <w:name w:val="Comment Text Char"/>
    <w:basedOn w:val="DefaultParagraphFont"/>
    <w:link w:val="CommentText"/>
    <w:uiPriority w:val="99"/>
    <w:semiHidden/>
    <w:rsid w:val="00A01E26"/>
  </w:style>
  <w:style w:type="paragraph" w:styleId="CommentSubject">
    <w:name w:val="annotation subject"/>
    <w:basedOn w:val="CommentText"/>
    <w:next w:val="CommentText"/>
    <w:link w:val="CommentSubjectChar"/>
    <w:uiPriority w:val="99"/>
    <w:semiHidden/>
    <w:unhideWhenUsed/>
    <w:rsid w:val="00A01E26"/>
    <w:rPr>
      <w:b/>
      <w:bCs/>
    </w:rPr>
  </w:style>
  <w:style w:type="character" w:customStyle="1" w:styleId="CommentSubjectChar">
    <w:name w:val="Comment Subject Char"/>
    <w:basedOn w:val="CommentTextChar"/>
    <w:link w:val="CommentSubject"/>
    <w:uiPriority w:val="99"/>
    <w:semiHidden/>
    <w:rsid w:val="00A01E26"/>
    <w:rPr>
      <w:b/>
      <w:bCs/>
    </w:rPr>
  </w:style>
  <w:style w:type="paragraph" w:styleId="BalloonText">
    <w:name w:val="Balloon Text"/>
    <w:basedOn w:val="Normal"/>
    <w:link w:val="BalloonTextChar"/>
    <w:uiPriority w:val="99"/>
    <w:semiHidden/>
    <w:unhideWhenUsed/>
    <w:rsid w:val="00A01E2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E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D858D-73DB-4B5A-8BD3-BEBEFD3B3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1032</Words>
  <Characters>5888</Characters>
  <Application>Microsoft Office Word</Application>
  <DocSecurity>8</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DSHS</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Hampton, Kelly (DSHS/DDA)</dc:creator>
  <cp:keywords/>
  <dc:description/>
  <cp:lastModifiedBy>Gianetto Bare, Lori  C.(DSHS/DDA)</cp:lastModifiedBy>
  <cp:revision>1</cp:revision>
  <cp:lastPrinted>2017-06-26T15:50:00Z</cp:lastPrinted>
  <dcterms:created xsi:type="dcterms:W3CDTF">2019-01-16T19:23:00Z</dcterms:created>
  <dcterms:modified xsi:type="dcterms:W3CDTF">2019-01-16T19:23:00Z</dcterms:modified>
</cp:coreProperties>
</file>