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07" w:rsidRDefault="00485507" w:rsidP="0048550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43.43.830 and 2017 c 272 s 5 are each amended to read as follows:</w:t>
      </w:r>
    </w:p>
    <w:p w:rsidR="00485507" w:rsidRDefault="00485507" w:rsidP="00485507">
      <w:pPr>
        <w:spacing w:line="408" w:lineRule="exact"/>
        <w:ind w:firstLine="576"/>
      </w:pPr>
      <w:r>
        <w:t>Unless the context clearly requires otherwise, the definitions in this section apply throughout RCW 43.43.830 through 43.43.845.</w:t>
      </w:r>
    </w:p>
    <w:p w:rsidR="00485507" w:rsidRDefault="00485507" w:rsidP="00485507">
      <w:pPr>
        <w:spacing w:line="408" w:lineRule="exact"/>
        <w:ind w:firstLine="576"/>
      </w:pPr>
      <w:r>
        <w:t>(1)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rsidR="00485507" w:rsidRDefault="00485507" w:rsidP="00485507">
      <w:pPr>
        <w:spacing w:line="408" w:lineRule="exact"/>
        <w:ind w:firstLine="576"/>
      </w:pPr>
      <w:r>
        <w:t>(2) "Applicant" means:</w:t>
      </w:r>
    </w:p>
    <w:p w:rsidR="00485507" w:rsidRDefault="00485507" w:rsidP="00485507">
      <w:pPr>
        <w:spacing w:line="408" w:lineRule="exact"/>
        <w:ind w:firstLine="576"/>
      </w:pPr>
      <w:r>
        <w:t>(a) Any prospective employee who will or may have unsupervised access to children under sixteen years of age or developmentally disabled persons or vulnerable adults during the course of his or her employment or involvement with the business or organization;</w:t>
      </w:r>
    </w:p>
    <w:p w:rsidR="00485507" w:rsidRDefault="00485507" w:rsidP="00485507">
      <w:pPr>
        <w:spacing w:line="408" w:lineRule="exact"/>
        <w:ind w:firstLine="576"/>
      </w:pPr>
      <w:r>
        <w:t>(b)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rsidR="00485507" w:rsidRDefault="00485507" w:rsidP="00485507">
      <w:pPr>
        <w:spacing w:line="408" w:lineRule="exact"/>
        <w:ind w:firstLine="576"/>
      </w:pPr>
      <w:r>
        <w:t>(c) Any prospective adoptive parent, as defined in RCW 26.33.020; or</w:t>
      </w:r>
    </w:p>
    <w:p w:rsidR="00485507" w:rsidRDefault="00485507" w:rsidP="00485507">
      <w:pPr>
        <w:spacing w:line="408" w:lineRule="exact"/>
        <w:ind w:firstLine="576"/>
      </w:pPr>
      <w:r>
        <w:t>(d) Any prospective custodian in a nonparental custody proceeding under chapter 26.10 RCW.</w:t>
      </w:r>
    </w:p>
    <w:p w:rsidR="00485507" w:rsidRDefault="00485507" w:rsidP="00485507">
      <w:pPr>
        <w:spacing w:line="408" w:lineRule="exact"/>
        <w:ind w:firstLine="576"/>
      </w:pPr>
      <w: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w:t>
      </w:r>
      <w:r>
        <w:lastRenderedPageBreak/>
        <w:t>of age, or that provides child day care, early learning, or early learning childhood education services, including but not limited to public housing authorities, school districts, and educational service districts.</w:t>
      </w:r>
    </w:p>
    <w:p w:rsidR="00485507" w:rsidRDefault="00485507" w:rsidP="00485507">
      <w:pPr>
        <w:spacing w:line="408" w:lineRule="exact"/>
        <w:ind w:firstLine="576"/>
      </w:pPr>
      <w:r>
        <w:t>(4)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rsidR="00485507" w:rsidRDefault="00485507" w:rsidP="00485507">
      <w:pPr>
        <w:spacing w:line="408" w:lineRule="exact"/>
        <w:ind w:firstLine="576"/>
      </w:pPr>
      <w:r>
        <w:t>(5) "Client" or "resident" means a child, person with developmental disabilities, or vulnerable adult applying for housing assistance from a business or organization.</w:t>
      </w:r>
    </w:p>
    <w:p w:rsidR="00485507" w:rsidRDefault="00485507" w:rsidP="00485507">
      <w:pPr>
        <w:spacing w:line="408" w:lineRule="exact"/>
        <w:ind w:firstLine="576"/>
      </w:pPr>
      <w:r>
        <w:t>(6)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rsidR="00485507" w:rsidRDefault="00485507" w:rsidP="00485507">
      <w:pPr>
        <w:spacing w:line="408" w:lineRule="exact"/>
        <w:ind w:firstLine="576"/>
      </w:pPr>
      <w:r>
        <w:t xml:space="preserve">(7) "Crime against children or other persons" means a conviction of any of the following offenses: Aggravated murder; first or second degree murder; first or second degree kidnapping; first, second, or </w:t>
      </w:r>
      <w:r>
        <w:lastRenderedPageBreak/>
        <w:t>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rsidR="00485507" w:rsidRDefault="00485507" w:rsidP="00485507">
      <w:pPr>
        <w:spacing w:line="408" w:lineRule="exact"/>
        <w:ind w:firstLine="576"/>
      </w:pPr>
      <w:r>
        <w:t>(8) "Crimes relating to drugs" means a conviction of a crime to manufacture, delivery, or possession with intent to manufacture or deliver a controlled substance.</w:t>
      </w:r>
    </w:p>
    <w:p w:rsidR="00485507" w:rsidRDefault="00485507" w:rsidP="00485507">
      <w:pPr>
        <w:spacing w:line="408" w:lineRule="exact"/>
        <w:ind w:firstLine="576"/>
      </w:pPr>
      <w:r>
        <w:t>(9) "Crimes relating to financial exploitation" means a conviction for first, second, or third degree extortion; first, second, or third degree theft; first or second degree robbery; forgery; or any of these crimes as they may be renamed in the future.</w:t>
      </w:r>
    </w:p>
    <w:p w:rsidR="00485507" w:rsidRDefault="00485507" w:rsidP="00485507">
      <w:pPr>
        <w:spacing w:line="408" w:lineRule="exact"/>
        <w:ind w:firstLine="576"/>
      </w:pPr>
      <w:r>
        <w:t>(10) "Financial exploitation" means "financial exploitation" as defined in RCW 74.34.020.</w:t>
      </w:r>
    </w:p>
    <w:p w:rsidR="00485507" w:rsidRDefault="00485507" w:rsidP="00485507">
      <w:pPr>
        <w:spacing w:line="408" w:lineRule="exact"/>
        <w:ind w:firstLine="576"/>
      </w:pPr>
      <w:r>
        <w:t>(11) "Health care facility" means a nursing home licensed under chapter 18.51 RCW, ((</w:t>
      </w:r>
      <w:r>
        <w:rPr>
          <w:strike/>
        </w:rPr>
        <w:t>a [an]</w:t>
      </w:r>
      <w:r>
        <w:t xml:space="preserve">)) </w:t>
      </w:r>
      <w:r>
        <w:rPr>
          <w:u w:val="single"/>
        </w:rPr>
        <w:t>an</w:t>
      </w:r>
      <w:r>
        <w:t xml:space="preserve"> assisted living facility licensed under chapter 18.20 RCW, ((</w:t>
      </w:r>
      <w:r>
        <w:rPr>
          <w:strike/>
        </w:rPr>
        <w:t>or</w:t>
      </w:r>
      <w:r>
        <w:t xml:space="preserve">)) an adult family home licensed under </w:t>
      </w:r>
      <w:r>
        <w:lastRenderedPageBreak/>
        <w:t>chapter 70.128 RCW</w:t>
      </w:r>
      <w:r>
        <w:rPr>
          <w:u w:val="single"/>
        </w:rPr>
        <w:t>, or an enhanced services facility licensed under chapter 70.97 RCW</w:t>
      </w:r>
      <w:r>
        <w:t>.</w:t>
      </w:r>
    </w:p>
    <w:p w:rsidR="00485507" w:rsidRDefault="00485507" w:rsidP="00485507">
      <w:pPr>
        <w:spacing w:line="408" w:lineRule="exact"/>
        <w:ind w:firstLine="576"/>
      </w:pPr>
      <w:r>
        <w:t>(12)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rsidR="00485507" w:rsidRDefault="00485507" w:rsidP="00485507">
      <w:pPr>
        <w:spacing w:line="408" w:lineRule="exact"/>
        <w:ind w:firstLine="576"/>
      </w:pPr>
      <w:r>
        <w:t>(13) "Unsupervised" means not in the presence of:</w:t>
      </w:r>
    </w:p>
    <w:p w:rsidR="00485507" w:rsidRDefault="00485507" w:rsidP="00485507">
      <w:pPr>
        <w:spacing w:line="408" w:lineRule="exact"/>
        <w:ind w:firstLine="576"/>
      </w:pPr>
      <w:r>
        <w:t>(a) Another employee or volunteer from the same business or organization as the applicant; or</w:t>
      </w:r>
    </w:p>
    <w:p w:rsidR="00485507" w:rsidRDefault="00485507" w:rsidP="00485507">
      <w:pPr>
        <w:spacing w:line="408" w:lineRule="exact"/>
        <w:ind w:firstLine="576"/>
      </w:pPr>
      <w:r>
        <w:t>(b) Any relative or guardian of any of the children or developmentally disabled persons or vulnerable adults to which the applicant has access during the course of his or her employment or involvement with the business or organization.</w:t>
      </w:r>
    </w:p>
    <w:p w:rsidR="00485507" w:rsidRDefault="00485507" w:rsidP="00485507">
      <w:pPr>
        <w:spacing w:line="408" w:lineRule="exact"/>
        <w:ind w:firstLine="576"/>
      </w:pPr>
      <w:r>
        <w:t>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rsidR="00485507" w:rsidRDefault="00485507" w:rsidP="00485507">
      <w:pPr>
        <w:spacing w:line="408" w:lineRule="exact"/>
        <w:ind w:firstLine="576"/>
      </w:pPr>
      <w:r>
        <w:t>(14)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rsidR="00485507" w:rsidRDefault="00485507" w:rsidP="0048550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43.43.832 and 2017 3rd sp.s. c 20 s 5 and 2017 3rd sp.s. c 6 s 224 are each reenacted and amended to read as follows:</w:t>
      </w:r>
    </w:p>
    <w:p w:rsidR="00485507" w:rsidRDefault="00485507" w:rsidP="00485507">
      <w:pPr>
        <w:spacing w:line="408" w:lineRule="exact"/>
        <w:ind w:firstLine="576"/>
      </w:pPr>
      <w:r>
        <w:t>(1) The Washington state patrol identification and criminal history section shall disclose conviction records as follows:</w:t>
      </w:r>
    </w:p>
    <w:p w:rsidR="00485507" w:rsidRDefault="00485507" w:rsidP="00485507">
      <w:pPr>
        <w:spacing w:line="408" w:lineRule="exact"/>
        <w:ind w:firstLine="576"/>
      </w:pPr>
      <w:r>
        <w:lastRenderedPageBreak/>
        <w:t>(a) An applicant's conviction record, upon the request of a business or organization as defined in RCW 43.43.830, a developmentally disabled person, or a vulnerable adult as defined in RCW 43.43.830 or his or her guardian;</w:t>
      </w:r>
    </w:p>
    <w:p w:rsidR="00485507" w:rsidRDefault="00485507" w:rsidP="00485507">
      <w:pPr>
        <w:spacing w:line="408" w:lineRule="exact"/>
        <w:ind w:firstLine="576"/>
      </w:pPr>
      <w:r>
        <w:t>(b) The conviction record of an applicant for certification, upon the request of the Washington professional educator standards board;</w:t>
      </w:r>
    </w:p>
    <w:p w:rsidR="00485507" w:rsidRDefault="00485507" w:rsidP="00485507">
      <w:pPr>
        <w:spacing w:line="408" w:lineRule="exact"/>
        <w:ind w:firstLine="576"/>
      </w:pPr>
      <w:r>
        <w:t>(c)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rsidR="00485507" w:rsidRDefault="00485507" w:rsidP="00485507">
      <w:pPr>
        <w:spacing w:line="408" w:lineRule="exact"/>
        <w:ind w:firstLine="576"/>
      </w:pPr>
      <w:r>
        <w:t>(d)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rsidR="00485507" w:rsidRDefault="00485507" w:rsidP="00485507">
      <w:pPr>
        <w:spacing w:line="408" w:lineRule="exact"/>
        <w:ind w:firstLine="576"/>
      </w:pPr>
      <w:r>
        <w:t>(2)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rsidR="00485507" w:rsidRDefault="00485507" w:rsidP="00485507">
      <w:pPr>
        <w:spacing w:line="408" w:lineRule="exact"/>
        <w:ind w:firstLine="576"/>
      </w:pPr>
      <w: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w:t>
      </w:r>
      <w:r>
        <w:lastRenderedPageBreak/>
        <w:t>aged sixteen and older and the department of social and health services may require a criminal background check for persons who are younger than sixteen in situations where it may be warranted to ensure the safety of youth in foster care;</w:t>
      </w:r>
    </w:p>
    <w:p w:rsidR="00485507" w:rsidRDefault="00485507" w:rsidP="00485507">
      <w:pPr>
        <w:spacing w:line="408" w:lineRule="exact"/>
        <w:ind w:firstLine="576"/>
      </w:pPr>
      <w:r>
        <w:t>(b)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rsidR="00485507" w:rsidRDefault="00485507" w:rsidP="00485507">
      <w:pPr>
        <w:spacing w:line="408" w:lineRule="exact"/>
        <w:ind w:firstLine="576"/>
      </w:pPr>
      <w:r>
        <w:t>(c)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rsidR="00485507" w:rsidRDefault="00485507" w:rsidP="00485507">
      <w:pPr>
        <w:spacing w:line="408" w:lineRule="exact"/>
        <w:ind w:firstLine="576"/>
      </w:pPr>
      <w:r>
        <w:t>(d)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rsidR="00485507" w:rsidRDefault="00485507" w:rsidP="00485507">
      <w:pPr>
        <w:spacing w:line="408" w:lineRule="exact"/>
        <w:ind w:firstLine="576"/>
      </w:pPr>
      <w:r>
        <w:t>(e)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rsidR="00485507" w:rsidRDefault="00485507" w:rsidP="00485507">
      <w:pPr>
        <w:spacing w:line="408" w:lineRule="exact"/>
        <w:ind w:firstLine="576"/>
      </w:pPr>
      <w: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w:t>
      </w:r>
      <w:r>
        <w:lastRenderedPageBreak/>
        <w:t>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rsidR="00485507" w:rsidRDefault="00485507" w:rsidP="00485507">
      <w:pPr>
        <w:spacing w:line="408" w:lineRule="exact"/>
        <w:ind w:firstLine="576"/>
      </w:pPr>
      <w:r>
        <w:t>(4) The secretary of the department of children, youth, and families shall adopt rules and investigate conviction records, pending charges, and other information including civil adjudication proceeding records, in the following circumstances:</w:t>
      </w:r>
    </w:p>
    <w:p w:rsidR="00485507" w:rsidRDefault="00485507" w:rsidP="00485507">
      <w:pPr>
        <w:spacing w:line="408" w:lineRule="exact"/>
        <w:ind w:firstLine="576"/>
      </w:pPr>
      <w:r>
        <w:t>(a)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rsidR="00485507" w:rsidRDefault="00485507" w:rsidP="00485507">
      <w:pPr>
        <w:spacing w:line="408" w:lineRule="exact"/>
        <w:ind w:firstLine="576"/>
      </w:pPr>
      <w:r>
        <w:t>(b)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rsidR="00485507" w:rsidRDefault="00485507" w:rsidP="00485507">
      <w:pPr>
        <w:spacing w:line="408" w:lineRule="exact"/>
        <w:ind w:firstLine="576"/>
      </w:pPr>
      <w:r>
        <w:t>(c) When contracting with any business or organization for activities that will or may have unsupervised access to children who are in child day care, in early learning programs, or receiving early childhood learning education services;</w:t>
      </w:r>
    </w:p>
    <w:p w:rsidR="00485507" w:rsidRDefault="00485507" w:rsidP="00485507">
      <w:pPr>
        <w:spacing w:line="408" w:lineRule="exact"/>
        <w:ind w:firstLine="576"/>
      </w:pPr>
      <w:r>
        <w:t>(d) When establishing the eligibility criteria for individual providers to receive state paid subsidies to provide child day care or early learning services that will or may involve unsupervised access to children.</w:t>
      </w:r>
    </w:p>
    <w:p w:rsidR="00485507" w:rsidRDefault="00485507" w:rsidP="00485507">
      <w:pPr>
        <w:spacing w:line="408" w:lineRule="exact"/>
        <w:ind w:firstLine="576"/>
      </w:pPr>
      <w:r>
        <w:lastRenderedPageBreak/>
        <w:t>(5)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rsidR="00485507" w:rsidRDefault="00485507" w:rsidP="00485507">
      <w:pPr>
        <w:spacing w:line="408" w:lineRule="exact"/>
        <w:ind w:firstLine="576"/>
      </w:pPr>
      <w:r>
        <w:t>(6)(a) For purposes of facilitating timely access to criminal background information and to reasonably minimize the number of requests made under this section, recognizing that certain ((</w:t>
      </w:r>
      <w:r>
        <w:rPr>
          <w:strike/>
        </w:rPr>
        <w:t>health care</w:t>
      </w:r>
      <w:r>
        <w:t xml:space="preserve">)) providers </w:t>
      </w:r>
      <w:r>
        <w:rPr>
          <w:u w:val="single"/>
        </w:rPr>
        <w:t>have staff who</w:t>
      </w:r>
      <w:r>
        <w:t xml:space="preserve"> change employment frequently, ((</w:t>
      </w:r>
      <w:r>
        <w:rPr>
          <w:strike/>
        </w:rPr>
        <w:t>health care facilities</w:t>
      </w:r>
      <w:r>
        <w:t xml:space="preserve">)) </w:t>
      </w:r>
      <w:r>
        <w:rPr>
          <w:u w:val="single"/>
        </w:rPr>
        <w:t>the following types of providers</w:t>
      </w:r>
      <w:r>
        <w:t xml:space="preserve"> may((</w:t>
      </w:r>
      <w:r>
        <w:rPr>
          <w:strike/>
        </w:rPr>
        <w:t>, upon request from another health care facility,</w:t>
      </w:r>
      <w:r>
        <w:t>)) share copies of completed criminal background inquiry information</w:t>
      </w:r>
      <w:r>
        <w:rPr>
          <w:u w:val="single"/>
        </w:rPr>
        <w:t>: Health care facilities as defined in RCW 43.43.830, in-home services agencies as defined in chapter 70.127 RCW, community residential service businesses as defined in RCW 74.39A.009, and consumer directed employers as defined in RCW 74.39A.009</w:t>
      </w:r>
      <w:r>
        <w:t>.</w:t>
      </w:r>
    </w:p>
    <w:p w:rsidR="00485507" w:rsidRDefault="00485507" w:rsidP="00485507">
      <w:pPr>
        <w:spacing w:line="408" w:lineRule="exact"/>
        <w:ind w:firstLine="576"/>
      </w:pPr>
      <w:r>
        <w:t>(b) Completed criminal background inquiry information may be shared by a willing ((</w:t>
      </w:r>
      <w:r>
        <w:rPr>
          <w:strike/>
        </w:rPr>
        <w:t>health care facility</w:t>
      </w:r>
      <w:r>
        <w:t xml:space="preserve">)) </w:t>
      </w:r>
      <w:r>
        <w:rPr>
          <w:u w:val="single"/>
        </w:rPr>
        <w:t>provider listed in (a) of this subsection</w:t>
      </w:r>
      <w:r>
        <w:t xml:space="preserve"> only if the following conditions are satisfied: The ((</w:t>
      </w:r>
      <w:r>
        <w:rPr>
          <w:strike/>
        </w:rPr>
        <w:t>licensed health care facility</w:t>
      </w:r>
      <w:r>
        <w:t xml:space="preserve">)) </w:t>
      </w:r>
      <w:r>
        <w:rPr>
          <w:u w:val="single"/>
        </w:rPr>
        <w:t>provider</w:t>
      </w:r>
      <w:r>
        <w:t xml:space="preserve"> sharing the criminal background inquiry information is reasonably known to be the person's most recent employer, no more than twelve months has elapsed from the date the person was last employed ((</w:t>
      </w:r>
      <w:r>
        <w:rPr>
          <w:strike/>
        </w:rPr>
        <w:t>at a licensed health care facility</w:t>
      </w:r>
      <w:r>
        <w:t xml:space="preserve">)) </w:t>
      </w:r>
      <w:r>
        <w:rPr>
          <w:u w:val="single"/>
        </w:rPr>
        <w:t>by the provider</w:t>
      </w:r>
      <w:r>
        <w:t xml:space="preserve"> to the date of their current employment application, and the criminal background information is no more than two years old.</w:t>
      </w:r>
    </w:p>
    <w:p w:rsidR="00485507" w:rsidRDefault="00485507" w:rsidP="00485507">
      <w:pPr>
        <w:spacing w:line="408" w:lineRule="exact"/>
        <w:ind w:firstLine="576"/>
      </w:pPr>
      <w:r>
        <w:t>(c) If criminal background inquiry information is shared, the ((</w:t>
      </w:r>
      <w:r>
        <w:rPr>
          <w:strike/>
        </w:rPr>
        <w:t>health care facility</w:t>
      </w:r>
      <w:r>
        <w:t xml:space="preserve">)) </w:t>
      </w:r>
      <w:r>
        <w:rPr>
          <w:u w:val="single"/>
        </w:rPr>
        <w:t>provider</w:t>
      </w:r>
      <w:r>
        <w:t xml:space="preserve"> employing the subject of the </w:t>
      </w:r>
      <w:r>
        <w:lastRenderedPageBreak/>
        <w:t>inquiry must require the applicant to sign a disclosure statement indicating that there has been no conviction or finding as described in RCW 43.43.842 since the completion date of the most recent criminal background inquiry.</w:t>
      </w:r>
    </w:p>
    <w:p w:rsidR="00485507" w:rsidRDefault="00485507" w:rsidP="00485507">
      <w:pPr>
        <w:spacing w:line="408" w:lineRule="exact"/>
        <w:ind w:firstLine="576"/>
      </w:pPr>
      <w:r>
        <w:t>(d) Any ((</w:t>
      </w:r>
      <w:r>
        <w:rPr>
          <w:strike/>
        </w:rPr>
        <w:t>health care facility</w:t>
      </w:r>
      <w:r>
        <w:t xml:space="preserve">)) </w:t>
      </w:r>
      <w:r>
        <w:rPr>
          <w:u w:val="single"/>
        </w:rPr>
        <w:t>provider</w:t>
      </w:r>
      <w:r>
        <w:t xml:space="preserve"> that knows or has reason to believe that an applicant has or may have a </w:t>
      </w:r>
      <w:bookmarkStart w:id="0" w:name="_GoBack"/>
      <w:bookmarkEnd w:id="0"/>
      <w:r>
        <w:t>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rsidR="00485507" w:rsidRDefault="00485507" w:rsidP="00485507">
      <w:pPr>
        <w:spacing w:line="408" w:lineRule="exact"/>
        <w:ind w:firstLine="576"/>
      </w:pPr>
      <w:r>
        <w:t>(e) ((</w:t>
      </w:r>
      <w:r>
        <w:rPr>
          <w:strike/>
        </w:rPr>
        <w:t>Health care facilities</w:t>
      </w:r>
      <w:r>
        <w:t xml:space="preserve">)) </w:t>
      </w:r>
      <w:r>
        <w:rPr>
          <w:u w:val="single"/>
        </w:rPr>
        <w:t>Providers</w:t>
      </w:r>
      <w:r>
        <w:t xml:space="preserve"> that share criminal background inquiry information shall be immune from any claim of defamation, invasion of privacy, negligence, or any other claim in connection with any dissemination of this information in accordance with this subsection.</w:t>
      </w:r>
    </w:p>
    <w:p w:rsidR="00485507" w:rsidRDefault="00485507" w:rsidP="00485507">
      <w:pPr>
        <w:spacing w:line="408" w:lineRule="exact"/>
        <w:ind w:firstLine="576"/>
      </w:pPr>
      <w:r>
        <w:t>(f) ((</w:t>
      </w:r>
      <w:r>
        <w:rPr>
          <w:strike/>
        </w:rPr>
        <w:t>Health care facilities</w:t>
      </w:r>
      <w:r>
        <w:t xml:space="preserve">)) </w:t>
      </w:r>
      <w:r>
        <w:rPr>
          <w:u w:val="single"/>
        </w:rPr>
        <w:t>Providers</w:t>
      </w:r>
      <w:r>
        <w:t xml:space="preserve"> shall transmit and receive the criminal background inquiry information in a manner that reasonably protects the subject's rights to privacy and confidentiality.</w:t>
      </w:r>
    </w:p>
    <w:p w:rsidR="00485507" w:rsidRDefault="00485507" w:rsidP="00485507">
      <w:pPr>
        <w:spacing w:line="408" w:lineRule="exact"/>
        <w:ind w:firstLine="576"/>
      </w:pPr>
      <w:r>
        <w:rPr>
          <w:u w:val="single"/>
        </w:rPr>
        <w:t>(7) To the extent of available funds and if feasible, the department of social and health services may develop and maintain a background check database. A business or organization required to complete background checks for long-term care workers under RCW 74.39A.056 may satisfy that requirement by using the background check results database, if available, in accordance with rules adopted by the department of social and health services.</w:t>
      </w:r>
    </w:p>
    <w:p w:rsidR="008603A5" w:rsidRDefault="008603A5"/>
    <w:sectPr w:rsidR="008603A5">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07" w:rsidRDefault="00485507" w:rsidP="00485507">
      <w:r>
        <w:separator/>
      </w:r>
    </w:p>
  </w:endnote>
  <w:endnote w:type="continuationSeparator" w:id="0">
    <w:p w:rsidR="00485507" w:rsidRDefault="00485507" w:rsidP="0048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07" w:rsidRDefault="00485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485507">
    <w:pPr>
      <w:tabs>
        <w:tab w:val="center" w:pos="4968"/>
        <w:tab w:val="right" w:pos="9936"/>
      </w:tabs>
    </w:pPr>
    <w:r>
      <w:tab/>
    </w:r>
    <w:r>
      <w:fldChar w:fldCharType="begin"/>
    </w:r>
    <w:r>
      <w:instrText xml:space="preserve"> PAGE  \* Arabic  \* MERGEFORMAT </w:instrText>
    </w:r>
    <w:r>
      <w:fldChar w:fldCharType="separate"/>
    </w:r>
    <w:r>
      <w:rPr>
        <w:noProof/>
      </w:rPr>
      <w:t>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07" w:rsidRDefault="0048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07" w:rsidRDefault="00485507" w:rsidP="00485507">
      <w:r>
        <w:separator/>
      </w:r>
    </w:p>
  </w:footnote>
  <w:footnote w:type="continuationSeparator" w:id="0">
    <w:p w:rsidR="00485507" w:rsidRDefault="00485507" w:rsidP="0048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07" w:rsidRDefault="00485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769972"/>
      <w:docPartObj>
        <w:docPartGallery w:val="Watermarks"/>
        <w:docPartUnique/>
      </w:docPartObj>
    </w:sdtPr>
    <w:sdtContent>
      <w:p w:rsidR="00485507" w:rsidRDefault="004855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07" w:rsidRDefault="00485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07"/>
    <w:rsid w:val="00485507"/>
    <w:rsid w:val="0086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00D01"/>
  <w15:chartTrackingRefBased/>
  <w15:docId w15:val="{DC20543B-07F0-4D06-B0F4-74FA1AB8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5507"/>
    <w:pPr>
      <w:spacing w:after="0" w:line="240" w:lineRule="auto"/>
    </w:pPr>
    <w:rPr>
      <w:rFonts w:ascii="Courier New" w:eastAsiaTheme="minorEastAsia"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07"/>
    <w:pPr>
      <w:tabs>
        <w:tab w:val="center" w:pos="4680"/>
        <w:tab w:val="right" w:pos="9360"/>
      </w:tabs>
    </w:pPr>
  </w:style>
  <w:style w:type="character" w:customStyle="1" w:styleId="HeaderChar">
    <w:name w:val="Header Char"/>
    <w:basedOn w:val="DefaultParagraphFont"/>
    <w:link w:val="Header"/>
    <w:uiPriority w:val="99"/>
    <w:rsid w:val="00485507"/>
    <w:rPr>
      <w:rFonts w:ascii="Courier New" w:eastAsiaTheme="minorEastAsia" w:hAnsi="Courier New"/>
      <w:sz w:val="24"/>
    </w:rPr>
  </w:style>
  <w:style w:type="paragraph" w:styleId="Footer">
    <w:name w:val="footer"/>
    <w:basedOn w:val="Normal"/>
    <w:link w:val="FooterChar"/>
    <w:uiPriority w:val="99"/>
    <w:unhideWhenUsed/>
    <w:rsid w:val="00485507"/>
    <w:pPr>
      <w:tabs>
        <w:tab w:val="center" w:pos="4680"/>
        <w:tab w:val="right" w:pos="9360"/>
      </w:tabs>
    </w:pPr>
  </w:style>
  <w:style w:type="character" w:customStyle="1" w:styleId="FooterChar">
    <w:name w:val="Footer Char"/>
    <w:basedOn w:val="DefaultParagraphFont"/>
    <w:link w:val="Footer"/>
    <w:uiPriority w:val="99"/>
    <w:rsid w:val="00485507"/>
    <w:rPr>
      <w:rFonts w:ascii="Courier New" w:eastAsiaTheme="minorEastAsia"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488A-6144-45B5-A49C-3A848E5A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Parada-Estrada, Luisa A (DSHS/DDA)</dc:creator>
  <cp:keywords/>
  <dc:description/>
  <cp:lastModifiedBy>Parada-Estrada, Luisa A (DSHS/DDA)</cp:lastModifiedBy>
  <cp:revision>1</cp:revision>
  <dcterms:created xsi:type="dcterms:W3CDTF">2018-08-24T16:48:00Z</dcterms:created>
  <dcterms:modified xsi:type="dcterms:W3CDTF">2018-08-24T16:49:00Z</dcterms:modified>
</cp:coreProperties>
</file>