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after="0"/>
        <w:rPr>
          <w:rFonts w:ascii="Times New Roman"/>
          <w:sz w:val="20"/>
        </w:rPr>
        <w:sectPr>
          <w:type w:val="continuous"/>
          <w:pgSz w:w="12240" w:h="15840"/>
          <w:pgMar w:top="1500" w:bottom="280" w:left="880" w:right="720"/>
        </w:sectPr>
      </w:pPr>
    </w:p>
    <w:p>
      <w:pPr>
        <w:pStyle w:val="BodyText"/>
        <w:rPr>
          <w:rFonts w:ascii="Times New Roman"/>
          <w:sz w:val="28"/>
        </w:rPr>
      </w:pPr>
      <w:r>
        <w:rPr/>
        <w:pict>
          <v:shapetype id="_x0000_t202" o:spt="202" coordsize="21600,21600" path="m,l,21600r21600,l21600,xe">
            <v:stroke joinstyle="miter"/>
            <v:path gradientshapeok="t" o:connecttype="rect"/>
          </v:shapetype>
          <v:shape style="position:absolute;margin-left:23.879999pt;margin-top:37.012764pt;width:501pt;height:727.9pt;mso-position-horizontal-relative:page;mso-position-vertical-relative:page;z-index:-253418496" type="#_x0000_t202" filled="false" stroked="false">
            <v:textbox inset="0,0,0,0">
              <w:txbxContent>
                <w:p>
                  <w:pPr>
                    <w:spacing w:line="235" w:lineRule="exact" w:before="0"/>
                    <w:ind w:left="1262" w:right="0" w:firstLine="0"/>
                    <w:jc w:val="left"/>
                    <w:rPr>
                      <w:rFonts w:ascii="Footlight MT Light"/>
                      <w:b w:val="0"/>
                      <w:sz w:val="24"/>
                    </w:rPr>
                  </w:pPr>
                  <w:r>
                    <w:rPr>
                      <w:rFonts w:ascii="Footlight MT Light"/>
                      <w:b w:val="0"/>
                      <w:sz w:val="24"/>
                    </w:rPr>
                    <w:t>Washington State ~ Department of Social and Health Service ~ Division of Child</w:t>
                  </w:r>
                  <w:r>
                    <w:rPr>
                      <w:rFonts w:ascii="Footlight MT Light"/>
                      <w:b w:val="0"/>
                      <w:spacing w:val="-39"/>
                      <w:sz w:val="24"/>
                    </w:rPr>
                    <w:t> </w:t>
                  </w:r>
                  <w:r>
                    <w:rPr>
                      <w:rFonts w:ascii="Footlight MT Light"/>
                      <w:b w:val="0"/>
                      <w:sz w:val="24"/>
                    </w:rPr>
                    <w:t>Support</w:t>
                  </w: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rPr>
                      <w:rFonts w:ascii="Footlight MT Light"/>
                      <w:b w:val="0"/>
                      <w:sz w:val="24"/>
                    </w:rPr>
                  </w:pPr>
                </w:p>
                <w:p>
                  <w:pPr>
                    <w:pStyle w:val="BodyText"/>
                    <w:spacing w:before="6"/>
                    <w:rPr>
                      <w:rFonts w:ascii="Footlight MT Light"/>
                      <w:b w:val="0"/>
                      <w:sz w:val="29"/>
                    </w:rPr>
                  </w:pPr>
                </w:p>
                <w:p>
                  <w:pPr>
                    <w:spacing w:before="0"/>
                    <w:ind w:left="0" w:right="0" w:firstLine="0"/>
                    <w:jc w:val="left"/>
                    <w:rPr>
                      <w:rFonts w:ascii="Cambria"/>
                      <w:sz w:val="28"/>
                    </w:rPr>
                  </w:pPr>
                  <w:r>
                    <w:rPr>
                      <w:rFonts w:ascii="Cambria"/>
                      <w:w w:val="100"/>
                      <w:sz w:val="28"/>
                    </w:rPr>
                    <w:t>1</w:t>
                  </w:r>
                </w:p>
              </w:txbxContent>
            </v:textbox>
            <w10:wrap type="none"/>
          </v:shape>
        </w:pict>
      </w:r>
      <w:r>
        <w:rPr/>
        <w:pict>
          <v:group style="position:absolute;margin-left:2.500100pt;margin-top:5.5001pt;width:607.75pt;height:781.75pt;mso-position-horizontal-relative:page;mso-position-vertical-relative:page;z-index:-253417472" coordorigin="50,110" coordsize="12155,15635">
            <v:shape style="position:absolute;left:50;top:110;width:12155;height:15635" coordorigin="50,110" coordsize="12155,15635" path="m12105,210l150,210,150,15645,12105,15645,12105,210m12205,110l12138,110,12138,177,12138,15678,117,15678,117,177,12138,177,12138,110,50,110,50,15745,12205,15745,12205,15678,12205,177,12205,110e" filled="true" fillcolor="#9bba58" stroked="false">
              <v:path arrowok="t"/>
              <v:fill type="solid"/>
            </v:shape>
            <v:shape style="position:absolute;left:748;top:832;width:10759;height:14191" coordorigin="748,832" coordsize="10759,14191" path="m11507,9060l748,9060,748,15023,11507,15023,11507,9060m11507,832l748,832,748,6802,11507,6802,11507,832e" filled="true" fillcolor="#ffffff" stroked="false">
              <v:path arrowok="t"/>
              <v:fill type="solid"/>
            </v:shape>
            <v:shape style="position:absolute;left:8470;top:12120;width:2250;height:2260" type="#_x0000_t75" alt="fern " stroked="false">
              <v:imagedata r:id="rId5" o:title=""/>
            </v:shape>
            <v:shape style="position:absolute;left:1650;top:2167;width:2160;height:3240" type="#_x0000_t75" alt="eastern wa. " stroked="false">
              <v:imagedata r:id="rId6" o:title=""/>
            </v:shape>
            <v:shape style="position:absolute;left:5230;top:10620;width:2230;height:3180" type="#_x0000_t75" alt="sase " stroked="false">
              <v:imagedata r:id="rId7" o:title=""/>
            </v:shape>
            <v:shape style="position:absolute;left:1650;top:9680;width:2410;height:2060" type="#_x0000_t75" alt="first_beach_la_push_t0400 " stroked="false">
              <v:imagedata r:id="rId8" o:title=""/>
            </v:shape>
            <v:shape style="position:absolute;left:2110;top:12120;width:1435;height:2600" type="#_x0000_t75" alt="apple " stroked="false">
              <v:imagedata r:id="rId9" o:title=""/>
            </v:shape>
            <v:shape style="position:absolute;left:8690;top:9840;width:1750;height:1740" type="#_x0000_t75" alt="rody " stroked="false">
              <v:imagedata r:id="rId10" o:title=""/>
            </v:shape>
            <v:shape style="position:absolute;left:5219;top:4297;width:2865;height:1961" type="#_x0000_t75" alt="ferry " stroked="false">
              <v:imagedata r:id="rId11" o:title=""/>
            </v:shape>
            <v:shape style="position:absolute;left:8114;top:1838;width:2631;height:2696" type="#_x0000_t75" alt="DSHS logo " stroked="false">
              <v:imagedata r:id="rId12" o:title=""/>
            </v:shape>
            <v:rect style="position:absolute;left:633;top:6802;width:11004;height:2258" filled="true" fillcolor="#a4a4a4" stroked="false">
              <v:fill opacity="58854f" type="solid"/>
            </v:rect>
            <v:rect style="position:absolute;left:633;top:6801;width:2518;height:2204" filled="true" fillcolor="#000000" stroked="false">
              <v:fill type="solid"/>
            </v:rect>
            <w10:wrap type="none"/>
          </v:group>
        </w:pict>
      </w:r>
    </w:p>
    <w:p>
      <w:pPr>
        <w:pStyle w:val="BodyText"/>
        <w:rPr>
          <w:rFonts w:ascii="Times New Roman"/>
          <w:sz w:val="28"/>
        </w:rPr>
      </w:pPr>
    </w:p>
    <w:p>
      <w:pPr>
        <w:pStyle w:val="BodyText"/>
        <w:spacing w:before="5"/>
        <w:rPr>
          <w:rFonts w:ascii="Times New Roman"/>
          <w:sz w:val="36"/>
        </w:rPr>
      </w:pPr>
    </w:p>
    <w:p>
      <w:pPr>
        <w:spacing w:before="0"/>
        <w:ind w:left="113" w:right="0" w:firstLine="0"/>
        <w:jc w:val="left"/>
        <w:rPr>
          <w:rFonts w:ascii="Arial Narrow"/>
          <w:sz w:val="24"/>
        </w:rPr>
      </w:pPr>
      <w:r>
        <w:rPr>
          <w:rFonts w:ascii="Arial Narrow"/>
          <w:color w:val="FFFFFF"/>
          <w:sz w:val="24"/>
        </w:rPr>
        <w:t>O</w:t>
      </w:r>
      <w:r>
        <w:rPr>
          <w:rFonts w:ascii="Arial Narrow"/>
          <w:color w:val="FFFFFF"/>
          <w:sz w:val="19"/>
        </w:rPr>
        <w:t>CTOBER </w:t>
      </w:r>
      <w:r>
        <w:rPr>
          <w:rFonts w:ascii="Arial Narrow"/>
          <w:color w:val="FFFFFF"/>
          <w:sz w:val="24"/>
        </w:rPr>
        <w:t>1, 2008 -</w:t>
      </w:r>
    </w:p>
    <w:p>
      <w:pPr>
        <w:spacing w:before="1"/>
        <w:ind w:left="113" w:right="0" w:firstLine="0"/>
        <w:jc w:val="left"/>
        <w:rPr>
          <w:rFonts w:ascii="Arial Narrow"/>
          <w:sz w:val="24"/>
        </w:rPr>
      </w:pPr>
      <w:r>
        <w:rPr>
          <w:rFonts w:ascii="Arial Narrow"/>
          <w:color w:val="FFFFFF"/>
          <w:sz w:val="24"/>
        </w:rPr>
        <w:t>S</w:t>
      </w:r>
      <w:r>
        <w:rPr>
          <w:rFonts w:ascii="Arial Narrow"/>
          <w:color w:val="FFFFFF"/>
          <w:sz w:val="19"/>
        </w:rPr>
        <w:t>EPTEMBER </w:t>
      </w:r>
      <w:r>
        <w:rPr>
          <w:rFonts w:ascii="Arial Narrow"/>
          <w:color w:val="FFFFFF"/>
          <w:sz w:val="24"/>
        </w:rPr>
        <w:t>30, 2009</w:t>
      </w:r>
    </w:p>
    <w:p>
      <w:pPr>
        <w:spacing w:before="241"/>
        <w:ind w:left="113" w:right="3465" w:firstLine="0"/>
        <w:jc w:val="left"/>
        <w:rPr>
          <w:rFonts w:ascii="Arial Narrow"/>
          <w:sz w:val="38"/>
        </w:rPr>
      </w:pPr>
      <w:r>
        <w:rPr/>
        <w:br w:type="column"/>
      </w:r>
      <w:r>
        <w:rPr>
          <w:rFonts w:ascii="Arial Narrow"/>
          <w:color w:val="FFFFFF"/>
          <w:sz w:val="48"/>
        </w:rPr>
        <w:t>S</w:t>
      </w:r>
      <w:r>
        <w:rPr>
          <w:rFonts w:ascii="Arial Narrow"/>
          <w:color w:val="FFFFFF"/>
          <w:sz w:val="38"/>
        </w:rPr>
        <w:t>ELF</w:t>
      </w:r>
      <w:r>
        <w:rPr>
          <w:rFonts w:ascii="Arial Narrow"/>
          <w:color w:val="FFFFFF"/>
          <w:sz w:val="48"/>
        </w:rPr>
        <w:t>-A</w:t>
      </w:r>
      <w:r>
        <w:rPr>
          <w:rFonts w:ascii="Arial Narrow"/>
          <w:color w:val="FFFFFF"/>
          <w:sz w:val="38"/>
        </w:rPr>
        <w:t>SSESSMENT </w:t>
      </w:r>
      <w:r>
        <w:rPr>
          <w:rFonts w:ascii="Arial Narrow"/>
          <w:color w:val="FFFFFF"/>
          <w:sz w:val="48"/>
        </w:rPr>
        <w:t>R</w:t>
      </w:r>
      <w:r>
        <w:rPr>
          <w:rFonts w:ascii="Arial Narrow"/>
          <w:color w:val="FFFFFF"/>
          <w:sz w:val="38"/>
        </w:rPr>
        <w:t>EVIEW </w:t>
      </w:r>
      <w:r>
        <w:rPr>
          <w:rFonts w:ascii="Arial Narrow"/>
          <w:color w:val="FFFFFF"/>
          <w:sz w:val="48"/>
        </w:rPr>
        <w:t>S</w:t>
      </w:r>
      <w:r>
        <w:rPr>
          <w:rFonts w:ascii="Arial Narrow"/>
          <w:color w:val="FFFFFF"/>
          <w:sz w:val="38"/>
        </w:rPr>
        <w:t>TATEWIDE </w:t>
      </w:r>
      <w:r>
        <w:rPr>
          <w:rFonts w:ascii="Arial Narrow"/>
          <w:color w:val="FFFFFF"/>
          <w:sz w:val="48"/>
        </w:rPr>
        <w:t>A</w:t>
      </w:r>
      <w:r>
        <w:rPr>
          <w:rFonts w:ascii="Arial Narrow"/>
          <w:color w:val="FFFFFF"/>
          <w:sz w:val="38"/>
        </w:rPr>
        <w:t>NALYSIS </w:t>
      </w:r>
      <w:r>
        <w:rPr>
          <w:rFonts w:ascii="Arial Narrow"/>
          <w:color w:val="FFFFFF"/>
          <w:sz w:val="48"/>
        </w:rPr>
        <w:t>F</w:t>
      </w:r>
      <w:r>
        <w:rPr>
          <w:rFonts w:ascii="Arial Narrow"/>
          <w:color w:val="FFFFFF"/>
          <w:sz w:val="38"/>
        </w:rPr>
        <w:t>EDERAL </w:t>
      </w:r>
      <w:r>
        <w:rPr>
          <w:rFonts w:ascii="Arial Narrow"/>
          <w:color w:val="FFFFFF"/>
          <w:sz w:val="48"/>
        </w:rPr>
        <w:t>R</w:t>
      </w:r>
      <w:r>
        <w:rPr>
          <w:rFonts w:ascii="Arial Narrow"/>
          <w:color w:val="FFFFFF"/>
          <w:sz w:val="38"/>
        </w:rPr>
        <w:t>EPORT</w:t>
      </w:r>
    </w:p>
    <w:p>
      <w:pPr>
        <w:spacing w:before="1"/>
        <w:ind w:left="113" w:right="0" w:firstLine="0"/>
        <w:jc w:val="left"/>
        <w:rPr>
          <w:rFonts w:ascii="Arial Narrow"/>
          <w:sz w:val="38"/>
        </w:rPr>
      </w:pPr>
      <w:r>
        <w:rPr>
          <w:rFonts w:ascii="Arial Narrow"/>
          <w:color w:val="FFFFFF"/>
          <w:sz w:val="48"/>
        </w:rPr>
        <w:t>W</w:t>
      </w:r>
      <w:r>
        <w:rPr>
          <w:rFonts w:ascii="Arial Narrow"/>
          <w:color w:val="FFFFFF"/>
          <w:sz w:val="38"/>
        </w:rPr>
        <w:t>ASHINGTON </w:t>
      </w:r>
      <w:r>
        <w:rPr>
          <w:rFonts w:ascii="Arial Narrow"/>
          <w:color w:val="FFFFFF"/>
          <w:sz w:val="48"/>
        </w:rPr>
        <w:t>D</w:t>
      </w:r>
      <w:r>
        <w:rPr>
          <w:rFonts w:ascii="Arial Narrow"/>
          <w:color w:val="FFFFFF"/>
          <w:sz w:val="38"/>
        </w:rPr>
        <w:t>IVISION OF </w:t>
      </w:r>
      <w:r>
        <w:rPr>
          <w:rFonts w:ascii="Arial Narrow"/>
          <w:color w:val="FFFFFF"/>
          <w:sz w:val="48"/>
        </w:rPr>
        <w:t>C</w:t>
      </w:r>
      <w:r>
        <w:rPr>
          <w:rFonts w:ascii="Arial Narrow"/>
          <w:color w:val="FFFFFF"/>
          <w:sz w:val="38"/>
        </w:rPr>
        <w:t>HILD </w:t>
      </w:r>
      <w:r>
        <w:rPr>
          <w:rFonts w:ascii="Arial Narrow"/>
          <w:color w:val="FFFFFF"/>
          <w:sz w:val="48"/>
        </w:rPr>
        <w:t>S</w:t>
      </w:r>
      <w:r>
        <w:rPr>
          <w:rFonts w:ascii="Arial Narrow"/>
          <w:color w:val="FFFFFF"/>
          <w:sz w:val="38"/>
        </w:rPr>
        <w:t>UPPORT</w:t>
      </w:r>
    </w:p>
    <w:p>
      <w:pPr>
        <w:spacing w:after="0"/>
        <w:jc w:val="left"/>
        <w:rPr>
          <w:rFonts w:ascii="Arial Narrow"/>
          <w:sz w:val="38"/>
        </w:rPr>
        <w:sectPr>
          <w:type w:val="continuous"/>
          <w:pgSz w:w="12240" w:h="15840"/>
          <w:pgMar w:top="1500" w:bottom="280" w:left="880" w:right="720"/>
          <w:cols w:num="2" w:equalWidth="0">
            <w:col w:w="1941" w:space="576"/>
            <w:col w:w="8123"/>
          </w:cols>
        </w:sectPr>
      </w:pPr>
    </w:p>
    <w:p>
      <w:pPr>
        <w:pStyle w:val="Heading2"/>
        <w:numPr>
          <w:ilvl w:val="0"/>
          <w:numId w:val="1"/>
        </w:numPr>
        <w:tabs>
          <w:tab w:pos="1169" w:val="left" w:leader="none"/>
          <w:tab w:pos="1170" w:val="left" w:leader="none"/>
        </w:tabs>
        <w:spacing w:line="240" w:lineRule="auto" w:before="82" w:after="0"/>
        <w:ind w:left="1169" w:right="0" w:hanging="610"/>
        <w:jc w:val="left"/>
      </w:pPr>
      <w:bookmarkStart w:name="I.      Executive Summary" w:id="1"/>
      <w:bookmarkEnd w:id="1"/>
      <w:r>
        <w:rPr>
          <w:b w:val="0"/>
        </w:rPr>
      </w:r>
      <w:bookmarkStart w:name="I.      Executive Summary" w:id="2"/>
      <w:bookmarkEnd w:id="2"/>
      <w:r>
        <w:rPr/>
        <w:t>Exe</w:t>
      </w:r>
      <w:r>
        <w:rPr/>
        <w:t>cutive</w:t>
      </w:r>
      <w:r>
        <w:rPr>
          <w:spacing w:val="-2"/>
        </w:rPr>
        <w:t> </w:t>
      </w:r>
      <w:r>
        <w:rPr/>
        <w:t>Summary</w:t>
      </w:r>
    </w:p>
    <w:p>
      <w:pPr>
        <w:pStyle w:val="BodyText"/>
        <w:rPr>
          <w:b/>
          <w:sz w:val="32"/>
        </w:rPr>
      </w:pPr>
    </w:p>
    <w:p>
      <w:pPr>
        <w:pStyle w:val="Heading3"/>
        <w:numPr>
          <w:ilvl w:val="0"/>
          <w:numId w:val="2"/>
        </w:numPr>
        <w:tabs>
          <w:tab w:pos="916" w:val="left" w:leader="none"/>
        </w:tabs>
        <w:spacing w:line="240" w:lineRule="auto" w:before="0" w:after="0"/>
        <w:ind w:left="915" w:right="0" w:hanging="356"/>
        <w:jc w:val="left"/>
      </w:pPr>
      <w:bookmarkStart w:name="A. Introduction" w:id="3"/>
      <w:bookmarkEnd w:id="3"/>
      <w:r>
        <w:rPr>
          <w:b w:val="0"/>
        </w:rPr>
      </w:r>
      <w:bookmarkStart w:name="A. Introduction" w:id="4"/>
      <w:bookmarkEnd w:id="4"/>
      <w:r>
        <w:rPr/>
        <w:t>I</w:t>
      </w:r>
      <w:r>
        <w:rPr/>
        <w:t>ntroduction</w:t>
      </w:r>
    </w:p>
    <w:p>
      <w:pPr>
        <w:pStyle w:val="BodyText"/>
        <w:spacing w:before="4"/>
        <w:rPr>
          <w:b/>
          <w:sz w:val="28"/>
        </w:rPr>
      </w:pPr>
    </w:p>
    <w:p>
      <w:pPr>
        <w:pStyle w:val="BodyText"/>
        <w:ind w:left="559" w:right="812"/>
      </w:pPr>
      <w:r>
        <w:rPr/>
        <w:t>The Personal Responsibility and Work Opportunity Reconciliation Act of 1996 (PRWORA) requires states to develop a self-assessment process and submit an annual report detailing compliance in eight program areas:</w:t>
      </w:r>
    </w:p>
    <w:p>
      <w:pPr>
        <w:pStyle w:val="ListParagraph"/>
        <w:numPr>
          <w:ilvl w:val="1"/>
          <w:numId w:val="2"/>
        </w:numPr>
        <w:tabs>
          <w:tab w:pos="1561" w:val="left" w:leader="none"/>
          <w:tab w:pos="4159" w:val="left" w:leader="none"/>
        </w:tabs>
        <w:spacing w:line="240" w:lineRule="auto" w:before="180" w:after="0"/>
        <w:ind w:left="1560" w:right="0" w:hanging="214"/>
        <w:jc w:val="left"/>
        <w:rPr>
          <w:sz w:val="24"/>
        </w:rPr>
      </w:pPr>
      <w:r>
        <w:rPr>
          <w:sz w:val="24"/>
        </w:rPr>
        <w:t>Case</w:t>
      </w:r>
      <w:r>
        <w:rPr>
          <w:spacing w:val="-1"/>
          <w:sz w:val="24"/>
        </w:rPr>
        <w:t> </w:t>
      </w:r>
      <w:r>
        <w:rPr>
          <w:sz w:val="24"/>
        </w:rPr>
        <w:t>Closure</w:t>
        <w:tab/>
        <w:t>-</w:t>
      </w:r>
      <w:r>
        <w:rPr>
          <w:spacing w:val="-1"/>
          <w:sz w:val="24"/>
        </w:rPr>
        <w:t> </w:t>
      </w:r>
      <w:r>
        <w:rPr>
          <w:sz w:val="24"/>
        </w:rPr>
        <w:t>Medical</w:t>
      </w:r>
    </w:p>
    <w:p>
      <w:pPr>
        <w:pStyle w:val="ListParagraph"/>
        <w:numPr>
          <w:ilvl w:val="1"/>
          <w:numId w:val="2"/>
        </w:numPr>
        <w:tabs>
          <w:tab w:pos="1561" w:val="left" w:leader="none"/>
          <w:tab w:pos="4159" w:val="left" w:leader="none"/>
        </w:tabs>
        <w:spacing w:line="240" w:lineRule="auto" w:before="0" w:after="0"/>
        <w:ind w:left="1560" w:right="0" w:hanging="214"/>
        <w:jc w:val="left"/>
        <w:rPr>
          <w:sz w:val="24"/>
        </w:rPr>
      </w:pPr>
      <w:r>
        <w:rPr>
          <w:sz w:val="24"/>
        </w:rPr>
        <w:t>Establishment</w:t>
        <w:tab/>
        <w:t>- Review and</w:t>
      </w:r>
      <w:r>
        <w:rPr>
          <w:spacing w:val="-4"/>
          <w:sz w:val="24"/>
        </w:rPr>
        <w:t> </w:t>
      </w:r>
      <w:r>
        <w:rPr>
          <w:sz w:val="24"/>
        </w:rPr>
        <w:t>Adjustment</w:t>
      </w:r>
    </w:p>
    <w:p>
      <w:pPr>
        <w:pStyle w:val="ListParagraph"/>
        <w:numPr>
          <w:ilvl w:val="1"/>
          <w:numId w:val="2"/>
        </w:numPr>
        <w:tabs>
          <w:tab w:pos="1561" w:val="left" w:leader="none"/>
          <w:tab w:pos="4159" w:val="left" w:leader="none"/>
        </w:tabs>
        <w:spacing w:line="240" w:lineRule="auto" w:before="0" w:after="0"/>
        <w:ind w:left="1560" w:right="0" w:hanging="214"/>
        <w:jc w:val="left"/>
        <w:rPr>
          <w:sz w:val="24"/>
        </w:rPr>
      </w:pPr>
      <w:r>
        <w:rPr>
          <w:sz w:val="24"/>
        </w:rPr>
        <w:t>Enforcement</w:t>
        <w:tab/>
        <w:t>-</w:t>
      </w:r>
      <w:r>
        <w:rPr>
          <w:spacing w:val="-2"/>
          <w:sz w:val="24"/>
        </w:rPr>
        <w:t> </w:t>
      </w:r>
      <w:r>
        <w:rPr>
          <w:sz w:val="24"/>
        </w:rPr>
        <w:t>Interstate</w:t>
      </w:r>
    </w:p>
    <w:p>
      <w:pPr>
        <w:pStyle w:val="ListParagraph"/>
        <w:numPr>
          <w:ilvl w:val="1"/>
          <w:numId w:val="2"/>
        </w:numPr>
        <w:tabs>
          <w:tab w:pos="1561" w:val="left" w:leader="none"/>
          <w:tab w:pos="4159" w:val="left" w:leader="none"/>
        </w:tabs>
        <w:spacing w:line="240" w:lineRule="auto" w:before="0" w:after="0"/>
        <w:ind w:left="1560" w:right="0" w:hanging="214"/>
        <w:jc w:val="left"/>
        <w:rPr>
          <w:sz w:val="24"/>
        </w:rPr>
      </w:pPr>
      <w:r>
        <w:rPr>
          <w:sz w:val="24"/>
        </w:rPr>
        <w:t>Disbursement</w:t>
        <w:tab/>
        <w:t>- Expedited Process (6-month and</w:t>
      </w:r>
      <w:r>
        <w:rPr>
          <w:spacing w:val="-5"/>
          <w:sz w:val="24"/>
        </w:rPr>
        <w:t> </w:t>
      </w:r>
      <w:r>
        <w:rPr>
          <w:sz w:val="24"/>
        </w:rPr>
        <w:t>12-month)</w:t>
      </w:r>
    </w:p>
    <w:p>
      <w:pPr>
        <w:pStyle w:val="BodyText"/>
        <w:spacing w:before="188"/>
        <w:ind w:left="560" w:right="709"/>
      </w:pPr>
      <w:r>
        <w:rPr/>
        <w:t>Federal regulations require that each state meet a minimum compliance standard of 75 percent for each of these programs, with the exception of the expedited process (12-month) and case closure. These two program areas must meet a minimum compliance standard of 90 percent. The program compliance graph below shows Washington’s program compliance levels compared with the corresponding minimum compliance benchmarks.</w:t>
      </w:r>
    </w:p>
    <w:p>
      <w:pPr>
        <w:pStyle w:val="BodyText"/>
        <w:rPr>
          <w:sz w:val="20"/>
        </w:rPr>
      </w:pPr>
    </w:p>
    <w:p>
      <w:pPr>
        <w:pStyle w:val="BodyText"/>
        <w:rPr>
          <w:sz w:val="20"/>
        </w:rPr>
      </w:pPr>
    </w:p>
    <w:p>
      <w:pPr>
        <w:pStyle w:val="BodyText"/>
        <w:spacing w:before="1"/>
        <w:rPr>
          <w:sz w:val="22"/>
        </w:rPr>
      </w:pPr>
    </w:p>
    <w:p>
      <w:pPr>
        <w:spacing w:before="31"/>
        <w:ind w:left="74" w:right="234" w:firstLine="0"/>
        <w:jc w:val="center"/>
        <w:rPr>
          <w:rFonts w:ascii="Calibri"/>
          <w:b/>
          <w:sz w:val="34"/>
        </w:rPr>
      </w:pPr>
      <w:r>
        <w:rPr/>
        <w:pict>
          <v:group style="position:absolute;margin-left:90.149498pt;margin-top:19.099072pt;width:439.25pt;height:160.7pt;mso-position-horizontal-relative:page;mso-position-vertical-relative:paragraph;z-index:-253393920" coordorigin="1803,382" coordsize="8785,3214">
            <v:shape style="position:absolute;left:2016;top:676;width:8024;height:2863" coordorigin="2016,676" coordsize="8024,2863" path="m2244,904l2016,904,2016,3539,2244,3539,2244,904m3218,705l2990,705,2990,3539,3218,3539,3218,705m4193,904l3965,904,3965,3539,4193,3539,4193,904m5167,705l4939,705,4939,3539,5167,3539,5167,705m6142,818l5914,818,5914,3539,6142,3539,6142,818m7116,734l6888,734,6888,3539,7116,3539,7116,734m8090,875l7862,875,7862,3539,8090,3539,8090,875m9065,991l8837,991,8837,3539,9065,3539,9065,991m10039,676l9811,676,9811,3539,10039,3539,10039,676e" filled="true" fillcolor="#606060" stroked="false">
              <v:path arrowok="t"/>
              <v:fill type="solid"/>
            </v:shape>
            <v:shape style="position:absolute;left:2352;top:961;width:8024;height:2577" coordorigin="2352,962" coordsize="8024,2577" path="m2580,962l2352,962,2352,3539,2580,3539,2580,962m3554,1391l3326,1391,3326,3539,3554,3539,3554,1391m4529,1391l4301,1391,4301,3539,4529,3539,4529,1391m5503,1391l5275,1391,5275,3539,5503,3539,5503,1391m6478,1391l6250,1391,6250,3539,6478,3539,6478,1391m7452,1391l7224,1391,7224,3539,7452,3539,7452,1391m8426,1391l8198,1391,8198,3539,8426,3539,8426,1391m9401,1391l9173,1391,9173,3539,9401,3539,9401,1391m10375,962l10147,962,10147,3539,10375,3539,10375,962e" filled="true" fillcolor="#b3b3b3" stroked="false">
              <v:path arrowok="t"/>
              <v:fill type="solid"/>
            </v:shape>
            <v:shape style="position:absolute;left:0;top:8142;width:8770;height:58" coordorigin="0,8143" coordsize="8770,58" path="m1810,3539l10580,3539m1810,3539l1810,3596m2784,3539l2784,3596m3758,3539l3758,3596m4733,3539l4733,3596m5707,3539l5707,3596m6682,3539l6682,3596m7656,3539l7656,3596m8630,3539l8630,3596m9605,3539l9605,3596m10580,3539l10580,3596e" filled="false" stroked="true" strokeweight=".75pt" strokecolor="#858585">
              <v:path arrowok="t"/>
              <v:stroke dashstyle="solid"/>
            </v:shape>
            <v:shape style="position:absolute;left:2931;top:410;width:364;height:200" type="#_x0000_t202" filled="false" stroked="false">
              <v:textbox inset="0,0,0,0">
                <w:txbxContent>
                  <w:p>
                    <w:pPr>
                      <w:spacing w:line="199" w:lineRule="exact" w:before="0"/>
                      <w:ind w:left="0" w:right="0" w:firstLine="0"/>
                      <w:jc w:val="left"/>
                      <w:rPr>
                        <w:rFonts w:ascii="Calibri"/>
                        <w:sz w:val="20"/>
                      </w:rPr>
                    </w:pPr>
                    <w:r>
                      <w:rPr>
                        <w:rFonts w:ascii="Calibri"/>
                        <w:sz w:val="20"/>
                      </w:rPr>
                      <w:t>99%</w:t>
                    </w:r>
                  </w:p>
                </w:txbxContent>
              </v:textbox>
              <w10:wrap type="none"/>
            </v:shape>
            <v:shape style="position:absolute;left:4880;top:410;width:364;height:200" type="#_x0000_t202" filled="false" stroked="false">
              <v:textbox inset="0,0,0,0">
                <w:txbxContent>
                  <w:p>
                    <w:pPr>
                      <w:spacing w:line="199" w:lineRule="exact" w:before="0"/>
                      <w:ind w:left="0" w:right="0" w:firstLine="0"/>
                      <w:jc w:val="left"/>
                      <w:rPr>
                        <w:rFonts w:ascii="Calibri"/>
                        <w:sz w:val="20"/>
                      </w:rPr>
                    </w:pPr>
                    <w:r>
                      <w:rPr>
                        <w:rFonts w:ascii="Calibri"/>
                        <w:sz w:val="20"/>
                      </w:rPr>
                      <w:t>99%</w:t>
                    </w:r>
                  </w:p>
                </w:txbxContent>
              </v:textbox>
              <w10:wrap type="none"/>
            </v:shape>
            <v:shape style="position:absolute;left:6829;top:439;width:364;height:200" type="#_x0000_t202" filled="false" stroked="false">
              <v:textbox inset="0,0,0,0">
                <w:txbxContent>
                  <w:p>
                    <w:pPr>
                      <w:spacing w:line="199" w:lineRule="exact" w:before="0"/>
                      <w:ind w:left="0" w:right="0" w:firstLine="0"/>
                      <w:jc w:val="left"/>
                      <w:rPr>
                        <w:rFonts w:ascii="Calibri"/>
                        <w:sz w:val="20"/>
                      </w:rPr>
                    </w:pPr>
                    <w:r>
                      <w:rPr>
                        <w:rFonts w:ascii="Calibri"/>
                        <w:sz w:val="20"/>
                      </w:rPr>
                      <w:t>98%</w:t>
                    </w:r>
                  </w:p>
                </w:txbxContent>
              </v:textbox>
              <w10:wrap type="none"/>
            </v:shape>
            <v:shape style="position:absolute;left:1956;top:610;width:701;height:257" type="#_x0000_t202" filled="false" stroked="false">
              <v:textbox inset="0,0,0,0">
                <w:txbxContent>
                  <w:p>
                    <w:pPr>
                      <w:spacing w:line="187" w:lineRule="auto" w:before="0"/>
                      <w:ind w:left="0" w:right="0" w:firstLine="0"/>
                      <w:jc w:val="left"/>
                      <w:rPr>
                        <w:rFonts w:ascii="Calibri"/>
                        <w:sz w:val="20"/>
                      </w:rPr>
                    </w:pPr>
                    <w:r>
                      <w:rPr>
                        <w:rFonts w:ascii="Calibri"/>
                        <w:sz w:val="20"/>
                      </w:rPr>
                      <w:t>92%</w:t>
                    </w:r>
                    <w:r>
                      <w:rPr>
                        <w:rFonts w:ascii="Calibri"/>
                        <w:position w:val="-5"/>
                        <w:sz w:val="20"/>
                      </w:rPr>
                      <w:t>90%</w:t>
                    </w:r>
                  </w:p>
                </w:txbxContent>
              </v:textbox>
              <w10:wrap type="none"/>
            </v:shape>
            <v:shape style="position:absolute;left:3905;top:610;width:364;height:200" type="#_x0000_t202" filled="false" stroked="false">
              <v:textbox inset="0,0,0,0">
                <w:txbxContent>
                  <w:p>
                    <w:pPr>
                      <w:spacing w:line="199" w:lineRule="exact" w:before="0"/>
                      <w:ind w:left="0" w:right="0" w:firstLine="0"/>
                      <w:jc w:val="left"/>
                      <w:rPr>
                        <w:rFonts w:ascii="Calibri"/>
                        <w:sz w:val="20"/>
                      </w:rPr>
                    </w:pPr>
                    <w:r>
                      <w:rPr>
                        <w:rFonts w:ascii="Calibri"/>
                        <w:sz w:val="20"/>
                      </w:rPr>
                      <w:t>92%</w:t>
                    </w:r>
                  </w:p>
                </w:txbxContent>
              </v:textbox>
              <w10:wrap type="none"/>
            </v:shape>
            <v:shape style="position:absolute;left:5854;top:525;width:364;height:200" type="#_x0000_t202" filled="false" stroked="false">
              <v:textbox inset="0,0,0,0">
                <w:txbxContent>
                  <w:p>
                    <w:pPr>
                      <w:spacing w:line="199" w:lineRule="exact" w:before="0"/>
                      <w:ind w:left="0" w:right="0" w:firstLine="0"/>
                      <w:jc w:val="left"/>
                      <w:rPr>
                        <w:rFonts w:ascii="Calibri"/>
                        <w:sz w:val="20"/>
                      </w:rPr>
                    </w:pPr>
                    <w:r>
                      <w:rPr>
                        <w:rFonts w:ascii="Calibri"/>
                        <w:sz w:val="20"/>
                      </w:rPr>
                      <w:t>95%</w:t>
                    </w:r>
                  </w:p>
                </w:txbxContent>
              </v:textbox>
              <w10:wrap type="none"/>
            </v:shape>
            <v:shape style="position:absolute;left:7803;top:582;width:364;height:200" type="#_x0000_t202" filled="false" stroked="false">
              <v:textbox inset="0,0,0,0">
                <w:txbxContent>
                  <w:p>
                    <w:pPr>
                      <w:spacing w:line="199" w:lineRule="exact" w:before="0"/>
                      <w:ind w:left="0" w:right="0" w:firstLine="0"/>
                      <w:jc w:val="left"/>
                      <w:rPr>
                        <w:rFonts w:ascii="Calibri"/>
                        <w:sz w:val="20"/>
                      </w:rPr>
                    </w:pPr>
                    <w:r>
                      <w:rPr>
                        <w:rFonts w:ascii="Calibri"/>
                        <w:sz w:val="20"/>
                      </w:rPr>
                      <w:t>93%</w:t>
                    </w:r>
                  </w:p>
                </w:txbxContent>
              </v:textbox>
              <w10:wrap type="none"/>
            </v:shape>
            <v:shape style="position:absolute;left:8778;top:696;width:364;height:200" type="#_x0000_t202" filled="false" stroked="false">
              <v:textbox inset="0,0,0,0">
                <w:txbxContent>
                  <w:p>
                    <w:pPr>
                      <w:spacing w:line="199" w:lineRule="exact" w:before="0"/>
                      <w:ind w:left="0" w:right="0" w:firstLine="0"/>
                      <w:jc w:val="left"/>
                      <w:rPr>
                        <w:rFonts w:ascii="Calibri"/>
                        <w:sz w:val="20"/>
                      </w:rPr>
                    </w:pPr>
                    <w:r>
                      <w:rPr>
                        <w:rFonts w:ascii="Calibri"/>
                        <w:sz w:val="20"/>
                      </w:rPr>
                      <w:t>89%</w:t>
                    </w:r>
                  </w:p>
                </w:txbxContent>
              </v:textbox>
              <w10:wrap type="none"/>
            </v:shape>
            <v:shape style="position:absolute;left:9702;top:381;width:751;height:486" type="#_x0000_t202" filled="false" stroked="false">
              <v:textbox inset="0,0,0,0">
                <w:txbxContent>
                  <w:p>
                    <w:pPr>
                      <w:spacing w:line="203" w:lineRule="exact" w:before="0"/>
                      <w:ind w:left="0" w:right="0" w:firstLine="0"/>
                      <w:jc w:val="left"/>
                      <w:rPr>
                        <w:rFonts w:ascii="Calibri"/>
                        <w:sz w:val="20"/>
                      </w:rPr>
                    </w:pPr>
                    <w:r>
                      <w:rPr>
                        <w:rFonts w:ascii="Calibri"/>
                        <w:sz w:val="20"/>
                      </w:rPr>
                      <w:t>100%</w:t>
                    </w:r>
                  </w:p>
                  <w:p>
                    <w:pPr>
                      <w:spacing w:line="240" w:lineRule="exact" w:before="42"/>
                      <w:ind w:left="387" w:right="0" w:firstLine="0"/>
                      <w:jc w:val="left"/>
                      <w:rPr>
                        <w:rFonts w:ascii="Calibri"/>
                        <w:sz w:val="20"/>
                      </w:rPr>
                    </w:pPr>
                    <w:r>
                      <w:rPr>
                        <w:rFonts w:ascii="Calibri"/>
                        <w:sz w:val="20"/>
                      </w:rPr>
                      <w:t>90%</w:t>
                    </w:r>
                  </w:p>
                </w:txbxContent>
              </v:textbox>
              <w10:wrap type="none"/>
            </v:shape>
            <v:shape style="position:absolute;left:3268;top:1097;width:364;height:200" type="#_x0000_t202" filled="false" stroked="false">
              <v:textbox inset="0,0,0,0">
                <w:txbxContent>
                  <w:p>
                    <w:pPr>
                      <w:spacing w:line="199" w:lineRule="exact" w:before="0"/>
                      <w:ind w:left="0" w:right="0" w:firstLine="0"/>
                      <w:jc w:val="left"/>
                      <w:rPr>
                        <w:rFonts w:ascii="Calibri"/>
                        <w:sz w:val="20"/>
                      </w:rPr>
                    </w:pPr>
                    <w:r>
                      <w:rPr>
                        <w:rFonts w:ascii="Calibri"/>
                        <w:sz w:val="20"/>
                      </w:rPr>
                      <w:t>75%</w:t>
                    </w:r>
                  </w:p>
                </w:txbxContent>
              </v:textbox>
              <w10:wrap type="none"/>
            </v:shape>
            <v:shape style="position:absolute;left:4242;top:1097;width:364;height:200" type="#_x0000_t202" filled="false" stroked="false">
              <v:textbox inset="0,0,0,0">
                <w:txbxContent>
                  <w:p>
                    <w:pPr>
                      <w:spacing w:line="199" w:lineRule="exact" w:before="0"/>
                      <w:ind w:left="0" w:right="0" w:firstLine="0"/>
                      <w:jc w:val="left"/>
                      <w:rPr>
                        <w:rFonts w:ascii="Calibri"/>
                        <w:sz w:val="20"/>
                      </w:rPr>
                    </w:pPr>
                    <w:r>
                      <w:rPr>
                        <w:rFonts w:ascii="Calibri"/>
                        <w:sz w:val="20"/>
                      </w:rPr>
                      <w:t>75%</w:t>
                    </w:r>
                  </w:p>
                </w:txbxContent>
              </v:textbox>
              <w10:wrap type="none"/>
            </v:shape>
            <v:shape style="position:absolute;left:5217;top:1097;width:364;height:200" type="#_x0000_t202" filled="false" stroked="false">
              <v:textbox inset="0,0,0,0">
                <w:txbxContent>
                  <w:p>
                    <w:pPr>
                      <w:spacing w:line="199" w:lineRule="exact" w:before="0"/>
                      <w:ind w:left="0" w:right="0" w:firstLine="0"/>
                      <w:jc w:val="left"/>
                      <w:rPr>
                        <w:rFonts w:ascii="Calibri"/>
                        <w:sz w:val="20"/>
                      </w:rPr>
                    </w:pPr>
                    <w:r>
                      <w:rPr>
                        <w:rFonts w:ascii="Calibri"/>
                        <w:sz w:val="20"/>
                      </w:rPr>
                      <w:t>75%</w:t>
                    </w:r>
                  </w:p>
                </w:txbxContent>
              </v:textbox>
              <w10:wrap type="none"/>
            </v:shape>
            <v:shape style="position:absolute;left:6191;top:1097;width:364;height:200" type="#_x0000_t202" filled="false" stroked="false">
              <v:textbox inset="0,0,0,0">
                <w:txbxContent>
                  <w:p>
                    <w:pPr>
                      <w:spacing w:line="199" w:lineRule="exact" w:before="0"/>
                      <w:ind w:left="0" w:right="0" w:firstLine="0"/>
                      <w:jc w:val="left"/>
                      <w:rPr>
                        <w:rFonts w:ascii="Calibri"/>
                        <w:sz w:val="20"/>
                      </w:rPr>
                    </w:pPr>
                    <w:r>
                      <w:rPr>
                        <w:rFonts w:ascii="Calibri"/>
                        <w:sz w:val="20"/>
                      </w:rPr>
                      <w:t>75%</w:t>
                    </w:r>
                  </w:p>
                </w:txbxContent>
              </v:textbox>
              <w10:wrap type="none"/>
            </v:shape>
            <v:shape style="position:absolute;left:7165;top:1097;width:364;height:200" type="#_x0000_t202" filled="false" stroked="false">
              <v:textbox inset="0,0,0,0">
                <w:txbxContent>
                  <w:p>
                    <w:pPr>
                      <w:spacing w:line="199" w:lineRule="exact" w:before="0"/>
                      <w:ind w:left="0" w:right="0" w:firstLine="0"/>
                      <w:jc w:val="left"/>
                      <w:rPr>
                        <w:rFonts w:ascii="Calibri"/>
                        <w:sz w:val="20"/>
                      </w:rPr>
                    </w:pPr>
                    <w:r>
                      <w:rPr>
                        <w:rFonts w:ascii="Calibri"/>
                        <w:sz w:val="20"/>
                      </w:rPr>
                      <w:t>75%</w:t>
                    </w:r>
                  </w:p>
                </w:txbxContent>
              </v:textbox>
              <w10:wrap type="none"/>
            </v:shape>
            <v:shape style="position:absolute;left:8140;top:1097;width:364;height:200" type="#_x0000_t202" filled="false" stroked="false">
              <v:textbox inset="0,0,0,0">
                <w:txbxContent>
                  <w:p>
                    <w:pPr>
                      <w:spacing w:line="199" w:lineRule="exact" w:before="0"/>
                      <w:ind w:left="0" w:right="0" w:firstLine="0"/>
                      <w:jc w:val="left"/>
                      <w:rPr>
                        <w:rFonts w:ascii="Calibri"/>
                        <w:sz w:val="20"/>
                      </w:rPr>
                    </w:pPr>
                    <w:r>
                      <w:rPr>
                        <w:rFonts w:ascii="Calibri"/>
                        <w:sz w:val="20"/>
                      </w:rPr>
                      <w:t>75%</w:t>
                    </w:r>
                  </w:p>
                </w:txbxContent>
              </v:textbox>
              <w10:wrap type="none"/>
            </v:shape>
            <v:shape style="position:absolute;left:9114;top:1097;width:364;height:200" type="#_x0000_t202" filled="false" stroked="false">
              <v:textbox inset="0,0,0,0">
                <w:txbxContent>
                  <w:p>
                    <w:pPr>
                      <w:spacing w:line="199" w:lineRule="exact" w:before="0"/>
                      <w:ind w:left="0" w:right="0" w:firstLine="0"/>
                      <w:jc w:val="left"/>
                      <w:rPr>
                        <w:rFonts w:ascii="Calibri"/>
                        <w:sz w:val="20"/>
                      </w:rPr>
                    </w:pPr>
                    <w:r>
                      <w:rPr>
                        <w:rFonts w:ascii="Calibri"/>
                        <w:sz w:val="20"/>
                      </w:rPr>
                      <w:t>75%</w:t>
                    </w:r>
                  </w:p>
                </w:txbxContent>
              </v:textbox>
              <w10:wrap type="none"/>
            </v:shape>
            <w10:wrap type="none"/>
          </v:group>
        </w:pict>
      </w:r>
      <w:r>
        <w:rPr>
          <w:rFonts w:ascii="Calibri"/>
          <w:b/>
          <w:sz w:val="34"/>
        </w:rPr>
        <w:t>FFY 2009 Self-Assessment Program Compliance</w:t>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2"/>
        <w:rPr>
          <w:rFonts w:ascii="Calibri"/>
          <w:b/>
          <w:sz w:val="23"/>
        </w:rPr>
      </w:pPr>
      <w:r>
        <w:rPr/>
        <w:drawing>
          <wp:anchor distT="0" distB="0" distL="0" distR="0" allowOverlap="1" layoutInCell="1" locked="0" behindDoc="0" simplePos="0" relativeHeight="2">
            <wp:simplePos x="0" y="0"/>
            <wp:positionH relativeFrom="page">
              <wp:posOffset>1032635</wp:posOffset>
            </wp:positionH>
            <wp:positionV relativeFrom="paragraph">
              <wp:posOffset>226867</wp:posOffset>
            </wp:positionV>
            <wp:extent cx="444779" cy="428625"/>
            <wp:effectExtent l="0" t="0" r="0" b="0"/>
            <wp:wrapTopAndBottom/>
            <wp:docPr id="1" name="image9.png"/>
            <wp:cNvGraphicFramePr>
              <a:graphicFrameLocks noChangeAspect="1"/>
            </wp:cNvGraphicFramePr>
            <a:graphic>
              <a:graphicData uri="http://schemas.openxmlformats.org/drawingml/2006/picture">
                <pic:pic>
                  <pic:nvPicPr>
                    <pic:cNvPr id="2" name="image9.png"/>
                    <pic:cNvPicPr/>
                  </pic:nvPicPr>
                  <pic:blipFill>
                    <a:blip r:embed="rId15" cstate="print"/>
                    <a:stretch>
                      <a:fillRect/>
                    </a:stretch>
                  </pic:blipFill>
                  <pic:spPr>
                    <a:xfrm>
                      <a:off x="0" y="0"/>
                      <a:ext cx="444779" cy="428625"/>
                    </a:xfrm>
                    <a:prstGeom prst="rect">
                      <a:avLst/>
                    </a:prstGeom>
                  </pic:spPr>
                </pic:pic>
              </a:graphicData>
            </a:graphic>
          </wp:anchor>
        </w:drawing>
      </w:r>
      <w:r>
        <w:rPr/>
        <w:drawing>
          <wp:anchor distT="0" distB="0" distL="0" distR="0" allowOverlap="1" layoutInCell="1" locked="0" behindDoc="0" simplePos="0" relativeHeight="3">
            <wp:simplePos x="0" y="0"/>
            <wp:positionH relativeFrom="page">
              <wp:posOffset>1597105</wp:posOffset>
            </wp:positionH>
            <wp:positionV relativeFrom="paragraph">
              <wp:posOffset>219020</wp:posOffset>
            </wp:positionV>
            <wp:extent cx="503919" cy="490537"/>
            <wp:effectExtent l="0" t="0" r="0" b="0"/>
            <wp:wrapTopAndBottom/>
            <wp:docPr id="3" name="image10.png"/>
            <wp:cNvGraphicFramePr>
              <a:graphicFrameLocks noChangeAspect="1"/>
            </wp:cNvGraphicFramePr>
            <a:graphic>
              <a:graphicData uri="http://schemas.openxmlformats.org/drawingml/2006/picture">
                <pic:pic>
                  <pic:nvPicPr>
                    <pic:cNvPr id="4" name="image10.png"/>
                    <pic:cNvPicPr/>
                  </pic:nvPicPr>
                  <pic:blipFill>
                    <a:blip r:embed="rId16" cstate="print"/>
                    <a:stretch>
                      <a:fillRect/>
                    </a:stretch>
                  </pic:blipFill>
                  <pic:spPr>
                    <a:xfrm>
                      <a:off x="0" y="0"/>
                      <a:ext cx="503919" cy="490537"/>
                    </a:xfrm>
                    <a:prstGeom prst="rect">
                      <a:avLst/>
                    </a:prstGeom>
                  </pic:spPr>
                </pic:pic>
              </a:graphicData>
            </a:graphic>
          </wp:anchor>
        </w:drawing>
      </w:r>
      <w:r>
        <w:rPr/>
        <w:drawing>
          <wp:anchor distT="0" distB="0" distL="0" distR="0" allowOverlap="1" layoutInCell="1" locked="0" behindDoc="0" simplePos="0" relativeHeight="4">
            <wp:simplePos x="0" y="0"/>
            <wp:positionH relativeFrom="page">
              <wp:posOffset>2254545</wp:posOffset>
            </wp:positionH>
            <wp:positionV relativeFrom="paragraph">
              <wp:posOffset>219687</wp:posOffset>
            </wp:positionV>
            <wp:extent cx="461521" cy="447675"/>
            <wp:effectExtent l="0" t="0" r="0" b="0"/>
            <wp:wrapTopAndBottom/>
            <wp:docPr id="5" name="image11.png"/>
            <wp:cNvGraphicFramePr>
              <a:graphicFrameLocks noChangeAspect="1"/>
            </wp:cNvGraphicFramePr>
            <a:graphic>
              <a:graphicData uri="http://schemas.openxmlformats.org/drawingml/2006/picture">
                <pic:pic>
                  <pic:nvPicPr>
                    <pic:cNvPr id="6" name="image11.png"/>
                    <pic:cNvPicPr/>
                  </pic:nvPicPr>
                  <pic:blipFill>
                    <a:blip r:embed="rId17" cstate="print"/>
                    <a:stretch>
                      <a:fillRect/>
                    </a:stretch>
                  </pic:blipFill>
                  <pic:spPr>
                    <a:xfrm>
                      <a:off x="0" y="0"/>
                      <a:ext cx="461521" cy="447675"/>
                    </a:xfrm>
                    <a:prstGeom prst="rect">
                      <a:avLst/>
                    </a:prstGeom>
                  </pic:spPr>
                </pic:pic>
              </a:graphicData>
            </a:graphic>
          </wp:anchor>
        </w:drawing>
      </w:r>
      <w:r>
        <w:rPr/>
        <w:drawing>
          <wp:anchor distT="0" distB="0" distL="0" distR="0" allowOverlap="1" layoutInCell="1" locked="0" behindDoc="0" simplePos="0" relativeHeight="5">
            <wp:simplePos x="0" y="0"/>
            <wp:positionH relativeFrom="page">
              <wp:posOffset>2840233</wp:posOffset>
            </wp:positionH>
            <wp:positionV relativeFrom="paragraph">
              <wp:posOffset>218449</wp:posOffset>
            </wp:positionV>
            <wp:extent cx="498860" cy="485775"/>
            <wp:effectExtent l="0" t="0" r="0" b="0"/>
            <wp:wrapTopAndBottom/>
            <wp:docPr id="7" name="image12.png"/>
            <wp:cNvGraphicFramePr>
              <a:graphicFrameLocks noChangeAspect="1"/>
            </wp:cNvGraphicFramePr>
            <a:graphic>
              <a:graphicData uri="http://schemas.openxmlformats.org/drawingml/2006/picture">
                <pic:pic>
                  <pic:nvPicPr>
                    <pic:cNvPr id="8" name="image12.png"/>
                    <pic:cNvPicPr/>
                  </pic:nvPicPr>
                  <pic:blipFill>
                    <a:blip r:embed="rId18" cstate="print"/>
                    <a:stretch>
                      <a:fillRect/>
                    </a:stretch>
                  </pic:blipFill>
                  <pic:spPr>
                    <a:xfrm>
                      <a:off x="0" y="0"/>
                      <a:ext cx="498860" cy="485775"/>
                    </a:xfrm>
                    <a:prstGeom prst="rect">
                      <a:avLst/>
                    </a:prstGeom>
                  </pic:spPr>
                </pic:pic>
              </a:graphicData>
            </a:graphic>
          </wp:anchor>
        </w:drawing>
      </w:r>
      <w:r>
        <w:rPr/>
        <w:drawing>
          <wp:anchor distT="0" distB="0" distL="0" distR="0" allowOverlap="1" layoutInCell="1" locked="0" behindDoc="0" simplePos="0" relativeHeight="6">
            <wp:simplePos x="0" y="0"/>
            <wp:positionH relativeFrom="page">
              <wp:posOffset>3656591</wp:posOffset>
            </wp:positionH>
            <wp:positionV relativeFrom="paragraph">
              <wp:posOffset>204628</wp:posOffset>
            </wp:positionV>
            <wp:extent cx="905993" cy="742092"/>
            <wp:effectExtent l="0" t="0" r="0" b="0"/>
            <wp:wrapTopAndBottom/>
            <wp:docPr id="9" name="image13.png"/>
            <wp:cNvGraphicFramePr>
              <a:graphicFrameLocks noChangeAspect="1"/>
            </wp:cNvGraphicFramePr>
            <a:graphic>
              <a:graphicData uri="http://schemas.openxmlformats.org/drawingml/2006/picture">
                <pic:pic>
                  <pic:nvPicPr>
                    <pic:cNvPr id="10" name="image13.png"/>
                    <pic:cNvPicPr/>
                  </pic:nvPicPr>
                  <pic:blipFill>
                    <a:blip r:embed="rId19" cstate="print"/>
                    <a:stretch>
                      <a:fillRect/>
                    </a:stretch>
                  </pic:blipFill>
                  <pic:spPr>
                    <a:xfrm>
                      <a:off x="0" y="0"/>
                      <a:ext cx="905993" cy="742092"/>
                    </a:xfrm>
                    <a:prstGeom prst="rect">
                      <a:avLst/>
                    </a:prstGeom>
                  </pic:spPr>
                </pic:pic>
              </a:graphicData>
            </a:graphic>
          </wp:anchor>
        </w:drawing>
      </w:r>
      <w:r>
        <w:rPr/>
        <w:drawing>
          <wp:anchor distT="0" distB="0" distL="0" distR="0" allowOverlap="1" layoutInCell="1" locked="0" behindDoc="0" simplePos="0" relativeHeight="7">
            <wp:simplePos x="0" y="0"/>
            <wp:positionH relativeFrom="page">
              <wp:posOffset>4831905</wp:posOffset>
            </wp:positionH>
            <wp:positionV relativeFrom="paragraph">
              <wp:posOffset>222872</wp:posOffset>
            </wp:positionV>
            <wp:extent cx="1601181" cy="666750"/>
            <wp:effectExtent l="0" t="0" r="0" b="0"/>
            <wp:wrapTopAndBottom/>
            <wp:docPr id="11" name="image14.png"/>
            <wp:cNvGraphicFramePr>
              <a:graphicFrameLocks noChangeAspect="1"/>
            </wp:cNvGraphicFramePr>
            <a:graphic>
              <a:graphicData uri="http://schemas.openxmlformats.org/drawingml/2006/picture">
                <pic:pic>
                  <pic:nvPicPr>
                    <pic:cNvPr id="12" name="image14.png"/>
                    <pic:cNvPicPr/>
                  </pic:nvPicPr>
                  <pic:blipFill>
                    <a:blip r:embed="rId20" cstate="print"/>
                    <a:stretch>
                      <a:fillRect/>
                    </a:stretch>
                  </pic:blipFill>
                  <pic:spPr>
                    <a:xfrm>
                      <a:off x="0" y="0"/>
                      <a:ext cx="1601181" cy="666750"/>
                    </a:xfrm>
                    <a:prstGeom prst="rect">
                      <a:avLst/>
                    </a:prstGeom>
                  </pic:spPr>
                </pic:pic>
              </a:graphicData>
            </a:graphic>
          </wp:anchor>
        </w:drawing>
      </w:r>
    </w:p>
    <w:p>
      <w:pPr>
        <w:spacing w:after="0"/>
        <w:rPr>
          <w:rFonts w:ascii="Calibri"/>
          <w:sz w:val="23"/>
        </w:rPr>
        <w:sectPr>
          <w:headerReference w:type="default" r:id="rId13"/>
          <w:footerReference w:type="default" r:id="rId14"/>
          <w:pgSz w:w="12240" w:h="15840"/>
          <w:pgMar w:header="718" w:footer="1038" w:top="1340" w:bottom="1220" w:left="880" w:right="720"/>
          <w:pgNumType w:start="2"/>
        </w:sectPr>
      </w:pPr>
    </w:p>
    <w:p>
      <w:pPr>
        <w:pStyle w:val="BodyText"/>
        <w:spacing w:before="86"/>
        <w:ind w:left="559" w:right="841"/>
      </w:pPr>
      <w:r>
        <w:rPr/>
        <w:t>In last year’s review, Federal Fiscal Year (FFY) 2008, Washington exceeded the required compliance standards in all program areas. In FFY09, Washington again exceeded the compliance benchmark in all eight program areas.</w:t>
      </w:r>
    </w:p>
    <w:p>
      <w:pPr>
        <w:pStyle w:val="BodyText"/>
        <w:spacing w:before="10"/>
        <w:rPr>
          <w:sz w:val="25"/>
        </w:rPr>
      </w:pPr>
    </w:p>
    <w:p>
      <w:pPr>
        <w:pStyle w:val="BodyText"/>
        <w:ind w:left="560" w:right="810"/>
      </w:pPr>
      <w:r>
        <w:rPr/>
        <w:t>The Washington State Division of Child Support (DCS) is part of the Economic Services Administration (ESA), which is the combined IV-A/IV-D administration within Washington’s Department of Social and Health Services (DSHS). The organizational structure of DCS consists of eleven offices - a headquarters office and ten district offices.</w:t>
      </w:r>
    </w:p>
    <w:p>
      <w:pPr>
        <w:pStyle w:val="BodyText"/>
        <w:spacing w:before="10"/>
        <w:rPr>
          <w:sz w:val="25"/>
        </w:rPr>
      </w:pPr>
    </w:p>
    <w:p>
      <w:pPr>
        <w:pStyle w:val="BodyText"/>
        <w:ind w:left="560" w:right="1186"/>
      </w:pPr>
      <w:r>
        <w:rPr/>
        <w:t>Washington State uses both court and administrative processes for establishment and enforcement of child support and medical support orders. DCS contracts with the majority of the 39 county prosecuting attorney offices. DCS partners with them for paternity establishment when the administrative process cannot be used, for modification of court ordered child and medical support, and in child support contempt actions.</w:t>
      </w:r>
    </w:p>
    <w:p>
      <w:pPr>
        <w:pStyle w:val="BodyText"/>
      </w:pPr>
    </w:p>
    <w:p>
      <w:pPr>
        <w:pStyle w:val="BodyText"/>
        <w:ind w:left="560" w:right="812"/>
      </w:pPr>
      <w:r>
        <w:rPr/>
        <w:t>Under PRWORA, each state must submit an annual report detailing compliance in the selected program areas. As part of this report each state is permitted to include optional program areas for review. These areas are Program Direction and Program Service Enhancements. Washington State chooses to include Program Service Enhancements in its report.</w:t>
      </w:r>
    </w:p>
    <w:p>
      <w:pPr>
        <w:pStyle w:val="BodyText"/>
      </w:pPr>
    </w:p>
    <w:p>
      <w:pPr>
        <w:pStyle w:val="BodyText"/>
        <w:spacing w:before="1"/>
        <w:ind w:left="560" w:right="912"/>
      </w:pPr>
      <w:r>
        <w:rPr/>
        <w:t>The audit team within the ESA/Operations Support (OS) is responsible for conducting internal program and data reliability audits for DCS. The audit team is made up of program analysts who have extensive child support program experience at the field office and headquarters level. This knowledge and experience is critical in performing comprehensive audits of child support program performance requirements and finding correlations between review results and federal outcome measures.</w:t>
      </w:r>
    </w:p>
    <w:p>
      <w:pPr>
        <w:pStyle w:val="BodyText"/>
        <w:spacing w:before="9"/>
        <w:rPr>
          <w:sz w:val="25"/>
        </w:rPr>
      </w:pPr>
    </w:p>
    <w:p>
      <w:pPr>
        <w:pStyle w:val="BodyText"/>
        <w:ind w:left="560" w:right="1143"/>
      </w:pPr>
      <w:r>
        <w:rPr/>
        <w:t>The following report addresses program compliance, provides management information, and discusses innovations used to increase services to clients as well as enhance collections.</w:t>
      </w:r>
    </w:p>
    <w:p>
      <w:pPr>
        <w:spacing w:after="0"/>
        <w:sectPr>
          <w:pgSz w:w="12240" w:h="15840"/>
          <w:pgMar w:header="718" w:footer="1038" w:top="1340" w:bottom="1220" w:left="880" w:right="720"/>
        </w:sectPr>
      </w:pPr>
    </w:p>
    <w:p>
      <w:pPr>
        <w:pStyle w:val="Heading3"/>
        <w:numPr>
          <w:ilvl w:val="0"/>
          <w:numId w:val="2"/>
        </w:numPr>
        <w:tabs>
          <w:tab w:pos="920" w:val="left" w:leader="none"/>
        </w:tabs>
        <w:spacing w:line="240" w:lineRule="auto" w:before="81" w:after="0"/>
        <w:ind w:left="920" w:right="0" w:hanging="360"/>
        <w:jc w:val="left"/>
      </w:pPr>
      <w:r>
        <w:rPr/>
        <w:t>Self-Assessment Results</w:t>
      </w:r>
    </w:p>
    <w:p>
      <w:pPr>
        <w:pStyle w:val="BodyText"/>
        <w:rPr>
          <w:b/>
          <w:sz w:val="20"/>
        </w:rPr>
      </w:pPr>
    </w:p>
    <w:p>
      <w:pPr>
        <w:pStyle w:val="BodyText"/>
        <w:rPr>
          <w:b/>
          <w:sz w:val="20"/>
        </w:rPr>
      </w:pPr>
    </w:p>
    <w:p>
      <w:pPr>
        <w:pStyle w:val="BodyText"/>
        <w:spacing w:before="3"/>
        <w:rPr>
          <w:b/>
          <w:sz w:val="12"/>
        </w:r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8"/>
        <w:gridCol w:w="1373"/>
        <w:gridCol w:w="1531"/>
        <w:gridCol w:w="1718"/>
        <w:gridCol w:w="1634"/>
        <w:gridCol w:w="1867"/>
      </w:tblGrid>
      <w:tr>
        <w:trPr>
          <w:trHeight w:val="2691" w:hRule="atLeast"/>
        </w:trPr>
        <w:tc>
          <w:tcPr>
            <w:tcW w:w="1848" w:type="dxa"/>
            <w:tcBorders>
              <w:bottom w:val="double" w:sz="2" w:space="0" w:color="000000"/>
            </w:tcBorders>
            <w:shd w:val="clear" w:color="auto" w:fill="CCFFCC"/>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0"/>
              <w:rPr>
                <w:b/>
                <w:sz w:val="39"/>
              </w:rPr>
            </w:pPr>
          </w:p>
          <w:p>
            <w:pPr>
              <w:pStyle w:val="TableParagraph"/>
              <w:spacing w:line="281" w:lineRule="exact" w:before="1"/>
              <w:ind w:left="381"/>
              <w:rPr>
                <w:b/>
                <w:sz w:val="26"/>
              </w:rPr>
            </w:pPr>
            <w:r>
              <w:rPr>
                <w:b/>
                <w:sz w:val="26"/>
              </w:rPr>
              <w:t>Criterion</w:t>
            </w:r>
          </w:p>
        </w:tc>
        <w:tc>
          <w:tcPr>
            <w:tcW w:w="1373" w:type="dxa"/>
            <w:tcBorders>
              <w:bottom w:val="double" w:sz="2" w:space="0" w:color="000000"/>
            </w:tcBorders>
            <w:shd w:val="clear" w:color="auto" w:fill="CCFFCC"/>
          </w:tcPr>
          <w:p>
            <w:pPr>
              <w:pStyle w:val="TableParagraph"/>
              <w:ind w:left="107" w:right="98" w:firstLine="2"/>
              <w:jc w:val="center"/>
              <w:rPr>
                <w:b/>
                <w:sz w:val="26"/>
              </w:rPr>
            </w:pPr>
            <w:r>
              <w:rPr>
                <w:b/>
                <w:sz w:val="26"/>
              </w:rPr>
              <w:t>Cases Where Required Activity </w:t>
            </w:r>
            <w:r>
              <w:rPr>
                <w:b/>
                <w:w w:val="95"/>
                <w:sz w:val="26"/>
              </w:rPr>
              <w:t>Occurred </w:t>
            </w:r>
            <w:r>
              <w:rPr>
                <w:b/>
                <w:sz w:val="26"/>
              </w:rPr>
              <w:t>or   Should Have</w:t>
            </w:r>
          </w:p>
          <w:p>
            <w:pPr>
              <w:pStyle w:val="TableParagraph"/>
              <w:spacing w:line="281" w:lineRule="exact"/>
              <w:ind w:left="86" w:right="80"/>
              <w:jc w:val="center"/>
              <w:rPr>
                <w:b/>
                <w:sz w:val="26"/>
              </w:rPr>
            </w:pPr>
            <w:r>
              <w:rPr>
                <w:b/>
                <w:sz w:val="26"/>
              </w:rPr>
              <w:t>Occurred</w:t>
            </w:r>
          </w:p>
        </w:tc>
        <w:tc>
          <w:tcPr>
            <w:tcW w:w="1531" w:type="dxa"/>
            <w:tcBorders>
              <w:bottom w:val="double" w:sz="2" w:space="0" w:color="000000"/>
            </w:tcBorders>
            <w:shd w:val="clear" w:color="auto" w:fill="CCFFCC"/>
          </w:tcPr>
          <w:p>
            <w:pPr>
              <w:pStyle w:val="TableParagraph"/>
              <w:rPr>
                <w:b/>
                <w:sz w:val="28"/>
              </w:rPr>
            </w:pPr>
          </w:p>
          <w:p>
            <w:pPr>
              <w:pStyle w:val="TableParagraph"/>
              <w:spacing w:before="9"/>
              <w:rPr>
                <w:b/>
                <w:sz w:val="23"/>
              </w:rPr>
            </w:pPr>
          </w:p>
          <w:p>
            <w:pPr>
              <w:pStyle w:val="TableParagraph"/>
              <w:ind w:left="186" w:right="177" w:firstLine="2"/>
              <w:jc w:val="center"/>
              <w:rPr>
                <w:b/>
                <w:sz w:val="26"/>
              </w:rPr>
            </w:pPr>
            <w:r>
              <w:rPr>
                <w:b/>
                <w:sz w:val="26"/>
              </w:rPr>
              <w:t>Cases Where Required Activity Occurred within</w:t>
            </w:r>
          </w:p>
          <w:p>
            <w:pPr>
              <w:pStyle w:val="TableParagraph"/>
              <w:spacing w:line="281" w:lineRule="exact" w:before="2"/>
              <w:ind w:left="86" w:right="79"/>
              <w:jc w:val="center"/>
              <w:rPr>
                <w:b/>
                <w:sz w:val="26"/>
              </w:rPr>
            </w:pPr>
            <w:r>
              <w:rPr>
                <w:b/>
                <w:sz w:val="26"/>
              </w:rPr>
              <w:t>Timeframe</w:t>
            </w:r>
          </w:p>
        </w:tc>
        <w:tc>
          <w:tcPr>
            <w:tcW w:w="1718" w:type="dxa"/>
            <w:tcBorders>
              <w:bottom w:val="double" w:sz="2" w:space="0" w:color="000000"/>
            </w:tcBorders>
            <w:shd w:val="clear" w:color="auto" w:fill="CCFFCC"/>
          </w:tcPr>
          <w:p>
            <w:pPr>
              <w:pStyle w:val="TableParagraph"/>
              <w:rPr>
                <w:b/>
                <w:sz w:val="28"/>
              </w:rPr>
            </w:pPr>
          </w:p>
          <w:p>
            <w:pPr>
              <w:pStyle w:val="TableParagraph"/>
              <w:rPr>
                <w:b/>
                <w:sz w:val="28"/>
              </w:rPr>
            </w:pPr>
          </w:p>
          <w:p>
            <w:pPr>
              <w:pStyle w:val="TableParagraph"/>
              <w:rPr>
                <w:b/>
                <w:sz w:val="28"/>
              </w:rPr>
            </w:pPr>
          </w:p>
          <w:p>
            <w:pPr>
              <w:pStyle w:val="TableParagraph"/>
              <w:spacing w:before="227"/>
              <w:ind w:left="107" w:right="98" w:firstLine="5"/>
              <w:jc w:val="center"/>
              <w:rPr>
                <w:b/>
                <w:sz w:val="26"/>
              </w:rPr>
            </w:pPr>
            <w:r>
              <w:rPr>
                <w:b/>
                <w:sz w:val="26"/>
              </w:rPr>
              <w:t>Efficiency Rate </w:t>
            </w:r>
            <w:r>
              <w:rPr>
                <w:b/>
                <w:w w:val="95"/>
                <w:sz w:val="26"/>
              </w:rPr>
              <w:t>(Confidence </w:t>
            </w:r>
            <w:r>
              <w:rPr>
                <w:b/>
                <w:sz w:val="26"/>
              </w:rPr>
              <w:t>Level</w:t>
            </w:r>
            <w:r>
              <w:rPr>
                <w:b/>
                <w:spacing w:val="-3"/>
                <w:sz w:val="26"/>
              </w:rPr>
              <w:t> </w:t>
            </w:r>
            <w:r>
              <w:rPr>
                <w:b/>
                <w:sz w:val="26"/>
              </w:rPr>
              <w:t>of</w:t>
            </w:r>
          </w:p>
          <w:p>
            <w:pPr>
              <w:pStyle w:val="TableParagraph"/>
              <w:spacing w:line="281" w:lineRule="exact" w:before="2"/>
              <w:ind w:left="330" w:right="325"/>
              <w:jc w:val="center"/>
              <w:rPr>
                <w:b/>
                <w:sz w:val="26"/>
              </w:rPr>
            </w:pPr>
            <w:r>
              <w:rPr>
                <w:b/>
                <w:sz w:val="26"/>
              </w:rPr>
              <w:t>Sample)</w:t>
            </w:r>
          </w:p>
        </w:tc>
        <w:tc>
          <w:tcPr>
            <w:tcW w:w="1634" w:type="dxa"/>
            <w:tcBorders>
              <w:bottom w:val="double" w:sz="2" w:space="0" w:color="000000"/>
            </w:tcBorders>
            <w:shd w:val="clear" w:color="auto" w:fill="CCFFCC"/>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205"/>
              <w:ind w:left="216" w:right="208" w:firstLine="2"/>
              <w:jc w:val="center"/>
              <w:rPr>
                <w:b/>
                <w:sz w:val="26"/>
              </w:rPr>
            </w:pPr>
            <w:r>
              <w:rPr>
                <w:b/>
                <w:sz w:val="26"/>
              </w:rPr>
              <w:t>Federal Minimum </w:t>
            </w:r>
            <w:r>
              <w:rPr>
                <w:b/>
                <w:w w:val="95"/>
                <w:sz w:val="26"/>
              </w:rPr>
              <w:t>Standard/</w:t>
            </w:r>
          </w:p>
          <w:p>
            <w:pPr>
              <w:pStyle w:val="TableParagraph"/>
              <w:spacing w:line="281" w:lineRule="exact" w:before="1"/>
              <w:ind w:left="86" w:right="80"/>
              <w:jc w:val="center"/>
              <w:rPr>
                <w:b/>
                <w:sz w:val="26"/>
              </w:rPr>
            </w:pPr>
            <w:r>
              <w:rPr>
                <w:b/>
                <w:sz w:val="26"/>
              </w:rPr>
              <w:t>Benchmark</w:t>
            </w:r>
          </w:p>
        </w:tc>
        <w:tc>
          <w:tcPr>
            <w:tcW w:w="1867" w:type="dxa"/>
            <w:tcBorders>
              <w:bottom w:val="double" w:sz="2" w:space="0" w:color="000000"/>
            </w:tcBorders>
            <w:shd w:val="clear" w:color="auto" w:fill="CCFFCC"/>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205"/>
              <w:ind w:left="319" w:right="303" w:hanging="5"/>
              <w:jc w:val="center"/>
              <w:rPr>
                <w:b/>
                <w:sz w:val="26"/>
              </w:rPr>
            </w:pPr>
            <w:r>
              <w:rPr>
                <w:b/>
                <w:sz w:val="26"/>
              </w:rPr>
              <w:t>Previous Year's Efficiency</w:t>
            </w:r>
          </w:p>
          <w:p>
            <w:pPr>
              <w:pStyle w:val="TableParagraph"/>
              <w:spacing w:line="281" w:lineRule="exact" w:before="1"/>
              <w:ind w:left="557" w:right="551"/>
              <w:jc w:val="center"/>
              <w:rPr>
                <w:b/>
                <w:sz w:val="26"/>
              </w:rPr>
            </w:pPr>
            <w:r>
              <w:rPr>
                <w:b/>
                <w:sz w:val="26"/>
              </w:rPr>
              <w:t>Rates</w:t>
            </w:r>
          </w:p>
        </w:tc>
      </w:tr>
      <w:tr>
        <w:trPr>
          <w:trHeight w:val="303" w:hRule="atLeast"/>
        </w:trPr>
        <w:tc>
          <w:tcPr>
            <w:tcW w:w="1848" w:type="dxa"/>
            <w:tcBorders>
              <w:top w:val="double" w:sz="2" w:space="0" w:color="000000"/>
            </w:tcBorders>
          </w:tcPr>
          <w:p>
            <w:pPr>
              <w:pStyle w:val="TableParagraph"/>
              <w:spacing w:line="279" w:lineRule="exact" w:before="5"/>
              <w:ind w:left="107"/>
              <w:rPr>
                <w:sz w:val="26"/>
              </w:rPr>
            </w:pPr>
            <w:r>
              <w:rPr>
                <w:sz w:val="26"/>
              </w:rPr>
              <w:t>Case Closure</w:t>
            </w:r>
          </w:p>
        </w:tc>
        <w:tc>
          <w:tcPr>
            <w:tcW w:w="1373" w:type="dxa"/>
            <w:tcBorders>
              <w:top w:val="double" w:sz="2" w:space="0" w:color="000000"/>
            </w:tcBorders>
          </w:tcPr>
          <w:p>
            <w:pPr>
              <w:pStyle w:val="TableParagraph"/>
              <w:spacing w:line="279" w:lineRule="exact" w:before="5"/>
              <w:ind w:left="84" w:right="80"/>
              <w:jc w:val="center"/>
              <w:rPr>
                <w:sz w:val="26"/>
              </w:rPr>
            </w:pPr>
            <w:r>
              <w:rPr>
                <w:sz w:val="26"/>
              </w:rPr>
              <w:t>351</w:t>
            </w:r>
          </w:p>
        </w:tc>
        <w:tc>
          <w:tcPr>
            <w:tcW w:w="1531" w:type="dxa"/>
            <w:tcBorders>
              <w:top w:val="double" w:sz="2" w:space="0" w:color="000000"/>
            </w:tcBorders>
          </w:tcPr>
          <w:p>
            <w:pPr>
              <w:pStyle w:val="TableParagraph"/>
              <w:spacing w:line="279" w:lineRule="exact" w:before="5"/>
              <w:ind w:left="83" w:right="79"/>
              <w:jc w:val="center"/>
              <w:rPr>
                <w:sz w:val="26"/>
              </w:rPr>
            </w:pPr>
            <w:r>
              <w:rPr>
                <w:sz w:val="26"/>
              </w:rPr>
              <w:t>321</w:t>
            </w:r>
          </w:p>
        </w:tc>
        <w:tc>
          <w:tcPr>
            <w:tcW w:w="1718" w:type="dxa"/>
            <w:tcBorders>
              <w:top w:val="double" w:sz="2" w:space="0" w:color="000000"/>
            </w:tcBorders>
          </w:tcPr>
          <w:p>
            <w:pPr>
              <w:pStyle w:val="TableParagraph"/>
              <w:spacing w:line="279" w:lineRule="exact" w:before="5"/>
              <w:ind w:left="330" w:right="325"/>
              <w:jc w:val="center"/>
              <w:rPr>
                <w:sz w:val="26"/>
              </w:rPr>
            </w:pPr>
            <w:r>
              <w:rPr>
                <w:sz w:val="26"/>
              </w:rPr>
              <w:t>92%</w:t>
            </w:r>
          </w:p>
        </w:tc>
        <w:tc>
          <w:tcPr>
            <w:tcW w:w="1634" w:type="dxa"/>
            <w:tcBorders>
              <w:top w:val="double" w:sz="2" w:space="0" w:color="000000"/>
            </w:tcBorders>
          </w:tcPr>
          <w:p>
            <w:pPr>
              <w:pStyle w:val="TableParagraph"/>
              <w:spacing w:line="279" w:lineRule="exact" w:before="5"/>
              <w:ind w:left="83" w:right="80"/>
              <w:jc w:val="center"/>
              <w:rPr>
                <w:sz w:val="26"/>
              </w:rPr>
            </w:pPr>
            <w:r>
              <w:rPr>
                <w:sz w:val="26"/>
              </w:rPr>
              <w:t>90%</w:t>
            </w:r>
          </w:p>
        </w:tc>
        <w:tc>
          <w:tcPr>
            <w:tcW w:w="1867" w:type="dxa"/>
            <w:tcBorders>
              <w:top w:val="double" w:sz="2" w:space="0" w:color="000000"/>
            </w:tcBorders>
          </w:tcPr>
          <w:p>
            <w:pPr>
              <w:pStyle w:val="TableParagraph"/>
              <w:spacing w:line="279" w:lineRule="exact" w:before="5"/>
              <w:ind w:right="663"/>
              <w:jc w:val="right"/>
              <w:rPr>
                <w:sz w:val="26"/>
              </w:rPr>
            </w:pPr>
            <w:r>
              <w:rPr>
                <w:w w:val="95"/>
                <w:sz w:val="26"/>
              </w:rPr>
              <w:t>96%</w:t>
            </w:r>
          </w:p>
        </w:tc>
      </w:tr>
      <w:tr>
        <w:trPr>
          <w:trHeight w:val="299" w:hRule="atLeast"/>
        </w:trPr>
        <w:tc>
          <w:tcPr>
            <w:tcW w:w="1848" w:type="dxa"/>
          </w:tcPr>
          <w:p>
            <w:pPr>
              <w:pStyle w:val="TableParagraph"/>
              <w:spacing w:line="279" w:lineRule="exact"/>
              <w:ind w:left="107"/>
              <w:rPr>
                <w:sz w:val="26"/>
              </w:rPr>
            </w:pPr>
            <w:r>
              <w:rPr>
                <w:sz w:val="26"/>
              </w:rPr>
              <w:t>Establishment</w:t>
            </w:r>
          </w:p>
        </w:tc>
        <w:tc>
          <w:tcPr>
            <w:tcW w:w="1373" w:type="dxa"/>
          </w:tcPr>
          <w:p>
            <w:pPr>
              <w:pStyle w:val="TableParagraph"/>
              <w:spacing w:line="279" w:lineRule="exact"/>
              <w:ind w:left="84" w:right="80"/>
              <w:jc w:val="center"/>
              <w:rPr>
                <w:sz w:val="26"/>
              </w:rPr>
            </w:pPr>
            <w:r>
              <w:rPr>
                <w:sz w:val="26"/>
              </w:rPr>
              <w:t>86</w:t>
            </w:r>
          </w:p>
        </w:tc>
        <w:tc>
          <w:tcPr>
            <w:tcW w:w="1531" w:type="dxa"/>
          </w:tcPr>
          <w:p>
            <w:pPr>
              <w:pStyle w:val="TableParagraph"/>
              <w:spacing w:line="279" w:lineRule="exact"/>
              <w:ind w:left="83" w:right="79"/>
              <w:jc w:val="center"/>
              <w:rPr>
                <w:sz w:val="26"/>
              </w:rPr>
            </w:pPr>
            <w:r>
              <w:rPr>
                <w:sz w:val="26"/>
              </w:rPr>
              <w:t>85</w:t>
            </w:r>
          </w:p>
        </w:tc>
        <w:tc>
          <w:tcPr>
            <w:tcW w:w="1718" w:type="dxa"/>
          </w:tcPr>
          <w:p>
            <w:pPr>
              <w:pStyle w:val="TableParagraph"/>
              <w:spacing w:line="279" w:lineRule="exact"/>
              <w:ind w:left="330" w:right="325"/>
              <w:jc w:val="center"/>
              <w:rPr>
                <w:sz w:val="26"/>
              </w:rPr>
            </w:pPr>
            <w:r>
              <w:rPr>
                <w:sz w:val="26"/>
              </w:rPr>
              <w:t>99%</w:t>
            </w:r>
          </w:p>
        </w:tc>
        <w:tc>
          <w:tcPr>
            <w:tcW w:w="1634" w:type="dxa"/>
          </w:tcPr>
          <w:p>
            <w:pPr>
              <w:pStyle w:val="TableParagraph"/>
              <w:spacing w:line="279" w:lineRule="exact"/>
              <w:ind w:left="83" w:right="80"/>
              <w:jc w:val="center"/>
              <w:rPr>
                <w:sz w:val="26"/>
              </w:rPr>
            </w:pPr>
            <w:r>
              <w:rPr>
                <w:sz w:val="26"/>
              </w:rPr>
              <w:t>75%</w:t>
            </w:r>
          </w:p>
        </w:tc>
        <w:tc>
          <w:tcPr>
            <w:tcW w:w="1867" w:type="dxa"/>
          </w:tcPr>
          <w:p>
            <w:pPr>
              <w:pStyle w:val="TableParagraph"/>
              <w:spacing w:line="279" w:lineRule="exact"/>
              <w:ind w:right="663"/>
              <w:jc w:val="right"/>
              <w:rPr>
                <w:sz w:val="26"/>
              </w:rPr>
            </w:pPr>
            <w:r>
              <w:rPr>
                <w:w w:val="95"/>
                <w:sz w:val="26"/>
              </w:rPr>
              <w:t>99%</w:t>
            </w:r>
          </w:p>
        </w:tc>
      </w:tr>
      <w:tr>
        <w:trPr>
          <w:trHeight w:val="299" w:hRule="atLeast"/>
        </w:trPr>
        <w:tc>
          <w:tcPr>
            <w:tcW w:w="1848" w:type="dxa"/>
          </w:tcPr>
          <w:p>
            <w:pPr>
              <w:pStyle w:val="TableParagraph"/>
              <w:spacing w:line="279" w:lineRule="exact"/>
              <w:ind w:left="107"/>
              <w:rPr>
                <w:sz w:val="26"/>
              </w:rPr>
            </w:pPr>
            <w:r>
              <w:rPr>
                <w:sz w:val="26"/>
              </w:rPr>
              <w:t>Enforcement</w:t>
            </w:r>
          </w:p>
        </w:tc>
        <w:tc>
          <w:tcPr>
            <w:tcW w:w="1373" w:type="dxa"/>
          </w:tcPr>
          <w:p>
            <w:pPr>
              <w:pStyle w:val="TableParagraph"/>
              <w:spacing w:line="279" w:lineRule="exact"/>
              <w:ind w:left="84" w:right="80"/>
              <w:jc w:val="center"/>
              <w:rPr>
                <w:sz w:val="26"/>
              </w:rPr>
            </w:pPr>
            <w:r>
              <w:rPr>
                <w:sz w:val="26"/>
              </w:rPr>
              <w:t>366</w:t>
            </w:r>
          </w:p>
        </w:tc>
        <w:tc>
          <w:tcPr>
            <w:tcW w:w="1531" w:type="dxa"/>
          </w:tcPr>
          <w:p>
            <w:pPr>
              <w:pStyle w:val="TableParagraph"/>
              <w:spacing w:line="279" w:lineRule="exact"/>
              <w:ind w:left="83" w:right="79"/>
              <w:jc w:val="center"/>
              <w:rPr>
                <w:sz w:val="26"/>
              </w:rPr>
            </w:pPr>
            <w:r>
              <w:rPr>
                <w:sz w:val="26"/>
              </w:rPr>
              <w:t>336</w:t>
            </w:r>
          </w:p>
        </w:tc>
        <w:tc>
          <w:tcPr>
            <w:tcW w:w="1718" w:type="dxa"/>
          </w:tcPr>
          <w:p>
            <w:pPr>
              <w:pStyle w:val="TableParagraph"/>
              <w:spacing w:line="279" w:lineRule="exact"/>
              <w:ind w:left="330" w:right="325"/>
              <w:jc w:val="center"/>
              <w:rPr>
                <w:sz w:val="26"/>
              </w:rPr>
            </w:pPr>
            <w:r>
              <w:rPr>
                <w:sz w:val="26"/>
              </w:rPr>
              <w:t>92%</w:t>
            </w:r>
          </w:p>
        </w:tc>
        <w:tc>
          <w:tcPr>
            <w:tcW w:w="1634" w:type="dxa"/>
          </w:tcPr>
          <w:p>
            <w:pPr>
              <w:pStyle w:val="TableParagraph"/>
              <w:spacing w:line="279" w:lineRule="exact"/>
              <w:ind w:left="83" w:right="80"/>
              <w:jc w:val="center"/>
              <w:rPr>
                <w:sz w:val="26"/>
              </w:rPr>
            </w:pPr>
            <w:r>
              <w:rPr>
                <w:sz w:val="26"/>
              </w:rPr>
              <w:t>75%</w:t>
            </w:r>
          </w:p>
        </w:tc>
        <w:tc>
          <w:tcPr>
            <w:tcW w:w="1867" w:type="dxa"/>
          </w:tcPr>
          <w:p>
            <w:pPr>
              <w:pStyle w:val="TableParagraph"/>
              <w:spacing w:line="279" w:lineRule="exact"/>
              <w:ind w:right="663"/>
              <w:jc w:val="right"/>
              <w:rPr>
                <w:sz w:val="26"/>
              </w:rPr>
            </w:pPr>
            <w:r>
              <w:rPr>
                <w:w w:val="95"/>
                <w:sz w:val="26"/>
              </w:rPr>
              <w:t>95%</w:t>
            </w:r>
          </w:p>
        </w:tc>
      </w:tr>
      <w:tr>
        <w:trPr>
          <w:trHeight w:val="297" w:hRule="atLeast"/>
        </w:trPr>
        <w:tc>
          <w:tcPr>
            <w:tcW w:w="1848" w:type="dxa"/>
          </w:tcPr>
          <w:p>
            <w:pPr>
              <w:pStyle w:val="TableParagraph"/>
              <w:spacing w:line="277" w:lineRule="exact"/>
              <w:ind w:left="107"/>
              <w:rPr>
                <w:sz w:val="26"/>
              </w:rPr>
            </w:pPr>
            <w:r>
              <w:rPr>
                <w:sz w:val="26"/>
              </w:rPr>
              <w:t>Disbursement</w:t>
            </w:r>
          </w:p>
        </w:tc>
        <w:tc>
          <w:tcPr>
            <w:tcW w:w="1373" w:type="dxa"/>
          </w:tcPr>
          <w:p>
            <w:pPr>
              <w:pStyle w:val="TableParagraph"/>
              <w:spacing w:line="277" w:lineRule="exact"/>
              <w:ind w:left="84" w:right="80"/>
              <w:jc w:val="center"/>
              <w:rPr>
                <w:sz w:val="26"/>
              </w:rPr>
            </w:pPr>
            <w:r>
              <w:rPr>
                <w:sz w:val="26"/>
              </w:rPr>
              <w:t>230</w:t>
            </w:r>
          </w:p>
        </w:tc>
        <w:tc>
          <w:tcPr>
            <w:tcW w:w="1531" w:type="dxa"/>
          </w:tcPr>
          <w:p>
            <w:pPr>
              <w:pStyle w:val="TableParagraph"/>
              <w:spacing w:line="277" w:lineRule="exact"/>
              <w:ind w:left="83" w:right="79"/>
              <w:jc w:val="center"/>
              <w:rPr>
                <w:sz w:val="26"/>
              </w:rPr>
            </w:pPr>
            <w:r>
              <w:rPr>
                <w:sz w:val="26"/>
              </w:rPr>
              <w:t>228</w:t>
            </w:r>
          </w:p>
        </w:tc>
        <w:tc>
          <w:tcPr>
            <w:tcW w:w="1718" w:type="dxa"/>
          </w:tcPr>
          <w:p>
            <w:pPr>
              <w:pStyle w:val="TableParagraph"/>
              <w:spacing w:line="277" w:lineRule="exact"/>
              <w:ind w:left="330" w:right="325"/>
              <w:jc w:val="center"/>
              <w:rPr>
                <w:sz w:val="26"/>
              </w:rPr>
            </w:pPr>
            <w:r>
              <w:rPr>
                <w:sz w:val="26"/>
              </w:rPr>
              <w:t>99%</w:t>
            </w:r>
          </w:p>
        </w:tc>
        <w:tc>
          <w:tcPr>
            <w:tcW w:w="1634" w:type="dxa"/>
          </w:tcPr>
          <w:p>
            <w:pPr>
              <w:pStyle w:val="TableParagraph"/>
              <w:spacing w:line="277" w:lineRule="exact"/>
              <w:ind w:left="83" w:right="80"/>
              <w:jc w:val="center"/>
              <w:rPr>
                <w:sz w:val="26"/>
              </w:rPr>
            </w:pPr>
            <w:r>
              <w:rPr>
                <w:sz w:val="26"/>
              </w:rPr>
              <w:t>75%</w:t>
            </w:r>
          </w:p>
        </w:tc>
        <w:tc>
          <w:tcPr>
            <w:tcW w:w="1867" w:type="dxa"/>
          </w:tcPr>
          <w:p>
            <w:pPr>
              <w:pStyle w:val="TableParagraph"/>
              <w:spacing w:line="277" w:lineRule="exact"/>
              <w:ind w:right="664"/>
              <w:jc w:val="right"/>
              <w:rPr>
                <w:sz w:val="26"/>
              </w:rPr>
            </w:pPr>
            <w:r>
              <w:rPr>
                <w:w w:val="95"/>
                <w:sz w:val="26"/>
              </w:rPr>
              <w:t>98%</w:t>
            </w:r>
          </w:p>
        </w:tc>
      </w:tr>
      <w:tr>
        <w:trPr>
          <w:trHeight w:val="299" w:hRule="atLeast"/>
        </w:trPr>
        <w:tc>
          <w:tcPr>
            <w:tcW w:w="1848" w:type="dxa"/>
          </w:tcPr>
          <w:p>
            <w:pPr>
              <w:pStyle w:val="TableParagraph"/>
              <w:spacing w:line="279" w:lineRule="exact"/>
              <w:ind w:left="107"/>
              <w:rPr>
                <w:sz w:val="26"/>
              </w:rPr>
            </w:pPr>
            <w:r>
              <w:rPr>
                <w:sz w:val="26"/>
              </w:rPr>
              <w:t>Medical</w:t>
            </w:r>
          </w:p>
        </w:tc>
        <w:tc>
          <w:tcPr>
            <w:tcW w:w="1373" w:type="dxa"/>
          </w:tcPr>
          <w:p>
            <w:pPr>
              <w:pStyle w:val="TableParagraph"/>
              <w:spacing w:line="279" w:lineRule="exact"/>
              <w:ind w:left="84" w:right="80"/>
              <w:jc w:val="center"/>
              <w:rPr>
                <w:sz w:val="26"/>
              </w:rPr>
            </w:pPr>
            <w:r>
              <w:rPr>
                <w:sz w:val="26"/>
              </w:rPr>
              <w:t>277</w:t>
            </w:r>
          </w:p>
        </w:tc>
        <w:tc>
          <w:tcPr>
            <w:tcW w:w="1531" w:type="dxa"/>
          </w:tcPr>
          <w:p>
            <w:pPr>
              <w:pStyle w:val="TableParagraph"/>
              <w:spacing w:line="279" w:lineRule="exact"/>
              <w:ind w:left="83" w:right="79"/>
              <w:jc w:val="center"/>
              <w:rPr>
                <w:sz w:val="26"/>
              </w:rPr>
            </w:pPr>
            <w:r>
              <w:rPr>
                <w:sz w:val="26"/>
              </w:rPr>
              <w:t>264</w:t>
            </w:r>
          </w:p>
        </w:tc>
        <w:tc>
          <w:tcPr>
            <w:tcW w:w="1718" w:type="dxa"/>
          </w:tcPr>
          <w:p>
            <w:pPr>
              <w:pStyle w:val="TableParagraph"/>
              <w:spacing w:line="279" w:lineRule="exact"/>
              <w:ind w:left="330" w:right="325"/>
              <w:jc w:val="center"/>
              <w:rPr>
                <w:sz w:val="26"/>
              </w:rPr>
            </w:pPr>
            <w:r>
              <w:rPr>
                <w:sz w:val="26"/>
              </w:rPr>
              <w:t>95%</w:t>
            </w:r>
          </w:p>
        </w:tc>
        <w:tc>
          <w:tcPr>
            <w:tcW w:w="1634" w:type="dxa"/>
          </w:tcPr>
          <w:p>
            <w:pPr>
              <w:pStyle w:val="TableParagraph"/>
              <w:spacing w:line="279" w:lineRule="exact"/>
              <w:ind w:left="83" w:right="80"/>
              <w:jc w:val="center"/>
              <w:rPr>
                <w:sz w:val="26"/>
              </w:rPr>
            </w:pPr>
            <w:r>
              <w:rPr>
                <w:sz w:val="26"/>
              </w:rPr>
              <w:t>75%</w:t>
            </w:r>
          </w:p>
        </w:tc>
        <w:tc>
          <w:tcPr>
            <w:tcW w:w="1867" w:type="dxa"/>
          </w:tcPr>
          <w:p>
            <w:pPr>
              <w:pStyle w:val="TableParagraph"/>
              <w:spacing w:line="279" w:lineRule="exact"/>
              <w:ind w:right="663"/>
              <w:jc w:val="right"/>
              <w:rPr>
                <w:sz w:val="26"/>
              </w:rPr>
            </w:pPr>
            <w:r>
              <w:rPr>
                <w:w w:val="95"/>
                <w:sz w:val="26"/>
              </w:rPr>
              <w:t>95%</w:t>
            </w:r>
          </w:p>
        </w:tc>
      </w:tr>
      <w:tr>
        <w:trPr>
          <w:trHeight w:val="597" w:hRule="atLeast"/>
        </w:trPr>
        <w:tc>
          <w:tcPr>
            <w:tcW w:w="1848" w:type="dxa"/>
          </w:tcPr>
          <w:p>
            <w:pPr>
              <w:pStyle w:val="TableParagraph"/>
              <w:spacing w:line="298" w:lineRule="exact" w:before="6"/>
              <w:ind w:left="107" w:right="352"/>
              <w:rPr>
                <w:sz w:val="26"/>
              </w:rPr>
            </w:pPr>
            <w:r>
              <w:rPr>
                <w:sz w:val="26"/>
              </w:rPr>
              <w:t>Review and Adjustment</w:t>
            </w:r>
          </w:p>
        </w:tc>
        <w:tc>
          <w:tcPr>
            <w:tcW w:w="1373" w:type="dxa"/>
          </w:tcPr>
          <w:p>
            <w:pPr>
              <w:pStyle w:val="TableParagraph"/>
              <w:spacing w:before="10"/>
              <w:rPr>
                <w:b/>
                <w:sz w:val="25"/>
              </w:rPr>
            </w:pPr>
          </w:p>
          <w:p>
            <w:pPr>
              <w:pStyle w:val="TableParagraph"/>
              <w:spacing w:line="279" w:lineRule="exact" w:before="1"/>
              <w:ind w:left="84" w:right="80"/>
              <w:jc w:val="center"/>
              <w:rPr>
                <w:sz w:val="26"/>
              </w:rPr>
            </w:pPr>
            <w:r>
              <w:rPr>
                <w:sz w:val="26"/>
              </w:rPr>
              <w:t>178</w:t>
            </w:r>
          </w:p>
        </w:tc>
        <w:tc>
          <w:tcPr>
            <w:tcW w:w="1531" w:type="dxa"/>
          </w:tcPr>
          <w:p>
            <w:pPr>
              <w:pStyle w:val="TableParagraph"/>
              <w:spacing w:before="10"/>
              <w:rPr>
                <w:b/>
                <w:sz w:val="25"/>
              </w:rPr>
            </w:pPr>
          </w:p>
          <w:p>
            <w:pPr>
              <w:pStyle w:val="TableParagraph"/>
              <w:spacing w:line="279" w:lineRule="exact" w:before="1"/>
              <w:ind w:left="83" w:right="79"/>
              <w:jc w:val="center"/>
              <w:rPr>
                <w:sz w:val="26"/>
              </w:rPr>
            </w:pPr>
            <w:r>
              <w:rPr>
                <w:sz w:val="26"/>
              </w:rPr>
              <w:t>175</w:t>
            </w:r>
          </w:p>
        </w:tc>
        <w:tc>
          <w:tcPr>
            <w:tcW w:w="1718" w:type="dxa"/>
          </w:tcPr>
          <w:p>
            <w:pPr>
              <w:pStyle w:val="TableParagraph"/>
              <w:spacing w:before="10"/>
              <w:rPr>
                <w:b/>
                <w:sz w:val="25"/>
              </w:rPr>
            </w:pPr>
          </w:p>
          <w:p>
            <w:pPr>
              <w:pStyle w:val="TableParagraph"/>
              <w:spacing w:line="279" w:lineRule="exact" w:before="1"/>
              <w:ind w:left="330" w:right="325"/>
              <w:jc w:val="center"/>
              <w:rPr>
                <w:sz w:val="26"/>
              </w:rPr>
            </w:pPr>
            <w:r>
              <w:rPr>
                <w:sz w:val="26"/>
              </w:rPr>
              <w:t>98%</w:t>
            </w:r>
          </w:p>
        </w:tc>
        <w:tc>
          <w:tcPr>
            <w:tcW w:w="1634" w:type="dxa"/>
          </w:tcPr>
          <w:p>
            <w:pPr>
              <w:pStyle w:val="TableParagraph"/>
              <w:spacing w:before="10"/>
              <w:rPr>
                <w:b/>
                <w:sz w:val="25"/>
              </w:rPr>
            </w:pPr>
          </w:p>
          <w:p>
            <w:pPr>
              <w:pStyle w:val="TableParagraph"/>
              <w:spacing w:line="279" w:lineRule="exact" w:before="1"/>
              <w:ind w:left="83" w:right="80"/>
              <w:jc w:val="center"/>
              <w:rPr>
                <w:sz w:val="26"/>
              </w:rPr>
            </w:pPr>
            <w:r>
              <w:rPr>
                <w:sz w:val="26"/>
              </w:rPr>
              <w:t>75%</w:t>
            </w:r>
          </w:p>
        </w:tc>
        <w:tc>
          <w:tcPr>
            <w:tcW w:w="1867" w:type="dxa"/>
          </w:tcPr>
          <w:p>
            <w:pPr>
              <w:pStyle w:val="TableParagraph"/>
              <w:spacing w:before="10"/>
              <w:rPr>
                <w:b/>
                <w:sz w:val="25"/>
              </w:rPr>
            </w:pPr>
          </w:p>
          <w:p>
            <w:pPr>
              <w:pStyle w:val="TableParagraph"/>
              <w:spacing w:line="279" w:lineRule="exact" w:before="1"/>
              <w:ind w:right="663"/>
              <w:jc w:val="right"/>
              <w:rPr>
                <w:sz w:val="26"/>
              </w:rPr>
            </w:pPr>
            <w:r>
              <w:rPr>
                <w:w w:val="95"/>
                <w:sz w:val="26"/>
              </w:rPr>
              <w:t>96%</w:t>
            </w:r>
          </w:p>
        </w:tc>
      </w:tr>
      <w:tr>
        <w:trPr>
          <w:trHeight w:val="294" w:hRule="atLeast"/>
        </w:trPr>
        <w:tc>
          <w:tcPr>
            <w:tcW w:w="1848" w:type="dxa"/>
          </w:tcPr>
          <w:p>
            <w:pPr>
              <w:pStyle w:val="TableParagraph"/>
              <w:spacing w:line="275" w:lineRule="exact"/>
              <w:ind w:left="107"/>
              <w:rPr>
                <w:sz w:val="26"/>
              </w:rPr>
            </w:pPr>
            <w:r>
              <w:rPr>
                <w:sz w:val="26"/>
              </w:rPr>
              <w:t>Interstate</w:t>
            </w:r>
          </w:p>
        </w:tc>
        <w:tc>
          <w:tcPr>
            <w:tcW w:w="1373" w:type="dxa"/>
          </w:tcPr>
          <w:p>
            <w:pPr>
              <w:pStyle w:val="TableParagraph"/>
              <w:spacing w:line="275" w:lineRule="exact"/>
              <w:ind w:left="84" w:right="80"/>
              <w:jc w:val="center"/>
              <w:rPr>
                <w:sz w:val="26"/>
              </w:rPr>
            </w:pPr>
            <w:r>
              <w:rPr>
                <w:sz w:val="26"/>
              </w:rPr>
              <w:t>96</w:t>
            </w:r>
          </w:p>
        </w:tc>
        <w:tc>
          <w:tcPr>
            <w:tcW w:w="1531" w:type="dxa"/>
          </w:tcPr>
          <w:p>
            <w:pPr>
              <w:pStyle w:val="TableParagraph"/>
              <w:spacing w:line="275" w:lineRule="exact"/>
              <w:ind w:left="83" w:right="79"/>
              <w:jc w:val="center"/>
              <w:rPr>
                <w:sz w:val="26"/>
              </w:rPr>
            </w:pPr>
            <w:r>
              <w:rPr>
                <w:sz w:val="26"/>
              </w:rPr>
              <w:t>89</w:t>
            </w:r>
          </w:p>
        </w:tc>
        <w:tc>
          <w:tcPr>
            <w:tcW w:w="1718" w:type="dxa"/>
          </w:tcPr>
          <w:p>
            <w:pPr>
              <w:pStyle w:val="TableParagraph"/>
              <w:spacing w:line="275" w:lineRule="exact"/>
              <w:ind w:left="330" w:right="325"/>
              <w:jc w:val="center"/>
              <w:rPr>
                <w:sz w:val="26"/>
              </w:rPr>
            </w:pPr>
            <w:r>
              <w:rPr>
                <w:sz w:val="26"/>
              </w:rPr>
              <w:t>93%</w:t>
            </w:r>
          </w:p>
        </w:tc>
        <w:tc>
          <w:tcPr>
            <w:tcW w:w="1634" w:type="dxa"/>
          </w:tcPr>
          <w:p>
            <w:pPr>
              <w:pStyle w:val="TableParagraph"/>
              <w:spacing w:line="275" w:lineRule="exact"/>
              <w:ind w:left="83" w:right="80"/>
              <w:jc w:val="center"/>
              <w:rPr>
                <w:sz w:val="26"/>
              </w:rPr>
            </w:pPr>
            <w:r>
              <w:rPr>
                <w:sz w:val="26"/>
              </w:rPr>
              <w:t>75%</w:t>
            </w:r>
          </w:p>
        </w:tc>
        <w:tc>
          <w:tcPr>
            <w:tcW w:w="1867" w:type="dxa"/>
          </w:tcPr>
          <w:p>
            <w:pPr>
              <w:pStyle w:val="TableParagraph"/>
              <w:spacing w:line="275" w:lineRule="exact"/>
              <w:ind w:right="663"/>
              <w:jc w:val="right"/>
              <w:rPr>
                <w:sz w:val="26"/>
              </w:rPr>
            </w:pPr>
            <w:r>
              <w:rPr>
                <w:w w:val="95"/>
                <w:sz w:val="26"/>
              </w:rPr>
              <w:t>96%</w:t>
            </w:r>
          </w:p>
        </w:tc>
      </w:tr>
      <w:tr>
        <w:trPr>
          <w:trHeight w:val="897" w:hRule="atLeast"/>
        </w:trPr>
        <w:tc>
          <w:tcPr>
            <w:tcW w:w="1848" w:type="dxa"/>
          </w:tcPr>
          <w:p>
            <w:pPr>
              <w:pStyle w:val="TableParagraph"/>
              <w:ind w:left="107" w:right="468"/>
              <w:rPr>
                <w:sz w:val="26"/>
              </w:rPr>
            </w:pPr>
            <w:r>
              <w:rPr>
                <w:sz w:val="26"/>
              </w:rPr>
              <w:t>Expedited Process 6-</w:t>
            </w:r>
          </w:p>
          <w:p>
            <w:pPr>
              <w:pStyle w:val="TableParagraph"/>
              <w:spacing w:line="279" w:lineRule="exact"/>
              <w:ind w:left="107"/>
              <w:rPr>
                <w:sz w:val="26"/>
              </w:rPr>
            </w:pPr>
            <w:r>
              <w:rPr>
                <w:sz w:val="26"/>
              </w:rPr>
              <w:t>Month</w:t>
            </w:r>
          </w:p>
        </w:tc>
        <w:tc>
          <w:tcPr>
            <w:tcW w:w="1373" w:type="dxa"/>
          </w:tcPr>
          <w:p>
            <w:pPr>
              <w:pStyle w:val="TableParagraph"/>
              <w:rPr>
                <w:b/>
                <w:sz w:val="28"/>
              </w:rPr>
            </w:pPr>
          </w:p>
          <w:p>
            <w:pPr>
              <w:pStyle w:val="TableParagraph"/>
              <w:rPr>
                <w:b/>
                <w:sz w:val="24"/>
              </w:rPr>
            </w:pPr>
          </w:p>
          <w:p>
            <w:pPr>
              <w:pStyle w:val="TableParagraph"/>
              <w:spacing w:line="279" w:lineRule="exact"/>
              <w:ind w:left="84" w:right="80"/>
              <w:jc w:val="center"/>
              <w:rPr>
                <w:sz w:val="26"/>
              </w:rPr>
            </w:pPr>
            <w:r>
              <w:rPr>
                <w:sz w:val="26"/>
              </w:rPr>
              <w:t>171</w:t>
            </w:r>
          </w:p>
        </w:tc>
        <w:tc>
          <w:tcPr>
            <w:tcW w:w="1531" w:type="dxa"/>
          </w:tcPr>
          <w:p>
            <w:pPr>
              <w:pStyle w:val="TableParagraph"/>
              <w:rPr>
                <w:b/>
                <w:sz w:val="28"/>
              </w:rPr>
            </w:pPr>
          </w:p>
          <w:p>
            <w:pPr>
              <w:pStyle w:val="TableParagraph"/>
              <w:rPr>
                <w:b/>
                <w:sz w:val="24"/>
              </w:rPr>
            </w:pPr>
          </w:p>
          <w:p>
            <w:pPr>
              <w:pStyle w:val="TableParagraph"/>
              <w:spacing w:line="279" w:lineRule="exact"/>
              <w:ind w:left="83" w:right="79"/>
              <w:jc w:val="center"/>
              <w:rPr>
                <w:sz w:val="26"/>
              </w:rPr>
            </w:pPr>
            <w:r>
              <w:rPr>
                <w:sz w:val="26"/>
              </w:rPr>
              <w:t>152</w:t>
            </w:r>
          </w:p>
        </w:tc>
        <w:tc>
          <w:tcPr>
            <w:tcW w:w="1718" w:type="dxa"/>
          </w:tcPr>
          <w:p>
            <w:pPr>
              <w:pStyle w:val="TableParagraph"/>
              <w:rPr>
                <w:b/>
                <w:sz w:val="28"/>
              </w:rPr>
            </w:pPr>
          </w:p>
          <w:p>
            <w:pPr>
              <w:pStyle w:val="TableParagraph"/>
              <w:rPr>
                <w:b/>
                <w:sz w:val="24"/>
              </w:rPr>
            </w:pPr>
          </w:p>
          <w:p>
            <w:pPr>
              <w:pStyle w:val="TableParagraph"/>
              <w:spacing w:line="279" w:lineRule="exact"/>
              <w:ind w:left="330" w:right="325"/>
              <w:jc w:val="center"/>
              <w:rPr>
                <w:sz w:val="26"/>
              </w:rPr>
            </w:pPr>
            <w:r>
              <w:rPr>
                <w:sz w:val="26"/>
              </w:rPr>
              <w:t>89%</w:t>
            </w:r>
          </w:p>
        </w:tc>
        <w:tc>
          <w:tcPr>
            <w:tcW w:w="1634" w:type="dxa"/>
          </w:tcPr>
          <w:p>
            <w:pPr>
              <w:pStyle w:val="TableParagraph"/>
              <w:rPr>
                <w:b/>
                <w:sz w:val="28"/>
              </w:rPr>
            </w:pPr>
          </w:p>
          <w:p>
            <w:pPr>
              <w:pStyle w:val="TableParagraph"/>
              <w:rPr>
                <w:b/>
                <w:sz w:val="24"/>
              </w:rPr>
            </w:pPr>
          </w:p>
          <w:p>
            <w:pPr>
              <w:pStyle w:val="TableParagraph"/>
              <w:spacing w:line="279" w:lineRule="exact"/>
              <w:ind w:left="83" w:right="80"/>
              <w:jc w:val="center"/>
              <w:rPr>
                <w:sz w:val="26"/>
              </w:rPr>
            </w:pPr>
            <w:r>
              <w:rPr>
                <w:sz w:val="26"/>
              </w:rPr>
              <w:t>75%</w:t>
            </w:r>
          </w:p>
        </w:tc>
        <w:tc>
          <w:tcPr>
            <w:tcW w:w="1867" w:type="dxa"/>
          </w:tcPr>
          <w:p>
            <w:pPr>
              <w:pStyle w:val="TableParagraph"/>
              <w:rPr>
                <w:b/>
                <w:sz w:val="28"/>
              </w:rPr>
            </w:pPr>
          </w:p>
          <w:p>
            <w:pPr>
              <w:pStyle w:val="TableParagraph"/>
              <w:rPr>
                <w:b/>
                <w:sz w:val="24"/>
              </w:rPr>
            </w:pPr>
          </w:p>
          <w:p>
            <w:pPr>
              <w:pStyle w:val="TableParagraph"/>
              <w:spacing w:line="279" w:lineRule="exact"/>
              <w:ind w:right="663"/>
              <w:jc w:val="right"/>
              <w:rPr>
                <w:sz w:val="26"/>
              </w:rPr>
            </w:pPr>
            <w:r>
              <w:rPr>
                <w:w w:val="95"/>
                <w:sz w:val="26"/>
              </w:rPr>
              <w:t>89%</w:t>
            </w:r>
          </w:p>
        </w:tc>
      </w:tr>
      <w:tr>
        <w:trPr>
          <w:trHeight w:val="897" w:hRule="atLeast"/>
        </w:trPr>
        <w:tc>
          <w:tcPr>
            <w:tcW w:w="1848" w:type="dxa"/>
          </w:tcPr>
          <w:p>
            <w:pPr>
              <w:pStyle w:val="TableParagraph"/>
              <w:ind w:left="107" w:right="323"/>
              <w:rPr>
                <w:sz w:val="26"/>
              </w:rPr>
            </w:pPr>
            <w:r>
              <w:rPr>
                <w:sz w:val="26"/>
              </w:rPr>
              <w:t>Expedited Process 12-</w:t>
            </w:r>
          </w:p>
          <w:p>
            <w:pPr>
              <w:pStyle w:val="TableParagraph"/>
              <w:spacing w:line="279" w:lineRule="exact"/>
              <w:ind w:left="107"/>
              <w:rPr>
                <w:sz w:val="26"/>
              </w:rPr>
            </w:pPr>
            <w:r>
              <w:rPr>
                <w:sz w:val="26"/>
              </w:rPr>
              <w:t>Month</w:t>
            </w:r>
          </w:p>
        </w:tc>
        <w:tc>
          <w:tcPr>
            <w:tcW w:w="1373" w:type="dxa"/>
          </w:tcPr>
          <w:p>
            <w:pPr>
              <w:pStyle w:val="TableParagraph"/>
              <w:rPr>
                <w:b/>
                <w:sz w:val="28"/>
              </w:rPr>
            </w:pPr>
          </w:p>
          <w:p>
            <w:pPr>
              <w:pStyle w:val="TableParagraph"/>
              <w:rPr>
                <w:b/>
                <w:sz w:val="24"/>
              </w:rPr>
            </w:pPr>
          </w:p>
          <w:p>
            <w:pPr>
              <w:pStyle w:val="TableParagraph"/>
              <w:spacing w:line="279" w:lineRule="exact"/>
              <w:ind w:left="84" w:right="80"/>
              <w:jc w:val="center"/>
              <w:rPr>
                <w:sz w:val="26"/>
              </w:rPr>
            </w:pPr>
            <w:r>
              <w:rPr>
                <w:sz w:val="26"/>
              </w:rPr>
              <w:t>171</w:t>
            </w:r>
          </w:p>
        </w:tc>
        <w:tc>
          <w:tcPr>
            <w:tcW w:w="1531" w:type="dxa"/>
          </w:tcPr>
          <w:p>
            <w:pPr>
              <w:pStyle w:val="TableParagraph"/>
              <w:rPr>
                <w:b/>
                <w:sz w:val="28"/>
              </w:rPr>
            </w:pPr>
          </w:p>
          <w:p>
            <w:pPr>
              <w:pStyle w:val="TableParagraph"/>
              <w:rPr>
                <w:b/>
                <w:sz w:val="24"/>
              </w:rPr>
            </w:pPr>
          </w:p>
          <w:p>
            <w:pPr>
              <w:pStyle w:val="TableParagraph"/>
              <w:spacing w:line="279" w:lineRule="exact"/>
              <w:ind w:left="83" w:right="79"/>
              <w:jc w:val="center"/>
              <w:rPr>
                <w:sz w:val="26"/>
              </w:rPr>
            </w:pPr>
            <w:r>
              <w:rPr>
                <w:sz w:val="26"/>
              </w:rPr>
              <w:t>171</w:t>
            </w:r>
          </w:p>
        </w:tc>
        <w:tc>
          <w:tcPr>
            <w:tcW w:w="1718" w:type="dxa"/>
          </w:tcPr>
          <w:p>
            <w:pPr>
              <w:pStyle w:val="TableParagraph"/>
              <w:rPr>
                <w:b/>
                <w:sz w:val="28"/>
              </w:rPr>
            </w:pPr>
          </w:p>
          <w:p>
            <w:pPr>
              <w:pStyle w:val="TableParagraph"/>
              <w:rPr>
                <w:b/>
                <w:sz w:val="24"/>
              </w:rPr>
            </w:pPr>
          </w:p>
          <w:p>
            <w:pPr>
              <w:pStyle w:val="TableParagraph"/>
              <w:spacing w:line="279" w:lineRule="exact"/>
              <w:ind w:left="330" w:right="325"/>
              <w:jc w:val="center"/>
              <w:rPr>
                <w:sz w:val="26"/>
              </w:rPr>
            </w:pPr>
            <w:r>
              <w:rPr>
                <w:sz w:val="26"/>
              </w:rPr>
              <w:t>100%</w:t>
            </w:r>
          </w:p>
        </w:tc>
        <w:tc>
          <w:tcPr>
            <w:tcW w:w="1634" w:type="dxa"/>
          </w:tcPr>
          <w:p>
            <w:pPr>
              <w:pStyle w:val="TableParagraph"/>
              <w:rPr>
                <w:b/>
                <w:sz w:val="28"/>
              </w:rPr>
            </w:pPr>
          </w:p>
          <w:p>
            <w:pPr>
              <w:pStyle w:val="TableParagraph"/>
              <w:rPr>
                <w:b/>
                <w:sz w:val="24"/>
              </w:rPr>
            </w:pPr>
          </w:p>
          <w:p>
            <w:pPr>
              <w:pStyle w:val="TableParagraph"/>
              <w:spacing w:line="279" w:lineRule="exact"/>
              <w:ind w:left="83" w:right="80"/>
              <w:jc w:val="center"/>
              <w:rPr>
                <w:sz w:val="26"/>
              </w:rPr>
            </w:pPr>
            <w:r>
              <w:rPr>
                <w:sz w:val="26"/>
              </w:rPr>
              <w:t>90%</w:t>
            </w:r>
          </w:p>
        </w:tc>
        <w:tc>
          <w:tcPr>
            <w:tcW w:w="1867" w:type="dxa"/>
          </w:tcPr>
          <w:p>
            <w:pPr>
              <w:pStyle w:val="TableParagraph"/>
              <w:rPr>
                <w:b/>
                <w:sz w:val="28"/>
              </w:rPr>
            </w:pPr>
          </w:p>
          <w:p>
            <w:pPr>
              <w:pStyle w:val="TableParagraph"/>
              <w:rPr>
                <w:b/>
                <w:sz w:val="24"/>
              </w:rPr>
            </w:pPr>
          </w:p>
          <w:p>
            <w:pPr>
              <w:pStyle w:val="TableParagraph"/>
              <w:spacing w:line="279" w:lineRule="exact"/>
              <w:ind w:right="664"/>
              <w:jc w:val="right"/>
              <w:rPr>
                <w:sz w:val="26"/>
              </w:rPr>
            </w:pPr>
            <w:r>
              <w:rPr>
                <w:w w:val="95"/>
                <w:sz w:val="26"/>
              </w:rPr>
              <w:t>99%</w:t>
            </w:r>
          </w:p>
        </w:tc>
      </w:tr>
    </w:tbl>
    <w:p>
      <w:pPr>
        <w:spacing w:after="0" w:line="279" w:lineRule="exact"/>
        <w:jc w:val="right"/>
        <w:rPr>
          <w:sz w:val="26"/>
        </w:rPr>
        <w:sectPr>
          <w:pgSz w:w="12240" w:h="15840"/>
          <w:pgMar w:header="718" w:footer="1038" w:top="1340" w:bottom="1220" w:left="880" w:right="720"/>
        </w:sectPr>
      </w:pPr>
    </w:p>
    <w:p>
      <w:pPr>
        <w:pStyle w:val="ListParagraph"/>
        <w:numPr>
          <w:ilvl w:val="0"/>
          <w:numId w:val="1"/>
        </w:numPr>
        <w:tabs>
          <w:tab w:pos="1279" w:val="left" w:leader="none"/>
          <w:tab w:pos="1280" w:val="left" w:leader="none"/>
        </w:tabs>
        <w:spacing w:line="240" w:lineRule="auto" w:before="82" w:after="0"/>
        <w:ind w:left="1280" w:right="0" w:hanging="720"/>
        <w:jc w:val="left"/>
        <w:rPr>
          <w:b/>
          <w:sz w:val="32"/>
        </w:rPr>
      </w:pPr>
      <w:r>
        <w:rPr>
          <w:b/>
          <w:sz w:val="32"/>
        </w:rPr>
        <w:t>Methodology</w:t>
      </w:r>
    </w:p>
    <w:p>
      <w:pPr>
        <w:pStyle w:val="BodyText"/>
        <w:rPr>
          <w:b/>
          <w:sz w:val="32"/>
        </w:rPr>
      </w:pPr>
    </w:p>
    <w:p>
      <w:pPr>
        <w:pStyle w:val="ListParagraph"/>
        <w:numPr>
          <w:ilvl w:val="1"/>
          <w:numId w:val="1"/>
        </w:numPr>
        <w:tabs>
          <w:tab w:pos="1280" w:val="left" w:leader="none"/>
        </w:tabs>
        <w:spacing w:line="240" w:lineRule="auto" w:before="0" w:after="0"/>
        <w:ind w:left="1279" w:right="0" w:hanging="360"/>
        <w:jc w:val="left"/>
        <w:rPr>
          <w:b/>
          <w:sz w:val="28"/>
        </w:rPr>
      </w:pPr>
      <w:r>
        <w:rPr>
          <w:b/>
          <w:sz w:val="28"/>
        </w:rPr>
        <w:t>Introduction to</w:t>
      </w:r>
      <w:r>
        <w:rPr>
          <w:b/>
          <w:spacing w:val="-6"/>
          <w:sz w:val="28"/>
        </w:rPr>
        <w:t> </w:t>
      </w:r>
      <w:r>
        <w:rPr>
          <w:b/>
          <w:sz w:val="28"/>
        </w:rPr>
        <w:t>Methodology</w:t>
      </w:r>
    </w:p>
    <w:p>
      <w:pPr>
        <w:pStyle w:val="BodyText"/>
        <w:spacing w:before="4"/>
        <w:rPr>
          <w:b/>
          <w:sz w:val="28"/>
        </w:rPr>
      </w:pPr>
    </w:p>
    <w:p>
      <w:pPr>
        <w:pStyle w:val="BodyText"/>
        <w:ind w:left="560" w:right="1042"/>
      </w:pPr>
      <w:r>
        <w:rPr/>
        <w:t>The primary focus of this audit was to conduct the annual self-assessment of Washington State’s DCS IV-D caseload as required by the Office of Child Support Enforcement (OCSE). The OS audit team conducted the review. A representative sample was drawn from the IV-D caseload and individual cases were reviewed for compliance in eight program areas.</w:t>
      </w:r>
    </w:p>
    <w:p>
      <w:pPr>
        <w:pStyle w:val="BodyText"/>
        <w:rPr>
          <w:sz w:val="28"/>
        </w:rPr>
      </w:pPr>
    </w:p>
    <w:p>
      <w:pPr>
        <w:pStyle w:val="BodyText"/>
        <w:spacing w:before="7"/>
        <w:rPr>
          <w:sz w:val="23"/>
        </w:rPr>
      </w:pPr>
    </w:p>
    <w:p>
      <w:pPr>
        <w:pStyle w:val="Heading3"/>
        <w:numPr>
          <w:ilvl w:val="1"/>
          <w:numId w:val="1"/>
        </w:numPr>
        <w:tabs>
          <w:tab w:pos="1280" w:val="left" w:leader="none"/>
        </w:tabs>
        <w:spacing w:line="240" w:lineRule="auto" w:before="0" w:after="0"/>
        <w:ind w:left="1279" w:right="0" w:hanging="360"/>
        <w:jc w:val="left"/>
      </w:pPr>
      <w:r>
        <w:rPr/>
        <w:t>State Self-Assessment</w:t>
      </w:r>
      <w:r>
        <w:rPr>
          <w:spacing w:val="1"/>
        </w:rPr>
        <w:t> </w:t>
      </w:r>
      <w:r>
        <w:rPr/>
        <w:t>Coordination</w:t>
      </w:r>
    </w:p>
    <w:p>
      <w:pPr>
        <w:pStyle w:val="BodyText"/>
        <w:spacing w:before="1"/>
        <w:rPr>
          <w:b/>
          <w:sz w:val="28"/>
        </w:rPr>
      </w:pPr>
    </w:p>
    <w:p>
      <w:pPr>
        <w:pStyle w:val="Heading4"/>
        <w:ind w:left="74" w:right="234"/>
        <w:jc w:val="center"/>
      </w:pPr>
      <w:r>
        <w:rPr>
          <w:u w:val="thick"/>
        </w:rPr>
        <w:t>Sampling Procedures for 2008-2009 Self-Assessment Review</w:t>
      </w:r>
    </w:p>
    <w:p>
      <w:pPr>
        <w:pStyle w:val="BodyText"/>
        <w:spacing w:before="3"/>
        <w:rPr>
          <w:b/>
          <w:sz w:val="18"/>
        </w:rPr>
      </w:pPr>
    </w:p>
    <w:p>
      <w:pPr>
        <w:pStyle w:val="BodyText"/>
        <w:spacing w:before="91"/>
        <w:ind w:left="560" w:right="745"/>
      </w:pPr>
      <w:r>
        <w:rPr/>
        <w:t>The OCSE Self-Assessment Workgroup proposed that the states attain a sample that achieved at least a 90 percent confidence level. The Workgroup elaborated that past federal audits followed a methodology that enabled them to achieve a 95 percent confidence level by randomly selecting 500 cases from the state’s IV- D open case universe. They explained that the federal methodology is well documented and that by utilizing the same sample selection procedures, a 250 case sample would achieve the desired 90 percent confidence level. The review team chose to conduct a 500 case review. The cases were drawn using the federal methodology for case selection and were randomly selected by using Statistical Analysis System (SAS) programming to extract the information from flat files.</w:t>
      </w:r>
    </w:p>
    <w:p>
      <w:pPr>
        <w:pStyle w:val="BodyText"/>
        <w:rPr>
          <w:sz w:val="20"/>
        </w:rPr>
      </w:pPr>
    </w:p>
    <w:p>
      <w:pPr>
        <w:pStyle w:val="BodyText"/>
        <w:rPr>
          <w:sz w:val="20"/>
        </w:rPr>
      </w:pPr>
    </w:p>
    <w:p>
      <w:pPr>
        <w:pStyle w:val="BodyText"/>
        <w:spacing w:before="3"/>
        <w:rPr>
          <w:sz w:val="13"/>
        </w:rPr>
      </w:pPr>
    </w:p>
    <w:tbl>
      <w:tblPr>
        <w:tblW w:w="0" w:type="auto"/>
        <w:jc w:val="left"/>
        <w:tblInd w:w="58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top w:w="0" w:type="dxa"/>
          <w:left w:w="0" w:type="dxa"/>
          <w:bottom w:w="0" w:type="dxa"/>
          <w:right w:w="0" w:type="dxa"/>
        </w:tblCellMar>
        <w:tblLook w:val="01E0"/>
      </w:tblPr>
      <w:tblGrid>
        <w:gridCol w:w="4320"/>
        <w:gridCol w:w="4951"/>
      </w:tblGrid>
      <w:tr>
        <w:trPr>
          <w:trHeight w:val="598" w:hRule="atLeast"/>
        </w:trPr>
        <w:tc>
          <w:tcPr>
            <w:tcW w:w="9271" w:type="dxa"/>
            <w:gridSpan w:val="2"/>
            <w:tcBorders>
              <w:bottom w:val="single" w:sz="6" w:space="0" w:color="000000"/>
            </w:tcBorders>
          </w:tcPr>
          <w:p>
            <w:pPr>
              <w:pStyle w:val="TableParagraph"/>
              <w:spacing w:before="239"/>
              <w:ind w:left="1083" w:right="1078"/>
              <w:jc w:val="center"/>
              <w:rPr>
                <w:b/>
                <w:sz w:val="26"/>
              </w:rPr>
            </w:pPr>
            <w:bookmarkStart w:name="Sampling Criteria for 2008-2009 Self-Ass" w:id="5"/>
            <w:bookmarkEnd w:id="5"/>
            <w:r>
              <w:rPr/>
            </w:r>
            <w:r>
              <w:rPr>
                <w:b/>
                <w:sz w:val="26"/>
              </w:rPr>
              <w:t>Sampling Criteria for 2008-2009 Self-Assessment Review</w:t>
            </w:r>
          </w:p>
        </w:tc>
      </w:tr>
      <w:tr>
        <w:trPr>
          <w:trHeight w:val="599" w:hRule="atLeast"/>
        </w:trPr>
        <w:tc>
          <w:tcPr>
            <w:tcW w:w="4320" w:type="dxa"/>
            <w:tcBorders>
              <w:top w:val="single" w:sz="6" w:space="0" w:color="000000"/>
              <w:bottom w:val="single" w:sz="6" w:space="0" w:color="000000"/>
              <w:right w:val="single" w:sz="6" w:space="0" w:color="000000"/>
            </w:tcBorders>
            <w:shd w:val="clear" w:color="auto" w:fill="CCFFCC"/>
          </w:tcPr>
          <w:p>
            <w:pPr>
              <w:pStyle w:val="TableParagraph"/>
              <w:spacing w:before="238"/>
              <w:ind w:left="1379"/>
              <w:rPr>
                <w:b/>
                <w:sz w:val="26"/>
              </w:rPr>
            </w:pPr>
            <w:bookmarkStart w:name="Sample Item" w:id="6"/>
            <w:bookmarkEnd w:id="6"/>
            <w:r>
              <w:rPr/>
            </w:r>
            <w:r>
              <w:rPr>
                <w:b/>
                <w:sz w:val="26"/>
              </w:rPr>
              <w:t>Sample Item</w:t>
            </w:r>
          </w:p>
        </w:tc>
        <w:tc>
          <w:tcPr>
            <w:tcW w:w="4951" w:type="dxa"/>
            <w:tcBorders>
              <w:top w:val="single" w:sz="6" w:space="0" w:color="000000"/>
              <w:left w:val="single" w:sz="6" w:space="0" w:color="000000"/>
              <w:bottom w:val="single" w:sz="6" w:space="0" w:color="000000"/>
            </w:tcBorders>
            <w:shd w:val="clear" w:color="auto" w:fill="CCFFCC"/>
          </w:tcPr>
          <w:p>
            <w:pPr>
              <w:pStyle w:val="TableParagraph"/>
              <w:spacing w:before="238"/>
              <w:ind w:left="1846" w:right="1822"/>
              <w:jc w:val="center"/>
              <w:rPr>
                <w:b/>
                <w:sz w:val="26"/>
              </w:rPr>
            </w:pPr>
            <w:bookmarkStart w:name="Condition" w:id="7"/>
            <w:bookmarkEnd w:id="7"/>
            <w:r>
              <w:rPr/>
            </w:r>
            <w:r>
              <w:rPr>
                <w:b/>
                <w:sz w:val="26"/>
              </w:rPr>
              <w:t>Condition</w:t>
            </w:r>
          </w:p>
        </w:tc>
      </w:tr>
      <w:tr>
        <w:trPr>
          <w:trHeight w:val="299" w:hRule="atLeast"/>
        </w:trPr>
        <w:tc>
          <w:tcPr>
            <w:tcW w:w="4320" w:type="dxa"/>
            <w:tcBorders>
              <w:top w:val="single" w:sz="6" w:space="0" w:color="000000"/>
              <w:bottom w:val="single" w:sz="6" w:space="0" w:color="000000"/>
              <w:right w:val="single" w:sz="6" w:space="0" w:color="000000"/>
            </w:tcBorders>
          </w:tcPr>
          <w:p>
            <w:pPr>
              <w:pStyle w:val="TableParagraph"/>
              <w:spacing w:line="279" w:lineRule="exact"/>
              <w:ind w:left="92"/>
              <w:rPr>
                <w:sz w:val="26"/>
              </w:rPr>
            </w:pPr>
            <w:bookmarkStart w:name="Field Office" w:id="8"/>
            <w:bookmarkEnd w:id="8"/>
            <w:r>
              <w:rPr/>
            </w:r>
            <w:r>
              <w:rPr>
                <w:sz w:val="26"/>
              </w:rPr>
              <w:t>Field Office</w:t>
            </w:r>
          </w:p>
        </w:tc>
        <w:tc>
          <w:tcPr>
            <w:tcW w:w="4951" w:type="dxa"/>
            <w:tcBorders>
              <w:top w:val="single" w:sz="6" w:space="0" w:color="000000"/>
              <w:left w:val="single" w:sz="6" w:space="0" w:color="000000"/>
              <w:bottom w:val="single" w:sz="6" w:space="0" w:color="000000"/>
            </w:tcBorders>
          </w:tcPr>
          <w:p>
            <w:pPr>
              <w:pStyle w:val="TableParagraph"/>
              <w:spacing w:line="279" w:lineRule="exact"/>
              <w:ind w:left="107"/>
              <w:rPr>
                <w:sz w:val="26"/>
              </w:rPr>
            </w:pPr>
            <w:r>
              <w:rPr>
                <w:sz w:val="26"/>
              </w:rPr>
              <w:t>Statewide</w:t>
            </w:r>
          </w:p>
        </w:tc>
      </w:tr>
      <w:tr>
        <w:trPr>
          <w:trHeight w:val="299" w:hRule="atLeast"/>
        </w:trPr>
        <w:tc>
          <w:tcPr>
            <w:tcW w:w="4320" w:type="dxa"/>
            <w:tcBorders>
              <w:top w:val="single" w:sz="6" w:space="0" w:color="000000"/>
              <w:bottom w:val="single" w:sz="6" w:space="0" w:color="000000"/>
              <w:right w:val="single" w:sz="6" w:space="0" w:color="000000"/>
            </w:tcBorders>
          </w:tcPr>
          <w:p>
            <w:pPr>
              <w:pStyle w:val="TableParagraph"/>
              <w:spacing w:line="279" w:lineRule="exact"/>
              <w:ind w:left="92"/>
              <w:rPr>
                <w:sz w:val="26"/>
              </w:rPr>
            </w:pPr>
            <w:r>
              <w:rPr>
                <w:sz w:val="26"/>
              </w:rPr>
              <w:t>Status</w:t>
            </w:r>
          </w:p>
        </w:tc>
        <w:tc>
          <w:tcPr>
            <w:tcW w:w="4951" w:type="dxa"/>
            <w:tcBorders>
              <w:top w:val="single" w:sz="6" w:space="0" w:color="000000"/>
              <w:left w:val="single" w:sz="6" w:space="0" w:color="000000"/>
              <w:bottom w:val="single" w:sz="6" w:space="0" w:color="000000"/>
            </w:tcBorders>
          </w:tcPr>
          <w:p>
            <w:pPr>
              <w:pStyle w:val="TableParagraph"/>
              <w:spacing w:line="279" w:lineRule="exact"/>
              <w:ind w:left="107"/>
              <w:rPr>
                <w:sz w:val="26"/>
              </w:rPr>
            </w:pPr>
            <w:r>
              <w:rPr>
                <w:sz w:val="26"/>
              </w:rPr>
              <w:t>Open (10/1/09</w:t>
            </w:r>
            <w:r>
              <w:rPr>
                <w:spacing w:val="69"/>
                <w:sz w:val="26"/>
              </w:rPr>
              <w:t> </w:t>
            </w:r>
            <w:r>
              <w:rPr>
                <w:sz w:val="26"/>
              </w:rPr>
              <w:t>Data)</w:t>
            </w:r>
          </w:p>
        </w:tc>
      </w:tr>
      <w:tr>
        <w:trPr>
          <w:trHeight w:val="297" w:hRule="atLeast"/>
        </w:trPr>
        <w:tc>
          <w:tcPr>
            <w:tcW w:w="4320" w:type="dxa"/>
            <w:tcBorders>
              <w:top w:val="single" w:sz="6" w:space="0" w:color="000000"/>
              <w:bottom w:val="single" w:sz="6" w:space="0" w:color="000000"/>
              <w:right w:val="single" w:sz="6" w:space="0" w:color="000000"/>
            </w:tcBorders>
          </w:tcPr>
          <w:p>
            <w:pPr>
              <w:pStyle w:val="TableParagraph"/>
              <w:spacing w:line="277" w:lineRule="exact"/>
              <w:ind w:left="92"/>
              <w:rPr>
                <w:sz w:val="26"/>
              </w:rPr>
            </w:pPr>
            <w:r>
              <w:rPr>
                <w:sz w:val="26"/>
              </w:rPr>
              <w:t>Case Type</w:t>
            </w:r>
          </w:p>
        </w:tc>
        <w:tc>
          <w:tcPr>
            <w:tcW w:w="4951" w:type="dxa"/>
            <w:tcBorders>
              <w:top w:val="single" w:sz="6" w:space="0" w:color="000000"/>
              <w:left w:val="single" w:sz="6" w:space="0" w:color="000000"/>
              <w:bottom w:val="single" w:sz="6" w:space="0" w:color="000000"/>
            </w:tcBorders>
          </w:tcPr>
          <w:p>
            <w:pPr>
              <w:pStyle w:val="TableParagraph"/>
              <w:spacing w:line="277" w:lineRule="exact"/>
              <w:ind w:left="107"/>
              <w:rPr>
                <w:sz w:val="26"/>
              </w:rPr>
            </w:pPr>
            <w:r>
              <w:rPr>
                <w:sz w:val="26"/>
              </w:rPr>
              <w:t>TANF, Non-TANF, Medicaid, FC-TANF</w:t>
            </w:r>
          </w:p>
        </w:tc>
      </w:tr>
      <w:tr>
        <w:trPr>
          <w:trHeight w:val="299" w:hRule="atLeast"/>
        </w:trPr>
        <w:tc>
          <w:tcPr>
            <w:tcW w:w="4320" w:type="dxa"/>
            <w:tcBorders>
              <w:top w:val="single" w:sz="6" w:space="0" w:color="000000"/>
              <w:bottom w:val="single" w:sz="6" w:space="0" w:color="000000"/>
              <w:right w:val="single" w:sz="6" w:space="0" w:color="000000"/>
            </w:tcBorders>
          </w:tcPr>
          <w:p>
            <w:pPr>
              <w:pStyle w:val="TableParagraph"/>
              <w:spacing w:line="279" w:lineRule="exact"/>
              <w:ind w:left="92"/>
              <w:rPr>
                <w:sz w:val="26"/>
              </w:rPr>
            </w:pPr>
            <w:r>
              <w:rPr>
                <w:sz w:val="26"/>
              </w:rPr>
              <w:t>Subrogated Case Types</w:t>
            </w:r>
          </w:p>
        </w:tc>
        <w:tc>
          <w:tcPr>
            <w:tcW w:w="4951" w:type="dxa"/>
            <w:tcBorders>
              <w:top w:val="single" w:sz="6" w:space="0" w:color="000000"/>
              <w:left w:val="single" w:sz="6" w:space="0" w:color="000000"/>
              <w:bottom w:val="single" w:sz="6" w:space="0" w:color="000000"/>
            </w:tcBorders>
          </w:tcPr>
          <w:p>
            <w:pPr>
              <w:pStyle w:val="TableParagraph"/>
              <w:spacing w:line="279" w:lineRule="exact"/>
              <w:ind w:left="107"/>
              <w:rPr>
                <w:sz w:val="26"/>
              </w:rPr>
            </w:pPr>
            <w:r>
              <w:rPr>
                <w:sz w:val="26"/>
              </w:rPr>
              <w:t>TANF Type1</w:t>
            </w:r>
          </w:p>
        </w:tc>
      </w:tr>
      <w:tr>
        <w:trPr>
          <w:trHeight w:val="301" w:hRule="atLeast"/>
        </w:trPr>
        <w:tc>
          <w:tcPr>
            <w:tcW w:w="4320" w:type="dxa"/>
            <w:tcBorders>
              <w:top w:val="single" w:sz="6" w:space="0" w:color="000000"/>
              <w:right w:val="single" w:sz="6" w:space="0" w:color="000000"/>
            </w:tcBorders>
          </w:tcPr>
          <w:p>
            <w:pPr>
              <w:pStyle w:val="TableParagraph"/>
              <w:spacing w:line="281" w:lineRule="exact"/>
              <w:ind w:left="92"/>
              <w:rPr>
                <w:sz w:val="26"/>
              </w:rPr>
            </w:pPr>
            <w:r>
              <w:rPr>
                <w:sz w:val="26"/>
              </w:rPr>
              <w:t>Interstate Types</w:t>
            </w:r>
          </w:p>
        </w:tc>
        <w:tc>
          <w:tcPr>
            <w:tcW w:w="4951" w:type="dxa"/>
            <w:tcBorders>
              <w:top w:val="single" w:sz="6" w:space="0" w:color="000000"/>
              <w:left w:val="single" w:sz="6" w:space="0" w:color="000000"/>
            </w:tcBorders>
          </w:tcPr>
          <w:p>
            <w:pPr>
              <w:pStyle w:val="TableParagraph"/>
              <w:spacing w:line="281" w:lineRule="exact"/>
              <w:ind w:left="107"/>
              <w:rPr>
                <w:sz w:val="26"/>
              </w:rPr>
            </w:pPr>
            <w:r>
              <w:rPr>
                <w:sz w:val="26"/>
              </w:rPr>
              <w:t>All</w:t>
            </w:r>
          </w:p>
        </w:tc>
      </w:tr>
    </w:tbl>
    <w:p>
      <w:pPr>
        <w:spacing w:after="0" w:line="281" w:lineRule="exact"/>
        <w:rPr>
          <w:sz w:val="26"/>
        </w:rPr>
        <w:sectPr>
          <w:pgSz w:w="12240" w:h="15840"/>
          <w:pgMar w:header="718" w:footer="1038" w:top="1340" w:bottom="1220" w:left="880" w:right="720"/>
        </w:sectPr>
      </w:pPr>
    </w:p>
    <w:p>
      <w:pPr>
        <w:pStyle w:val="Heading3"/>
        <w:numPr>
          <w:ilvl w:val="1"/>
          <w:numId w:val="1"/>
        </w:numPr>
        <w:tabs>
          <w:tab w:pos="1280" w:val="left" w:leader="none"/>
        </w:tabs>
        <w:spacing w:line="240" w:lineRule="auto" w:before="81" w:after="0"/>
        <w:ind w:left="1279" w:right="0" w:hanging="360"/>
        <w:jc w:val="left"/>
      </w:pPr>
      <w:r>
        <w:rPr/>
        <w:t>Universe Definition and Sampling</w:t>
      </w:r>
      <w:r>
        <w:rPr>
          <w:spacing w:val="-1"/>
        </w:rPr>
        <w:t> </w:t>
      </w:r>
      <w:r>
        <w:rPr/>
        <w:t>Procedures</w:t>
      </w:r>
    </w:p>
    <w:p>
      <w:pPr>
        <w:pStyle w:val="BodyText"/>
        <w:rPr>
          <w:b/>
          <w:sz w:val="30"/>
        </w:rPr>
      </w:pPr>
    </w:p>
    <w:p>
      <w:pPr>
        <w:pStyle w:val="Heading4"/>
        <w:spacing w:before="218"/>
        <w:ind w:left="74" w:right="234"/>
        <w:jc w:val="center"/>
      </w:pPr>
      <w:bookmarkStart w:name="Random Sample of IV-D Caseload" w:id="9"/>
      <w:bookmarkEnd w:id="9"/>
      <w:r>
        <w:rPr>
          <w:b w:val="0"/>
        </w:rPr>
      </w:r>
      <w:r>
        <w:rPr>
          <w:u w:val="thick"/>
        </w:rPr>
        <w:t>Random Sample of IV-D Caseload</w:t>
      </w:r>
    </w:p>
    <w:p>
      <w:pPr>
        <w:pStyle w:val="BodyText"/>
        <w:spacing w:before="6"/>
        <w:rPr>
          <w:b/>
          <w:sz w:val="23"/>
        </w:rPr>
      </w:pPr>
    </w:p>
    <w:p>
      <w:pPr>
        <w:pStyle w:val="BodyText"/>
        <w:spacing w:before="91"/>
        <w:ind w:left="560" w:right="812"/>
      </w:pPr>
      <w:r>
        <w:rPr/>
        <w:t>SAS was used to select 500 IV-D cases that met the conditions in the table on page 5. The universe from which the 500 review cases were randomly selected was 353,644. The cases were drawn from the case data available as of October 4, 2009.</w:t>
      </w:r>
    </w:p>
    <w:p>
      <w:pPr>
        <w:pStyle w:val="BodyText"/>
        <w:spacing w:before="10"/>
        <w:rPr>
          <w:sz w:val="12"/>
        </w:rPr>
      </w:pPr>
    </w:p>
    <w:p>
      <w:pPr>
        <w:pStyle w:val="Heading4"/>
        <w:spacing w:before="91"/>
        <w:ind w:left="74" w:right="234"/>
        <w:jc w:val="center"/>
      </w:pPr>
      <w:bookmarkStart w:name="Distribution of Cases" w:id="10"/>
      <w:bookmarkEnd w:id="10"/>
      <w:r>
        <w:rPr>
          <w:b w:val="0"/>
        </w:rPr>
      </w:r>
      <w:r>
        <w:rPr>
          <w:u w:val="thick"/>
        </w:rPr>
        <w:t>Distribution of Cases</w:t>
      </w:r>
    </w:p>
    <w:p>
      <w:pPr>
        <w:pStyle w:val="BodyText"/>
        <w:spacing w:before="5"/>
        <w:rPr>
          <w:b/>
          <w:sz w:val="17"/>
        </w:rPr>
      </w:pPr>
    </w:p>
    <w:p>
      <w:pPr>
        <w:pStyle w:val="BodyText"/>
        <w:spacing w:before="91"/>
        <w:ind w:left="560" w:right="1345"/>
      </w:pPr>
      <w:r>
        <w:rPr/>
        <w:t>The following table shows the distribution of the cases drawn for the original sample by field office:</w:t>
      </w:r>
    </w:p>
    <w:p>
      <w:pPr>
        <w:pStyle w:val="BodyText"/>
        <w:rPr>
          <w:sz w:val="20"/>
        </w:rPr>
      </w:pPr>
    </w:p>
    <w:p>
      <w:pPr>
        <w:pStyle w:val="BodyText"/>
        <w:spacing w:before="4"/>
        <w:rPr>
          <w:sz w:val="10"/>
        </w:rPr>
      </w:pPr>
    </w:p>
    <w:tbl>
      <w:tblPr>
        <w:tblW w:w="0" w:type="auto"/>
        <w:jc w:val="left"/>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96"/>
        <w:gridCol w:w="3096"/>
        <w:gridCol w:w="3096"/>
      </w:tblGrid>
      <w:tr>
        <w:trPr>
          <w:trHeight w:val="419" w:hRule="atLeast"/>
        </w:trPr>
        <w:tc>
          <w:tcPr>
            <w:tcW w:w="3096" w:type="dxa"/>
            <w:shd w:val="clear" w:color="auto" w:fill="CCFFCC"/>
          </w:tcPr>
          <w:p>
            <w:pPr>
              <w:pStyle w:val="TableParagraph"/>
              <w:spacing w:line="297" w:lineRule="exact"/>
              <w:ind w:left="839"/>
              <w:rPr>
                <w:b/>
                <w:sz w:val="26"/>
              </w:rPr>
            </w:pPr>
            <w:r>
              <w:rPr>
                <w:b/>
                <w:sz w:val="26"/>
              </w:rPr>
              <w:t>Field Office</w:t>
            </w:r>
          </w:p>
        </w:tc>
        <w:tc>
          <w:tcPr>
            <w:tcW w:w="3096" w:type="dxa"/>
            <w:shd w:val="clear" w:color="auto" w:fill="CCFFCC"/>
          </w:tcPr>
          <w:p>
            <w:pPr>
              <w:pStyle w:val="TableParagraph"/>
              <w:spacing w:line="297" w:lineRule="exact"/>
              <w:ind w:left="318" w:right="312"/>
              <w:jc w:val="center"/>
              <w:rPr>
                <w:b/>
                <w:sz w:val="26"/>
              </w:rPr>
            </w:pPr>
            <w:r>
              <w:rPr>
                <w:b/>
                <w:sz w:val="26"/>
              </w:rPr>
              <w:t>Cases Reviewed</w:t>
            </w:r>
          </w:p>
        </w:tc>
        <w:tc>
          <w:tcPr>
            <w:tcW w:w="3096" w:type="dxa"/>
            <w:shd w:val="clear" w:color="auto" w:fill="CCFFCC"/>
          </w:tcPr>
          <w:p>
            <w:pPr>
              <w:pStyle w:val="TableParagraph"/>
              <w:spacing w:line="297" w:lineRule="exact"/>
              <w:ind w:left="318" w:right="314"/>
              <w:jc w:val="center"/>
              <w:rPr>
                <w:b/>
                <w:sz w:val="26"/>
              </w:rPr>
            </w:pPr>
            <w:r>
              <w:rPr>
                <w:b/>
                <w:sz w:val="26"/>
              </w:rPr>
              <w:t>Percentage of Total</w:t>
            </w:r>
          </w:p>
        </w:tc>
      </w:tr>
      <w:tr>
        <w:trPr>
          <w:trHeight w:val="419" w:hRule="atLeast"/>
        </w:trPr>
        <w:tc>
          <w:tcPr>
            <w:tcW w:w="3096" w:type="dxa"/>
          </w:tcPr>
          <w:p>
            <w:pPr>
              <w:pStyle w:val="TableParagraph"/>
              <w:ind w:left="107"/>
              <w:rPr>
                <w:sz w:val="26"/>
              </w:rPr>
            </w:pPr>
            <w:r>
              <w:rPr>
                <w:sz w:val="26"/>
              </w:rPr>
              <w:t>Seattle</w:t>
            </w:r>
          </w:p>
        </w:tc>
        <w:tc>
          <w:tcPr>
            <w:tcW w:w="3096" w:type="dxa"/>
          </w:tcPr>
          <w:p>
            <w:pPr>
              <w:pStyle w:val="TableParagraph"/>
              <w:ind w:left="318" w:right="314"/>
              <w:jc w:val="center"/>
              <w:rPr>
                <w:sz w:val="26"/>
              </w:rPr>
            </w:pPr>
            <w:r>
              <w:rPr>
                <w:sz w:val="26"/>
              </w:rPr>
              <w:t>69</w:t>
            </w:r>
          </w:p>
        </w:tc>
        <w:tc>
          <w:tcPr>
            <w:tcW w:w="3096" w:type="dxa"/>
          </w:tcPr>
          <w:p>
            <w:pPr>
              <w:pStyle w:val="TableParagraph"/>
              <w:ind w:left="318" w:right="314"/>
              <w:jc w:val="center"/>
              <w:rPr>
                <w:sz w:val="26"/>
              </w:rPr>
            </w:pPr>
            <w:r>
              <w:rPr>
                <w:sz w:val="26"/>
              </w:rPr>
              <w:t>13.8%</w:t>
            </w:r>
          </w:p>
        </w:tc>
      </w:tr>
      <w:tr>
        <w:trPr>
          <w:trHeight w:val="417" w:hRule="atLeast"/>
        </w:trPr>
        <w:tc>
          <w:tcPr>
            <w:tcW w:w="3096" w:type="dxa"/>
          </w:tcPr>
          <w:p>
            <w:pPr>
              <w:pStyle w:val="TableParagraph"/>
              <w:ind w:left="107"/>
              <w:rPr>
                <w:sz w:val="26"/>
              </w:rPr>
            </w:pPr>
            <w:r>
              <w:rPr>
                <w:sz w:val="26"/>
              </w:rPr>
              <w:t>Tacoma</w:t>
            </w:r>
          </w:p>
        </w:tc>
        <w:tc>
          <w:tcPr>
            <w:tcW w:w="3096" w:type="dxa"/>
          </w:tcPr>
          <w:p>
            <w:pPr>
              <w:pStyle w:val="TableParagraph"/>
              <w:ind w:left="318" w:right="314"/>
              <w:jc w:val="center"/>
              <w:rPr>
                <w:sz w:val="26"/>
              </w:rPr>
            </w:pPr>
            <w:r>
              <w:rPr>
                <w:sz w:val="26"/>
              </w:rPr>
              <w:t>56</w:t>
            </w:r>
          </w:p>
        </w:tc>
        <w:tc>
          <w:tcPr>
            <w:tcW w:w="3096" w:type="dxa"/>
          </w:tcPr>
          <w:p>
            <w:pPr>
              <w:pStyle w:val="TableParagraph"/>
              <w:ind w:left="318" w:right="314"/>
              <w:jc w:val="center"/>
              <w:rPr>
                <w:sz w:val="26"/>
              </w:rPr>
            </w:pPr>
            <w:r>
              <w:rPr>
                <w:sz w:val="26"/>
              </w:rPr>
              <w:t>11.2%</w:t>
            </w:r>
          </w:p>
        </w:tc>
      </w:tr>
      <w:tr>
        <w:trPr>
          <w:trHeight w:val="419" w:hRule="atLeast"/>
        </w:trPr>
        <w:tc>
          <w:tcPr>
            <w:tcW w:w="3096" w:type="dxa"/>
          </w:tcPr>
          <w:p>
            <w:pPr>
              <w:pStyle w:val="TableParagraph"/>
              <w:spacing w:before="3"/>
              <w:ind w:left="107"/>
              <w:rPr>
                <w:sz w:val="26"/>
              </w:rPr>
            </w:pPr>
            <w:r>
              <w:rPr>
                <w:sz w:val="26"/>
              </w:rPr>
              <w:t>Everett</w:t>
            </w:r>
          </w:p>
        </w:tc>
        <w:tc>
          <w:tcPr>
            <w:tcW w:w="3096" w:type="dxa"/>
          </w:tcPr>
          <w:p>
            <w:pPr>
              <w:pStyle w:val="TableParagraph"/>
              <w:spacing w:before="3"/>
              <w:ind w:left="318" w:right="314"/>
              <w:jc w:val="center"/>
              <w:rPr>
                <w:sz w:val="26"/>
              </w:rPr>
            </w:pPr>
            <w:r>
              <w:rPr>
                <w:sz w:val="26"/>
              </w:rPr>
              <w:t>73</w:t>
            </w:r>
          </w:p>
        </w:tc>
        <w:tc>
          <w:tcPr>
            <w:tcW w:w="3096" w:type="dxa"/>
          </w:tcPr>
          <w:p>
            <w:pPr>
              <w:pStyle w:val="TableParagraph"/>
              <w:spacing w:before="3"/>
              <w:ind w:left="318" w:right="314"/>
              <w:jc w:val="center"/>
              <w:rPr>
                <w:sz w:val="26"/>
              </w:rPr>
            </w:pPr>
            <w:r>
              <w:rPr>
                <w:sz w:val="26"/>
              </w:rPr>
              <w:t>14.6%</w:t>
            </w:r>
          </w:p>
        </w:tc>
      </w:tr>
      <w:tr>
        <w:trPr>
          <w:trHeight w:val="419" w:hRule="atLeast"/>
        </w:trPr>
        <w:tc>
          <w:tcPr>
            <w:tcW w:w="3096" w:type="dxa"/>
          </w:tcPr>
          <w:p>
            <w:pPr>
              <w:pStyle w:val="TableParagraph"/>
              <w:ind w:left="107"/>
              <w:rPr>
                <w:sz w:val="26"/>
              </w:rPr>
            </w:pPr>
            <w:r>
              <w:rPr>
                <w:sz w:val="26"/>
              </w:rPr>
              <w:t>Yakima</w:t>
            </w:r>
          </w:p>
        </w:tc>
        <w:tc>
          <w:tcPr>
            <w:tcW w:w="3096" w:type="dxa"/>
          </w:tcPr>
          <w:p>
            <w:pPr>
              <w:pStyle w:val="TableParagraph"/>
              <w:ind w:left="318" w:right="314"/>
              <w:jc w:val="center"/>
              <w:rPr>
                <w:sz w:val="26"/>
              </w:rPr>
            </w:pPr>
            <w:r>
              <w:rPr>
                <w:sz w:val="26"/>
              </w:rPr>
              <w:t>28</w:t>
            </w:r>
          </w:p>
        </w:tc>
        <w:tc>
          <w:tcPr>
            <w:tcW w:w="3096" w:type="dxa"/>
          </w:tcPr>
          <w:p>
            <w:pPr>
              <w:pStyle w:val="TableParagraph"/>
              <w:ind w:left="318" w:right="242"/>
              <w:jc w:val="center"/>
              <w:rPr>
                <w:sz w:val="26"/>
              </w:rPr>
            </w:pPr>
            <w:r>
              <w:rPr>
                <w:sz w:val="26"/>
              </w:rPr>
              <w:t>5.6%</w:t>
            </w:r>
          </w:p>
        </w:tc>
      </w:tr>
      <w:tr>
        <w:trPr>
          <w:trHeight w:val="419" w:hRule="atLeast"/>
        </w:trPr>
        <w:tc>
          <w:tcPr>
            <w:tcW w:w="3096" w:type="dxa"/>
          </w:tcPr>
          <w:p>
            <w:pPr>
              <w:pStyle w:val="TableParagraph"/>
              <w:ind w:left="107"/>
              <w:rPr>
                <w:sz w:val="26"/>
              </w:rPr>
            </w:pPr>
            <w:r>
              <w:rPr>
                <w:sz w:val="26"/>
              </w:rPr>
              <w:t>Spokane</w:t>
            </w:r>
          </w:p>
        </w:tc>
        <w:tc>
          <w:tcPr>
            <w:tcW w:w="3096" w:type="dxa"/>
          </w:tcPr>
          <w:p>
            <w:pPr>
              <w:pStyle w:val="TableParagraph"/>
              <w:ind w:left="318" w:right="314"/>
              <w:jc w:val="center"/>
              <w:rPr>
                <w:sz w:val="26"/>
              </w:rPr>
            </w:pPr>
            <w:r>
              <w:rPr>
                <w:sz w:val="26"/>
              </w:rPr>
              <w:t>51</w:t>
            </w:r>
          </w:p>
        </w:tc>
        <w:tc>
          <w:tcPr>
            <w:tcW w:w="3096" w:type="dxa"/>
          </w:tcPr>
          <w:p>
            <w:pPr>
              <w:pStyle w:val="TableParagraph"/>
              <w:ind w:left="318" w:right="314"/>
              <w:jc w:val="center"/>
              <w:rPr>
                <w:sz w:val="26"/>
              </w:rPr>
            </w:pPr>
            <w:r>
              <w:rPr>
                <w:sz w:val="26"/>
              </w:rPr>
              <w:t>10.2%</w:t>
            </w:r>
          </w:p>
        </w:tc>
      </w:tr>
      <w:tr>
        <w:trPr>
          <w:trHeight w:val="417" w:hRule="atLeast"/>
        </w:trPr>
        <w:tc>
          <w:tcPr>
            <w:tcW w:w="3096" w:type="dxa"/>
          </w:tcPr>
          <w:p>
            <w:pPr>
              <w:pStyle w:val="TableParagraph"/>
              <w:ind w:left="107"/>
              <w:rPr>
                <w:sz w:val="26"/>
              </w:rPr>
            </w:pPr>
            <w:r>
              <w:rPr>
                <w:sz w:val="26"/>
              </w:rPr>
              <w:t>Olympia</w:t>
            </w:r>
          </w:p>
        </w:tc>
        <w:tc>
          <w:tcPr>
            <w:tcW w:w="3096" w:type="dxa"/>
          </w:tcPr>
          <w:p>
            <w:pPr>
              <w:pStyle w:val="TableParagraph"/>
              <w:ind w:left="318" w:right="314"/>
              <w:jc w:val="center"/>
              <w:rPr>
                <w:sz w:val="26"/>
              </w:rPr>
            </w:pPr>
            <w:r>
              <w:rPr>
                <w:sz w:val="26"/>
              </w:rPr>
              <w:t>55</w:t>
            </w:r>
          </w:p>
        </w:tc>
        <w:tc>
          <w:tcPr>
            <w:tcW w:w="3096" w:type="dxa"/>
          </w:tcPr>
          <w:p>
            <w:pPr>
              <w:pStyle w:val="TableParagraph"/>
              <w:ind w:left="318" w:right="314"/>
              <w:jc w:val="center"/>
              <w:rPr>
                <w:sz w:val="26"/>
              </w:rPr>
            </w:pPr>
            <w:r>
              <w:rPr>
                <w:sz w:val="26"/>
              </w:rPr>
              <w:t>11.0%</w:t>
            </w:r>
          </w:p>
        </w:tc>
      </w:tr>
      <w:tr>
        <w:trPr>
          <w:trHeight w:val="419" w:hRule="atLeast"/>
        </w:trPr>
        <w:tc>
          <w:tcPr>
            <w:tcW w:w="3096" w:type="dxa"/>
          </w:tcPr>
          <w:p>
            <w:pPr>
              <w:pStyle w:val="TableParagraph"/>
              <w:ind w:left="107"/>
              <w:rPr>
                <w:sz w:val="26"/>
              </w:rPr>
            </w:pPr>
            <w:r>
              <w:rPr>
                <w:sz w:val="26"/>
              </w:rPr>
              <w:t>Wenatchee</w:t>
            </w:r>
          </w:p>
        </w:tc>
        <w:tc>
          <w:tcPr>
            <w:tcW w:w="3096" w:type="dxa"/>
          </w:tcPr>
          <w:p>
            <w:pPr>
              <w:pStyle w:val="TableParagraph"/>
              <w:ind w:left="318" w:right="314"/>
              <w:jc w:val="center"/>
              <w:rPr>
                <w:sz w:val="26"/>
              </w:rPr>
            </w:pPr>
            <w:r>
              <w:rPr>
                <w:sz w:val="26"/>
              </w:rPr>
              <w:t>29</w:t>
            </w:r>
          </w:p>
        </w:tc>
        <w:tc>
          <w:tcPr>
            <w:tcW w:w="3096" w:type="dxa"/>
          </w:tcPr>
          <w:p>
            <w:pPr>
              <w:pStyle w:val="TableParagraph"/>
              <w:ind w:left="318" w:right="242"/>
              <w:jc w:val="center"/>
              <w:rPr>
                <w:sz w:val="26"/>
              </w:rPr>
            </w:pPr>
            <w:r>
              <w:rPr>
                <w:sz w:val="26"/>
              </w:rPr>
              <w:t>5.8%</w:t>
            </w:r>
          </w:p>
        </w:tc>
      </w:tr>
      <w:tr>
        <w:trPr>
          <w:trHeight w:val="419" w:hRule="atLeast"/>
        </w:trPr>
        <w:tc>
          <w:tcPr>
            <w:tcW w:w="3096" w:type="dxa"/>
          </w:tcPr>
          <w:p>
            <w:pPr>
              <w:pStyle w:val="TableParagraph"/>
              <w:ind w:left="107"/>
              <w:rPr>
                <w:sz w:val="26"/>
              </w:rPr>
            </w:pPr>
            <w:r>
              <w:rPr>
                <w:sz w:val="26"/>
              </w:rPr>
              <w:t>Vancouver</w:t>
            </w:r>
          </w:p>
        </w:tc>
        <w:tc>
          <w:tcPr>
            <w:tcW w:w="3096" w:type="dxa"/>
          </w:tcPr>
          <w:p>
            <w:pPr>
              <w:pStyle w:val="TableParagraph"/>
              <w:ind w:left="318" w:right="314"/>
              <w:jc w:val="center"/>
              <w:rPr>
                <w:sz w:val="26"/>
              </w:rPr>
            </w:pPr>
            <w:r>
              <w:rPr>
                <w:sz w:val="26"/>
              </w:rPr>
              <w:t>65</w:t>
            </w:r>
          </w:p>
        </w:tc>
        <w:tc>
          <w:tcPr>
            <w:tcW w:w="3096" w:type="dxa"/>
          </w:tcPr>
          <w:p>
            <w:pPr>
              <w:pStyle w:val="TableParagraph"/>
              <w:ind w:left="318" w:right="314"/>
              <w:jc w:val="center"/>
              <w:rPr>
                <w:sz w:val="26"/>
              </w:rPr>
            </w:pPr>
            <w:r>
              <w:rPr>
                <w:sz w:val="26"/>
              </w:rPr>
              <w:t>13.0%</w:t>
            </w:r>
          </w:p>
        </w:tc>
      </w:tr>
      <w:tr>
        <w:trPr>
          <w:trHeight w:val="419" w:hRule="atLeast"/>
        </w:trPr>
        <w:tc>
          <w:tcPr>
            <w:tcW w:w="3096" w:type="dxa"/>
          </w:tcPr>
          <w:p>
            <w:pPr>
              <w:pStyle w:val="TableParagraph"/>
              <w:ind w:left="107"/>
              <w:rPr>
                <w:sz w:val="26"/>
              </w:rPr>
            </w:pPr>
            <w:r>
              <w:rPr>
                <w:sz w:val="26"/>
              </w:rPr>
              <w:t>Fife</w:t>
            </w:r>
          </w:p>
        </w:tc>
        <w:tc>
          <w:tcPr>
            <w:tcW w:w="3096" w:type="dxa"/>
          </w:tcPr>
          <w:p>
            <w:pPr>
              <w:pStyle w:val="TableParagraph"/>
              <w:ind w:left="318" w:right="314"/>
              <w:jc w:val="center"/>
              <w:rPr>
                <w:sz w:val="26"/>
              </w:rPr>
            </w:pPr>
            <w:r>
              <w:rPr>
                <w:sz w:val="26"/>
              </w:rPr>
              <w:t>55</w:t>
            </w:r>
          </w:p>
        </w:tc>
        <w:tc>
          <w:tcPr>
            <w:tcW w:w="3096" w:type="dxa"/>
          </w:tcPr>
          <w:p>
            <w:pPr>
              <w:pStyle w:val="TableParagraph"/>
              <w:ind w:left="318" w:right="314"/>
              <w:jc w:val="center"/>
              <w:rPr>
                <w:sz w:val="26"/>
              </w:rPr>
            </w:pPr>
            <w:r>
              <w:rPr>
                <w:sz w:val="26"/>
              </w:rPr>
              <w:t>11.0%</w:t>
            </w:r>
          </w:p>
        </w:tc>
      </w:tr>
      <w:tr>
        <w:trPr>
          <w:trHeight w:val="417" w:hRule="atLeast"/>
        </w:trPr>
        <w:tc>
          <w:tcPr>
            <w:tcW w:w="3096" w:type="dxa"/>
          </w:tcPr>
          <w:p>
            <w:pPr>
              <w:pStyle w:val="TableParagraph"/>
              <w:ind w:left="107"/>
              <w:rPr>
                <w:sz w:val="26"/>
              </w:rPr>
            </w:pPr>
            <w:r>
              <w:rPr>
                <w:sz w:val="26"/>
              </w:rPr>
              <w:t>Kennewick</w:t>
            </w:r>
          </w:p>
        </w:tc>
        <w:tc>
          <w:tcPr>
            <w:tcW w:w="3096" w:type="dxa"/>
          </w:tcPr>
          <w:p>
            <w:pPr>
              <w:pStyle w:val="TableParagraph"/>
              <w:ind w:left="318" w:right="314"/>
              <w:jc w:val="center"/>
              <w:rPr>
                <w:sz w:val="26"/>
              </w:rPr>
            </w:pPr>
            <w:r>
              <w:rPr>
                <w:sz w:val="26"/>
              </w:rPr>
              <w:t>19</w:t>
            </w:r>
          </w:p>
        </w:tc>
        <w:tc>
          <w:tcPr>
            <w:tcW w:w="3096" w:type="dxa"/>
          </w:tcPr>
          <w:p>
            <w:pPr>
              <w:pStyle w:val="TableParagraph"/>
              <w:ind w:left="318" w:right="242"/>
              <w:jc w:val="center"/>
              <w:rPr>
                <w:sz w:val="26"/>
              </w:rPr>
            </w:pPr>
            <w:r>
              <w:rPr>
                <w:sz w:val="26"/>
              </w:rPr>
              <w:t>3.8%</w:t>
            </w:r>
          </w:p>
        </w:tc>
      </w:tr>
    </w:tbl>
    <w:p>
      <w:pPr>
        <w:spacing w:before="0"/>
        <w:ind w:left="560" w:right="0" w:firstLine="0"/>
        <w:jc w:val="left"/>
        <w:rPr>
          <w:sz w:val="16"/>
        </w:rPr>
      </w:pPr>
      <w:r>
        <w:rPr>
          <w:sz w:val="16"/>
        </w:rPr>
        <w:t>This distribution is consistent with the distribution of the total caseload as reported by the OS.</w:t>
      </w: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5"/>
        <w:rPr>
          <w:sz w:val="23"/>
        </w:rPr>
      </w:pPr>
    </w:p>
    <w:p>
      <w:pPr>
        <w:pStyle w:val="Heading4"/>
        <w:ind w:left="74" w:right="233"/>
        <w:jc w:val="center"/>
      </w:pPr>
      <w:bookmarkStart w:name="Focused Sample for Case Closure" w:id="11"/>
      <w:bookmarkEnd w:id="11"/>
      <w:r>
        <w:rPr>
          <w:b w:val="0"/>
        </w:rPr>
      </w:r>
      <w:r>
        <w:rPr>
          <w:u w:val="thick"/>
        </w:rPr>
        <w:t>Focused Sample for Case Closure</w:t>
      </w:r>
    </w:p>
    <w:p>
      <w:pPr>
        <w:pStyle w:val="BodyText"/>
        <w:spacing w:before="4"/>
        <w:rPr>
          <w:b/>
          <w:sz w:val="25"/>
        </w:rPr>
      </w:pPr>
    </w:p>
    <w:p>
      <w:pPr>
        <w:pStyle w:val="BodyText"/>
        <w:spacing w:before="91"/>
        <w:ind w:left="559" w:right="1058"/>
        <w:jc w:val="both"/>
        <w:rPr>
          <w:rFonts w:ascii="Times New Roman"/>
          <w:sz w:val="20"/>
        </w:rPr>
      </w:pPr>
      <w:r>
        <w:rPr/>
        <w:t>In the initial selection of 500 cases, SAS could not isolate sufficient cases that were closed during the review period, October 1, 2008 through September 30, 2009. To ensure compliance, an additional focused sample of 350 cases was randomly selected from those cases closed after September 30, 2008</w:t>
      </w:r>
      <w:r>
        <w:rPr>
          <w:rFonts w:ascii="Times New Roman"/>
          <w:sz w:val="20"/>
        </w:rPr>
        <w:t>.</w:t>
      </w:r>
    </w:p>
    <w:p>
      <w:pPr>
        <w:spacing w:after="0"/>
        <w:jc w:val="both"/>
        <w:rPr>
          <w:rFonts w:ascii="Times New Roman"/>
          <w:sz w:val="20"/>
        </w:rPr>
        <w:sectPr>
          <w:pgSz w:w="12240" w:h="15840"/>
          <w:pgMar w:header="718" w:footer="1038" w:top="1340" w:bottom="1220" w:left="880" w:right="720"/>
        </w:sectPr>
      </w:pPr>
    </w:p>
    <w:p>
      <w:pPr>
        <w:pStyle w:val="Heading4"/>
        <w:spacing w:before="83"/>
        <w:ind w:left="74" w:right="230"/>
        <w:jc w:val="center"/>
      </w:pPr>
      <w:bookmarkStart w:name="Focused Sample for Expedited Process" w:id="12"/>
      <w:bookmarkEnd w:id="12"/>
      <w:r>
        <w:rPr>
          <w:b w:val="0"/>
        </w:rPr>
      </w:r>
      <w:r>
        <w:rPr>
          <w:u w:val="thick"/>
        </w:rPr>
        <w:t>Focused Sample for Expedited Process</w:t>
      </w:r>
    </w:p>
    <w:p>
      <w:pPr>
        <w:pStyle w:val="BodyText"/>
        <w:spacing w:before="5"/>
        <w:rPr>
          <w:b/>
          <w:sz w:val="17"/>
        </w:rPr>
      </w:pPr>
    </w:p>
    <w:p>
      <w:pPr>
        <w:pStyle w:val="BodyText"/>
        <w:spacing w:before="91"/>
        <w:ind w:left="560" w:right="767"/>
      </w:pPr>
      <w:r>
        <w:rPr/>
        <w:t>Expedited Process was an audit issue in only 37 cases in the main sample. To ensure statistical significance of the sample an additional 150 cases were randomly selected using SAS. Out of 187 cases, 171 cases were relevant to our view. The program was unable to isolate cases that were served a notice during a specific time period. In order to select the required sample for the expedited process measures, cases were chosen that had an order entered after September 30, 2008. These cases were reviewed only for the expedited process measure.</w:t>
      </w:r>
    </w:p>
    <w:p>
      <w:pPr>
        <w:pStyle w:val="BodyText"/>
        <w:spacing w:before="229"/>
        <w:ind w:left="560" w:right="767"/>
      </w:pPr>
      <w:r>
        <w:rPr/>
        <w:t>Statistical significance in each program area was proven by computing Efficiency Rate, Standard Error Rate and Confidence Level based on guidance from the April 2002 TEMPO publication. A 90 percent confidence level was used as stipulated in federal regulations.</w:t>
      </w:r>
    </w:p>
    <w:p>
      <w:pPr>
        <w:pStyle w:val="BodyText"/>
        <w:rPr>
          <w:sz w:val="20"/>
        </w:rPr>
      </w:pPr>
    </w:p>
    <w:p>
      <w:pPr>
        <w:pStyle w:val="BodyText"/>
        <w:rPr>
          <w:sz w:val="20"/>
        </w:rPr>
      </w:pPr>
    </w:p>
    <w:p>
      <w:pPr>
        <w:pStyle w:val="BodyText"/>
        <w:spacing w:after="1"/>
        <w:rPr>
          <w:sz w:val="12"/>
        </w:r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98"/>
        <w:gridCol w:w="1384"/>
        <w:gridCol w:w="1732"/>
        <w:gridCol w:w="1946"/>
        <w:gridCol w:w="1948"/>
      </w:tblGrid>
      <w:tr>
        <w:trPr>
          <w:trHeight w:val="1446" w:hRule="atLeast"/>
        </w:trPr>
        <w:tc>
          <w:tcPr>
            <w:tcW w:w="2198" w:type="dxa"/>
            <w:shd w:val="clear" w:color="auto" w:fill="CCFFCC"/>
          </w:tcPr>
          <w:p>
            <w:pPr>
              <w:pStyle w:val="TableParagraph"/>
              <w:rPr>
                <w:sz w:val="28"/>
              </w:rPr>
            </w:pPr>
          </w:p>
          <w:p>
            <w:pPr>
              <w:pStyle w:val="TableParagraph"/>
              <w:rPr>
                <w:sz w:val="28"/>
              </w:rPr>
            </w:pPr>
          </w:p>
          <w:p>
            <w:pPr>
              <w:pStyle w:val="TableParagraph"/>
              <w:spacing w:line="300" w:lineRule="atLeast" w:before="200"/>
              <w:ind w:left="498" w:hanging="195"/>
              <w:rPr>
                <w:b/>
                <w:sz w:val="26"/>
              </w:rPr>
            </w:pPr>
            <w:r>
              <w:rPr>
                <w:b/>
                <w:w w:val="95"/>
                <w:sz w:val="26"/>
              </w:rPr>
              <w:t>Performance </w:t>
            </w:r>
            <w:r>
              <w:rPr>
                <w:b/>
                <w:sz w:val="26"/>
              </w:rPr>
              <w:t>Measures</w:t>
            </w:r>
          </w:p>
        </w:tc>
        <w:tc>
          <w:tcPr>
            <w:tcW w:w="1384" w:type="dxa"/>
            <w:shd w:val="clear" w:color="auto" w:fill="CCFFCC"/>
          </w:tcPr>
          <w:p>
            <w:pPr>
              <w:pStyle w:val="TableParagraph"/>
              <w:rPr>
                <w:sz w:val="28"/>
              </w:rPr>
            </w:pPr>
          </w:p>
          <w:p>
            <w:pPr>
              <w:pStyle w:val="TableParagraph"/>
              <w:rPr>
                <w:sz w:val="28"/>
              </w:rPr>
            </w:pPr>
          </w:p>
          <w:p>
            <w:pPr>
              <w:pStyle w:val="TableParagraph"/>
              <w:spacing w:line="300" w:lineRule="atLeast" w:before="200"/>
              <w:ind w:left="432" w:hanging="202"/>
              <w:rPr>
                <w:b/>
                <w:sz w:val="26"/>
              </w:rPr>
            </w:pPr>
            <w:r>
              <w:rPr>
                <w:b/>
                <w:w w:val="95"/>
                <w:sz w:val="26"/>
              </w:rPr>
              <w:t>Sample </w:t>
            </w:r>
            <w:r>
              <w:rPr>
                <w:b/>
                <w:sz w:val="26"/>
              </w:rPr>
              <w:t>Size</w:t>
            </w:r>
          </w:p>
        </w:tc>
        <w:tc>
          <w:tcPr>
            <w:tcW w:w="1732" w:type="dxa"/>
            <w:shd w:val="clear" w:color="auto" w:fill="CCFFCC"/>
          </w:tcPr>
          <w:p>
            <w:pPr>
              <w:pStyle w:val="TableParagraph"/>
              <w:rPr>
                <w:sz w:val="28"/>
              </w:rPr>
            </w:pPr>
          </w:p>
          <w:p>
            <w:pPr>
              <w:pStyle w:val="TableParagraph"/>
              <w:rPr>
                <w:sz w:val="28"/>
              </w:rPr>
            </w:pPr>
          </w:p>
          <w:p>
            <w:pPr>
              <w:pStyle w:val="TableParagraph"/>
              <w:spacing w:line="300" w:lineRule="atLeast" w:before="200"/>
              <w:ind w:left="584" w:right="221" w:hanging="332"/>
              <w:rPr>
                <w:b/>
                <w:sz w:val="26"/>
              </w:rPr>
            </w:pPr>
            <w:r>
              <w:rPr>
                <w:b/>
                <w:sz w:val="26"/>
              </w:rPr>
              <w:t>Efficiency Rate</w:t>
            </w:r>
          </w:p>
        </w:tc>
        <w:tc>
          <w:tcPr>
            <w:tcW w:w="1946" w:type="dxa"/>
            <w:shd w:val="clear" w:color="auto" w:fill="CCFFCC"/>
          </w:tcPr>
          <w:p>
            <w:pPr>
              <w:pStyle w:val="TableParagraph"/>
              <w:rPr>
                <w:sz w:val="28"/>
              </w:rPr>
            </w:pPr>
          </w:p>
          <w:p>
            <w:pPr>
              <w:pStyle w:val="TableParagraph"/>
              <w:spacing w:before="226"/>
              <w:ind w:left="268" w:right="252"/>
              <w:jc w:val="center"/>
              <w:rPr>
                <w:b/>
                <w:sz w:val="26"/>
              </w:rPr>
            </w:pPr>
            <w:r>
              <w:rPr>
                <w:b/>
                <w:spacing w:val="-1"/>
                <w:sz w:val="26"/>
              </w:rPr>
              <w:t>Confidence </w:t>
            </w:r>
            <w:r>
              <w:rPr>
                <w:b/>
                <w:sz w:val="26"/>
              </w:rPr>
              <w:t>Interval</w:t>
            </w:r>
          </w:p>
          <w:p>
            <w:pPr>
              <w:pStyle w:val="TableParagraph"/>
              <w:spacing w:line="281" w:lineRule="exact"/>
              <w:ind w:left="263" w:right="252"/>
              <w:jc w:val="center"/>
              <w:rPr>
                <w:b/>
                <w:sz w:val="26"/>
              </w:rPr>
            </w:pPr>
            <w:r>
              <w:rPr>
                <w:b/>
                <w:sz w:val="26"/>
              </w:rPr>
              <w:t>(upper)</w:t>
            </w:r>
          </w:p>
        </w:tc>
        <w:tc>
          <w:tcPr>
            <w:tcW w:w="1948" w:type="dxa"/>
            <w:shd w:val="clear" w:color="auto" w:fill="CCFFCC"/>
          </w:tcPr>
          <w:p>
            <w:pPr>
              <w:pStyle w:val="TableParagraph"/>
              <w:rPr>
                <w:sz w:val="28"/>
              </w:rPr>
            </w:pPr>
          </w:p>
          <w:p>
            <w:pPr>
              <w:pStyle w:val="TableParagraph"/>
              <w:spacing w:before="226"/>
              <w:ind w:left="268" w:right="254"/>
              <w:jc w:val="center"/>
              <w:rPr>
                <w:b/>
                <w:sz w:val="26"/>
              </w:rPr>
            </w:pPr>
            <w:r>
              <w:rPr>
                <w:b/>
                <w:spacing w:val="-1"/>
                <w:sz w:val="26"/>
              </w:rPr>
              <w:t>Confidence </w:t>
            </w:r>
            <w:r>
              <w:rPr>
                <w:b/>
                <w:sz w:val="26"/>
              </w:rPr>
              <w:t>Interval</w:t>
            </w:r>
          </w:p>
          <w:p>
            <w:pPr>
              <w:pStyle w:val="TableParagraph"/>
              <w:spacing w:line="281" w:lineRule="exact"/>
              <w:ind w:left="268" w:right="253"/>
              <w:jc w:val="center"/>
              <w:rPr>
                <w:b/>
                <w:sz w:val="26"/>
              </w:rPr>
            </w:pPr>
            <w:r>
              <w:rPr>
                <w:b/>
                <w:sz w:val="26"/>
              </w:rPr>
              <w:t>(lower)</w:t>
            </w:r>
          </w:p>
        </w:tc>
      </w:tr>
      <w:tr>
        <w:trPr>
          <w:trHeight w:val="359" w:hRule="atLeast"/>
        </w:trPr>
        <w:tc>
          <w:tcPr>
            <w:tcW w:w="2198" w:type="dxa"/>
          </w:tcPr>
          <w:p>
            <w:pPr>
              <w:pStyle w:val="TableParagraph"/>
              <w:spacing w:line="279" w:lineRule="exact" w:before="60"/>
              <w:ind w:left="107"/>
              <w:rPr>
                <w:sz w:val="26"/>
              </w:rPr>
            </w:pPr>
            <w:r>
              <w:rPr>
                <w:sz w:val="26"/>
              </w:rPr>
              <w:t>Closure</w:t>
            </w:r>
          </w:p>
        </w:tc>
        <w:tc>
          <w:tcPr>
            <w:tcW w:w="1384" w:type="dxa"/>
          </w:tcPr>
          <w:p>
            <w:pPr>
              <w:pStyle w:val="TableParagraph"/>
              <w:spacing w:line="279" w:lineRule="exact" w:before="60"/>
              <w:ind w:left="454" w:right="446"/>
              <w:jc w:val="center"/>
              <w:rPr>
                <w:sz w:val="26"/>
              </w:rPr>
            </w:pPr>
            <w:r>
              <w:rPr>
                <w:sz w:val="26"/>
              </w:rPr>
              <w:t>351</w:t>
            </w:r>
          </w:p>
        </w:tc>
        <w:tc>
          <w:tcPr>
            <w:tcW w:w="1732" w:type="dxa"/>
          </w:tcPr>
          <w:p>
            <w:pPr>
              <w:pStyle w:val="TableParagraph"/>
              <w:spacing w:line="279" w:lineRule="exact" w:before="60"/>
              <w:ind w:left="512" w:right="504"/>
              <w:jc w:val="center"/>
              <w:rPr>
                <w:sz w:val="26"/>
              </w:rPr>
            </w:pPr>
            <w:r>
              <w:rPr>
                <w:sz w:val="26"/>
              </w:rPr>
              <w:t>92%</w:t>
            </w:r>
          </w:p>
        </w:tc>
        <w:tc>
          <w:tcPr>
            <w:tcW w:w="1946" w:type="dxa"/>
          </w:tcPr>
          <w:p>
            <w:pPr>
              <w:pStyle w:val="TableParagraph"/>
              <w:spacing w:line="279" w:lineRule="exact" w:before="60"/>
              <w:ind w:left="263" w:right="252"/>
              <w:jc w:val="center"/>
              <w:rPr>
                <w:sz w:val="26"/>
              </w:rPr>
            </w:pPr>
            <w:r>
              <w:rPr>
                <w:sz w:val="26"/>
              </w:rPr>
              <w:t>94.2%</w:t>
            </w:r>
          </w:p>
        </w:tc>
        <w:tc>
          <w:tcPr>
            <w:tcW w:w="1948" w:type="dxa"/>
          </w:tcPr>
          <w:p>
            <w:pPr>
              <w:pStyle w:val="TableParagraph"/>
              <w:spacing w:line="279" w:lineRule="exact" w:before="60"/>
              <w:ind w:left="264" w:right="254"/>
              <w:jc w:val="center"/>
              <w:rPr>
                <w:sz w:val="26"/>
              </w:rPr>
            </w:pPr>
            <w:r>
              <w:rPr>
                <w:sz w:val="26"/>
              </w:rPr>
              <w:t>89.8%</w:t>
            </w:r>
          </w:p>
        </w:tc>
      </w:tr>
      <w:tr>
        <w:trPr>
          <w:trHeight w:val="361" w:hRule="atLeast"/>
        </w:trPr>
        <w:tc>
          <w:tcPr>
            <w:tcW w:w="2198" w:type="dxa"/>
          </w:tcPr>
          <w:p>
            <w:pPr>
              <w:pStyle w:val="TableParagraph"/>
              <w:spacing w:line="279" w:lineRule="exact" w:before="63"/>
              <w:ind w:left="107"/>
              <w:rPr>
                <w:sz w:val="26"/>
              </w:rPr>
            </w:pPr>
            <w:r>
              <w:rPr>
                <w:sz w:val="26"/>
              </w:rPr>
              <w:t>Establishment</w:t>
            </w:r>
          </w:p>
        </w:tc>
        <w:tc>
          <w:tcPr>
            <w:tcW w:w="1384" w:type="dxa"/>
          </w:tcPr>
          <w:p>
            <w:pPr>
              <w:pStyle w:val="TableParagraph"/>
              <w:spacing w:line="279" w:lineRule="exact" w:before="63"/>
              <w:ind w:left="454" w:right="446"/>
              <w:jc w:val="center"/>
              <w:rPr>
                <w:sz w:val="26"/>
              </w:rPr>
            </w:pPr>
            <w:r>
              <w:rPr>
                <w:sz w:val="26"/>
              </w:rPr>
              <w:t>86</w:t>
            </w:r>
          </w:p>
        </w:tc>
        <w:tc>
          <w:tcPr>
            <w:tcW w:w="1732" w:type="dxa"/>
          </w:tcPr>
          <w:p>
            <w:pPr>
              <w:pStyle w:val="TableParagraph"/>
              <w:spacing w:line="279" w:lineRule="exact" w:before="63"/>
              <w:ind w:left="512" w:right="504"/>
              <w:jc w:val="center"/>
              <w:rPr>
                <w:sz w:val="26"/>
              </w:rPr>
            </w:pPr>
            <w:r>
              <w:rPr>
                <w:sz w:val="26"/>
              </w:rPr>
              <w:t>99%</w:t>
            </w:r>
          </w:p>
        </w:tc>
        <w:tc>
          <w:tcPr>
            <w:tcW w:w="1946" w:type="dxa"/>
          </w:tcPr>
          <w:p>
            <w:pPr>
              <w:pStyle w:val="TableParagraph"/>
              <w:spacing w:line="279" w:lineRule="exact" w:before="63"/>
              <w:ind w:left="263" w:right="252"/>
              <w:jc w:val="center"/>
              <w:rPr>
                <w:sz w:val="26"/>
              </w:rPr>
            </w:pPr>
            <w:r>
              <w:rPr>
                <w:sz w:val="26"/>
              </w:rPr>
              <w:t>99.9%</w:t>
            </w:r>
          </w:p>
        </w:tc>
        <w:tc>
          <w:tcPr>
            <w:tcW w:w="1948" w:type="dxa"/>
          </w:tcPr>
          <w:p>
            <w:pPr>
              <w:pStyle w:val="TableParagraph"/>
              <w:spacing w:line="279" w:lineRule="exact" w:before="63"/>
              <w:ind w:left="264" w:right="254"/>
              <w:jc w:val="center"/>
              <w:rPr>
                <w:sz w:val="26"/>
              </w:rPr>
            </w:pPr>
            <w:r>
              <w:rPr>
                <w:sz w:val="26"/>
              </w:rPr>
              <w:t>98.2%</w:t>
            </w:r>
          </w:p>
        </w:tc>
      </w:tr>
      <w:tr>
        <w:trPr>
          <w:trHeight w:val="362" w:hRule="atLeast"/>
        </w:trPr>
        <w:tc>
          <w:tcPr>
            <w:tcW w:w="2198" w:type="dxa"/>
          </w:tcPr>
          <w:p>
            <w:pPr>
              <w:pStyle w:val="TableParagraph"/>
              <w:spacing w:line="279" w:lineRule="exact" w:before="63"/>
              <w:ind w:left="107"/>
              <w:rPr>
                <w:sz w:val="26"/>
              </w:rPr>
            </w:pPr>
            <w:r>
              <w:rPr>
                <w:sz w:val="26"/>
              </w:rPr>
              <w:t>Enforcement</w:t>
            </w:r>
          </w:p>
        </w:tc>
        <w:tc>
          <w:tcPr>
            <w:tcW w:w="1384" w:type="dxa"/>
          </w:tcPr>
          <w:p>
            <w:pPr>
              <w:pStyle w:val="TableParagraph"/>
              <w:spacing w:line="279" w:lineRule="exact" w:before="63"/>
              <w:ind w:left="454" w:right="446"/>
              <w:jc w:val="center"/>
              <w:rPr>
                <w:sz w:val="26"/>
              </w:rPr>
            </w:pPr>
            <w:r>
              <w:rPr>
                <w:sz w:val="26"/>
              </w:rPr>
              <w:t>366</w:t>
            </w:r>
          </w:p>
        </w:tc>
        <w:tc>
          <w:tcPr>
            <w:tcW w:w="1732" w:type="dxa"/>
          </w:tcPr>
          <w:p>
            <w:pPr>
              <w:pStyle w:val="TableParagraph"/>
              <w:spacing w:line="279" w:lineRule="exact" w:before="63"/>
              <w:ind w:left="512" w:right="504"/>
              <w:jc w:val="center"/>
              <w:rPr>
                <w:sz w:val="26"/>
              </w:rPr>
            </w:pPr>
            <w:r>
              <w:rPr>
                <w:sz w:val="26"/>
              </w:rPr>
              <w:t>92%</w:t>
            </w:r>
          </w:p>
        </w:tc>
        <w:tc>
          <w:tcPr>
            <w:tcW w:w="1946" w:type="dxa"/>
          </w:tcPr>
          <w:p>
            <w:pPr>
              <w:pStyle w:val="TableParagraph"/>
              <w:spacing w:line="279" w:lineRule="exact" w:before="63"/>
              <w:ind w:left="263" w:right="252"/>
              <w:jc w:val="center"/>
              <w:rPr>
                <w:sz w:val="26"/>
              </w:rPr>
            </w:pPr>
            <w:r>
              <w:rPr>
                <w:sz w:val="26"/>
              </w:rPr>
              <w:t>94.5%</w:t>
            </w:r>
          </w:p>
        </w:tc>
        <w:tc>
          <w:tcPr>
            <w:tcW w:w="1948" w:type="dxa"/>
          </w:tcPr>
          <w:p>
            <w:pPr>
              <w:pStyle w:val="TableParagraph"/>
              <w:spacing w:line="279" w:lineRule="exact" w:before="63"/>
              <w:ind w:left="264" w:right="254"/>
              <w:jc w:val="center"/>
              <w:rPr>
                <w:sz w:val="26"/>
              </w:rPr>
            </w:pPr>
            <w:r>
              <w:rPr>
                <w:sz w:val="26"/>
              </w:rPr>
              <w:t>90.2%</w:t>
            </w:r>
          </w:p>
        </w:tc>
      </w:tr>
      <w:tr>
        <w:trPr>
          <w:trHeight w:val="359" w:hRule="atLeast"/>
        </w:trPr>
        <w:tc>
          <w:tcPr>
            <w:tcW w:w="2198" w:type="dxa"/>
          </w:tcPr>
          <w:p>
            <w:pPr>
              <w:pStyle w:val="TableParagraph"/>
              <w:spacing w:line="279" w:lineRule="exact" w:before="60"/>
              <w:ind w:left="107"/>
              <w:rPr>
                <w:sz w:val="26"/>
              </w:rPr>
            </w:pPr>
            <w:r>
              <w:rPr>
                <w:sz w:val="26"/>
              </w:rPr>
              <w:t>Disbursement</w:t>
            </w:r>
          </w:p>
        </w:tc>
        <w:tc>
          <w:tcPr>
            <w:tcW w:w="1384" w:type="dxa"/>
          </w:tcPr>
          <w:p>
            <w:pPr>
              <w:pStyle w:val="TableParagraph"/>
              <w:spacing w:line="279" w:lineRule="exact" w:before="60"/>
              <w:ind w:left="454" w:right="446"/>
              <w:jc w:val="center"/>
              <w:rPr>
                <w:sz w:val="26"/>
              </w:rPr>
            </w:pPr>
            <w:r>
              <w:rPr>
                <w:sz w:val="26"/>
              </w:rPr>
              <w:t>230</w:t>
            </w:r>
          </w:p>
        </w:tc>
        <w:tc>
          <w:tcPr>
            <w:tcW w:w="1732" w:type="dxa"/>
          </w:tcPr>
          <w:p>
            <w:pPr>
              <w:pStyle w:val="TableParagraph"/>
              <w:spacing w:line="279" w:lineRule="exact" w:before="60"/>
              <w:ind w:left="512" w:right="504"/>
              <w:jc w:val="center"/>
              <w:rPr>
                <w:sz w:val="26"/>
              </w:rPr>
            </w:pPr>
            <w:r>
              <w:rPr>
                <w:sz w:val="26"/>
              </w:rPr>
              <w:t>99%</w:t>
            </w:r>
          </w:p>
        </w:tc>
        <w:tc>
          <w:tcPr>
            <w:tcW w:w="1946" w:type="dxa"/>
          </w:tcPr>
          <w:p>
            <w:pPr>
              <w:pStyle w:val="TableParagraph"/>
              <w:spacing w:line="279" w:lineRule="exact" w:before="60"/>
              <w:ind w:left="263" w:right="252"/>
              <w:jc w:val="center"/>
              <w:rPr>
                <w:sz w:val="26"/>
              </w:rPr>
            </w:pPr>
            <w:r>
              <w:rPr>
                <w:sz w:val="26"/>
              </w:rPr>
              <w:t>100%</w:t>
            </w:r>
          </w:p>
        </w:tc>
        <w:tc>
          <w:tcPr>
            <w:tcW w:w="1948" w:type="dxa"/>
          </w:tcPr>
          <w:p>
            <w:pPr>
              <w:pStyle w:val="TableParagraph"/>
              <w:spacing w:line="279" w:lineRule="exact" w:before="60"/>
              <w:ind w:left="264" w:right="254"/>
              <w:jc w:val="center"/>
              <w:rPr>
                <w:sz w:val="26"/>
              </w:rPr>
            </w:pPr>
            <w:r>
              <w:rPr>
                <w:sz w:val="26"/>
              </w:rPr>
              <w:t>98.6%</w:t>
            </w:r>
          </w:p>
        </w:tc>
      </w:tr>
      <w:tr>
        <w:trPr>
          <w:trHeight w:val="362" w:hRule="atLeast"/>
        </w:trPr>
        <w:tc>
          <w:tcPr>
            <w:tcW w:w="2198" w:type="dxa"/>
          </w:tcPr>
          <w:p>
            <w:pPr>
              <w:pStyle w:val="TableParagraph"/>
              <w:spacing w:line="279" w:lineRule="exact" w:before="63"/>
              <w:ind w:left="107"/>
              <w:rPr>
                <w:sz w:val="26"/>
              </w:rPr>
            </w:pPr>
            <w:r>
              <w:rPr>
                <w:sz w:val="26"/>
              </w:rPr>
              <w:t>Medical</w:t>
            </w:r>
          </w:p>
        </w:tc>
        <w:tc>
          <w:tcPr>
            <w:tcW w:w="1384" w:type="dxa"/>
          </w:tcPr>
          <w:p>
            <w:pPr>
              <w:pStyle w:val="TableParagraph"/>
              <w:spacing w:line="279" w:lineRule="exact" w:before="63"/>
              <w:ind w:left="454" w:right="446"/>
              <w:jc w:val="center"/>
              <w:rPr>
                <w:sz w:val="26"/>
              </w:rPr>
            </w:pPr>
            <w:r>
              <w:rPr>
                <w:sz w:val="26"/>
              </w:rPr>
              <w:t>277</w:t>
            </w:r>
          </w:p>
        </w:tc>
        <w:tc>
          <w:tcPr>
            <w:tcW w:w="1732" w:type="dxa"/>
          </w:tcPr>
          <w:p>
            <w:pPr>
              <w:pStyle w:val="TableParagraph"/>
              <w:spacing w:line="279" w:lineRule="exact" w:before="63"/>
              <w:ind w:left="512" w:right="504"/>
              <w:jc w:val="center"/>
              <w:rPr>
                <w:sz w:val="26"/>
              </w:rPr>
            </w:pPr>
            <w:r>
              <w:rPr>
                <w:sz w:val="26"/>
              </w:rPr>
              <w:t>95%</w:t>
            </w:r>
          </w:p>
        </w:tc>
        <w:tc>
          <w:tcPr>
            <w:tcW w:w="1946" w:type="dxa"/>
          </w:tcPr>
          <w:p>
            <w:pPr>
              <w:pStyle w:val="TableParagraph"/>
              <w:spacing w:line="279" w:lineRule="exact" w:before="63"/>
              <w:ind w:left="263" w:right="252"/>
              <w:jc w:val="center"/>
              <w:rPr>
                <w:sz w:val="26"/>
              </w:rPr>
            </w:pPr>
            <w:r>
              <w:rPr>
                <w:sz w:val="26"/>
              </w:rPr>
              <w:t>97.3%</w:t>
            </w:r>
          </w:p>
        </w:tc>
        <w:tc>
          <w:tcPr>
            <w:tcW w:w="1948" w:type="dxa"/>
          </w:tcPr>
          <w:p>
            <w:pPr>
              <w:pStyle w:val="TableParagraph"/>
              <w:spacing w:line="279" w:lineRule="exact" w:before="63"/>
              <w:ind w:left="264" w:right="254"/>
              <w:jc w:val="center"/>
              <w:rPr>
                <w:sz w:val="26"/>
              </w:rPr>
            </w:pPr>
            <w:r>
              <w:rPr>
                <w:sz w:val="26"/>
              </w:rPr>
              <w:t>94.0%</w:t>
            </w:r>
          </w:p>
        </w:tc>
      </w:tr>
      <w:tr>
        <w:trPr>
          <w:trHeight w:val="722" w:hRule="atLeast"/>
        </w:trPr>
        <w:tc>
          <w:tcPr>
            <w:tcW w:w="2198" w:type="dxa"/>
          </w:tcPr>
          <w:p>
            <w:pPr>
              <w:pStyle w:val="TableParagraph"/>
              <w:spacing w:line="298" w:lineRule="exact" w:before="131"/>
              <w:ind w:left="107" w:right="702"/>
              <w:rPr>
                <w:sz w:val="26"/>
              </w:rPr>
            </w:pPr>
            <w:r>
              <w:rPr>
                <w:sz w:val="26"/>
              </w:rPr>
              <w:t>Review and Adjustment</w:t>
            </w:r>
          </w:p>
        </w:tc>
        <w:tc>
          <w:tcPr>
            <w:tcW w:w="1384" w:type="dxa"/>
          </w:tcPr>
          <w:p>
            <w:pPr>
              <w:pStyle w:val="TableParagraph"/>
              <w:spacing w:before="9"/>
              <w:rPr>
                <w:sz w:val="36"/>
              </w:rPr>
            </w:pPr>
          </w:p>
          <w:p>
            <w:pPr>
              <w:pStyle w:val="TableParagraph"/>
              <w:spacing w:line="279" w:lineRule="exact"/>
              <w:ind w:left="454" w:right="446"/>
              <w:jc w:val="center"/>
              <w:rPr>
                <w:sz w:val="26"/>
              </w:rPr>
            </w:pPr>
            <w:r>
              <w:rPr>
                <w:sz w:val="26"/>
              </w:rPr>
              <w:t>178</w:t>
            </w:r>
          </w:p>
        </w:tc>
        <w:tc>
          <w:tcPr>
            <w:tcW w:w="1732" w:type="dxa"/>
          </w:tcPr>
          <w:p>
            <w:pPr>
              <w:pStyle w:val="TableParagraph"/>
              <w:spacing w:before="9"/>
              <w:rPr>
                <w:sz w:val="36"/>
              </w:rPr>
            </w:pPr>
          </w:p>
          <w:p>
            <w:pPr>
              <w:pStyle w:val="TableParagraph"/>
              <w:spacing w:line="279" w:lineRule="exact"/>
              <w:ind w:left="512" w:right="504"/>
              <w:jc w:val="center"/>
              <w:rPr>
                <w:sz w:val="26"/>
              </w:rPr>
            </w:pPr>
            <w:r>
              <w:rPr>
                <w:sz w:val="26"/>
              </w:rPr>
              <w:t>98%</w:t>
            </w:r>
          </w:p>
        </w:tc>
        <w:tc>
          <w:tcPr>
            <w:tcW w:w="1946" w:type="dxa"/>
          </w:tcPr>
          <w:p>
            <w:pPr>
              <w:pStyle w:val="TableParagraph"/>
              <w:spacing w:before="9"/>
              <w:rPr>
                <w:sz w:val="36"/>
              </w:rPr>
            </w:pPr>
          </w:p>
          <w:p>
            <w:pPr>
              <w:pStyle w:val="TableParagraph"/>
              <w:spacing w:line="279" w:lineRule="exact"/>
              <w:ind w:left="263" w:right="252"/>
              <w:jc w:val="center"/>
              <w:rPr>
                <w:sz w:val="26"/>
              </w:rPr>
            </w:pPr>
            <w:r>
              <w:rPr>
                <w:sz w:val="26"/>
              </w:rPr>
              <w:t>99.6%</w:t>
            </w:r>
          </w:p>
        </w:tc>
        <w:tc>
          <w:tcPr>
            <w:tcW w:w="1948" w:type="dxa"/>
          </w:tcPr>
          <w:p>
            <w:pPr>
              <w:pStyle w:val="TableParagraph"/>
              <w:spacing w:before="9"/>
              <w:rPr>
                <w:sz w:val="36"/>
              </w:rPr>
            </w:pPr>
          </w:p>
          <w:p>
            <w:pPr>
              <w:pStyle w:val="TableParagraph"/>
              <w:spacing w:line="279" w:lineRule="exact"/>
              <w:ind w:left="264" w:right="254"/>
              <w:jc w:val="center"/>
              <w:rPr>
                <w:sz w:val="26"/>
              </w:rPr>
            </w:pPr>
            <w:r>
              <w:rPr>
                <w:sz w:val="26"/>
              </w:rPr>
              <w:t>97.5%</w:t>
            </w:r>
          </w:p>
        </w:tc>
      </w:tr>
      <w:tr>
        <w:trPr>
          <w:trHeight w:val="356" w:hRule="atLeast"/>
        </w:trPr>
        <w:tc>
          <w:tcPr>
            <w:tcW w:w="2198" w:type="dxa"/>
          </w:tcPr>
          <w:p>
            <w:pPr>
              <w:pStyle w:val="TableParagraph"/>
              <w:spacing w:line="279" w:lineRule="exact" w:before="58"/>
              <w:ind w:left="107"/>
              <w:rPr>
                <w:sz w:val="26"/>
              </w:rPr>
            </w:pPr>
            <w:r>
              <w:rPr>
                <w:sz w:val="26"/>
              </w:rPr>
              <w:t>Interstate</w:t>
            </w:r>
          </w:p>
        </w:tc>
        <w:tc>
          <w:tcPr>
            <w:tcW w:w="1384" w:type="dxa"/>
          </w:tcPr>
          <w:p>
            <w:pPr>
              <w:pStyle w:val="TableParagraph"/>
              <w:spacing w:line="279" w:lineRule="exact" w:before="58"/>
              <w:ind w:left="454" w:right="446"/>
              <w:jc w:val="center"/>
              <w:rPr>
                <w:sz w:val="26"/>
              </w:rPr>
            </w:pPr>
            <w:r>
              <w:rPr>
                <w:sz w:val="26"/>
              </w:rPr>
              <w:t>96</w:t>
            </w:r>
          </w:p>
        </w:tc>
        <w:tc>
          <w:tcPr>
            <w:tcW w:w="1732" w:type="dxa"/>
          </w:tcPr>
          <w:p>
            <w:pPr>
              <w:pStyle w:val="TableParagraph"/>
              <w:spacing w:line="279" w:lineRule="exact" w:before="58"/>
              <w:ind w:left="512" w:right="504"/>
              <w:jc w:val="center"/>
              <w:rPr>
                <w:sz w:val="26"/>
              </w:rPr>
            </w:pPr>
            <w:r>
              <w:rPr>
                <w:sz w:val="26"/>
              </w:rPr>
              <w:t>93%</w:t>
            </w:r>
          </w:p>
        </w:tc>
        <w:tc>
          <w:tcPr>
            <w:tcW w:w="1946" w:type="dxa"/>
          </w:tcPr>
          <w:p>
            <w:pPr>
              <w:pStyle w:val="TableParagraph"/>
              <w:spacing w:line="279" w:lineRule="exact" w:before="58"/>
              <w:ind w:left="263" w:right="252"/>
              <w:jc w:val="center"/>
              <w:rPr>
                <w:sz w:val="26"/>
              </w:rPr>
            </w:pPr>
            <w:r>
              <w:rPr>
                <w:sz w:val="26"/>
              </w:rPr>
              <w:t>95.2%</w:t>
            </w:r>
          </w:p>
        </w:tc>
        <w:tc>
          <w:tcPr>
            <w:tcW w:w="1948" w:type="dxa"/>
          </w:tcPr>
          <w:p>
            <w:pPr>
              <w:pStyle w:val="TableParagraph"/>
              <w:spacing w:line="279" w:lineRule="exact" w:before="58"/>
              <w:ind w:left="264" w:right="254"/>
              <w:jc w:val="center"/>
              <w:rPr>
                <w:sz w:val="26"/>
              </w:rPr>
            </w:pPr>
            <w:r>
              <w:rPr>
                <w:sz w:val="26"/>
              </w:rPr>
              <w:t>91.1%</w:t>
            </w:r>
          </w:p>
        </w:tc>
      </w:tr>
      <w:tr>
        <w:trPr>
          <w:trHeight w:val="1084" w:hRule="atLeast"/>
        </w:trPr>
        <w:tc>
          <w:tcPr>
            <w:tcW w:w="2198" w:type="dxa"/>
          </w:tcPr>
          <w:p>
            <w:pPr>
              <w:pStyle w:val="TableParagraph"/>
              <w:spacing w:before="188"/>
              <w:ind w:left="107" w:right="818"/>
              <w:rPr>
                <w:sz w:val="26"/>
              </w:rPr>
            </w:pPr>
            <w:r>
              <w:rPr>
                <w:sz w:val="26"/>
              </w:rPr>
              <w:t>Expedited Process 6-</w:t>
            </w:r>
          </w:p>
          <w:p>
            <w:pPr>
              <w:pStyle w:val="TableParagraph"/>
              <w:spacing w:line="279" w:lineRule="exact"/>
              <w:ind w:left="107"/>
              <w:rPr>
                <w:sz w:val="26"/>
              </w:rPr>
            </w:pPr>
            <w:r>
              <w:rPr>
                <w:sz w:val="26"/>
              </w:rPr>
              <w:t>Month</w:t>
            </w:r>
          </w:p>
        </w:tc>
        <w:tc>
          <w:tcPr>
            <w:tcW w:w="1384" w:type="dxa"/>
          </w:tcPr>
          <w:p>
            <w:pPr>
              <w:pStyle w:val="TableParagraph"/>
              <w:rPr>
                <w:sz w:val="28"/>
              </w:rPr>
            </w:pPr>
          </w:p>
          <w:p>
            <w:pPr>
              <w:pStyle w:val="TableParagraph"/>
              <w:spacing w:before="3"/>
              <w:rPr>
                <w:sz w:val="40"/>
              </w:rPr>
            </w:pPr>
          </w:p>
          <w:p>
            <w:pPr>
              <w:pStyle w:val="TableParagraph"/>
              <w:spacing w:line="279" w:lineRule="exact"/>
              <w:ind w:left="454" w:right="446"/>
              <w:jc w:val="center"/>
              <w:rPr>
                <w:sz w:val="26"/>
              </w:rPr>
            </w:pPr>
            <w:r>
              <w:rPr>
                <w:sz w:val="26"/>
              </w:rPr>
              <w:t>171</w:t>
            </w:r>
          </w:p>
        </w:tc>
        <w:tc>
          <w:tcPr>
            <w:tcW w:w="1732" w:type="dxa"/>
          </w:tcPr>
          <w:p>
            <w:pPr>
              <w:pStyle w:val="TableParagraph"/>
              <w:rPr>
                <w:sz w:val="28"/>
              </w:rPr>
            </w:pPr>
          </w:p>
          <w:p>
            <w:pPr>
              <w:pStyle w:val="TableParagraph"/>
              <w:spacing w:before="3"/>
              <w:rPr>
                <w:sz w:val="40"/>
              </w:rPr>
            </w:pPr>
          </w:p>
          <w:p>
            <w:pPr>
              <w:pStyle w:val="TableParagraph"/>
              <w:spacing w:line="279" w:lineRule="exact"/>
              <w:ind w:left="512" w:right="504"/>
              <w:jc w:val="center"/>
              <w:rPr>
                <w:sz w:val="26"/>
              </w:rPr>
            </w:pPr>
            <w:r>
              <w:rPr>
                <w:sz w:val="26"/>
              </w:rPr>
              <w:t>89%</w:t>
            </w:r>
          </w:p>
        </w:tc>
        <w:tc>
          <w:tcPr>
            <w:tcW w:w="1946" w:type="dxa"/>
          </w:tcPr>
          <w:p>
            <w:pPr>
              <w:pStyle w:val="TableParagraph"/>
              <w:rPr>
                <w:sz w:val="28"/>
              </w:rPr>
            </w:pPr>
          </w:p>
          <w:p>
            <w:pPr>
              <w:pStyle w:val="TableParagraph"/>
              <w:spacing w:before="3"/>
              <w:rPr>
                <w:sz w:val="40"/>
              </w:rPr>
            </w:pPr>
          </w:p>
          <w:p>
            <w:pPr>
              <w:pStyle w:val="TableParagraph"/>
              <w:spacing w:line="279" w:lineRule="exact"/>
              <w:ind w:left="263" w:right="252"/>
              <w:jc w:val="center"/>
              <w:rPr>
                <w:sz w:val="26"/>
              </w:rPr>
            </w:pPr>
            <w:r>
              <w:rPr>
                <w:sz w:val="26"/>
              </w:rPr>
              <w:t>91.9%</w:t>
            </w:r>
          </w:p>
        </w:tc>
        <w:tc>
          <w:tcPr>
            <w:tcW w:w="1948" w:type="dxa"/>
          </w:tcPr>
          <w:p>
            <w:pPr>
              <w:pStyle w:val="TableParagraph"/>
              <w:rPr>
                <w:sz w:val="28"/>
              </w:rPr>
            </w:pPr>
          </w:p>
          <w:p>
            <w:pPr>
              <w:pStyle w:val="TableParagraph"/>
              <w:spacing w:before="3"/>
              <w:rPr>
                <w:sz w:val="40"/>
              </w:rPr>
            </w:pPr>
          </w:p>
          <w:p>
            <w:pPr>
              <w:pStyle w:val="TableParagraph"/>
              <w:spacing w:line="279" w:lineRule="exact"/>
              <w:ind w:left="264" w:right="254"/>
              <w:jc w:val="center"/>
              <w:rPr>
                <w:sz w:val="26"/>
              </w:rPr>
            </w:pPr>
            <w:r>
              <w:rPr>
                <w:sz w:val="26"/>
              </w:rPr>
              <w:t>87.0%</w:t>
            </w:r>
          </w:p>
        </w:tc>
      </w:tr>
      <w:tr>
        <w:trPr>
          <w:trHeight w:val="899" w:hRule="atLeast"/>
        </w:trPr>
        <w:tc>
          <w:tcPr>
            <w:tcW w:w="2198" w:type="dxa"/>
          </w:tcPr>
          <w:p>
            <w:pPr>
              <w:pStyle w:val="TableParagraph"/>
              <w:ind w:left="107"/>
              <w:rPr>
                <w:sz w:val="26"/>
              </w:rPr>
            </w:pPr>
            <w:r>
              <w:rPr>
                <w:sz w:val="26"/>
              </w:rPr>
              <w:t>Expedited</w:t>
            </w:r>
          </w:p>
          <w:p>
            <w:pPr>
              <w:pStyle w:val="TableParagraph"/>
              <w:spacing w:line="298" w:lineRule="exact" w:before="7"/>
              <w:ind w:left="107" w:right="673"/>
              <w:rPr>
                <w:sz w:val="26"/>
              </w:rPr>
            </w:pPr>
            <w:r>
              <w:rPr>
                <w:sz w:val="26"/>
              </w:rPr>
              <w:t>Process 12- Month</w:t>
            </w:r>
          </w:p>
        </w:tc>
        <w:tc>
          <w:tcPr>
            <w:tcW w:w="1384" w:type="dxa"/>
          </w:tcPr>
          <w:p>
            <w:pPr>
              <w:pStyle w:val="TableParagraph"/>
              <w:rPr>
                <w:sz w:val="28"/>
              </w:rPr>
            </w:pPr>
          </w:p>
          <w:p>
            <w:pPr>
              <w:pStyle w:val="TableParagraph"/>
              <w:rPr>
                <w:sz w:val="24"/>
              </w:rPr>
            </w:pPr>
          </w:p>
          <w:p>
            <w:pPr>
              <w:pStyle w:val="TableParagraph"/>
              <w:spacing w:line="281" w:lineRule="exact"/>
              <w:ind w:left="454" w:right="446"/>
              <w:jc w:val="center"/>
              <w:rPr>
                <w:sz w:val="26"/>
              </w:rPr>
            </w:pPr>
            <w:r>
              <w:rPr>
                <w:sz w:val="26"/>
              </w:rPr>
              <w:t>171</w:t>
            </w:r>
          </w:p>
        </w:tc>
        <w:tc>
          <w:tcPr>
            <w:tcW w:w="1732" w:type="dxa"/>
          </w:tcPr>
          <w:p>
            <w:pPr>
              <w:pStyle w:val="TableParagraph"/>
              <w:rPr>
                <w:sz w:val="28"/>
              </w:rPr>
            </w:pPr>
          </w:p>
          <w:p>
            <w:pPr>
              <w:pStyle w:val="TableParagraph"/>
              <w:rPr>
                <w:sz w:val="24"/>
              </w:rPr>
            </w:pPr>
          </w:p>
          <w:p>
            <w:pPr>
              <w:pStyle w:val="TableParagraph"/>
              <w:spacing w:line="281" w:lineRule="exact"/>
              <w:ind w:left="512" w:right="504"/>
              <w:jc w:val="center"/>
              <w:rPr>
                <w:sz w:val="26"/>
              </w:rPr>
            </w:pPr>
            <w:r>
              <w:rPr>
                <w:sz w:val="26"/>
              </w:rPr>
              <w:t>100%</w:t>
            </w:r>
          </w:p>
        </w:tc>
        <w:tc>
          <w:tcPr>
            <w:tcW w:w="1946" w:type="dxa"/>
          </w:tcPr>
          <w:p>
            <w:pPr>
              <w:pStyle w:val="TableParagraph"/>
              <w:rPr>
                <w:sz w:val="28"/>
              </w:rPr>
            </w:pPr>
          </w:p>
          <w:p>
            <w:pPr>
              <w:pStyle w:val="TableParagraph"/>
              <w:rPr>
                <w:sz w:val="24"/>
              </w:rPr>
            </w:pPr>
          </w:p>
          <w:p>
            <w:pPr>
              <w:pStyle w:val="TableParagraph"/>
              <w:spacing w:line="281" w:lineRule="exact"/>
              <w:ind w:left="263" w:right="252"/>
              <w:jc w:val="center"/>
              <w:rPr>
                <w:sz w:val="26"/>
              </w:rPr>
            </w:pPr>
            <w:r>
              <w:rPr>
                <w:sz w:val="26"/>
              </w:rPr>
              <w:t>100%</w:t>
            </w:r>
          </w:p>
        </w:tc>
        <w:tc>
          <w:tcPr>
            <w:tcW w:w="1948" w:type="dxa"/>
          </w:tcPr>
          <w:p>
            <w:pPr>
              <w:pStyle w:val="TableParagraph"/>
              <w:rPr>
                <w:sz w:val="28"/>
              </w:rPr>
            </w:pPr>
          </w:p>
          <w:p>
            <w:pPr>
              <w:pStyle w:val="TableParagraph"/>
              <w:rPr>
                <w:sz w:val="24"/>
              </w:rPr>
            </w:pPr>
          </w:p>
          <w:p>
            <w:pPr>
              <w:pStyle w:val="TableParagraph"/>
              <w:spacing w:line="281" w:lineRule="exact"/>
              <w:ind w:left="264" w:right="254"/>
              <w:jc w:val="center"/>
              <w:rPr>
                <w:sz w:val="26"/>
              </w:rPr>
            </w:pPr>
            <w:r>
              <w:rPr>
                <w:sz w:val="26"/>
              </w:rPr>
              <w:t>100.0%</w:t>
            </w:r>
          </w:p>
        </w:tc>
      </w:tr>
    </w:tbl>
    <w:p>
      <w:pPr>
        <w:spacing w:after="0" w:line="281" w:lineRule="exact"/>
        <w:jc w:val="center"/>
        <w:rPr>
          <w:sz w:val="26"/>
        </w:rPr>
        <w:sectPr>
          <w:pgSz w:w="12240" w:h="15840"/>
          <w:pgMar w:header="718" w:footer="1038" w:top="1340" w:bottom="1220" w:left="880" w:right="720"/>
        </w:sectPr>
      </w:pPr>
    </w:p>
    <w:p>
      <w:pPr>
        <w:pStyle w:val="Heading2"/>
        <w:numPr>
          <w:ilvl w:val="0"/>
          <w:numId w:val="1"/>
        </w:numPr>
        <w:tabs>
          <w:tab w:pos="1279" w:val="left" w:leader="none"/>
          <w:tab w:pos="1280" w:val="left" w:leader="none"/>
        </w:tabs>
        <w:spacing w:line="240" w:lineRule="auto" w:before="80" w:after="0"/>
        <w:ind w:left="1280" w:right="0" w:hanging="720"/>
        <w:jc w:val="left"/>
      </w:pPr>
      <w:r>
        <w:rPr/>
        <w:t>Self-Assessment</w:t>
      </w:r>
      <w:r>
        <w:rPr>
          <w:spacing w:val="-2"/>
        </w:rPr>
        <w:t> </w:t>
      </w:r>
      <w:r>
        <w:rPr/>
        <w:t>Results</w:t>
      </w:r>
    </w:p>
    <w:p>
      <w:pPr>
        <w:pStyle w:val="BodyText"/>
        <w:spacing w:before="2"/>
        <w:rPr>
          <w:b/>
          <w:sz w:val="32"/>
        </w:rPr>
      </w:pPr>
    </w:p>
    <w:p>
      <w:pPr>
        <w:pStyle w:val="Heading3"/>
        <w:numPr>
          <w:ilvl w:val="0"/>
          <w:numId w:val="3"/>
        </w:numPr>
        <w:tabs>
          <w:tab w:pos="995" w:val="left" w:leader="none"/>
        </w:tabs>
        <w:spacing w:line="240" w:lineRule="auto" w:before="0" w:after="0"/>
        <w:ind w:left="994" w:right="0" w:hanging="435"/>
        <w:jc w:val="left"/>
      </w:pPr>
      <w:r>
        <w:rPr/>
        <w:t>Introduction to Self-Assessment Results</w:t>
      </w:r>
    </w:p>
    <w:p>
      <w:pPr>
        <w:pStyle w:val="BodyText"/>
        <w:spacing w:before="4"/>
        <w:rPr>
          <w:b/>
          <w:sz w:val="28"/>
        </w:rPr>
      </w:pPr>
    </w:p>
    <w:p>
      <w:pPr>
        <w:pStyle w:val="BodyText"/>
        <w:ind w:left="560" w:right="791"/>
      </w:pPr>
      <w:r>
        <w:rPr/>
        <w:t>The following section will report the results of the self-assessment review performed by the audit team. Each program criterion is organized in two sections: Observation and Summary. The Observation section contains a discussion of the number of cases reviewed, the compliance rate, and the reasons for the cases that failed. The Summary section gives a brief comparison to the previous year’s numbers and provides any other pertinent information found during the</w:t>
      </w:r>
      <w:r>
        <w:rPr>
          <w:spacing w:val="-1"/>
        </w:rPr>
        <w:t> </w:t>
      </w:r>
      <w:r>
        <w:rPr/>
        <w:t>review.</w:t>
      </w:r>
    </w:p>
    <w:p>
      <w:pPr>
        <w:pStyle w:val="BodyText"/>
        <w:rPr>
          <w:sz w:val="28"/>
        </w:rPr>
      </w:pPr>
    </w:p>
    <w:p>
      <w:pPr>
        <w:pStyle w:val="BodyText"/>
        <w:rPr>
          <w:sz w:val="28"/>
        </w:rPr>
      </w:pPr>
    </w:p>
    <w:p>
      <w:pPr>
        <w:pStyle w:val="BodyText"/>
        <w:spacing w:before="6"/>
        <w:rPr>
          <w:sz w:val="23"/>
        </w:rPr>
      </w:pPr>
    </w:p>
    <w:p>
      <w:pPr>
        <w:pStyle w:val="Heading3"/>
        <w:numPr>
          <w:ilvl w:val="0"/>
          <w:numId w:val="3"/>
        </w:numPr>
        <w:tabs>
          <w:tab w:pos="920" w:val="left" w:leader="none"/>
        </w:tabs>
        <w:spacing w:line="240" w:lineRule="auto" w:before="0" w:after="0"/>
        <w:ind w:left="920" w:right="0" w:hanging="360"/>
        <w:jc w:val="left"/>
      </w:pPr>
      <w:r>
        <w:rPr/>
        <w:t>Self-Assessment Results</w:t>
      </w:r>
    </w:p>
    <w:p>
      <w:pPr>
        <w:pStyle w:val="BodyText"/>
        <w:spacing w:before="5"/>
        <w:rPr>
          <w:b/>
          <w:sz w:val="28"/>
        </w:r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8"/>
        <w:gridCol w:w="1373"/>
        <w:gridCol w:w="1531"/>
        <w:gridCol w:w="1718"/>
        <w:gridCol w:w="1634"/>
        <w:gridCol w:w="1867"/>
      </w:tblGrid>
      <w:tr>
        <w:trPr>
          <w:trHeight w:val="2689" w:hRule="atLeast"/>
        </w:trPr>
        <w:tc>
          <w:tcPr>
            <w:tcW w:w="1848" w:type="dxa"/>
            <w:tcBorders>
              <w:bottom w:val="double" w:sz="2" w:space="0" w:color="000000"/>
            </w:tcBorders>
            <w:shd w:val="clear" w:color="auto" w:fill="CCFFCC"/>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8"/>
              <w:rPr>
                <w:b/>
                <w:sz w:val="39"/>
              </w:rPr>
            </w:pPr>
          </w:p>
          <w:p>
            <w:pPr>
              <w:pStyle w:val="TableParagraph"/>
              <w:spacing w:line="281" w:lineRule="exact"/>
              <w:ind w:left="381"/>
              <w:rPr>
                <w:b/>
                <w:sz w:val="26"/>
              </w:rPr>
            </w:pPr>
            <w:r>
              <w:rPr>
                <w:b/>
                <w:sz w:val="26"/>
              </w:rPr>
              <w:t>Criterion</w:t>
            </w:r>
          </w:p>
        </w:tc>
        <w:tc>
          <w:tcPr>
            <w:tcW w:w="1373" w:type="dxa"/>
            <w:tcBorders>
              <w:bottom w:val="double" w:sz="2" w:space="0" w:color="000000"/>
            </w:tcBorders>
            <w:shd w:val="clear" w:color="auto" w:fill="CCFFCC"/>
          </w:tcPr>
          <w:p>
            <w:pPr>
              <w:pStyle w:val="TableParagraph"/>
              <w:ind w:left="107" w:right="98" w:firstLine="2"/>
              <w:jc w:val="center"/>
              <w:rPr>
                <w:b/>
                <w:sz w:val="26"/>
              </w:rPr>
            </w:pPr>
            <w:r>
              <w:rPr>
                <w:b/>
                <w:sz w:val="26"/>
              </w:rPr>
              <w:t>Cases Where Required Activity </w:t>
            </w:r>
            <w:r>
              <w:rPr>
                <w:b/>
                <w:spacing w:val="-1"/>
                <w:sz w:val="26"/>
              </w:rPr>
              <w:t>Occurred </w:t>
            </w:r>
            <w:r>
              <w:rPr>
                <w:b/>
                <w:sz w:val="26"/>
              </w:rPr>
              <w:t>or   Should Have</w:t>
            </w:r>
          </w:p>
          <w:p>
            <w:pPr>
              <w:pStyle w:val="TableParagraph"/>
              <w:spacing w:line="281" w:lineRule="exact"/>
              <w:ind w:left="86" w:right="80"/>
              <w:jc w:val="center"/>
              <w:rPr>
                <w:b/>
                <w:sz w:val="26"/>
              </w:rPr>
            </w:pPr>
            <w:r>
              <w:rPr>
                <w:b/>
                <w:sz w:val="26"/>
              </w:rPr>
              <w:t>Occurred</w:t>
            </w:r>
          </w:p>
        </w:tc>
        <w:tc>
          <w:tcPr>
            <w:tcW w:w="1531" w:type="dxa"/>
            <w:tcBorders>
              <w:bottom w:val="double" w:sz="2" w:space="0" w:color="000000"/>
            </w:tcBorders>
            <w:shd w:val="clear" w:color="auto" w:fill="CCFFCC"/>
          </w:tcPr>
          <w:p>
            <w:pPr>
              <w:pStyle w:val="TableParagraph"/>
              <w:rPr>
                <w:b/>
                <w:sz w:val="28"/>
              </w:rPr>
            </w:pPr>
          </w:p>
          <w:p>
            <w:pPr>
              <w:pStyle w:val="TableParagraph"/>
              <w:spacing w:before="7"/>
              <w:rPr>
                <w:b/>
                <w:sz w:val="23"/>
              </w:rPr>
            </w:pPr>
          </w:p>
          <w:p>
            <w:pPr>
              <w:pStyle w:val="TableParagraph"/>
              <w:ind w:left="186" w:right="177" w:firstLine="2"/>
              <w:jc w:val="center"/>
              <w:rPr>
                <w:b/>
                <w:sz w:val="26"/>
              </w:rPr>
            </w:pPr>
            <w:r>
              <w:rPr>
                <w:b/>
                <w:sz w:val="26"/>
              </w:rPr>
              <w:t>Cases Where Required Activity Occurred within</w:t>
            </w:r>
          </w:p>
          <w:p>
            <w:pPr>
              <w:pStyle w:val="TableParagraph"/>
              <w:spacing w:line="281" w:lineRule="exact" w:before="1"/>
              <w:ind w:left="86" w:right="79"/>
              <w:jc w:val="center"/>
              <w:rPr>
                <w:b/>
                <w:sz w:val="26"/>
              </w:rPr>
            </w:pPr>
            <w:r>
              <w:rPr>
                <w:b/>
                <w:sz w:val="26"/>
              </w:rPr>
              <w:t>Timeframe</w:t>
            </w:r>
          </w:p>
        </w:tc>
        <w:tc>
          <w:tcPr>
            <w:tcW w:w="1718" w:type="dxa"/>
            <w:tcBorders>
              <w:bottom w:val="double" w:sz="2" w:space="0" w:color="000000"/>
            </w:tcBorders>
            <w:shd w:val="clear" w:color="auto" w:fill="CCFFCC"/>
          </w:tcPr>
          <w:p>
            <w:pPr>
              <w:pStyle w:val="TableParagraph"/>
              <w:rPr>
                <w:b/>
                <w:sz w:val="28"/>
              </w:rPr>
            </w:pPr>
          </w:p>
          <w:p>
            <w:pPr>
              <w:pStyle w:val="TableParagraph"/>
              <w:rPr>
                <w:b/>
                <w:sz w:val="28"/>
              </w:rPr>
            </w:pPr>
          </w:p>
          <w:p>
            <w:pPr>
              <w:pStyle w:val="TableParagraph"/>
              <w:rPr>
                <w:b/>
                <w:sz w:val="28"/>
              </w:rPr>
            </w:pPr>
          </w:p>
          <w:p>
            <w:pPr>
              <w:pStyle w:val="TableParagraph"/>
              <w:spacing w:before="227"/>
              <w:ind w:left="107" w:right="98" w:firstLine="5"/>
              <w:jc w:val="center"/>
              <w:rPr>
                <w:b/>
                <w:sz w:val="26"/>
              </w:rPr>
            </w:pPr>
            <w:r>
              <w:rPr>
                <w:b/>
                <w:sz w:val="26"/>
              </w:rPr>
              <w:t>Efficiency Rate </w:t>
            </w:r>
            <w:r>
              <w:rPr>
                <w:b/>
                <w:w w:val="95"/>
                <w:sz w:val="26"/>
              </w:rPr>
              <w:t>(Confidence </w:t>
            </w:r>
            <w:r>
              <w:rPr>
                <w:b/>
                <w:sz w:val="26"/>
              </w:rPr>
              <w:t>Level</w:t>
            </w:r>
            <w:r>
              <w:rPr>
                <w:b/>
                <w:spacing w:val="-3"/>
                <w:sz w:val="26"/>
              </w:rPr>
              <w:t> </w:t>
            </w:r>
            <w:r>
              <w:rPr>
                <w:b/>
                <w:sz w:val="26"/>
              </w:rPr>
              <w:t>of</w:t>
            </w:r>
          </w:p>
          <w:p>
            <w:pPr>
              <w:pStyle w:val="TableParagraph"/>
              <w:spacing w:line="280" w:lineRule="exact"/>
              <w:ind w:left="330" w:right="325"/>
              <w:jc w:val="center"/>
              <w:rPr>
                <w:b/>
                <w:sz w:val="26"/>
              </w:rPr>
            </w:pPr>
            <w:r>
              <w:rPr>
                <w:b/>
                <w:sz w:val="26"/>
              </w:rPr>
              <w:t>Sample)</w:t>
            </w:r>
          </w:p>
        </w:tc>
        <w:tc>
          <w:tcPr>
            <w:tcW w:w="1634" w:type="dxa"/>
            <w:tcBorders>
              <w:bottom w:val="double" w:sz="2" w:space="0" w:color="000000"/>
            </w:tcBorders>
            <w:shd w:val="clear" w:color="auto" w:fill="CCFFCC"/>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203"/>
              <w:ind w:left="216" w:right="208" w:firstLine="2"/>
              <w:jc w:val="center"/>
              <w:rPr>
                <w:b/>
                <w:sz w:val="26"/>
              </w:rPr>
            </w:pPr>
            <w:r>
              <w:rPr>
                <w:b/>
                <w:sz w:val="26"/>
              </w:rPr>
              <w:t>Federal Minimum </w:t>
            </w:r>
            <w:r>
              <w:rPr>
                <w:b/>
                <w:w w:val="95"/>
                <w:sz w:val="26"/>
              </w:rPr>
              <w:t>Standard/</w:t>
            </w:r>
          </w:p>
          <w:p>
            <w:pPr>
              <w:pStyle w:val="TableParagraph"/>
              <w:spacing w:line="281" w:lineRule="exact" w:before="1"/>
              <w:ind w:left="86" w:right="80"/>
              <w:jc w:val="center"/>
              <w:rPr>
                <w:b/>
                <w:sz w:val="26"/>
              </w:rPr>
            </w:pPr>
            <w:r>
              <w:rPr>
                <w:b/>
                <w:sz w:val="26"/>
              </w:rPr>
              <w:t>Benchmark</w:t>
            </w:r>
          </w:p>
        </w:tc>
        <w:tc>
          <w:tcPr>
            <w:tcW w:w="1867" w:type="dxa"/>
            <w:tcBorders>
              <w:bottom w:val="double" w:sz="2" w:space="0" w:color="000000"/>
            </w:tcBorders>
            <w:shd w:val="clear" w:color="auto" w:fill="CCFFCC"/>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203"/>
              <w:ind w:left="319" w:right="303" w:hanging="5"/>
              <w:jc w:val="center"/>
              <w:rPr>
                <w:b/>
                <w:sz w:val="26"/>
              </w:rPr>
            </w:pPr>
            <w:r>
              <w:rPr>
                <w:b/>
                <w:sz w:val="26"/>
              </w:rPr>
              <w:t>Previous Year's Efficiency</w:t>
            </w:r>
          </w:p>
          <w:p>
            <w:pPr>
              <w:pStyle w:val="TableParagraph"/>
              <w:spacing w:line="281" w:lineRule="exact" w:before="1"/>
              <w:ind w:left="557" w:right="551"/>
              <w:jc w:val="center"/>
              <w:rPr>
                <w:b/>
                <w:sz w:val="26"/>
              </w:rPr>
            </w:pPr>
            <w:r>
              <w:rPr>
                <w:b/>
                <w:sz w:val="26"/>
              </w:rPr>
              <w:t>Rates</w:t>
            </w:r>
          </w:p>
        </w:tc>
      </w:tr>
      <w:tr>
        <w:trPr>
          <w:trHeight w:val="303" w:hRule="atLeast"/>
        </w:trPr>
        <w:tc>
          <w:tcPr>
            <w:tcW w:w="1848" w:type="dxa"/>
            <w:tcBorders>
              <w:top w:val="double" w:sz="2" w:space="0" w:color="000000"/>
            </w:tcBorders>
          </w:tcPr>
          <w:p>
            <w:pPr>
              <w:pStyle w:val="TableParagraph"/>
              <w:spacing w:line="279" w:lineRule="exact" w:before="5"/>
              <w:ind w:left="107"/>
              <w:rPr>
                <w:sz w:val="26"/>
              </w:rPr>
            </w:pPr>
            <w:r>
              <w:rPr>
                <w:sz w:val="26"/>
              </w:rPr>
              <w:t>Case Closure</w:t>
            </w:r>
          </w:p>
        </w:tc>
        <w:tc>
          <w:tcPr>
            <w:tcW w:w="1373" w:type="dxa"/>
            <w:tcBorders>
              <w:top w:val="double" w:sz="2" w:space="0" w:color="000000"/>
            </w:tcBorders>
          </w:tcPr>
          <w:p>
            <w:pPr>
              <w:pStyle w:val="TableParagraph"/>
              <w:spacing w:line="279" w:lineRule="exact" w:before="5"/>
              <w:ind w:left="84" w:right="80"/>
              <w:jc w:val="center"/>
              <w:rPr>
                <w:sz w:val="26"/>
              </w:rPr>
            </w:pPr>
            <w:r>
              <w:rPr>
                <w:sz w:val="26"/>
              </w:rPr>
              <w:t>351</w:t>
            </w:r>
          </w:p>
        </w:tc>
        <w:tc>
          <w:tcPr>
            <w:tcW w:w="1531" w:type="dxa"/>
            <w:tcBorders>
              <w:top w:val="double" w:sz="2" w:space="0" w:color="000000"/>
            </w:tcBorders>
          </w:tcPr>
          <w:p>
            <w:pPr>
              <w:pStyle w:val="TableParagraph"/>
              <w:spacing w:line="279" w:lineRule="exact" w:before="5"/>
              <w:ind w:left="83" w:right="79"/>
              <w:jc w:val="center"/>
              <w:rPr>
                <w:sz w:val="26"/>
              </w:rPr>
            </w:pPr>
            <w:r>
              <w:rPr>
                <w:sz w:val="26"/>
              </w:rPr>
              <w:t>321</w:t>
            </w:r>
          </w:p>
        </w:tc>
        <w:tc>
          <w:tcPr>
            <w:tcW w:w="1718" w:type="dxa"/>
            <w:tcBorders>
              <w:top w:val="double" w:sz="2" w:space="0" w:color="000000"/>
            </w:tcBorders>
          </w:tcPr>
          <w:p>
            <w:pPr>
              <w:pStyle w:val="TableParagraph"/>
              <w:spacing w:line="279" w:lineRule="exact" w:before="5"/>
              <w:ind w:left="330" w:right="325"/>
              <w:jc w:val="center"/>
              <w:rPr>
                <w:sz w:val="26"/>
              </w:rPr>
            </w:pPr>
            <w:r>
              <w:rPr>
                <w:sz w:val="26"/>
              </w:rPr>
              <w:t>92%</w:t>
            </w:r>
          </w:p>
        </w:tc>
        <w:tc>
          <w:tcPr>
            <w:tcW w:w="1634" w:type="dxa"/>
            <w:tcBorders>
              <w:top w:val="double" w:sz="2" w:space="0" w:color="000000"/>
            </w:tcBorders>
          </w:tcPr>
          <w:p>
            <w:pPr>
              <w:pStyle w:val="TableParagraph"/>
              <w:spacing w:line="279" w:lineRule="exact" w:before="5"/>
              <w:ind w:left="83" w:right="80"/>
              <w:jc w:val="center"/>
              <w:rPr>
                <w:sz w:val="26"/>
              </w:rPr>
            </w:pPr>
            <w:r>
              <w:rPr>
                <w:sz w:val="26"/>
              </w:rPr>
              <w:t>90%</w:t>
            </w:r>
          </w:p>
        </w:tc>
        <w:tc>
          <w:tcPr>
            <w:tcW w:w="1867" w:type="dxa"/>
            <w:tcBorders>
              <w:top w:val="double" w:sz="2" w:space="0" w:color="000000"/>
            </w:tcBorders>
          </w:tcPr>
          <w:p>
            <w:pPr>
              <w:pStyle w:val="TableParagraph"/>
              <w:spacing w:line="279" w:lineRule="exact" w:before="5"/>
              <w:ind w:right="663"/>
              <w:jc w:val="right"/>
              <w:rPr>
                <w:sz w:val="26"/>
              </w:rPr>
            </w:pPr>
            <w:r>
              <w:rPr>
                <w:w w:val="95"/>
                <w:sz w:val="26"/>
              </w:rPr>
              <w:t>96%</w:t>
            </w:r>
          </w:p>
        </w:tc>
      </w:tr>
      <w:tr>
        <w:trPr>
          <w:trHeight w:val="299" w:hRule="atLeast"/>
        </w:trPr>
        <w:tc>
          <w:tcPr>
            <w:tcW w:w="1848" w:type="dxa"/>
          </w:tcPr>
          <w:p>
            <w:pPr>
              <w:pStyle w:val="TableParagraph"/>
              <w:spacing w:line="279" w:lineRule="exact"/>
              <w:ind w:left="107"/>
              <w:rPr>
                <w:sz w:val="26"/>
              </w:rPr>
            </w:pPr>
            <w:r>
              <w:rPr>
                <w:sz w:val="26"/>
              </w:rPr>
              <w:t>Establishment</w:t>
            </w:r>
          </w:p>
        </w:tc>
        <w:tc>
          <w:tcPr>
            <w:tcW w:w="1373" w:type="dxa"/>
          </w:tcPr>
          <w:p>
            <w:pPr>
              <w:pStyle w:val="TableParagraph"/>
              <w:spacing w:line="279" w:lineRule="exact"/>
              <w:ind w:left="84" w:right="80"/>
              <w:jc w:val="center"/>
              <w:rPr>
                <w:sz w:val="26"/>
              </w:rPr>
            </w:pPr>
            <w:r>
              <w:rPr>
                <w:sz w:val="26"/>
              </w:rPr>
              <w:t>86</w:t>
            </w:r>
          </w:p>
        </w:tc>
        <w:tc>
          <w:tcPr>
            <w:tcW w:w="1531" w:type="dxa"/>
          </w:tcPr>
          <w:p>
            <w:pPr>
              <w:pStyle w:val="TableParagraph"/>
              <w:spacing w:line="279" w:lineRule="exact"/>
              <w:ind w:left="83" w:right="79"/>
              <w:jc w:val="center"/>
              <w:rPr>
                <w:sz w:val="26"/>
              </w:rPr>
            </w:pPr>
            <w:r>
              <w:rPr>
                <w:sz w:val="26"/>
              </w:rPr>
              <w:t>85</w:t>
            </w:r>
          </w:p>
        </w:tc>
        <w:tc>
          <w:tcPr>
            <w:tcW w:w="1718" w:type="dxa"/>
          </w:tcPr>
          <w:p>
            <w:pPr>
              <w:pStyle w:val="TableParagraph"/>
              <w:spacing w:line="279" w:lineRule="exact"/>
              <w:ind w:left="330" w:right="325"/>
              <w:jc w:val="center"/>
              <w:rPr>
                <w:sz w:val="26"/>
              </w:rPr>
            </w:pPr>
            <w:r>
              <w:rPr>
                <w:sz w:val="26"/>
              </w:rPr>
              <w:t>99%</w:t>
            </w:r>
          </w:p>
        </w:tc>
        <w:tc>
          <w:tcPr>
            <w:tcW w:w="1634" w:type="dxa"/>
          </w:tcPr>
          <w:p>
            <w:pPr>
              <w:pStyle w:val="TableParagraph"/>
              <w:spacing w:line="279" w:lineRule="exact"/>
              <w:ind w:left="83" w:right="80"/>
              <w:jc w:val="center"/>
              <w:rPr>
                <w:sz w:val="26"/>
              </w:rPr>
            </w:pPr>
            <w:r>
              <w:rPr>
                <w:sz w:val="26"/>
              </w:rPr>
              <w:t>75%</w:t>
            </w:r>
          </w:p>
        </w:tc>
        <w:tc>
          <w:tcPr>
            <w:tcW w:w="1867" w:type="dxa"/>
          </w:tcPr>
          <w:p>
            <w:pPr>
              <w:pStyle w:val="TableParagraph"/>
              <w:spacing w:line="279" w:lineRule="exact"/>
              <w:ind w:right="663"/>
              <w:jc w:val="right"/>
              <w:rPr>
                <w:sz w:val="26"/>
              </w:rPr>
            </w:pPr>
            <w:r>
              <w:rPr>
                <w:w w:val="95"/>
                <w:sz w:val="26"/>
              </w:rPr>
              <w:t>99%</w:t>
            </w:r>
          </w:p>
        </w:tc>
      </w:tr>
      <w:tr>
        <w:trPr>
          <w:trHeight w:val="299" w:hRule="atLeast"/>
        </w:trPr>
        <w:tc>
          <w:tcPr>
            <w:tcW w:w="1848" w:type="dxa"/>
          </w:tcPr>
          <w:p>
            <w:pPr>
              <w:pStyle w:val="TableParagraph"/>
              <w:spacing w:line="279" w:lineRule="exact"/>
              <w:ind w:left="107"/>
              <w:rPr>
                <w:sz w:val="26"/>
              </w:rPr>
            </w:pPr>
            <w:r>
              <w:rPr>
                <w:sz w:val="26"/>
              </w:rPr>
              <w:t>Enforcement</w:t>
            </w:r>
          </w:p>
        </w:tc>
        <w:tc>
          <w:tcPr>
            <w:tcW w:w="1373" w:type="dxa"/>
          </w:tcPr>
          <w:p>
            <w:pPr>
              <w:pStyle w:val="TableParagraph"/>
              <w:spacing w:line="279" w:lineRule="exact"/>
              <w:ind w:left="84" w:right="80"/>
              <w:jc w:val="center"/>
              <w:rPr>
                <w:sz w:val="26"/>
              </w:rPr>
            </w:pPr>
            <w:r>
              <w:rPr>
                <w:sz w:val="26"/>
              </w:rPr>
              <w:t>366</w:t>
            </w:r>
          </w:p>
        </w:tc>
        <w:tc>
          <w:tcPr>
            <w:tcW w:w="1531" w:type="dxa"/>
          </w:tcPr>
          <w:p>
            <w:pPr>
              <w:pStyle w:val="TableParagraph"/>
              <w:spacing w:line="279" w:lineRule="exact"/>
              <w:ind w:left="83" w:right="79"/>
              <w:jc w:val="center"/>
              <w:rPr>
                <w:sz w:val="26"/>
              </w:rPr>
            </w:pPr>
            <w:r>
              <w:rPr>
                <w:sz w:val="26"/>
              </w:rPr>
              <w:t>336</w:t>
            </w:r>
          </w:p>
        </w:tc>
        <w:tc>
          <w:tcPr>
            <w:tcW w:w="1718" w:type="dxa"/>
          </w:tcPr>
          <w:p>
            <w:pPr>
              <w:pStyle w:val="TableParagraph"/>
              <w:spacing w:line="279" w:lineRule="exact"/>
              <w:ind w:left="330" w:right="325"/>
              <w:jc w:val="center"/>
              <w:rPr>
                <w:sz w:val="26"/>
              </w:rPr>
            </w:pPr>
            <w:r>
              <w:rPr>
                <w:sz w:val="26"/>
              </w:rPr>
              <w:t>92%</w:t>
            </w:r>
          </w:p>
        </w:tc>
        <w:tc>
          <w:tcPr>
            <w:tcW w:w="1634" w:type="dxa"/>
          </w:tcPr>
          <w:p>
            <w:pPr>
              <w:pStyle w:val="TableParagraph"/>
              <w:spacing w:line="279" w:lineRule="exact"/>
              <w:ind w:left="83" w:right="80"/>
              <w:jc w:val="center"/>
              <w:rPr>
                <w:sz w:val="26"/>
              </w:rPr>
            </w:pPr>
            <w:r>
              <w:rPr>
                <w:sz w:val="26"/>
              </w:rPr>
              <w:t>75%</w:t>
            </w:r>
          </w:p>
        </w:tc>
        <w:tc>
          <w:tcPr>
            <w:tcW w:w="1867" w:type="dxa"/>
          </w:tcPr>
          <w:p>
            <w:pPr>
              <w:pStyle w:val="TableParagraph"/>
              <w:spacing w:line="279" w:lineRule="exact"/>
              <w:ind w:right="663"/>
              <w:jc w:val="right"/>
              <w:rPr>
                <w:sz w:val="26"/>
              </w:rPr>
            </w:pPr>
            <w:r>
              <w:rPr>
                <w:w w:val="95"/>
                <w:sz w:val="26"/>
              </w:rPr>
              <w:t>95%</w:t>
            </w:r>
          </w:p>
        </w:tc>
      </w:tr>
      <w:tr>
        <w:trPr>
          <w:trHeight w:val="299" w:hRule="atLeast"/>
        </w:trPr>
        <w:tc>
          <w:tcPr>
            <w:tcW w:w="1848" w:type="dxa"/>
          </w:tcPr>
          <w:p>
            <w:pPr>
              <w:pStyle w:val="TableParagraph"/>
              <w:spacing w:line="279" w:lineRule="exact"/>
              <w:ind w:left="107"/>
              <w:rPr>
                <w:sz w:val="26"/>
              </w:rPr>
            </w:pPr>
            <w:r>
              <w:rPr>
                <w:sz w:val="26"/>
              </w:rPr>
              <w:t>Disbursement</w:t>
            </w:r>
          </w:p>
        </w:tc>
        <w:tc>
          <w:tcPr>
            <w:tcW w:w="1373" w:type="dxa"/>
          </w:tcPr>
          <w:p>
            <w:pPr>
              <w:pStyle w:val="TableParagraph"/>
              <w:spacing w:line="279" w:lineRule="exact"/>
              <w:ind w:left="84" w:right="80"/>
              <w:jc w:val="center"/>
              <w:rPr>
                <w:sz w:val="26"/>
              </w:rPr>
            </w:pPr>
            <w:r>
              <w:rPr>
                <w:sz w:val="26"/>
              </w:rPr>
              <w:t>230</w:t>
            </w:r>
          </w:p>
        </w:tc>
        <w:tc>
          <w:tcPr>
            <w:tcW w:w="1531" w:type="dxa"/>
          </w:tcPr>
          <w:p>
            <w:pPr>
              <w:pStyle w:val="TableParagraph"/>
              <w:spacing w:line="279" w:lineRule="exact"/>
              <w:ind w:left="83" w:right="79"/>
              <w:jc w:val="center"/>
              <w:rPr>
                <w:sz w:val="26"/>
              </w:rPr>
            </w:pPr>
            <w:r>
              <w:rPr>
                <w:sz w:val="26"/>
              </w:rPr>
              <w:t>228</w:t>
            </w:r>
          </w:p>
        </w:tc>
        <w:tc>
          <w:tcPr>
            <w:tcW w:w="1718" w:type="dxa"/>
          </w:tcPr>
          <w:p>
            <w:pPr>
              <w:pStyle w:val="TableParagraph"/>
              <w:spacing w:line="279" w:lineRule="exact"/>
              <w:ind w:left="330" w:right="325"/>
              <w:jc w:val="center"/>
              <w:rPr>
                <w:sz w:val="26"/>
              </w:rPr>
            </w:pPr>
            <w:r>
              <w:rPr>
                <w:sz w:val="26"/>
              </w:rPr>
              <w:t>99%</w:t>
            </w:r>
          </w:p>
        </w:tc>
        <w:tc>
          <w:tcPr>
            <w:tcW w:w="1634" w:type="dxa"/>
          </w:tcPr>
          <w:p>
            <w:pPr>
              <w:pStyle w:val="TableParagraph"/>
              <w:spacing w:line="279" w:lineRule="exact"/>
              <w:ind w:left="83" w:right="80"/>
              <w:jc w:val="center"/>
              <w:rPr>
                <w:sz w:val="26"/>
              </w:rPr>
            </w:pPr>
            <w:r>
              <w:rPr>
                <w:sz w:val="26"/>
              </w:rPr>
              <w:t>75%</w:t>
            </w:r>
          </w:p>
        </w:tc>
        <w:tc>
          <w:tcPr>
            <w:tcW w:w="1867" w:type="dxa"/>
          </w:tcPr>
          <w:p>
            <w:pPr>
              <w:pStyle w:val="TableParagraph"/>
              <w:spacing w:line="279" w:lineRule="exact"/>
              <w:ind w:right="664"/>
              <w:jc w:val="right"/>
              <w:rPr>
                <w:sz w:val="26"/>
              </w:rPr>
            </w:pPr>
            <w:r>
              <w:rPr>
                <w:w w:val="95"/>
                <w:sz w:val="26"/>
              </w:rPr>
              <w:t>98%</w:t>
            </w:r>
          </w:p>
        </w:tc>
      </w:tr>
      <w:tr>
        <w:trPr>
          <w:trHeight w:val="297" w:hRule="atLeast"/>
        </w:trPr>
        <w:tc>
          <w:tcPr>
            <w:tcW w:w="1848" w:type="dxa"/>
          </w:tcPr>
          <w:p>
            <w:pPr>
              <w:pStyle w:val="TableParagraph"/>
              <w:spacing w:line="277" w:lineRule="exact"/>
              <w:ind w:left="107"/>
              <w:rPr>
                <w:sz w:val="26"/>
              </w:rPr>
            </w:pPr>
            <w:r>
              <w:rPr>
                <w:sz w:val="26"/>
              </w:rPr>
              <w:t>Medical</w:t>
            </w:r>
          </w:p>
        </w:tc>
        <w:tc>
          <w:tcPr>
            <w:tcW w:w="1373" w:type="dxa"/>
          </w:tcPr>
          <w:p>
            <w:pPr>
              <w:pStyle w:val="TableParagraph"/>
              <w:spacing w:line="277" w:lineRule="exact"/>
              <w:ind w:left="84" w:right="80"/>
              <w:jc w:val="center"/>
              <w:rPr>
                <w:sz w:val="26"/>
              </w:rPr>
            </w:pPr>
            <w:r>
              <w:rPr>
                <w:sz w:val="26"/>
              </w:rPr>
              <w:t>277</w:t>
            </w:r>
          </w:p>
        </w:tc>
        <w:tc>
          <w:tcPr>
            <w:tcW w:w="1531" w:type="dxa"/>
          </w:tcPr>
          <w:p>
            <w:pPr>
              <w:pStyle w:val="TableParagraph"/>
              <w:spacing w:line="277" w:lineRule="exact"/>
              <w:ind w:left="83" w:right="79"/>
              <w:jc w:val="center"/>
              <w:rPr>
                <w:sz w:val="26"/>
              </w:rPr>
            </w:pPr>
            <w:r>
              <w:rPr>
                <w:sz w:val="26"/>
              </w:rPr>
              <w:t>264</w:t>
            </w:r>
          </w:p>
        </w:tc>
        <w:tc>
          <w:tcPr>
            <w:tcW w:w="1718" w:type="dxa"/>
          </w:tcPr>
          <w:p>
            <w:pPr>
              <w:pStyle w:val="TableParagraph"/>
              <w:spacing w:line="277" w:lineRule="exact"/>
              <w:ind w:left="330" w:right="325"/>
              <w:jc w:val="center"/>
              <w:rPr>
                <w:sz w:val="26"/>
              </w:rPr>
            </w:pPr>
            <w:r>
              <w:rPr>
                <w:sz w:val="26"/>
              </w:rPr>
              <w:t>95%</w:t>
            </w:r>
          </w:p>
        </w:tc>
        <w:tc>
          <w:tcPr>
            <w:tcW w:w="1634" w:type="dxa"/>
          </w:tcPr>
          <w:p>
            <w:pPr>
              <w:pStyle w:val="TableParagraph"/>
              <w:spacing w:line="277" w:lineRule="exact"/>
              <w:ind w:left="83" w:right="80"/>
              <w:jc w:val="center"/>
              <w:rPr>
                <w:sz w:val="26"/>
              </w:rPr>
            </w:pPr>
            <w:r>
              <w:rPr>
                <w:sz w:val="26"/>
              </w:rPr>
              <w:t>75%</w:t>
            </w:r>
          </w:p>
        </w:tc>
        <w:tc>
          <w:tcPr>
            <w:tcW w:w="1867" w:type="dxa"/>
          </w:tcPr>
          <w:p>
            <w:pPr>
              <w:pStyle w:val="TableParagraph"/>
              <w:spacing w:line="277" w:lineRule="exact"/>
              <w:ind w:right="663"/>
              <w:jc w:val="right"/>
              <w:rPr>
                <w:sz w:val="26"/>
              </w:rPr>
            </w:pPr>
            <w:r>
              <w:rPr>
                <w:w w:val="95"/>
                <w:sz w:val="26"/>
              </w:rPr>
              <w:t>95%</w:t>
            </w:r>
          </w:p>
        </w:tc>
      </w:tr>
      <w:tr>
        <w:trPr>
          <w:trHeight w:val="599" w:hRule="atLeast"/>
        </w:trPr>
        <w:tc>
          <w:tcPr>
            <w:tcW w:w="1848" w:type="dxa"/>
          </w:tcPr>
          <w:p>
            <w:pPr>
              <w:pStyle w:val="TableParagraph"/>
              <w:spacing w:line="300" w:lineRule="exact" w:before="4"/>
              <w:ind w:left="107" w:right="352"/>
              <w:rPr>
                <w:sz w:val="26"/>
              </w:rPr>
            </w:pPr>
            <w:r>
              <w:rPr>
                <w:sz w:val="26"/>
              </w:rPr>
              <w:t>Review and Adjustment</w:t>
            </w:r>
          </w:p>
        </w:tc>
        <w:tc>
          <w:tcPr>
            <w:tcW w:w="1373" w:type="dxa"/>
          </w:tcPr>
          <w:p>
            <w:pPr>
              <w:pStyle w:val="TableParagraph"/>
              <w:spacing w:before="1"/>
              <w:rPr>
                <w:b/>
                <w:sz w:val="26"/>
              </w:rPr>
            </w:pPr>
          </w:p>
          <w:p>
            <w:pPr>
              <w:pStyle w:val="TableParagraph"/>
              <w:spacing w:line="279" w:lineRule="exact"/>
              <w:ind w:left="84" w:right="80"/>
              <w:jc w:val="center"/>
              <w:rPr>
                <w:sz w:val="26"/>
              </w:rPr>
            </w:pPr>
            <w:r>
              <w:rPr>
                <w:sz w:val="26"/>
              </w:rPr>
              <w:t>178</w:t>
            </w:r>
          </w:p>
        </w:tc>
        <w:tc>
          <w:tcPr>
            <w:tcW w:w="1531" w:type="dxa"/>
          </w:tcPr>
          <w:p>
            <w:pPr>
              <w:pStyle w:val="TableParagraph"/>
              <w:spacing w:before="1"/>
              <w:rPr>
                <w:b/>
                <w:sz w:val="26"/>
              </w:rPr>
            </w:pPr>
          </w:p>
          <w:p>
            <w:pPr>
              <w:pStyle w:val="TableParagraph"/>
              <w:spacing w:line="279" w:lineRule="exact"/>
              <w:ind w:left="83" w:right="79"/>
              <w:jc w:val="center"/>
              <w:rPr>
                <w:sz w:val="26"/>
              </w:rPr>
            </w:pPr>
            <w:r>
              <w:rPr>
                <w:sz w:val="26"/>
              </w:rPr>
              <w:t>175</w:t>
            </w:r>
          </w:p>
        </w:tc>
        <w:tc>
          <w:tcPr>
            <w:tcW w:w="1718" w:type="dxa"/>
          </w:tcPr>
          <w:p>
            <w:pPr>
              <w:pStyle w:val="TableParagraph"/>
              <w:spacing w:before="1"/>
              <w:rPr>
                <w:b/>
                <w:sz w:val="26"/>
              </w:rPr>
            </w:pPr>
          </w:p>
          <w:p>
            <w:pPr>
              <w:pStyle w:val="TableParagraph"/>
              <w:spacing w:line="279" w:lineRule="exact"/>
              <w:ind w:left="330" w:right="325"/>
              <w:jc w:val="center"/>
              <w:rPr>
                <w:sz w:val="26"/>
              </w:rPr>
            </w:pPr>
            <w:r>
              <w:rPr>
                <w:sz w:val="26"/>
              </w:rPr>
              <w:t>98%</w:t>
            </w:r>
          </w:p>
        </w:tc>
        <w:tc>
          <w:tcPr>
            <w:tcW w:w="1634" w:type="dxa"/>
          </w:tcPr>
          <w:p>
            <w:pPr>
              <w:pStyle w:val="TableParagraph"/>
              <w:spacing w:before="1"/>
              <w:rPr>
                <w:b/>
                <w:sz w:val="26"/>
              </w:rPr>
            </w:pPr>
          </w:p>
          <w:p>
            <w:pPr>
              <w:pStyle w:val="TableParagraph"/>
              <w:spacing w:line="279" w:lineRule="exact"/>
              <w:ind w:left="83" w:right="80"/>
              <w:jc w:val="center"/>
              <w:rPr>
                <w:sz w:val="26"/>
              </w:rPr>
            </w:pPr>
            <w:r>
              <w:rPr>
                <w:sz w:val="26"/>
              </w:rPr>
              <w:t>75%</w:t>
            </w:r>
          </w:p>
        </w:tc>
        <w:tc>
          <w:tcPr>
            <w:tcW w:w="1867" w:type="dxa"/>
          </w:tcPr>
          <w:p>
            <w:pPr>
              <w:pStyle w:val="TableParagraph"/>
              <w:spacing w:before="1"/>
              <w:rPr>
                <w:b/>
                <w:sz w:val="26"/>
              </w:rPr>
            </w:pPr>
          </w:p>
          <w:p>
            <w:pPr>
              <w:pStyle w:val="TableParagraph"/>
              <w:spacing w:line="279" w:lineRule="exact"/>
              <w:ind w:right="663"/>
              <w:jc w:val="right"/>
              <w:rPr>
                <w:sz w:val="26"/>
              </w:rPr>
            </w:pPr>
            <w:r>
              <w:rPr>
                <w:w w:val="95"/>
                <w:sz w:val="26"/>
              </w:rPr>
              <w:t>96%</w:t>
            </w:r>
          </w:p>
        </w:tc>
      </w:tr>
      <w:tr>
        <w:trPr>
          <w:trHeight w:val="293" w:hRule="atLeast"/>
        </w:trPr>
        <w:tc>
          <w:tcPr>
            <w:tcW w:w="1848" w:type="dxa"/>
          </w:tcPr>
          <w:p>
            <w:pPr>
              <w:pStyle w:val="TableParagraph"/>
              <w:spacing w:line="273" w:lineRule="exact"/>
              <w:ind w:left="107"/>
              <w:rPr>
                <w:sz w:val="26"/>
              </w:rPr>
            </w:pPr>
            <w:r>
              <w:rPr>
                <w:sz w:val="26"/>
              </w:rPr>
              <w:t>Interstate</w:t>
            </w:r>
          </w:p>
        </w:tc>
        <w:tc>
          <w:tcPr>
            <w:tcW w:w="1373" w:type="dxa"/>
          </w:tcPr>
          <w:p>
            <w:pPr>
              <w:pStyle w:val="TableParagraph"/>
              <w:spacing w:line="273" w:lineRule="exact"/>
              <w:ind w:left="84" w:right="80"/>
              <w:jc w:val="center"/>
              <w:rPr>
                <w:sz w:val="26"/>
              </w:rPr>
            </w:pPr>
            <w:r>
              <w:rPr>
                <w:sz w:val="26"/>
              </w:rPr>
              <w:t>96</w:t>
            </w:r>
          </w:p>
        </w:tc>
        <w:tc>
          <w:tcPr>
            <w:tcW w:w="1531" w:type="dxa"/>
          </w:tcPr>
          <w:p>
            <w:pPr>
              <w:pStyle w:val="TableParagraph"/>
              <w:spacing w:line="273" w:lineRule="exact"/>
              <w:ind w:left="83" w:right="79"/>
              <w:jc w:val="center"/>
              <w:rPr>
                <w:sz w:val="26"/>
              </w:rPr>
            </w:pPr>
            <w:r>
              <w:rPr>
                <w:sz w:val="26"/>
              </w:rPr>
              <w:t>89</w:t>
            </w:r>
          </w:p>
        </w:tc>
        <w:tc>
          <w:tcPr>
            <w:tcW w:w="1718" w:type="dxa"/>
          </w:tcPr>
          <w:p>
            <w:pPr>
              <w:pStyle w:val="TableParagraph"/>
              <w:spacing w:line="273" w:lineRule="exact"/>
              <w:ind w:left="330" w:right="325"/>
              <w:jc w:val="center"/>
              <w:rPr>
                <w:sz w:val="26"/>
              </w:rPr>
            </w:pPr>
            <w:r>
              <w:rPr>
                <w:sz w:val="26"/>
              </w:rPr>
              <w:t>93%</w:t>
            </w:r>
          </w:p>
        </w:tc>
        <w:tc>
          <w:tcPr>
            <w:tcW w:w="1634" w:type="dxa"/>
          </w:tcPr>
          <w:p>
            <w:pPr>
              <w:pStyle w:val="TableParagraph"/>
              <w:spacing w:line="273" w:lineRule="exact"/>
              <w:ind w:left="83" w:right="80"/>
              <w:jc w:val="center"/>
              <w:rPr>
                <w:sz w:val="26"/>
              </w:rPr>
            </w:pPr>
            <w:r>
              <w:rPr>
                <w:sz w:val="26"/>
              </w:rPr>
              <w:t>75%</w:t>
            </w:r>
          </w:p>
        </w:tc>
        <w:tc>
          <w:tcPr>
            <w:tcW w:w="1867" w:type="dxa"/>
          </w:tcPr>
          <w:p>
            <w:pPr>
              <w:pStyle w:val="TableParagraph"/>
              <w:spacing w:line="273" w:lineRule="exact"/>
              <w:ind w:right="663"/>
              <w:jc w:val="right"/>
              <w:rPr>
                <w:sz w:val="26"/>
              </w:rPr>
            </w:pPr>
            <w:r>
              <w:rPr>
                <w:w w:val="95"/>
                <w:sz w:val="26"/>
              </w:rPr>
              <w:t>96%</w:t>
            </w:r>
          </w:p>
        </w:tc>
      </w:tr>
      <w:tr>
        <w:trPr>
          <w:trHeight w:val="897" w:hRule="atLeast"/>
        </w:trPr>
        <w:tc>
          <w:tcPr>
            <w:tcW w:w="1848" w:type="dxa"/>
          </w:tcPr>
          <w:p>
            <w:pPr>
              <w:pStyle w:val="TableParagraph"/>
              <w:ind w:left="107"/>
              <w:rPr>
                <w:sz w:val="26"/>
              </w:rPr>
            </w:pPr>
            <w:r>
              <w:rPr>
                <w:sz w:val="26"/>
              </w:rPr>
              <w:t>Expedited</w:t>
            </w:r>
          </w:p>
          <w:p>
            <w:pPr>
              <w:pStyle w:val="TableParagraph"/>
              <w:spacing w:line="298" w:lineRule="exact" w:before="7"/>
              <w:ind w:left="107" w:right="468"/>
              <w:rPr>
                <w:sz w:val="26"/>
              </w:rPr>
            </w:pPr>
            <w:r>
              <w:rPr>
                <w:sz w:val="26"/>
              </w:rPr>
              <w:t>Process 6- Month</w:t>
            </w:r>
          </w:p>
        </w:tc>
        <w:tc>
          <w:tcPr>
            <w:tcW w:w="1373" w:type="dxa"/>
          </w:tcPr>
          <w:p>
            <w:pPr>
              <w:pStyle w:val="TableParagraph"/>
              <w:rPr>
                <w:b/>
                <w:sz w:val="28"/>
              </w:rPr>
            </w:pPr>
          </w:p>
          <w:p>
            <w:pPr>
              <w:pStyle w:val="TableParagraph"/>
              <w:rPr>
                <w:b/>
                <w:sz w:val="24"/>
              </w:rPr>
            </w:pPr>
          </w:p>
          <w:p>
            <w:pPr>
              <w:pStyle w:val="TableParagraph"/>
              <w:spacing w:line="279" w:lineRule="exact"/>
              <w:ind w:left="84" w:right="80"/>
              <w:jc w:val="center"/>
              <w:rPr>
                <w:sz w:val="26"/>
              </w:rPr>
            </w:pPr>
            <w:r>
              <w:rPr>
                <w:sz w:val="26"/>
              </w:rPr>
              <w:t>171</w:t>
            </w:r>
          </w:p>
        </w:tc>
        <w:tc>
          <w:tcPr>
            <w:tcW w:w="1531" w:type="dxa"/>
          </w:tcPr>
          <w:p>
            <w:pPr>
              <w:pStyle w:val="TableParagraph"/>
              <w:rPr>
                <w:b/>
                <w:sz w:val="28"/>
              </w:rPr>
            </w:pPr>
          </w:p>
          <w:p>
            <w:pPr>
              <w:pStyle w:val="TableParagraph"/>
              <w:rPr>
                <w:b/>
                <w:sz w:val="24"/>
              </w:rPr>
            </w:pPr>
          </w:p>
          <w:p>
            <w:pPr>
              <w:pStyle w:val="TableParagraph"/>
              <w:spacing w:line="279" w:lineRule="exact"/>
              <w:ind w:left="83" w:right="79"/>
              <w:jc w:val="center"/>
              <w:rPr>
                <w:sz w:val="26"/>
              </w:rPr>
            </w:pPr>
            <w:r>
              <w:rPr>
                <w:sz w:val="26"/>
              </w:rPr>
              <w:t>152</w:t>
            </w:r>
          </w:p>
        </w:tc>
        <w:tc>
          <w:tcPr>
            <w:tcW w:w="1718" w:type="dxa"/>
          </w:tcPr>
          <w:p>
            <w:pPr>
              <w:pStyle w:val="TableParagraph"/>
              <w:rPr>
                <w:b/>
                <w:sz w:val="28"/>
              </w:rPr>
            </w:pPr>
          </w:p>
          <w:p>
            <w:pPr>
              <w:pStyle w:val="TableParagraph"/>
              <w:rPr>
                <w:b/>
                <w:sz w:val="24"/>
              </w:rPr>
            </w:pPr>
          </w:p>
          <w:p>
            <w:pPr>
              <w:pStyle w:val="TableParagraph"/>
              <w:spacing w:line="279" w:lineRule="exact"/>
              <w:ind w:left="330" w:right="325"/>
              <w:jc w:val="center"/>
              <w:rPr>
                <w:sz w:val="26"/>
              </w:rPr>
            </w:pPr>
            <w:r>
              <w:rPr>
                <w:sz w:val="26"/>
              </w:rPr>
              <w:t>89%</w:t>
            </w:r>
          </w:p>
        </w:tc>
        <w:tc>
          <w:tcPr>
            <w:tcW w:w="1634" w:type="dxa"/>
          </w:tcPr>
          <w:p>
            <w:pPr>
              <w:pStyle w:val="TableParagraph"/>
              <w:rPr>
                <w:b/>
                <w:sz w:val="28"/>
              </w:rPr>
            </w:pPr>
          </w:p>
          <w:p>
            <w:pPr>
              <w:pStyle w:val="TableParagraph"/>
              <w:rPr>
                <w:b/>
                <w:sz w:val="24"/>
              </w:rPr>
            </w:pPr>
          </w:p>
          <w:p>
            <w:pPr>
              <w:pStyle w:val="TableParagraph"/>
              <w:spacing w:line="279" w:lineRule="exact"/>
              <w:ind w:left="83" w:right="80"/>
              <w:jc w:val="center"/>
              <w:rPr>
                <w:sz w:val="26"/>
              </w:rPr>
            </w:pPr>
            <w:r>
              <w:rPr>
                <w:sz w:val="26"/>
              </w:rPr>
              <w:t>75%</w:t>
            </w:r>
          </w:p>
        </w:tc>
        <w:tc>
          <w:tcPr>
            <w:tcW w:w="1867" w:type="dxa"/>
          </w:tcPr>
          <w:p>
            <w:pPr>
              <w:pStyle w:val="TableParagraph"/>
              <w:rPr>
                <w:b/>
                <w:sz w:val="28"/>
              </w:rPr>
            </w:pPr>
          </w:p>
          <w:p>
            <w:pPr>
              <w:pStyle w:val="TableParagraph"/>
              <w:rPr>
                <w:b/>
                <w:sz w:val="24"/>
              </w:rPr>
            </w:pPr>
          </w:p>
          <w:p>
            <w:pPr>
              <w:pStyle w:val="TableParagraph"/>
              <w:spacing w:line="279" w:lineRule="exact"/>
              <w:ind w:right="663"/>
              <w:jc w:val="right"/>
              <w:rPr>
                <w:sz w:val="26"/>
              </w:rPr>
            </w:pPr>
            <w:r>
              <w:rPr>
                <w:w w:val="95"/>
                <w:sz w:val="26"/>
              </w:rPr>
              <w:t>89%</w:t>
            </w:r>
          </w:p>
        </w:tc>
      </w:tr>
      <w:tr>
        <w:trPr>
          <w:trHeight w:val="892" w:hRule="atLeast"/>
        </w:trPr>
        <w:tc>
          <w:tcPr>
            <w:tcW w:w="1848" w:type="dxa"/>
          </w:tcPr>
          <w:p>
            <w:pPr>
              <w:pStyle w:val="TableParagraph"/>
              <w:spacing w:line="295" w:lineRule="exact"/>
              <w:ind w:left="107"/>
              <w:rPr>
                <w:sz w:val="26"/>
              </w:rPr>
            </w:pPr>
            <w:r>
              <w:rPr>
                <w:sz w:val="26"/>
              </w:rPr>
              <w:t>Expedited</w:t>
            </w:r>
          </w:p>
          <w:p>
            <w:pPr>
              <w:pStyle w:val="TableParagraph"/>
              <w:spacing w:line="298" w:lineRule="exact" w:before="6"/>
              <w:ind w:left="107" w:right="323"/>
              <w:rPr>
                <w:sz w:val="26"/>
              </w:rPr>
            </w:pPr>
            <w:r>
              <w:rPr>
                <w:sz w:val="26"/>
              </w:rPr>
              <w:t>Process 12- Month</w:t>
            </w:r>
          </w:p>
        </w:tc>
        <w:tc>
          <w:tcPr>
            <w:tcW w:w="1373" w:type="dxa"/>
          </w:tcPr>
          <w:p>
            <w:pPr>
              <w:pStyle w:val="TableParagraph"/>
              <w:rPr>
                <w:b/>
                <w:sz w:val="28"/>
              </w:rPr>
            </w:pPr>
          </w:p>
          <w:p>
            <w:pPr>
              <w:pStyle w:val="TableParagraph"/>
              <w:spacing w:before="7"/>
              <w:rPr>
                <w:b/>
                <w:sz w:val="23"/>
              </w:rPr>
            </w:pPr>
          </w:p>
          <w:p>
            <w:pPr>
              <w:pStyle w:val="TableParagraph"/>
              <w:spacing w:line="279" w:lineRule="exact"/>
              <w:ind w:left="84" w:right="80"/>
              <w:jc w:val="center"/>
              <w:rPr>
                <w:sz w:val="26"/>
              </w:rPr>
            </w:pPr>
            <w:r>
              <w:rPr>
                <w:sz w:val="26"/>
              </w:rPr>
              <w:t>171</w:t>
            </w:r>
          </w:p>
        </w:tc>
        <w:tc>
          <w:tcPr>
            <w:tcW w:w="1531" w:type="dxa"/>
          </w:tcPr>
          <w:p>
            <w:pPr>
              <w:pStyle w:val="TableParagraph"/>
              <w:rPr>
                <w:b/>
                <w:sz w:val="28"/>
              </w:rPr>
            </w:pPr>
          </w:p>
          <w:p>
            <w:pPr>
              <w:pStyle w:val="TableParagraph"/>
              <w:spacing w:before="7"/>
              <w:rPr>
                <w:b/>
                <w:sz w:val="23"/>
              </w:rPr>
            </w:pPr>
          </w:p>
          <w:p>
            <w:pPr>
              <w:pStyle w:val="TableParagraph"/>
              <w:spacing w:line="279" w:lineRule="exact"/>
              <w:ind w:left="83" w:right="79"/>
              <w:jc w:val="center"/>
              <w:rPr>
                <w:sz w:val="26"/>
              </w:rPr>
            </w:pPr>
            <w:r>
              <w:rPr>
                <w:sz w:val="26"/>
              </w:rPr>
              <w:t>171</w:t>
            </w:r>
          </w:p>
        </w:tc>
        <w:tc>
          <w:tcPr>
            <w:tcW w:w="1718" w:type="dxa"/>
          </w:tcPr>
          <w:p>
            <w:pPr>
              <w:pStyle w:val="TableParagraph"/>
              <w:rPr>
                <w:b/>
                <w:sz w:val="28"/>
              </w:rPr>
            </w:pPr>
          </w:p>
          <w:p>
            <w:pPr>
              <w:pStyle w:val="TableParagraph"/>
              <w:spacing w:before="7"/>
              <w:rPr>
                <w:b/>
                <w:sz w:val="23"/>
              </w:rPr>
            </w:pPr>
          </w:p>
          <w:p>
            <w:pPr>
              <w:pStyle w:val="TableParagraph"/>
              <w:spacing w:line="279" w:lineRule="exact"/>
              <w:ind w:left="330" w:right="325"/>
              <w:jc w:val="center"/>
              <w:rPr>
                <w:sz w:val="26"/>
              </w:rPr>
            </w:pPr>
            <w:r>
              <w:rPr>
                <w:sz w:val="26"/>
              </w:rPr>
              <w:t>100%</w:t>
            </w:r>
          </w:p>
        </w:tc>
        <w:tc>
          <w:tcPr>
            <w:tcW w:w="1634" w:type="dxa"/>
          </w:tcPr>
          <w:p>
            <w:pPr>
              <w:pStyle w:val="TableParagraph"/>
              <w:rPr>
                <w:b/>
                <w:sz w:val="28"/>
              </w:rPr>
            </w:pPr>
          </w:p>
          <w:p>
            <w:pPr>
              <w:pStyle w:val="TableParagraph"/>
              <w:spacing w:before="7"/>
              <w:rPr>
                <w:b/>
                <w:sz w:val="23"/>
              </w:rPr>
            </w:pPr>
          </w:p>
          <w:p>
            <w:pPr>
              <w:pStyle w:val="TableParagraph"/>
              <w:spacing w:line="279" w:lineRule="exact"/>
              <w:ind w:left="83" w:right="80"/>
              <w:jc w:val="center"/>
              <w:rPr>
                <w:sz w:val="26"/>
              </w:rPr>
            </w:pPr>
            <w:r>
              <w:rPr>
                <w:sz w:val="26"/>
              </w:rPr>
              <w:t>90%</w:t>
            </w:r>
          </w:p>
        </w:tc>
        <w:tc>
          <w:tcPr>
            <w:tcW w:w="1867" w:type="dxa"/>
          </w:tcPr>
          <w:p>
            <w:pPr>
              <w:pStyle w:val="TableParagraph"/>
              <w:rPr>
                <w:b/>
                <w:sz w:val="28"/>
              </w:rPr>
            </w:pPr>
          </w:p>
          <w:p>
            <w:pPr>
              <w:pStyle w:val="TableParagraph"/>
              <w:spacing w:before="7"/>
              <w:rPr>
                <w:b/>
                <w:sz w:val="23"/>
              </w:rPr>
            </w:pPr>
          </w:p>
          <w:p>
            <w:pPr>
              <w:pStyle w:val="TableParagraph"/>
              <w:spacing w:line="279" w:lineRule="exact"/>
              <w:ind w:right="664"/>
              <w:jc w:val="right"/>
              <w:rPr>
                <w:sz w:val="26"/>
              </w:rPr>
            </w:pPr>
            <w:r>
              <w:rPr>
                <w:w w:val="95"/>
                <w:sz w:val="26"/>
              </w:rPr>
              <w:t>99%</w:t>
            </w:r>
          </w:p>
        </w:tc>
      </w:tr>
    </w:tbl>
    <w:p>
      <w:pPr>
        <w:spacing w:after="0" w:line="279" w:lineRule="exact"/>
        <w:jc w:val="right"/>
        <w:rPr>
          <w:sz w:val="26"/>
        </w:rPr>
        <w:sectPr>
          <w:pgSz w:w="12240" w:h="15840"/>
          <w:pgMar w:header="718" w:footer="1038" w:top="1340" w:bottom="1220" w:left="880" w:right="720"/>
        </w:sectPr>
      </w:pPr>
    </w:p>
    <w:p>
      <w:pPr>
        <w:pStyle w:val="ListParagraph"/>
        <w:numPr>
          <w:ilvl w:val="0"/>
          <w:numId w:val="3"/>
        </w:numPr>
        <w:tabs>
          <w:tab w:pos="920" w:val="left" w:leader="none"/>
        </w:tabs>
        <w:spacing w:line="240" w:lineRule="auto" w:before="81" w:after="0"/>
        <w:ind w:left="919" w:right="0" w:hanging="360"/>
        <w:jc w:val="left"/>
        <w:rPr>
          <w:b/>
          <w:sz w:val="28"/>
        </w:rPr>
      </w:pPr>
      <w:r>
        <w:rPr>
          <w:b/>
          <w:sz w:val="28"/>
        </w:rPr>
        <w:t>Discussion of Self-Assessment</w:t>
      </w:r>
      <w:r>
        <w:rPr>
          <w:b/>
          <w:spacing w:val="-2"/>
          <w:sz w:val="28"/>
        </w:rPr>
        <w:t> </w:t>
      </w:r>
      <w:r>
        <w:rPr>
          <w:b/>
          <w:sz w:val="28"/>
        </w:rPr>
        <w:t>Results</w:t>
      </w:r>
    </w:p>
    <w:p>
      <w:pPr>
        <w:pStyle w:val="BodyText"/>
        <w:spacing w:before="1"/>
        <w:rPr>
          <w:b/>
          <w:sz w:val="28"/>
        </w:rPr>
      </w:pPr>
    </w:p>
    <w:p>
      <w:pPr>
        <w:pStyle w:val="Heading4"/>
      </w:pPr>
      <w:r>
        <w:rPr/>
        <w:t>Case Closure Observation:</w:t>
      </w:r>
    </w:p>
    <w:p>
      <w:pPr>
        <w:pStyle w:val="BodyText"/>
        <w:spacing w:before="2"/>
        <w:rPr>
          <w:b/>
        </w:rPr>
      </w:pPr>
    </w:p>
    <w:p>
      <w:pPr>
        <w:pStyle w:val="BodyText"/>
        <w:spacing w:before="1"/>
        <w:ind w:left="560" w:right="839"/>
      </w:pPr>
      <w:r>
        <w:rPr/>
        <w:t>Case Closure was an audit consideration in only 1 of 500 of the cases reviewed. As a result, an additional focused sample of 350 cases was drawn, for a total of 351 cases.</w:t>
      </w:r>
    </w:p>
    <w:p>
      <w:pPr>
        <w:pStyle w:val="BodyText"/>
        <w:spacing w:before="10"/>
        <w:rPr>
          <w:sz w:val="25"/>
        </w:rPr>
      </w:pPr>
    </w:p>
    <w:p>
      <w:pPr>
        <w:pStyle w:val="BodyText"/>
        <w:ind w:left="560" w:right="752"/>
      </w:pPr>
      <w:r>
        <w:rPr/>
        <w:t>To be considered in substantial compliance, 90 percent of the closed cases need to meet the federal requirements. DCS achieved 92 percent (321 of 351 cases) compliance in this program area.</w:t>
      </w:r>
    </w:p>
    <w:p>
      <w:pPr>
        <w:pStyle w:val="BodyText"/>
        <w:spacing w:before="1"/>
      </w:pPr>
    </w:p>
    <w:p>
      <w:pPr>
        <w:pStyle w:val="BodyText"/>
        <w:ind w:left="560"/>
      </w:pPr>
      <w:r>
        <w:rPr/>
        <w:t>Thirty cases failed for the following reasons:</w:t>
      </w:r>
    </w:p>
    <w:p>
      <w:pPr>
        <w:pStyle w:val="BodyText"/>
        <w:spacing w:before="11"/>
        <w:rPr>
          <w:sz w:val="25"/>
        </w:rPr>
      </w:pPr>
    </w:p>
    <w:p>
      <w:pPr>
        <w:pStyle w:val="ListParagraph"/>
        <w:numPr>
          <w:ilvl w:val="1"/>
          <w:numId w:val="3"/>
        </w:numPr>
        <w:tabs>
          <w:tab w:pos="1279" w:val="left" w:leader="none"/>
          <w:tab w:pos="1281" w:val="left" w:leader="none"/>
        </w:tabs>
        <w:spacing w:line="240" w:lineRule="auto" w:before="0" w:after="0"/>
        <w:ind w:left="1279" w:right="1148" w:hanging="360"/>
        <w:jc w:val="left"/>
        <w:rPr>
          <w:sz w:val="26"/>
        </w:rPr>
      </w:pPr>
      <w:r>
        <w:rPr>
          <w:sz w:val="26"/>
        </w:rPr>
        <w:t>Thirteen cases failed because a closure notice was not sent when appropriate, or the 60 day period following the mailing of the notice was not</w:t>
      </w:r>
      <w:r>
        <w:rPr>
          <w:spacing w:val="-2"/>
          <w:sz w:val="26"/>
        </w:rPr>
        <w:t> </w:t>
      </w:r>
      <w:r>
        <w:rPr>
          <w:sz w:val="26"/>
        </w:rPr>
        <w:t>observed.</w:t>
      </w:r>
    </w:p>
    <w:p>
      <w:pPr>
        <w:pStyle w:val="ListParagraph"/>
        <w:numPr>
          <w:ilvl w:val="1"/>
          <w:numId w:val="3"/>
        </w:numPr>
        <w:tabs>
          <w:tab w:pos="1279" w:val="left" w:leader="none"/>
          <w:tab w:pos="1280" w:val="left" w:leader="none"/>
        </w:tabs>
        <w:spacing w:line="240" w:lineRule="auto" w:before="0" w:after="0"/>
        <w:ind w:left="1279" w:right="757" w:hanging="361"/>
        <w:jc w:val="left"/>
        <w:rPr>
          <w:sz w:val="26"/>
        </w:rPr>
      </w:pPr>
      <w:r>
        <w:rPr>
          <w:sz w:val="26"/>
        </w:rPr>
        <w:t>Six cases were closed inappropriately for loss of contact with the CP, three of which were still active Temporary Assistance for Needy Families (TANF).</w:t>
      </w:r>
    </w:p>
    <w:p>
      <w:pPr>
        <w:pStyle w:val="ListParagraph"/>
        <w:numPr>
          <w:ilvl w:val="1"/>
          <w:numId w:val="3"/>
        </w:numPr>
        <w:tabs>
          <w:tab w:pos="1279" w:val="left" w:leader="none"/>
          <w:tab w:pos="1280" w:val="left" w:leader="none"/>
        </w:tabs>
        <w:spacing w:line="240" w:lineRule="auto" w:before="0" w:after="0"/>
        <w:ind w:left="1279" w:right="1108" w:hanging="361"/>
        <w:jc w:val="left"/>
        <w:rPr>
          <w:sz w:val="26"/>
        </w:rPr>
      </w:pPr>
      <w:r>
        <w:rPr>
          <w:sz w:val="26"/>
        </w:rPr>
        <w:t>Four cases failed because there was no written request for closure</w:t>
      </w:r>
      <w:r>
        <w:rPr>
          <w:spacing w:val="-31"/>
          <w:sz w:val="26"/>
        </w:rPr>
        <w:t> </w:t>
      </w:r>
      <w:r>
        <w:rPr>
          <w:sz w:val="26"/>
        </w:rPr>
        <w:t>from the custodial parent (CP).</w:t>
      </w:r>
    </w:p>
    <w:p>
      <w:pPr>
        <w:pStyle w:val="ListParagraph"/>
        <w:numPr>
          <w:ilvl w:val="1"/>
          <w:numId w:val="3"/>
        </w:numPr>
        <w:tabs>
          <w:tab w:pos="1279" w:val="left" w:leader="none"/>
          <w:tab w:pos="1280" w:val="left" w:leader="none"/>
        </w:tabs>
        <w:spacing w:line="316" w:lineRule="exact" w:before="0" w:after="0"/>
        <w:ind w:left="1279" w:right="0" w:hanging="361"/>
        <w:jc w:val="left"/>
        <w:rPr>
          <w:sz w:val="26"/>
        </w:rPr>
      </w:pPr>
      <w:r>
        <w:rPr>
          <w:sz w:val="26"/>
        </w:rPr>
        <w:t>Two cases were closed inappropriately for CP</w:t>
      </w:r>
      <w:r>
        <w:rPr>
          <w:spacing w:val="-8"/>
          <w:sz w:val="26"/>
        </w:rPr>
        <w:t> </w:t>
      </w:r>
      <w:r>
        <w:rPr>
          <w:sz w:val="26"/>
        </w:rPr>
        <w:t>non-cooperation.</w:t>
      </w:r>
    </w:p>
    <w:p>
      <w:pPr>
        <w:pStyle w:val="ListParagraph"/>
        <w:numPr>
          <w:ilvl w:val="1"/>
          <w:numId w:val="3"/>
        </w:numPr>
        <w:tabs>
          <w:tab w:pos="1279" w:val="left" w:leader="none"/>
          <w:tab w:pos="1280" w:val="left" w:leader="none"/>
        </w:tabs>
        <w:spacing w:line="240" w:lineRule="auto" w:before="0" w:after="0"/>
        <w:ind w:left="1279" w:right="1021" w:hanging="361"/>
        <w:jc w:val="left"/>
        <w:rPr>
          <w:sz w:val="26"/>
        </w:rPr>
      </w:pPr>
      <w:r>
        <w:rPr>
          <w:sz w:val="26"/>
        </w:rPr>
        <w:t>Two cases were closed inappropriately when the debts were under</w:t>
      </w:r>
      <w:r>
        <w:rPr>
          <w:spacing w:val="-33"/>
          <w:sz w:val="26"/>
        </w:rPr>
        <w:t> </w:t>
      </w:r>
      <w:r>
        <w:rPr>
          <w:sz w:val="26"/>
        </w:rPr>
        <w:t>$500 but there was additional debt for the family unit on other</w:t>
      </w:r>
      <w:r>
        <w:rPr>
          <w:spacing w:val="-14"/>
          <w:sz w:val="26"/>
        </w:rPr>
        <w:t> </w:t>
      </w:r>
      <w:r>
        <w:rPr>
          <w:sz w:val="26"/>
        </w:rPr>
        <w:t>cases.</w:t>
      </w:r>
    </w:p>
    <w:p>
      <w:pPr>
        <w:pStyle w:val="ListParagraph"/>
        <w:numPr>
          <w:ilvl w:val="1"/>
          <w:numId w:val="3"/>
        </w:numPr>
        <w:tabs>
          <w:tab w:pos="1279" w:val="left" w:leader="none"/>
          <w:tab w:pos="1280" w:val="left" w:leader="none"/>
        </w:tabs>
        <w:spacing w:line="240" w:lineRule="auto" w:before="0" w:after="0"/>
        <w:ind w:left="1279" w:right="845" w:hanging="360"/>
        <w:jc w:val="left"/>
        <w:rPr>
          <w:sz w:val="26"/>
        </w:rPr>
      </w:pPr>
      <w:r>
        <w:rPr>
          <w:sz w:val="26"/>
        </w:rPr>
        <w:t>One case was closed because the CP and non-custodial parent (NCP) both moved out of state. The Uniform Interstate Family Support Act allows for working these</w:t>
      </w:r>
      <w:r>
        <w:rPr>
          <w:spacing w:val="-1"/>
          <w:sz w:val="26"/>
        </w:rPr>
        <w:t> </w:t>
      </w:r>
      <w:r>
        <w:rPr>
          <w:sz w:val="26"/>
        </w:rPr>
        <w:t>cases.</w:t>
      </w:r>
    </w:p>
    <w:p>
      <w:pPr>
        <w:pStyle w:val="ListParagraph"/>
        <w:numPr>
          <w:ilvl w:val="1"/>
          <w:numId w:val="3"/>
        </w:numPr>
        <w:tabs>
          <w:tab w:pos="1279" w:val="left" w:leader="none"/>
          <w:tab w:pos="1280" w:val="left" w:leader="none"/>
        </w:tabs>
        <w:spacing w:line="237" w:lineRule="auto" w:before="0" w:after="0"/>
        <w:ind w:left="1279" w:right="1033" w:hanging="360"/>
        <w:jc w:val="left"/>
        <w:rPr>
          <w:sz w:val="26"/>
        </w:rPr>
      </w:pPr>
      <w:r>
        <w:rPr>
          <w:sz w:val="26"/>
        </w:rPr>
        <w:t>One case was closed because the NCP claimed disability, but there was no required</w:t>
      </w:r>
      <w:r>
        <w:rPr>
          <w:spacing w:val="-3"/>
          <w:sz w:val="26"/>
        </w:rPr>
        <w:t> </w:t>
      </w:r>
      <w:r>
        <w:rPr>
          <w:sz w:val="26"/>
        </w:rPr>
        <w:t>documentation.</w:t>
      </w:r>
    </w:p>
    <w:p>
      <w:pPr>
        <w:pStyle w:val="ListParagraph"/>
        <w:numPr>
          <w:ilvl w:val="1"/>
          <w:numId w:val="3"/>
        </w:numPr>
        <w:tabs>
          <w:tab w:pos="1279" w:val="left" w:leader="none"/>
          <w:tab w:pos="1280" w:val="left" w:leader="none"/>
        </w:tabs>
        <w:spacing w:line="240" w:lineRule="auto" w:before="0" w:after="0"/>
        <w:ind w:left="1279" w:right="1090" w:hanging="361"/>
        <w:jc w:val="left"/>
        <w:rPr>
          <w:sz w:val="26"/>
        </w:rPr>
      </w:pPr>
      <w:r>
        <w:rPr>
          <w:sz w:val="26"/>
        </w:rPr>
        <w:t>One case was closed because the CP reported the NCP was in Mexico, but there was no documentation.</w:t>
      </w:r>
    </w:p>
    <w:p>
      <w:pPr>
        <w:pStyle w:val="BodyText"/>
        <w:rPr>
          <w:sz w:val="28"/>
        </w:rPr>
      </w:pPr>
    </w:p>
    <w:p>
      <w:pPr>
        <w:pStyle w:val="BodyText"/>
        <w:spacing w:before="1"/>
        <w:rPr>
          <w:sz w:val="23"/>
        </w:rPr>
      </w:pPr>
    </w:p>
    <w:p>
      <w:pPr>
        <w:pStyle w:val="Heading4"/>
        <w:ind w:left="559"/>
      </w:pPr>
      <w:r>
        <w:rPr/>
        <w:t>Case Closure Summary:</w:t>
      </w:r>
    </w:p>
    <w:p>
      <w:pPr>
        <w:pStyle w:val="BodyText"/>
        <w:spacing w:before="2"/>
        <w:rPr>
          <w:b/>
        </w:rPr>
      </w:pPr>
    </w:p>
    <w:p>
      <w:pPr>
        <w:pStyle w:val="BodyText"/>
        <w:spacing w:before="1"/>
        <w:ind w:left="559" w:right="912"/>
      </w:pPr>
      <w:r>
        <w:rPr/>
        <w:t>The 92 percent compliance rate is less than last year’s rate of 96 percent, but is within the compliance standard. The 321 cases found to be in compliance show that DCS staff have a good understanding of the rules regarding case closure and are diligent in pursuing cases with collection potential.</w:t>
      </w:r>
    </w:p>
    <w:p>
      <w:pPr>
        <w:spacing w:after="0"/>
        <w:sectPr>
          <w:pgSz w:w="12240" w:h="15840"/>
          <w:pgMar w:header="718" w:footer="1038" w:top="1340" w:bottom="1220" w:left="880" w:right="720"/>
        </w:sectPr>
      </w:pPr>
    </w:p>
    <w:p>
      <w:pPr>
        <w:pStyle w:val="BodyText"/>
        <w:spacing w:before="86"/>
        <w:ind w:left="560" w:right="724"/>
      </w:pPr>
      <w:r>
        <w:rPr/>
        <w:t>Staff should be reminded to make sure closure notices are sent and proper timeframes observed before closing cases, to ensure written notices are received when closing cases due to CP requests, and not close cases inappropriately when TANF/medical assistance still active.</w:t>
      </w:r>
    </w:p>
    <w:p>
      <w:pPr>
        <w:spacing w:after="0"/>
        <w:sectPr>
          <w:pgSz w:w="12240" w:h="15840"/>
          <w:pgMar w:header="718" w:footer="1038" w:top="1340" w:bottom="1220" w:left="880" w:right="720"/>
        </w:sectPr>
      </w:pPr>
    </w:p>
    <w:p>
      <w:pPr>
        <w:pStyle w:val="Heading4"/>
        <w:spacing w:before="81"/>
      </w:pPr>
      <w:r>
        <w:rPr/>
        <w:t>Establishment Observation</w:t>
      </w:r>
    </w:p>
    <w:p>
      <w:pPr>
        <w:pStyle w:val="BodyText"/>
        <w:spacing w:before="4"/>
        <w:rPr>
          <w:b/>
        </w:rPr>
      </w:pPr>
    </w:p>
    <w:p>
      <w:pPr>
        <w:pStyle w:val="BodyText"/>
        <w:ind w:left="560" w:right="709"/>
      </w:pPr>
      <w:r>
        <w:rPr/>
        <w:t>Order and Paternity Establishment was an audit consideration in 86 of 500 of the cases reviewed. To be considered in substantial compliance, 75 percent of the order and paternity establishment cases need to meet the requirements found in federal regulations. DCS achieved 99 percent (85 of 86 cases) compliance in the program measure.</w:t>
      </w:r>
    </w:p>
    <w:p>
      <w:pPr>
        <w:pStyle w:val="BodyText"/>
        <w:spacing w:before="10"/>
        <w:rPr>
          <w:sz w:val="25"/>
        </w:rPr>
      </w:pPr>
    </w:p>
    <w:p>
      <w:pPr>
        <w:pStyle w:val="BodyText"/>
        <w:ind w:left="560" w:right="766"/>
      </w:pPr>
      <w:r>
        <w:rPr/>
        <w:t>One case failed because the Social Security number and date of birth for the NCP could not be determined. This information was available in Barcode, a database of IV-A client information, because the NCP had been in the household previously.</w:t>
      </w:r>
    </w:p>
    <w:p>
      <w:pPr>
        <w:pStyle w:val="BodyText"/>
        <w:rPr>
          <w:sz w:val="28"/>
        </w:rPr>
      </w:pPr>
    </w:p>
    <w:p>
      <w:pPr>
        <w:pStyle w:val="BodyText"/>
        <w:spacing w:before="10"/>
        <w:rPr>
          <w:sz w:val="23"/>
        </w:rPr>
      </w:pPr>
    </w:p>
    <w:p>
      <w:pPr>
        <w:pStyle w:val="Heading4"/>
      </w:pPr>
      <w:r>
        <w:rPr/>
        <w:t>Establishment Summary:</w:t>
      </w:r>
    </w:p>
    <w:p>
      <w:pPr>
        <w:pStyle w:val="BodyText"/>
        <w:rPr>
          <w:b/>
          <w:sz w:val="28"/>
        </w:rPr>
      </w:pPr>
    </w:p>
    <w:p>
      <w:pPr>
        <w:pStyle w:val="BodyText"/>
        <w:spacing w:before="1"/>
        <w:rPr>
          <w:b/>
          <w:sz w:val="24"/>
        </w:rPr>
      </w:pPr>
    </w:p>
    <w:p>
      <w:pPr>
        <w:pStyle w:val="BodyText"/>
        <w:ind w:left="560" w:right="1027"/>
      </w:pPr>
      <w:r>
        <w:rPr/>
        <w:t>The 99 percent compliance rate is well within the compliance standard. The 85 cases found to be in compliance were the result of diligent efforts by staff to achieve the DCS goal of establishing child support orders in as many cases as possible.</w:t>
      </w:r>
    </w:p>
    <w:p>
      <w:pPr>
        <w:spacing w:after="0"/>
        <w:sectPr>
          <w:pgSz w:w="12240" w:h="15840"/>
          <w:pgMar w:header="718" w:footer="1038" w:top="1340" w:bottom="1220" w:left="880" w:right="720"/>
        </w:sectPr>
      </w:pPr>
    </w:p>
    <w:p>
      <w:pPr>
        <w:pStyle w:val="Heading4"/>
        <w:spacing w:before="83"/>
      </w:pPr>
      <w:r>
        <w:rPr/>
        <w:t>Child Support Enforcement Observation:</w:t>
      </w:r>
    </w:p>
    <w:p>
      <w:pPr>
        <w:pStyle w:val="BodyText"/>
        <w:spacing w:before="2"/>
        <w:rPr>
          <w:b/>
        </w:rPr>
      </w:pPr>
    </w:p>
    <w:p>
      <w:pPr>
        <w:pStyle w:val="BodyText"/>
        <w:ind w:left="560" w:right="709"/>
      </w:pPr>
      <w:r>
        <w:rPr/>
        <w:t>Enforcement was an audit consideration in 366 of 500 of the cases reviewed. To be considered in substantial compliance, 75 percent of the enforcement cases need to meet the requirements found in federal regulations. DCS achieved 92 percent (336 of 366 cases) compliance in the program area.</w:t>
      </w:r>
    </w:p>
    <w:p>
      <w:pPr>
        <w:pStyle w:val="BodyText"/>
      </w:pPr>
    </w:p>
    <w:p>
      <w:pPr>
        <w:pStyle w:val="BodyText"/>
        <w:ind w:left="560" w:right="769"/>
        <w:jc w:val="both"/>
      </w:pPr>
      <w:r>
        <w:rPr/>
        <w:t>Federal regulations also require DCS to submit cases with arrears for federal tax offset. In all cases in which enforcement was an issue, DCS either submitted the case for federal tax offset or the case was not appropriate for submission.</w:t>
      </w:r>
    </w:p>
    <w:p>
      <w:pPr>
        <w:pStyle w:val="BodyText"/>
        <w:spacing w:before="11"/>
        <w:rPr>
          <w:sz w:val="25"/>
        </w:rPr>
      </w:pPr>
    </w:p>
    <w:p>
      <w:pPr>
        <w:pStyle w:val="BodyText"/>
        <w:ind w:left="560"/>
        <w:jc w:val="both"/>
      </w:pPr>
      <w:r>
        <w:rPr/>
        <w:t>Thirty cases did not comply with federal requirements for the following reasons:</w:t>
      </w:r>
    </w:p>
    <w:p>
      <w:pPr>
        <w:pStyle w:val="BodyText"/>
        <w:spacing w:before="10"/>
        <w:rPr>
          <w:sz w:val="25"/>
        </w:rPr>
      </w:pPr>
    </w:p>
    <w:p>
      <w:pPr>
        <w:pStyle w:val="ListParagraph"/>
        <w:numPr>
          <w:ilvl w:val="1"/>
          <w:numId w:val="3"/>
        </w:numPr>
        <w:tabs>
          <w:tab w:pos="1280" w:val="left" w:leader="none"/>
          <w:tab w:pos="1281" w:val="left" w:leader="none"/>
        </w:tabs>
        <w:spacing w:line="240" w:lineRule="auto" w:before="0" w:after="0"/>
        <w:ind w:left="1280" w:right="787" w:hanging="361"/>
        <w:jc w:val="left"/>
        <w:rPr>
          <w:sz w:val="26"/>
        </w:rPr>
      </w:pPr>
      <w:r>
        <w:rPr>
          <w:sz w:val="26"/>
        </w:rPr>
        <w:t>In 19 cases DCS did not meet federal asset locate requirements. To meet federal requirements, DCS must access all appropriate locate resources. These include the CP, Federal Parent Locator Service, U.S. Postal Service, state employment security agency, unemployment data, Department of Motor Vehicles, credit bureaus or Accurint, and quick locate to other states. The majority of the cases failed because a timely credit bureau or Accurint inquiry was not</w:t>
      </w:r>
      <w:r>
        <w:rPr>
          <w:spacing w:val="-2"/>
          <w:sz w:val="26"/>
        </w:rPr>
        <w:t> </w:t>
      </w:r>
      <w:r>
        <w:rPr>
          <w:sz w:val="26"/>
        </w:rPr>
        <w:t>done.</w:t>
      </w:r>
    </w:p>
    <w:p>
      <w:pPr>
        <w:pStyle w:val="ListParagraph"/>
        <w:numPr>
          <w:ilvl w:val="1"/>
          <w:numId w:val="3"/>
        </w:numPr>
        <w:tabs>
          <w:tab w:pos="1280" w:val="left" w:leader="none"/>
          <w:tab w:pos="1281" w:val="left" w:leader="none"/>
        </w:tabs>
        <w:spacing w:line="240" w:lineRule="auto" w:before="0" w:after="0"/>
        <w:ind w:left="1280" w:right="891" w:hanging="361"/>
        <w:jc w:val="left"/>
        <w:rPr>
          <w:sz w:val="26"/>
        </w:rPr>
      </w:pPr>
      <w:r>
        <w:rPr>
          <w:sz w:val="26"/>
        </w:rPr>
        <w:t>In 11 cases, DCS did not take a timely wage withholding action when required. The main issues in the cases were the existence of Immediate Wage Withholding orders, but the NCPs were allowed to pay on their</w:t>
      </w:r>
      <w:r>
        <w:rPr>
          <w:spacing w:val="-29"/>
          <w:sz w:val="26"/>
        </w:rPr>
        <w:t> </w:t>
      </w:r>
      <w:r>
        <w:rPr>
          <w:sz w:val="26"/>
        </w:rPr>
        <w:t>own while a current employer was either known or</w:t>
      </w:r>
      <w:r>
        <w:rPr>
          <w:spacing w:val="-9"/>
          <w:sz w:val="26"/>
        </w:rPr>
        <w:t> </w:t>
      </w:r>
      <w:r>
        <w:rPr>
          <w:sz w:val="26"/>
        </w:rPr>
        <w:t>suspected.</w:t>
      </w:r>
    </w:p>
    <w:p>
      <w:pPr>
        <w:pStyle w:val="BodyText"/>
        <w:rPr>
          <w:sz w:val="28"/>
        </w:rPr>
      </w:pPr>
    </w:p>
    <w:p>
      <w:pPr>
        <w:pStyle w:val="BodyText"/>
        <w:rPr>
          <w:sz w:val="28"/>
        </w:rPr>
      </w:pPr>
    </w:p>
    <w:p>
      <w:pPr>
        <w:pStyle w:val="Heading4"/>
        <w:spacing w:before="247"/>
        <w:jc w:val="both"/>
      </w:pPr>
      <w:r>
        <w:rPr/>
        <w:t>Child Support Enforcement Summary:</w:t>
      </w:r>
    </w:p>
    <w:p>
      <w:pPr>
        <w:pStyle w:val="BodyText"/>
        <w:spacing w:before="2"/>
        <w:rPr>
          <w:b/>
        </w:rPr>
      </w:pPr>
    </w:p>
    <w:p>
      <w:pPr>
        <w:pStyle w:val="BodyText"/>
        <w:ind w:left="560" w:right="752"/>
      </w:pPr>
      <w:r>
        <w:rPr/>
        <w:t>The 92 percent compliance rate was less than last year’s rate of 94 percent, but is within the compliance standard. The majority (236 of 366 cases) succeeded because DCS received a wage withholding payment in the last quarter of the review period or a payment from another type of collection action. The 336 cases found to be in compliance demonstrate that DCS is attentively enforcing orders on the vast majority of the child support caseload. Staff should be encouraged to access all locate tools in a timely manner, and to use wage withholding on all cases with an immediate wage withholding order and a known or suspected employer.</w:t>
      </w:r>
    </w:p>
    <w:p>
      <w:pPr>
        <w:spacing w:after="0"/>
        <w:sectPr>
          <w:pgSz w:w="12240" w:h="15840"/>
          <w:pgMar w:header="718" w:footer="1038" w:top="1340" w:bottom="1220" w:left="880" w:right="720"/>
        </w:sectPr>
      </w:pPr>
    </w:p>
    <w:p>
      <w:pPr>
        <w:pStyle w:val="Heading4"/>
        <w:spacing w:before="83"/>
      </w:pPr>
      <w:r>
        <w:rPr/>
        <w:t>Disbursement Observation:</w:t>
      </w:r>
    </w:p>
    <w:p>
      <w:pPr>
        <w:pStyle w:val="BodyText"/>
        <w:spacing w:before="2"/>
        <w:rPr>
          <w:b/>
        </w:rPr>
      </w:pPr>
    </w:p>
    <w:p>
      <w:pPr>
        <w:pStyle w:val="BodyText"/>
        <w:ind w:left="560" w:right="771"/>
      </w:pPr>
      <w:r>
        <w:rPr/>
        <w:t>Disbursement was an audit consideration in 230 of 500 of the cases reviewed. To be considered in substantial compliance, 75 percent of the disbursement cases need to meet the requirements found in federal regulations. DCS</w:t>
      </w:r>
      <w:r>
        <w:rPr>
          <w:spacing w:val="-36"/>
        </w:rPr>
        <w:t> </w:t>
      </w:r>
      <w:r>
        <w:rPr/>
        <w:t>achieved 99 percent (228 of 230 cases) compliance in this program</w:t>
      </w:r>
      <w:r>
        <w:rPr>
          <w:spacing w:val="-9"/>
        </w:rPr>
        <w:t> </w:t>
      </w:r>
      <w:r>
        <w:rPr/>
        <w:t>area.</w:t>
      </w:r>
    </w:p>
    <w:p>
      <w:pPr>
        <w:pStyle w:val="BodyText"/>
      </w:pPr>
    </w:p>
    <w:p>
      <w:pPr>
        <w:pStyle w:val="BodyText"/>
        <w:ind w:left="559" w:right="1014"/>
      </w:pPr>
      <w:r>
        <w:rPr/>
        <w:t>A case meets the federal disbursement requirement if the payment is mailed within two business days of receipt. The DCS vendor mails payments the day after processing. For a payment to meet the requirement, it must be processed no later than one day after the payment is received.</w:t>
      </w:r>
    </w:p>
    <w:p>
      <w:pPr>
        <w:pStyle w:val="BodyText"/>
        <w:spacing w:before="9"/>
        <w:rPr>
          <w:sz w:val="25"/>
        </w:rPr>
      </w:pPr>
    </w:p>
    <w:p>
      <w:pPr>
        <w:pStyle w:val="BodyText"/>
        <w:ind w:left="559" w:right="956"/>
      </w:pPr>
      <w:r>
        <w:rPr/>
        <w:t>Two cases in the review received a payment which did not meet the federal disbursement requirement. One of the cases did not meet the requirement because Special Instructions were not removed from the case until two or more days after the receipt of the payment. Special Instructions are set to require a manual review of a payment before its application to the case. The other case failed because it was closed when the payment was received and was not reopened in time to apply the payment to meet the disbursement requirement.</w:t>
      </w:r>
    </w:p>
    <w:p>
      <w:pPr>
        <w:pStyle w:val="BodyText"/>
        <w:spacing w:before="1"/>
      </w:pPr>
    </w:p>
    <w:p>
      <w:pPr>
        <w:pStyle w:val="BodyText"/>
        <w:ind w:left="559" w:right="999"/>
      </w:pPr>
      <w:r>
        <w:rPr/>
        <w:t>Cases included in this review had a payment that was collected and distributed during the last quarter of the review period. A payment was reviewed for the disbursement timeframe only if sufficient information identifying the payee was provided.</w:t>
      </w:r>
    </w:p>
    <w:p>
      <w:pPr>
        <w:pStyle w:val="BodyText"/>
        <w:spacing w:before="6"/>
        <w:rPr>
          <w:sz w:val="25"/>
        </w:rPr>
      </w:pPr>
    </w:p>
    <w:p>
      <w:pPr>
        <w:pStyle w:val="Heading4"/>
        <w:ind w:left="559"/>
      </w:pPr>
      <w:r>
        <w:rPr/>
        <w:t>Disbursement Summary:</w:t>
      </w:r>
    </w:p>
    <w:p>
      <w:pPr>
        <w:pStyle w:val="BodyText"/>
        <w:spacing w:before="10"/>
        <w:rPr>
          <w:b/>
          <w:sz w:val="36"/>
        </w:rPr>
      </w:pPr>
    </w:p>
    <w:p>
      <w:pPr>
        <w:pStyle w:val="BodyText"/>
        <w:ind w:left="559" w:right="711"/>
      </w:pPr>
      <w:r>
        <w:rPr/>
        <w:t>The 99 percent compliance rate is an improvement over last year’s results, and is well within the compliance standard. The 228 cases found to be in compliance demonstrate that DCS is promptly disbursing payments after receipt.</w:t>
      </w:r>
    </w:p>
    <w:p>
      <w:pPr>
        <w:spacing w:after="0"/>
        <w:sectPr>
          <w:pgSz w:w="12240" w:h="15840"/>
          <w:pgMar w:header="718" w:footer="1038" w:top="1340" w:bottom="1220" w:left="880" w:right="720"/>
        </w:sectPr>
      </w:pPr>
    </w:p>
    <w:p>
      <w:pPr>
        <w:pStyle w:val="Heading4"/>
        <w:spacing w:before="83"/>
      </w:pPr>
      <w:r>
        <w:rPr/>
        <w:t>Medical Enforcement Observation:</w:t>
      </w:r>
    </w:p>
    <w:p>
      <w:pPr>
        <w:pStyle w:val="BodyText"/>
        <w:spacing w:before="2"/>
        <w:rPr>
          <w:b/>
        </w:rPr>
      </w:pPr>
    </w:p>
    <w:p>
      <w:pPr>
        <w:pStyle w:val="BodyText"/>
        <w:ind w:left="559" w:right="709"/>
      </w:pPr>
      <w:r>
        <w:rPr/>
        <w:t>Medical Enforcement was an audit consideration in 277 of the 500 cases reviewed. To be considered in substantial compliance, 75 percent of the medical enforcement cases need to meet the requirements found in the federal regulations. DCS achieved 95 percent (264 of 277 cases) compliance in this program area.</w:t>
      </w:r>
    </w:p>
    <w:p>
      <w:pPr>
        <w:pStyle w:val="BodyText"/>
        <w:spacing w:before="10"/>
        <w:rPr>
          <w:sz w:val="25"/>
        </w:rPr>
      </w:pPr>
    </w:p>
    <w:p>
      <w:pPr>
        <w:pStyle w:val="BodyText"/>
        <w:ind w:left="559"/>
      </w:pPr>
      <w:r>
        <w:rPr/>
        <w:t>Thirteen cases failed for the following reasons:</w:t>
      </w:r>
    </w:p>
    <w:p>
      <w:pPr>
        <w:pStyle w:val="ListParagraph"/>
        <w:numPr>
          <w:ilvl w:val="1"/>
          <w:numId w:val="3"/>
        </w:numPr>
        <w:tabs>
          <w:tab w:pos="1279" w:val="left" w:leader="none"/>
          <w:tab w:pos="1281" w:val="left" w:leader="none"/>
        </w:tabs>
        <w:spacing w:line="240" w:lineRule="auto" w:before="186" w:after="0"/>
        <w:ind w:left="1280" w:right="759" w:hanging="361"/>
        <w:jc w:val="left"/>
        <w:rPr>
          <w:sz w:val="26"/>
        </w:rPr>
      </w:pPr>
      <w:r>
        <w:rPr>
          <w:sz w:val="26"/>
        </w:rPr>
        <w:t>In seven cases, the case record confirmed that the NCP was employed during all or part of the audit period. In some cases, DCS did not send the appropriate medical notification, National Medical Support Notice (NMSN). In other cases the NMSN was not sent in a timely fashion even though DCS had issued a wage withholding notice to the employer in some</w:t>
      </w:r>
      <w:r>
        <w:rPr>
          <w:spacing w:val="-26"/>
          <w:sz w:val="26"/>
        </w:rPr>
        <w:t> </w:t>
      </w:r>
      <w:r>
        <w:rPr>
          <w:sz w:val="26"/>
        </w:rPr>
        <w:t>cases.</w:t>
      </w:r>
    </w:p>
    <w:p>
      <w:pPr>
        <w:pStyle w:val="ListParagraph"/>
        <w:numPr>
          <w:ilvl w:val="1"/>
          <w:numId w:val="3"/>
        </w:numPr>
        <w:tabs>
          <w:tab w:pos="1279" w:val="left" w:leader="none"/>
          <w:tab w:pos="1281" w:val="left" w:leader="none"/>
        </w:tabs>
        <w:spacing w:line="237" w:lineRule="auto" w:before="0" w:after="0"/>
        <w:ind w:left="1280" w:right="1594" w:hanging="361"/>
        <w:jc w:val="left"/>
        <w:rPr>
          <w:sz w:val="26"/>
        </w:rPr>
      </w:pPr>
      <w:r>
        <w:rPr>
          <w:sz w:val="26"/>
        </w:rPr>
        <w:t>In three cases, there was not sufficient follow up on the part of DCS regarding information provided by either the employer or the</w:t>
      </w:r>
      <w:r>
        <w:rPr>
          <w:spacing w:val="-24"/>
          <w:sz w:val="26"/>
        </w:rPr>
        <w:t> </w:t>
      </w:r>
      <w:r>
        <w:rPr>
          <w:sz w:val="26"/>
        </w:rPr>
        <w:t>NCP.</w:t>
      </w:r>
    </w:p>
    <w:p>
      <w:pPr>
        <w:pStyle w:val="ListParagraph"/>
        <w:numPr>
          <w:ilvl w:val="1"/>
          <w:numId w:val="3"/>
        </w:numPr>
        <w:tabs>
          <w:tab w:pos="1279" w:val="left" w:leader="none"/>
          <w:tab w:pos="1281" w:val="left" w:leader="none"/>
        </w:tabs>
        <w:spacing w:line="240" w:lineRule="auto" w:before="0" w:after="0"/>
        <w:ind w:left="1280" w:right="730" w:hanging="361"/>
        <w:jc w:val="left"/>
        <w:rPr>
          <w:sz w:val="26"/>
        </w:rPr>
      </w:pPr>
      <w:r>
        <w:rPr>
          <w:sz w:val="26"/>
        </w:rPr>
        <w:t>In two cases, the Notice of Insurance Coverage (9-730) was not sent to the CP after insurance coverage for the children was</w:t>
      </w:r>
      <w:r>
        <w:rPr>
          <w:spacing w:val="-3"/>
          <w:sz w:val="26"/>
        </w:rPr>
        <w:t> </w:t>
      </w:r>
      <w:r>
        <w:rPr>
          <w:sz w:val="26"/>
        </w:rPr>
        <w:t>verified.</w:t>
      </w:r>
    </w:p>
    <w:p>
      <w:pPr>
        <w:pStyle w:val="ListParagraph"/>
        <w:numPr>
          <w:ilvl w:val="1"/>
          <w:numId w:val="3"/>
        </w:numPr>
        <w:tabs>
          <w:tab w:pos="1279" w:val="left" w:leader="none"/>
          <w:tab w:pos="1281" w:val="left" w:leader="none"/>
        </w:tabs>
        <w:spacing w:line="237" w:lineRule="auto" w:before="2" w:after="0"/>
        <w:ind w:left="1280" w:right="861" w:hanging="361"/>
        <w:jc w:val="left"/>
        <w:rPr>
          <w:sz w:val="26"/>
        </w:rPr>
      </w:pPr>
      <w:r>
        <w:rPr>
          <w:sz w:val="26"/>
        </w:rPr>
        <w:t>In one case, there was not sufficient follow up when the employer failed</w:t>
      </w:r>
      <w:r>
        <w:rPr>
          <w:spacing w:val="-33"/>
          <w:sz w:val="26"/>
        </w:rPr>
        <w:t> </w:t>
      </w:r>
      <w:r>
        <w:rPr>
          <w:sz w:val="26"/>
        </w:rPr>
        <w:t>to timely return the response to the</w:t>
      </w:r>
      <w:r>
        <w:rPr>
          <w:spacing w:val="-7"/>
          <w:sz w:val="26"/>
        </w:rPr>
        <w:t> </w:t>
      </w:r>
      <w:r>
        <w:rPr>
          <w:sz w:val="26"/>
        </w:rPr>
        <w:t>NMSN.</w:t>
      </w:r>
    </w:p>
    <w:p>
      <w:pPr>
        <w:pStyle w:val="BodyText"/>
        <w:rPr>
          <w:sz w:val="28"/>
        </w:rPr>
      </w:pPr>
    </w:p>
    <w:p>
      <w:pPr>
        <w:pStyle w:val="BodyText"/>
        <w:rPr>
          <w:sz w:val="28"/>
        </w:rPr>
      </w:pPr>
    </w:p>
    <w:p>
      <w:pPr>
        <w:pStyle w:val="BodyText"/>
        <w:spacing w:before="10"/>
        <w:rPr>
          <w:sz w:val="21"/>
        </w:rPr>
      </w:pPr>
    </w:p>
    <w:p>
      <w:pPr>
        <w:pStyle w:val="Heading4"/>
        <w:ind w:left="559"/>
      </w:pPr>
      <w:r>
        <w:rPr/>
        <w:t>Medical Enforcement Summary:</w:t>
      </w:r>
    </w:p>
    <w:p>
      <w:pPr>
        <w:pStyle w:val="BodyText"/>
        <w:spacing w:before="2"/>
        <w:rPr>
          <w:b/>
        </w:rPr>
      </w:pPr>
    </w:p>
    <w:p>
      <w:pPr>
        <w:pStyle w:val="BodyText"/>
        <w:ind w:left="559" w:right="739"/>
      </w:pPr>
      <w:r>
        <w:rPr/>
        <w:t>The 95 percent compliance rate is equal to last year’s compliance rate. Sending the NMSN at the same time the Order to Withhold Income is sent is a requirement, unless staff knows insurance is not available through that employer. If staff is certain the employer does not provide health insurance they should update the Individual Address screen insurance indicator to N and make a case comment to that effect. Staff should be reminded that follow up is required when information the NCP or employer provides is insufficient. Once insurance coverage is verified and the Medical Insurance (MI) screen is updated with the correct information SEMS reminds staff to send the 9-730 to the CP. This step is necessary to inform the CP of the children’s current health insurance coverage.</w:t>
      </w:r>
    </w:p>
    <w:p>
      <w:pPr>
        <w:spacing w:after="0"/>
        <w:sectPr>
          <w:pgSz w:w="12240" w:h="15840"/>
          <w:pgMar w:header="718" w:footer="1038" w:top="1340" w:bottom="1220" w:left="880" w:right="720"/>
        </w:sectPr>
      </w:pPr>
    </w:p>
    <w:p>
      <w:pPr>
        <w:pStyle w:val="Heading4"/>
        <w:spacing w:before="81"/>
      </w:pPr>
      <w:r>
        <w:rPr/>
        <w:t>Review and Adjustment Observation:</w:t>
      </w:r>
    </w:p>
    <w:p>
      <w:pPr>
        <w:pStyle w:val="BodyText"/>
        <w:spacing w:before="4"/>
        <w:rPr>
          <w:b/>
        </w:rPr>
      </w:pPr>
    </w:p>
    <w:p>
      <w:pPr>
        <w:pStyle w:val="BodyText"/>
        <w:ind w:left="559" w:right="812"/>
      </w:pPr>
      <w:r>
        <w:rPr/>
        <w:t>Review and Adjustment was an audit consideration in 178 of the 500 cases reviewed. To be considered in substantial compliance, 75 percent of the review and adjustment cases need to meet federal requirements found in the federal regulations. DCS achieved 98 percent (175 of 178 cases) compliance in the program category.</w:t>
      </w:r>
    </w:p>
    <w:p>
      <w:pPr>
        <w:pStyle w:val="BodyText"/>
        <w:spacing w:before="10"/>
        <w:rPr>
          <w:sz w:val="25"/>
        </w:rPr>
      </w:pPr>
    </w:p>
    <w:p>
      <w:pPr>
        <w:pStyle w:val="BodyText"/>
        <w:ind w:left="559" w:right="941"/>
      </w:pPr>
      <w:r>
        <w:rPr/>
        <w:t>Three cases failed because the parties were not notified of their right to request that DCS review their order for adjustment. A valid mailing address for both parties on the case is necessary for the notification to be sent.</w:t>
      </w:r>
    </w:p>
    <w:p>
      <w:pPr>
        <w:pStyle w:val="BodyText"/>
        <w:spacing w:before="8"/>
        <w:rPr>
          <w:sz w:val="25"/>
        </w:rPr>
      </w:pPr>
    </w:p>
    <w:p>
      <w:pPr>
        <w:pStyle w:val="Heading4"/>
        <w:ind w:left="559"/>
      </w:pPr>
      <w:r>
        <w:rPr/>
        <w:t>Review and Adjustment Summary:</w:t>
      </w:r>
    </w:p>
    <w:p>
      <w:pPr>
        <w:pStyle w:val="BodyText"/>
        <w:spacing w:before="5"/>
        <w:rPr>
          <w:b/>
        </w:rPr>
      </w:pPr>
    </w:p>
    <w:p>
      <w:pPr>
        <w:pStyle w:val="BodyText"/>
        <w:ind w:left="559" w:right="1261" w:hanging="1"/>
      </w:pPr>
      <w:r>
        <w:rPr/>
        <w:t>The 99 percent compliance rate is consistent with last year’s results and well within the compliance standard.</w:t>
      </w:r>
    </w:p>
    <w:p>
      <w:pPr>
        <w:spacing w:after="0"/>
        <w:sectPr>
          <w:pgSz w:w="12240" w:h="15840"/>
          <w:pgMar w:header="718" w:footer="1038" w:top="1340" w:bottom="1220" w:left="880" w:right="720"/>
        </w:sectPr>
      </w:pPr>
    </w:p>
    <w:p>
      <w:pPr>
        <w:pStyle w:val="Heading4"/>
        <w:spacing w:before="83"/>
      </w:pPr>
      <w:r>
        <w:rPr/>
        <w:t>Interstate Observation:</w:t>
      </w:r>
    </w:p>
    <w:p>
      <w:pPr>
        <w:pStyle w:val="BodyText"/>
        <w:rPr>
          <w:b/>
          <w:sz w:val="28"/>
        </w:rPr>
      </w:pPr>
    </w:p>
    <w:p>
      <w:pPr>
        <w:pStyle w:val="BodyText"/>
        <w:rPr>
          <w:b/>
          <w:sz w:val="24"/>
        </w:rPr>
      </w:pPr>
    </w:p>
    <w:p>
      <w:pPr>
        <w:pStyle w:val="BodyText"/>
        <w:spacing w:before="1"/>
        <w:ind w:left="560" w:right="810"/>
      </w:pPr>
      <w:r>
        <w:rPr/>
        <w:t>Interstate services were an audit consideration in 96 of the 500 cases reviewed. To be considered in substantial compliance, 75 percent of the interstate services cases must meet the requirements found in the federal regulations. DCS achieved 93 percent compliance (89 of 96 cases) in this program area which represents a decrease from last year’s compliance rate of 96 percent.</w:t>
      </w:r>
    </w:p>
    <w:p>
      <w:pPr>
        <w:pStyle w:val="BodyText"/>
        <w:spacing w:before="1"/>
      </w:pPr>
    </w:p>
    <w:p>
      <w:pPr>
        <w:pStyle w:val="BodyText"/>
        <w:ind w:left="74" w:right="235"/>
        <w:jc w:val="center"/>
      </w:pPr>
      <w:r>
        <w:rPr>
          <w:u w:val="single"/>
        </w:rPr>
        <w:t>Initiating Interstate</w:t>
      </w:r>
    </w:p>
    <w:p>
      <w:pPr>
        <w:pStyle w:val="BodyText"/>
        <w:spacing w:before="1"/>
        <w:rPr>
          <w:sz w:val="18"/>
        </w:rPr>
      </w:pPr>
    </w:p>
    <w:p>
      <w:pPr>
        <w:pStyle w:val="BodyText"/>
        <w:spacing w:before="91"/>
        <w:ind w:left="559" w:right="812"/>
      </w:pPr>
      <w:r>
        <w:rPr/>
        <w:t>DCS was the initiating state in 69 of the 96 sample cases. DCS met the federal requirements in 90 percent (62 of 69 cases) of the initiating cases reviewed.</w:t>
      </w:r>
    </w:p>
    <w:p>
      <w:pPr>
        <w:pStyle w:val="BodyText"/>
      </w:pPr>
    </w:p>
    <w:p>
      <w:pPr>
        <w:pStyle w:val="BodyText"/>
        <w:ind w:left="632"/>
      </w:pPr>
      <w:r>
        <w:rPr/>
        <w:t>Seven cases failed for the following reasons:</w:t>
      </w:r>
    </w:p>
    <w:p>
      <w:pPr>
        <w:pStyle w:val="BodyText"/>
        <w:spacing w:before="10"/>
        <w:rPr>
          <w:sz w:val="25"/>
        </w:rPr>
      </w:pPr>
    </w:p>
    <w:p>
      <w:pPr>
        <w:pStyle w:val="ListParagraph"/>
        <w:numPr>
          <w:ilvl w:val="1"/>
          <w:numId w:val="3"/>
        </w:numPr>
        <w:tabs>
          <w:tab w:pos="1279" w:val="left" w:leader="none"/>
          <w:tab w:pos="1281" w:val="left" w:leader="none"/>
        </w:tabs>
        <w:spacing w:line="240" w:lineRule="auto" w:before="1" w:after="0"/>
        <w:ind w:left="1280" w:right="963" w:hanging="361"/>
        <w:jc w:val="left"/>
        <w:rPr>
          <w:sz w:val="26"/>
        </w:rPr>
      </w:pPr>
      <w:r>
        <w:rPr>
          <w:sz w:val="26"/>
        </w:rPr>
        <w:t>In six cases, DCS did not complete a timely referral to a responding</w:t>
      </w:r>
      <w:r>
        <w:rPr>
          <w:spacing w:val="-30"/>
          <w:sz w:val="26"/>
        </w:rPr>
        <w:t> </w:t>
      </w:r>
      <w:r>
        <w:rPr>
          <w:sz w:val="26"/>
        </w:rPr>
        <w:t>state within the required timeframes. In one of those cases, the CP did not return the forms necessary to establish an interstate case, and DCS did not follow</w:t>
      </w:r>
      <w:r>
        <w:rPr>
          <w:spacing w:val="-3"/>
          <w:sz w:val="26"/>
        </w:rPr>
        <w:t> </w:t>
      </w:r>
      <w:r>
        <w:rPr>
          <w:sz w:val="26"/>
        </w:rPr>
        <w:t>up.</w:t>
      </w:r>
    </w:p>
    <w:p>
      <w:pPr>
        <w:pStyle w:val="ListParagraph"/>
        <w:numPr>
          <w:ilvl w:val="1"/>
          <w:numId w:val="3"/>
        </w:numPr>
        <w:tabs>
          <w:tab w:pos="1279" w:val="left" w:leader="none"/>
          <w:tab w:pos="1281" w:val="left" w:leader="none"/>
        </w:tabs>
        <w:spacing w:line="237" w:lineRule="auto" w:before="1" w:after="0"/>
        <w:ind w:left="1280" w:right="1248" w:hanging="361"/>
        <w:jc w:val="left"/>
        <w:rPr>
          <w:sz w:val="26"/>
        </w:rPr>
      </w:pPr>
      <w:r>
        <w:rPr>
          <w:sz w:val="26"/>
        </w:rPr>
        <w:t>In one case, DCS did not follow up with the responding jurisdiction in a timely</w:t>
      </w:r>
      <w:r>
        <w:rPr>
          <w:spacing w:val="-4"/>
          <w:sz w:val="26"/>
        </w:rPr>
        <w:t> </w:t>
      </w:r>
      <w:r>
        <w:rPr>
          <w:sz w:val="26"/>
        </w:rPr>
        <w:t>manner.</w:t>
      </w:r>
    </w:p>
    <w:p>
      <w:pPr>
        <w:pStyle w:val="BodyText"/>
      </w:pPr>
    </w:p>
    <w:p>
      <w:pPr>
        <w:pStyle w:val="BodyText"/>
        <w:ind w:left="74" w:right="232"/>
        <w:jc w:val="center"/>
      </w:pPr>
      <w:r>
        <w:rPr>
          <w:u w:val="single"/>
        </w:rPr>
        <w:t>Responding Interstate</w:t>
      </w:r>
    </w:p>
    <w:p>
      <w:pPr>
        <w:pStyle w:val="BodyText"/>
        <w:spacing w:before="1"/>
        <w:rPr>
          <w:sz w:val="18"/>
        </w:rPr>
      </w:pPr>
    </w:p>
    <w:p>
      <w:pPr>
        <w:pStyle w:val="BodyText"/>
        <w:spacing w:before="91"/>
        <w:ind w:left="559" w:right="1186"/>
      </w:pPr>
      <w:r>
        <w:rPr/>
        <w:t>DCS was the responding state in 27 of the 96 sample cases. DCS met the federal requirements in 100 percent (27 of 27 cases) of the responding cases reviewed.</w:t>
      </w:r>
    </w:p>
    <w:p>
      <w:pPr>
        <w:pStyle w:val="BodyText"/>
        <w:spacing w:before="10"/>
        <w:rPr>
          <w:sz w:val="25"/>
        </w:rPr>
      </w:pPr>
    </w:p>
    <w:p>
      <w:pPr>
        <w:pStyle w:val="Heading4"/>
        <w:ind w:left="559"/>
      </w:pPr>
      <w:r>
        <w:rPr/>
        <w:t>Interstate Summary:</w:t>
      </w:r>
    </w:p>
    <w:p>
      <w:pPr>
        <w:pStyle w:val="BodyText"/>
        <w:spacing w:before="2"/>
        <w:rPr>
          <w:b/>
        </w:rPr>
      </w:pPr>
    </w:p>
    <w:p>
      <w:pPr>
        <w:pStyle w:val="BodyText"/>
        <w:ind w:left="559" w:right="812"/>
      </w:pPr>
      <w:r>
        <w:rPr/>
        <w:t>DCS remains well within the compliance rate of 75 percent. All of the errors that occurred in this program area were because appropriate timeframes were not followed. Staff should be reminded of the federal timeframes with regards to initiating interstate referrals and responding to or following up on information provided by the other jurisdiction.</w:t>
      </w:r>
    </w:p>
    <w:p>
      <w:pPr>
        <w:spacing w:after="0"/>
        <w:sectPr>
          <w:pgSz w:w="12240" w:h="15840"/>
          <w:pgMar w:header="718" w:footer="1038" w:top="1340" w:bottom="1220" w:left="880" w:right="720"/>
        </w:sectPr>
      </w:pPr>
    </w:p>
    <w:p>
      <w:pPr>
        <w:pStyle w:val="Heading4"/>
        <w:spacing w:before="83"/>
      </w:pPr>
      <w:r>
        <w:rPr/>
        <w:t>Expedited Process Observation:</w:t>
      </w:r>
    </w:p>
    <w:p>
      <w:pPr>
        <w:pStyle w:val="BodyText"/>
        <w:spacing w:before="2"/>
        <w:rPr>
          <w:b/>
        </w:rPr>
      </w:pPr>
    </w:p>
    <w:p>
      <w:pPr>
        <w:pStyle w:val="BodyText"/>
        <w:ind w:left="559" w:right="759"/>
      </w:pPr>
      <w:r>
        <w:rPr/>
        <w:t>Expedited Process was an audit consideration in 171 cases. To be considered in substantial compliance, 75 percent of the cases reviewed must have an order established within six months from the date of service of a child support obligation and 90 percent of the cases must be completed within twelve</w:t>
      </w:r>
      <w:r>
        <w:rPr>
          <w:spacing w:val="-31"/>
        </w:rPr>
        <w:t> </w:t>
      </w:r>
      <w:r>
        <w:rPr/>
        <w:t>months.</w:t>
      </w:r>
    </w:p>
    <w:p>
      <w:pPr>
        <w:pStyle w:val="BodyText"/>
      </w:pPr>
    </w:p>
    <w:p>
      <w:pPr>
        <w:pStyle w:val="BodyText"/>
        <w:ind w:left="559"/>
      </w:pPr>
      <w:r>
        <w:rPr/>
        <w:t>DCS achieved the following during this review period:</w:t>
      </w:r>
    </w:p>
    <w:p>
      <w:pPr>
        <w:pStyle w:val="BodyText"/>
        <w:spacing w:before="10"/>
        <w:rPr>
          <w:sz w:val="25"/>
        </w:rPr>
      </w:pPr>
    </w:p>
    <w:p>
      <w:pPr>
        <w:pStyle w:val="ListParagraph"/>
        <w:numPr>
          <w:ilvl w:val="2"/>
          <w:numId w:val="3"/>
        </w:numPr>
        <w:tabs>
          <w:tab w:pos="1784" w:val="left" w:leader="none"/>
          <w:tab w:pos="1785" w:val="left" w:leader="none"/>
        </w:tabs>
        <w:spacing w:line="318" w:lineRule="exact" w:before="1" w:after="0"/>
        <w:ind w:left="1784" w:right="0" w:hanging="505"/>
        <w:jc w:val="left"/>
        <w:rPr>
          <w:sz w:val="26"/>
        </w:rPr>
      </w:pPr>
      <w:r>
        <w:rPr>
          <w:sz w:val="26"/>
        </w:rPr>
        <w:t>89 percent (152 of 171 cases) met the six month</w:t>
      </w:r>
      <w:r>
        <w:rPr>
          <w:spacing w:val="-9"/>
          <w:sz w:val="26"/>
        </w:rPr>
        <w:t> </w:t>
      </w:r>
      <w:r>
        <w:rPr>
          <w:sz w:val="26"/>
        </w:rPr>
        <w:t>requirement.</w:t>
      </w:r>
    </w:p>
    <w:p>
      <w:pPr>
        <w:pStyle w:val="ListParagraph"/>
        <w:numPr>
          <w:ilvl w:val="2"/>
          <w:numId w:val="3"/>
        </w:numPr>
        <w:tabs>
          <w:tab w:pos="1640" w:val="left" w:leader="none"/>
          <w:tab w:pos="1641" w:val="left" w:leader="none"/>
        </w:tabs>
        <w:spacing w:line="318" w:lineRule="exact" w:before="0" w:after="0"/>
        <w:ind w:left="1640" w:right="0" w:hanging="361"/>
        <w:jc w:val="left"/>
        <w:rPr>
          <w:sz w:val="26"/>
        </w:rPr>
      </w:pPr>
      <w:r>
        <w:rPr>
          <w:sz w:val="26"/>
        </w:rPr>
        <w:t>100 percent (171 of 171 cases) met the twelve month</w:t>
      </w:r>
      <w:r>
        <w:rPr>
          <w:spacing w:val="-12"/>
          <w:sz w:val="26"/>
        </w:rPr>
        <w:t> </w:t>
      </w:r>
      <w:r>
        <w:rPr>
          <w:sz w:val="26"/>
        </w:rPr>
        <w:t>requirement.</w:t>
      </w:r>
    </w:p>
    <w:p>
      <w:pPr>
        <w:pStyle w:val="BodyText"/>
        <w:spacing w:before="8"/>
        <w:rPr>
          <w:sz w:val="25"/>
        </w:rPr>
      </w:pPr>
    </w:p>
    <w:p>
      <w:pPr>
        <w:pStyle w:val="BodyText"/>
        <w:spacing w:before="1"/>
        <w:ind w:left="560" w:right="940"/>
      </w:pPr>
      <w:r>
        <w:rPr/>
        <w:t>The overall compliance of 100 percent showed no errors were found during this assessment.</w:t>
      </w:r>
    </w:p>
    <w:p>
      <w:pPr>
        <w:pStyle w:val="BodyText"/>
        <w:rPr>
          <w:sz w:val="28"/>
        </w:rPr>
      </w:pPr>
    </w:p>
    <w:p>
      <w:pPr>
        <w:pStyle w:val="BodyText"/>
        <w:spacing w:before="8"/>
        <w:rPr>
          <w:sz w:val="23"/>
        </w:rPr>
      </w:pPr>
    </w:p>
    <w:p>
      <w:pPr>
        <w:pStyle w:val="Heading4"/>
      </w:pPr>
      <w:r>
        <w:rPr/>
        <w:t>Expedited Process Summary:</w:t>
      </w:r>
    </w:p>
    <w:p>
      <w:pPr>
        <w:pStyle w:val="BodyText"/>
        <w:spacing w:before="2"/>
        <w:rPr>
          <w:b/>
        </w:rPr>
      </w:pPr>
    </w:p>
    <w:p>
      <w:pPr>
        <w:pStyle w:val="BodyText"/>
        <w:ind w:left="560" w:right="781"/>
      </w:pPr>
      <w:r>
        <w:rPr/>
        <w:t>The compliance rate for orders established within twelve months remains constant, even increasing one percentage point from last year’s compliance rate, which demonstrates that timely establishment of orders is a priority with staff.</w:t>
      </w:r>
    </w:p>
    <w:p>
      <w:pPr>
        <w:spacing w:after="0"/>
        <w:sectPr>
          <w:pgSz w:w="12240" w:h="15840"/>
          <w:pgMar w:header="718" w:footer="1038" w:top="1340" w:bottom="1220" w:left="880" w:right="720"/>
        </w:sectPr>
      </w:pPr>
    </w:p>
    <w:p>
      <w:pPr>
        <w:pStyle w:val="Heading3"/>
        <w:numPr>
          <w:ilvl w:val="0"/>
          <w:numId w:val="3"/>
        </w:numPr>
        <w:tabs>
          <w:tab w:pos="920" w:val="left" w:leader="none"/>
        </w:tabs>
        <w:spacing w:line="240" w:lineRule="auto" w:before="81" w:after="0"/>
        <w:ind w:left="919" w:right="0" w:hanging="360"/>
        <w:jc w:val="left"/>
      </w:pPr>
      <w:r>
        <w:rPr/>
        <w:t>Summary of Self-Assessment</w:t>
      </w:r>
      <w:r>
        <w:rPr>
          <w:spacing w:val="-6"/>
        </w:rPr>
        <w:t> </w:t>
      </w:r>
      <w:r>
        <w:rPr/>
        <w:t>Results</w:t>
      </w:r>
    </w:p>
    <w:p>
      <w:pPr>
        <w:pStyle w:val="BodyText"/>
        <w:spacing w:before="4"/>
        <w:rPr>
          <w:b/>
          <w:sz w:val="28"/>
        </w:rPr>
      </w:pPr>
    </w:p>
    <w:p>
      <w:pPr>
        <w:pStyle w:val="BodyText"/>
        <w:ind w:left="560" w:right="1057" w:hanging="1"/>
      </w:pPr>
      <w:r>
        <w:rPr/>
        <w:t>The results of the self-assessment for October 1, 2008 through September 30, 2009 show DCS is found to be in substantial compliance in all eight federal program areas. Technological enhancements, well trained staff, and the oversight by an analyst in each field office who tracks performance, have contributed to the success.</w:t>
      </w:r>
    </w:p>
    <w:p>
      <w:pPr>
        <w:spacing w:after="0"/>
        <w:sectPr>
          <w:pgSz w:w="12240" w:h="15840"/>
          <w:pgMar w:header="718" w:footer="1038" w:top="1340" w:bottom="1220" w:left="880" w:right="720"/>
        </w:sectPr>
      </w:pPr>
    </w:p>
    <w:p>
      <w:pPr>
        <w:pStyle w:val="Heading2"/>
        <w:numPr>
          <w:ilvl w:val="0"/>
          <w:numId w:val="1"/>
        </w:numPr>
        <w:tabs>
          <w:tab w:pos="1279" w:val="left" w:leader="none"/>
          <w:tab w:pos="1280" w:val="left" w:leader="none"/>
        </w:tabs>
        <w:spacing w:line="240" w:lineRule="auto" w:before="80" w:after="0"/>
        <w:ind w:left="1280" w:right="0" w:hanging="720"/>
        <w:jc w:val="left"/>
      </w:pPr>
      <w:r>
        <w:rPr/>
        <w:t>Program Service</w:t>
      </w:r>
      <w:r>
        <w:rPr>
          <w:spacing w:val="-3"/>
        </w:rPr>
        <w:t> </w:t>
      </w:r>
      <w:r>
        <w:rPr/>
        <w:t>Enhancements</w:t>
      </w:r>
    </w:p>
    <w:p>
      <w:pPr>
        <w:pStyle w:val="Heading3"/>
        <w:numPr>
          <w:ilvl w:val="0"/>
          <w:numId w:val="4"/>
        </w:numPr>
        <w:tabs>
          <w:tab w:pos="995" w:val="left" w:leader="none"/>
        </w:tabs>
        <w:spacing w:line="240" w:lineRule="auto" w:before="300" w:after="0"/>
        <w:ind w:left="994" w:right="0" w:hanging="435"/>
        <w:jc w:val="left"/>
      </w:pPr>
      <w:r>
        <w:rPr/>
        <w:t>Introduction to Program Service</w:t>
      </w:r>
      <w:r>
        <w:rPr>
          <w:spacing w:val="-8"/>
        </w:rPr>
        <w:t> </w:t>
      </w:r>
      <w:r>
        <w:rPr/>
        <w:t>Enhancements</w:t>
      </w:r>
    </w:p>
    <w:p>
      <w:pPr>
        <w:pStyle w:val="BodyText"/>
        <w:spacing w:before="4"/>
        <w:rPr>
          <w:b/>
          <w:sz w:val="28"/>
        </w:rPr>
      </w:pPr>
    </w:p>
    <w:p>
      <w:pPr>
        <w:pStyle w:val="BodyText"/>
        <w:ind w:left="560" w:right="773"/>
      </w:pPr>
      <w:r>
        <w:rPr/>
        <w:t>Washington State DCS prides itself in seeking new and improved ways to deliver services. These enhancements range from saving taxpayer dollars, helping specific populations access services, and providing employers with the necessary information to best interface with the agency. DCS continues to pursue ways to improve performance in various areas. Below are several program enhancements DCS has been involved with over the last year.</w:t>
      </w:r>
    </w:p>
    <w:p>
      <w:pPr>
        <w:pStyle w:val="BodyText"/>
        <w:spacing w:before="7"/>
        <w:rPr>
          <w:sz w:val="25"/>
        </w:rPr>
      </w:pPr>
    </w:p>
    <w:p>
      <w:pPr>
        <w:pStyle w:val="Heading3"/>
        <w:numPr>
          <w:ilvl w:val="0"/>
          <w:numId w:val="4"/>
        </w:numPr>
        <w:tabs>
          <w:tab w:pos="1000" w:val="left" w:leader="none"/>
        </w:tabs>
        <w:spacing w:line="240" w:lineRule="auto" w:before="0" w:after="0"/>
        <w:ind w:left="999" w:right="0" w:hanging="440"/>
        <w:jc w:val="left"/>
      </w:pPr>
      <w:r>
        <w:rPr/>
        <w:t>Discussion of Program Service</w:t>
      </w:r>
      <w:r>
        <w:rPr>
          <w:spacing w:val="-7"/>
        </w:rPr>
        <w:t> </w:t>
      </w:r>
      <w:r>
        <w:rPr/>
        <w:t>Enhancements</w:t>
      </w:r>
    </w:p>
    <w:p>
      <w:pPr>
        <w:pStyle w:val="BodyText"/>
        <w:spacing w:before="1"/>
        <w:rPr>
          <w:b/>
          <w:sz w:val="28"/>
        </w:rPr>
      </w:pPr>
    </w:p>
    <w:p>
      <w:pPr>
        <w:pStyle w:val="Heading4"/>
      </w:pPr>
      <w:r>
        <w:rPr>
          <w:u w:val="thick"/>
        </w:rPr>
        <w:t>Public Information Site</w:t>
      </w:r>
    </w:p>
    <w:p>
      <w:pPr>
        <w:pStyle w:val="BodyText"/>
        <w:spacing w:before="3"/>
        <w:rPr>
          <w:b/>
          <w:sz w:val="18"/>
        </w:rPr>
      </w:pPr>
    </w:p>
    <w:p>
      <w:pPr>
        <w:pStyle w:val="BodyText"/>
        <w:spacing w:before="91"/>
        <w:ind w:left="559" w:right="1086"/>
        <w:jc w:val="both"/>
      </w:pPr>
      <w:r>
        <w:rPr/>
        <w:t>DCS has a public information site that allows individuals and employers to find information about child support services, payment information including an on- line payment option, resources and employer information. The site is:</w:t>
      </w:r>
    </w:p>
    <w:p>
      <w:pPr>
        <w:pStyle w:val="BodyText"/>
        <w:spacing w:before="7"/>
        <w:rPr>
          <w:sz w:val="25"/>
        </w:rPr>
      </w:pPr>
    </w:p>
    <w:p>
      <w:pPr>
        <w:pStyle w:val="BodyText"/>
        <w:ind w:left="559"/>
        <w:rPr>
          <w:rFonts w:ascii="Times New Roman"/>
        </w:rPr>
      </w:pPr>
      <w:hyperlink r:id="rId21">
        <w:r>
          <w:rPr>
            <w:rFonts w:ascii="Times New Roman"/>
            <w:color w:val="0000FF"/>
            <w:u w:val="single" w:color="0000FF"/>
          </w:rPr>
          <w:t>www.childsupportonline.wa.gov</w:t>
        </w:r>
      </w:hyperlink>
    </w:p>
    <w:p>
      <w:pPr>
        <w:pStyle w:val="BodyText"/>
        <w:spacing w:before="7"/>
        <w:rPr>
          <w:rFonts w:ascii="Times New Roman"/>
          <w:sz w:val="18"/>
        </w:rPr>
      </w:pPr>
    </w:p>
    <w:p>
      <w:pPr>
        <w:pStyle w:val="BodyText"/>
        <w:spacing w:before="91"/>
        <w:ind w:left="560" w:right="1232"/>
        <w:jc w:val="both"/>
      </w:pPr>
      <w:r>
        <w:rPr/>
        <w:t>There is also public access to research reports and studies conducted by the ESA Management Accountability and Program Statistics Unit and other grant reports listed on the internet. The site is:</w:t>
      </w:r>
    </w:p>
    <w:p>
      <w:pPr>
        <w:pStyle w:val="BodyText"/>
        <w:spacing w:before="5"/>
        <w:rPr>
          <w:sz w:val="25"/>
        </w:rPr>
      </w:pPr>
    </w:p>
    <w:p>
      <w:pPr>
        <w:pStyle w:val="BodyText"/>
        <w:ind w:left="559"/>
        <w:rPr>
          <w:rFonts w:ascii="Times New Roman"/>
        </w:rPr>
      </w:pPr>
      <w:hyperlink r:id="rId22">
        <w:r>
          <w:rPr>
            <w:rFonts w:ascii="Times New Roman"/>
            <w:color w:val="0000FF"/>
            <w:u w:val="single" w:color="0000FF"/>
          </w:rPr>
          <w:t>http://www.dshs.wa.gov/dcs/resources/reports.asp</w:t>
        </w:r>
      </w:hyperlink>
    </w:p>
    <w:p>
      <w:pPr>
        <w:pStyle w:val="BodyText"/>
        <w:spacing w:before="4"/>
        <w:rPr>
          <w:rFonts w:ascii="Times New Roman"/>
          <w:sz w:val="18"/>
        </w:rPr>
      </w:pPr>
    </w:p>
    <w:p>
      <w:pPr>
        <w:pStyle w:val="Heading4"/>
        <w:spacing w:before="91"/>
      </w:pPr>
      <w:r>
        <w:rPr>
          <w:u w:val="thick"/>
        </w:rPr>
        <w:t>Employer Outreach</w:t>
      </w:r>
    </w:p>
    <w:p>
      <w:pPr>
        <w:pStyle w:val="BodyText"/>
        <w:spacing w:before="3"/>
        <w:rPr>
          <w:b/>
          <w:sz w:val="18"/>
        </w:rPr>
      </w:pPr>
    </w:p>
    <w:p>
      <w:pPr>
        <w:pStyle w:val="BodyText"/>
        <w:spacing w:before="91"/>
        <w:ind w:left="559" w:right="999"/>
      </w:pPr>
      <w:r>
        <w:rPr/>
        <w:t>In 2009, over 30 employer outreach events were held including training workshops, business outreach seminars, and media events. Employer workshops were held in nine DCS field offices statewide and in the Bremerton WorkSource office. DCS also partners with the Department of Revenue, Employment Security Department, and the Department of Labor and Industries by offering seminars statewide to employers.</w:t>
      </w:r>
    </w:p>
    <w:p>
      <w:pPr>
        <w:pStyle w:val="BodyText"/>
      </w:pPr>
    </w:p>
    <w:p>
      <w:pPr>
        <w:pStyle w:val="BodyText"/>
        <w:ind w:left="559" w:right="812"/>
      </w:pPr>
      <w:r>
        <w:rPr/>
        <w:t>In addition, the Employer Outreach Program collaborates with private trade organizations and public agencies to educate employers. Partners help DCS by publishing articles and ads, posting program web site links, and airing public service announcements, all at little or no cost. In 2009, employer outreach staff provided training to members of the American Payroll Association, Washington</w:t>
      </w:r>
    </w:p>
    <w:p>
      <w:pPr>
        <w:spacing w:after="0"/>
        <w:sectPr>
          <w:pgSz w:w="12240" w:h="15840"/>
          <w:pgMar w:header="718" w:footer="1038" w:top="1340" w:bottom="1220" w:left="880" w:right="720"/>
        </w:sectPr>
      </w:pPr>
    </w:p>
    <w:p>
      <w:pPr>
        <w:pStyle w:val="BodyText"/>
        <w:spacing w:before="86"/>
        <w:ind w:left="560" w:right="1605"/>
      </w:pPr>
      <w:r>
        <w:rPr/>
        <w:t>Finance Officers Association, and the Association of Washington Cities at various regional and statewide conferences.</w:t>
      </w:r>
    </w:p>
    <w:p>
      <w:pPr>
        <w:pStyle w:val="BodyText"/>
        <w:spacing w:before="9"/>
        <w:rPr>
          <w:sz w:val="25"/>
        </w:rPr>
      </w:pPr>
    </w:p>
    <w:p>
      <w:pPr>
        <w:pStyle w:val="BodyText"/>
        <w:ind w:left="560" w:right="737"/>
      </w:pPr>
      <w:r>
        <w:rPr/>
        <w:t>The Division’s outreach efforts are paying off. When DCS began its focused employer outreach efforts in 2006, just over 11,000 employers paid</w:t>
      </w:r>
      <w:r>
        <w:rPr>
          <w:spacing w:val="-37"/>
        </w:rPr>
        <w:t> </w:t>
      </w:r>
      <w:r>
        <w:rPr/>
        <w:t>electronically. Today, that number has doubled to more than 22,000.  Since electronic payments require much less staff time to process, this increase helps DCS operate a more cost efficient</w:t>
      </w:r>
      <w:r>
        <w:rPr>
          <w:spacing w:val="2"/>
        </w:rPr>
        <w:t> </w:t>
      </w:r>
      <w:r>
        <w:rPr/>
        <w:t>program.</w:t>
      </w:r>
    </w:p>
    <w:p>
      <w:pPr>
        <w:pStyle w:val="BodyText"/>
        <w:spacing w:before="224"/>
        <w:ind w:left="560"/>
      </w:pPr>
      <w:r>
        <w:rPr/>
        <w:t>For further information, contact Doug Cheney at </w:t>
      </w:r>
      <w:hyperlink r:id="rId23">
        <w:r>
          <w:rPr>
            <w:rFonts w:ascii="Times New Roman"/>
            <w:color w:val="0000FF"/>
            <w:u w:val="single" w:color="0000FF"/>
          </w:rPr>
          <w:t>dcheney@dshs.wa.gov</w:t>
        </w:r>
      </w:hyperlink>
      <w:r>
        <w:rPr/>
        <w:t>.</w:t>
      </w:r>
    </w:p>
    <w:p>
      <w:pPr>
        <w:pStyle w:val="BodyText"/>
        <w:spacing w:before="7"/>
        <w:rPr>
          <w:sz w:val="18"/>
        </w:rPr>
      </w:pPr>
    </w:p>
    <w:p>
      <w:pPr>
        <w:pStyle w:val="Heading4"/>
        <w:spacing w:before="91"/>
      </w:pPr>
      <w:r>
        <w:rPr>
          <w:u w:val="thick"/>
        </w:rPr>
        <w:t>Back-up Payment Processing</w:t>
      </w:r>
    </w:p>
    <w:p>
      <w:pPr>
        <w:pStyle w:val="BodyText"/>
        <w:spacing w:before="3"/>
        <w:rPr>
          <w:b/>
          <w:sz w:val="18"/>
        </w:rPr>
      </w:pPr>
    </w:p>
    <w:p>
      <w:pPr>
        <w:pStyle w:val="BodyText"/>
        <w:spacing w:before="91"/>
        <w:ind w:left="560" w:right="912"/>
      </w:pPr>
      <w:r>
        <w:rPr/>
        <w:t>DCS is in the process of establishing off-site facilities for back-up payment processing. The necessary steps have been taken to create access to the Treasury Workstation from a Field Office in Eastern Washington. This access will give DCS the ability to process EFT payments remotely in the event of a disaster. Virtual access testing for the workstation is currently being done in Headquarters. Once the testing phase is complete, EFT process training will begin for selected staff in the Eastern Washington office.</w:t>
      </w:r>
    </w:p>
    <w:p>
      <w:pPr>
        <w:pStyle w:val="BodyText"/>
        <w:spacing w:before="4"/>
        <w:rPr>
          <w:sz w:val="25"/>
        </w:rPr>
      </w:pPr>
    </w:p>
    <w:p>
      <w:pPr>
        <w:pStyle w:val="BodyText"/>
        <w:ind w:left="560"/>
        <w:rPr>
          <w:rFonts w:ascii="Times New Roman"/>
        </w:rPr>
      </w:pPr>
      <w:r>
        <w:rPr/>
        <w:t>For further information, contact Lynnie Larsen at </w:t>
      </w:r>
      <w:hyperlink r:id="rId24">
        <w:r>
          <w:rPr>
            <w:rFonts w:ascii="Times New Roman"/>
            <w:color w:val="0000FF"/>
            <w:u w:val="single" w:color="0000FF"/>
          </w:rPr>
          <w:t>larsenlm@dshs.wa.gov</w:t>
        </w:r>
      </w:hyperlink>
    </w:p>
    <w:p>
      <w:pPr>
        <w:pStyle w:val="BodyText"/>
        <w:spacing w:before="5"/>
        <w:rPr>
          <w:rFonts w:ascii="Times New Roman"/>
          <w:sz w:val="18"/>
        </w:rPr>
      </w:pPr>
    </w:p>
    <w:p>
      <w:pPr>
        <w:pStyle w:val="Heading4"/>
        <w:spacing w:before="91"/>
      </w:pPr>
      <w:r>
        <w:rPr>
          <w:u w:val="thick"/>
        </w:rPr>
        <w:t>Document Imaging</w:t>
      </w:r>
    </w:p>
    <w:p>
      <w:pPr>
        <w:pStyle w:val="BodyText"/>
        <w:spacing w:before="3"/>
        <w:rPr>
          <w:b/>
          <w:sz w:val="18"/>
        </w:rPr>
      </w:pPr>
    </w:p>
    <w:p>
      <w:pPr>
        <w:pStyle w:val="BodyText"/>
        <w:spacing w:before="91"/>
        <w:ind w:left="560" w:right="812"/>
      </w:pPr>
      <w:r>
        <w:rPr/>
        <w:t>Optical Character Recognition (OCR) technology was added on June 27, 2009, completing phase two of our OPEX upgrade project. With the addition of the CAR/LAR software an estimated 40% of payments received are now auto indexed. This has created an imaging process time savings of 2.31 hours per day. Data is being compiled regarding the accuracy of the auto indexing and will be reviewed in the near future to determine whether creating control tapes is still necessary. Eliminating this step would save an additional 3.31 hours per day.</w:t>
      </w:r>
    </w:p>
    <w:p>
      <w:pPr>
        <w:pStyle w:val="BodyText"/>
      </w:pPr>
    </w:p>
    <w:p>
      <w:pPr>
        <w:pStyle w:val="BodyText"/>
        <w:spacing w:before="1"/>
        <w:ind w:left="560" w:right="724"/>
      </w:pPr>
      <w:r>
        <w:rPr/>
        <w:t>The new CAR/LAR software upgrade has also simplified the Field Office indexing process. The OCR technology has eliminated the issue regarding receipts scanned out of order and the indexing of duplicate receipts. This has saved a lot of time for Central Services staff who were called upon to make corrections.</w:t>
      </w:r>
    </w:p>
    <w:p>
      <w:pPr>
        <w:pStyle w:val="BodyText"/>
        <w:spacing w:before="11"/>
        <w:rPr>
          <w:sz w:val="25"/>
        </w:rPr>
      </w:pPr>
    </w:p>
    <w:p>
      <w:pPr>
        <w:pStyle w:val="BodyText"/>
        <w:ind w:left="560" w:right="1634"/>
      </w:pPr>
      <w:r>
        <w:rPr/>
        <w:t>Phase three of the OPEX upgrade project includes transition to electronic deposits and is currently in testing status with Imaging IT staff.</w:t>
      </w:r>
    </w:p>
    <w:p>
      <w:pPr>
        <w:pStyle w:val="BodyText"/>
        <w:spacing w:before="224"/>
        <w:ind w:left="560"/>
        <w:rPr>
          <w:rFonts w:ascii="Times New Roman"/>
        </w:rPr>
      </w:pPr>
      <w:r>
        <w:rPr/>
        <w:t>For further information, contact Lynnie Larsen at </w:t>
      </w:r>
      <w:hyperlink r:id="rId24">
        <w:r>
          <w:rPr>
            <w:rFonts w:ascii="Times New Roman"/>
            <w:color w:val="0000FF"/>
            <w:u w:val="single" w:color="0000FF"/>
          </w:rPr>
          <w:t>larsenlm@dshs.wa.gov</w:t>
        </w:r>
      </w:hyperlink>
    </w:p>
    <w:p>
      <w:pPr>
        <w:spacing w:after="0"/>
        <w:rPr>
          <w:rFonts w:ascii="Times New Roman"/>
        </w:rPr>
        <w:sectPr>
          <w:pgSz w:w="12240" w:h="15840"/>
          <w:pgMar w:header="718" w:footer="1038" w:top="1340" w:bottom="1220" w:left="880" w:right="720"/>
        </w:sectPr>
      </w:pPr>
    </w:p>
    <w:p>
      <w:pPr>
        <w:pStyle w:val="Heading4"/>
        <w:spacing w:before="83"/>
      </w:pPr>
      <w:r>
        <w:rPr>
          <w:u w:val="thick"/>
        </w:rPr>
        <w:t>Tribal Relations</w:t>
      </w:r>
    </w:p>
    <w:p>
      <w:pPr>
        <w:pStyle w:val="BodyText"/>
        <w:spacing w:before="8"/>
        <w:rPr>
          <w:b/>
          <w:sz w:val="17"/>
        </w:rPr>
      </w:pPr>
    </w:p>
    <w:p>
      <w:pPr>
        <w:pStyle w:val="BodyText"/>
        <w:spacing w:line="242" w:lineRule="auto" w:before="91"/>
        <w:ind w:left="560" w:right="812"/>
      </w:pPr>
      <w:r>
        <w:rPr/>
        <w:t>The DCS Tribal Relations Team (TRT) finalized their informational </w:t>
      </w:r>
      <w:hyperlink r:id="rId25">
        <w:r>
          <w:rPr>
            <w:rFonts w:ascii="Times New Roman" w:hAnsi="Times New Roman"/>
            <w:color w:val="0000FF"/>
            <w:u w:val="single" w:color="0000FF"/>
          </w:rPr>
          <w:t>brochure</w:t>
        </w:r>
      </w:hyperlink>
      <w:r>
        <w:rPr/>
        <w:t>. The brochure describes TRT’s Core Values, history, and services available from DCS. The brochure is intended for Tribes, clients, and other states.</w:t>
      </w:r>
    </w:p>
    <w:p>
      <w:pPr>
        <w:pStyle w:val="BodyText"/>
        <w:spacing w:before="7"/>
        <w:rPr>
          <w:sz w:val="25"/>
        </w:rPr>
      </w:pPr>
    </w:p>
    <w:p>
      <w:pPr>
        <w:pStyle w:val="BodyText"/>
        <w:ind w:left="559" w:right="709"/>
      </w:pPr>
      <w:r>
        <w:rPr/>
        <w:t>During this reporting period, DCS and the ESA State Tribal Relations Office entered into a IV-A/IV-D Data Share Agreement with the following Tribes or Programs: Colville, Lummi, Puyallup, Quinault, Spokane, South Puget Intertribal Planning Agency TANF, and Suquamish. This agreement offers/allows read only access to IV-A and IV-D data, and Employment Security Department wage and unemployment information for Tribal TANF and Child Support Programs.</w:t>
      </w:r>
    </w:p>
    <w:p>
      <w:pPr>
        <w:pStyle w:val="BodyText"/>
      </w:pPr>
    </w:p>
    <w:p>
      <w:pPr>
        <w:pStyle w:val="BodyText"/>
        <w:ind w:left="559" w:right="1462"/>
      </w:pPr>
      <w:r>
        <w:rPr/>
        <w:t>DCS negotiated a Federal Offset Agreement with the IV-D Programs of the Lummi Nation and Nooksack Tribe.</w:t>
      </w:r>
    </w:p>
    <w:p>
      <w:pPr>
        <w:pStyle w:val="BodyText"/>
      </w:pPr>
    </w:p>
    <w:p>
      <w:pPr>
        <w:pStyle w:val="BodyText"/>
        <w:ind w:left="559" w:right="884"/>
      </w:pPr>
      <w:r>
        <w:rPr/>
        <w:t>The Suquamish Tribe began the start-up phase of their Child Support Program. Two additional tribes, Colville and Tulalip, began comprehensive IV-D programs in Washington. DCS continues to work closely with these to assure a smooth transition of child support services for the affected caseloads.</w:t>
      </w:r>
    </w:p>
    <w:p>
      <w:pPr>
        <w:pStyle w:val="BodyText"/>
        <w:spacing w:before="7"/>
        <w:rPr>
          <w:sz w:val="25"/>
        </w:rPr>
      </w:pPr>
    </w:p>
    <w:p>
      <w:pPr>
        <w:pStyle w:val="BodyText"/>
        <w:ind w:left="560"/>
        <w:rPr>
          <w:rFonts w:ascii="Times New Roman"/>
        </w:rPr>
      </w:pPr>
      <w:r>
        <w:rPr/>
        <w:t>For further information, contact Brady Rossnagle at </w:t>
      </w:r>
      <w:hyperlink r:id="rId26">
        <w:r>
          <w:rPr>
            <w:rFonts w:ascii="Times New Roman"/>
            <w:color w:val="0000FF"/>
            <w:u w:val="single" w:color="0000FF"/>
          </w:rPr>
          <w:t>brady.rossnagle@dshs.wa.gov</w:t>
        </w:r>
      </w:hyperlink>
    </w:p>
    <w:p>
      <w:pPr>
        <w:pStyle w:val="BodyText"/>
        <w:spacing w:before="5"/>
        <w:rPr>
          <w:rFonts w:ascii="Times New Roman"/>
          <w:sz w:val="18"/>
        </w:rPr>
      </w:pPr>
    </w:p>
    <w:p>
      <w:pPr>
        <w:pStyle w:val="Heading4"/>
        <w:spacing w:before="91"/>
      </w:pPr>
      <w:r>
        <w:rPr>
          <w:u w:val="thick"/>
        </w:rPr>
        <w:t>Grant &amp; Demonstration Project Awards</w:t>
      </w:r>
    </w:p>
    <w:p>
      <w:pPr>
        <w:pStyle w:val="BodyText"/>
        <w:spacing w:before="4"/>
        <w:rPr>
          <w:b/>
          <w:sz w:val="18"/>
        </w:rPr>
      </w:pPr>
    </w:p>
    <w:p>
      <w:pPr>
        <w:pStyle w:val="BodyText"/>
        <w:spacing w:before="90"/>
        <w:ind w:left="560"/>
      </w:pPr>
      <w:r>
        <w:rPr>
          <w:u w:val="single"/>
        </w:rPr>
        <w:t>Bright Start</w:t>
      </w:r>
    </w:p>
    <w:p>
      <w:pPr>
        <w:pStyle w:val="BodyText"/>
        <w:spacing w:before="1"/>
        <w:rPr>
          <w:sz w:val="18"/>
        </w:rPr>
      </w:pPr>
    </w:p>
    <w:p>
      <w:pPr>
        <w:pStyle w:val="BodyText"/>
        <w:spacing w:before="91"/>
        <w:ind w:left="560" w:right="738"/>
      </w:pPr>
      <w:r>
        <w:rPr/>
        <w:t>The federal Administration for Children and Families awarded DCS a Demonstration Grant called Bright Start in September 2005. The grant concluded July 31, 2009. Two strategies proved so successful that DCS incorporated them into their child support program:</w:t>
      </w:r>
    </w:p>
    <w:p>
      <w:pPr>
        <w:pStyle w:val="BodyText"/>
        <w:spacing w:before="11"/>
        <w:rPr>
          <w:sz w:val="25"/>
        </w:rPr>
      </w:pPr>
    </w:p>
    <w:p>
      <w:pPr>
        <w:pStyle w:val="ListParagraph"/>
        <w:numPr>
          <w:ilvl w:val="1"/>
          <w:numId w:val="4"/>
        </w:numPr>
        <w:tabs>
          <w:tab w:pos="1279" w:val="left" w:leader="none"/>
          <w:tab w:pos="1281" w:val="left" w:leader="none"/>
        </w:tabs>
        <w:spacing w:line="240" w:lineRule="auto" w:before="0" w:after="0"/>
        <w:ind w:left="1280" w:right="815" w:hanging="361"/>
        <w:jc w:val="left"/>
        <w:rPr>
          <w:sz w:val="26"/>
        </w:rPr>
      </w:pPr>
      <w:r>
        <w:rPr>
          <w:sz w:val="26"/>
        </w:rPr>
        <w:t>Notaries Public - Hospitals are reimbursed the cost to add more Notaries Public. This strategy assures the hospital will have a Notary Public available for the parents to sign a Paternity Affidavit form. Collectively, the demonstration hospitals improved the number and percentage of Paternity Affidavit forms signed at the hospital by seven</w:t>
      </w:r>
      <w:r>
        <w:rPr>
          <w:spacing w:val="-4"/>
          <w:sz w:val="26"/>
        </w:rPr>
        <w:t> </w:t>
      </w:r>
      <w:r>
        <w:rPr>
          <w:sz w:val="26"/>
        </w:rPr>
        <w:t>percent.</w:t>
      </w:r>
    </w:p>
    <w:p>
      <w:pPr>
        <w:pStyle w:val="ListParagraph"/>
        <w:numPr>
          <w:ilvl w:val="1"/>
          <w:numId w:val="4"/>
        </w:numPr>
        <w:tabs>
          <w:tab w:pos="1279" w:val="left" w:leader="none"/>
          <w:tab w:pos="1281" w:val="left" w:leader="none"/>
        </w:tabs>
        <w:spacing w:line="240" w:lineRule="auto" w:before="0" w:after="0"/>
        <w:ind w:left="1280" w:right="875" w:hanging="361"/>
        <w:jc w:val="left"/>
        <w:rPr>
          <w:sz w:val="26"/>
        </w:rPr>
      </w:pPr>
      <w:r>
        <w:rPr>
          <w:sz w:val="26"/>
        </w:rPr>
        <w:t>No-cost genetic testing - An unmarried mother and possible father who decline the opportunity to sign a Washington State Paternity Affidavit</w:t>
      </w:r>
      <w:r>
        <w:rPr>
          <w:spacing w:val="-32"/>
          <w:sz w:val="26"/>
        </w:rPr>
        <w:t> </w:t>
      </w:r>
      <w:r>
        <w:rPr>
          <w:sz w:val="26"/>
        </w:rPr>
        <w:t>form are given an application for no-cost genetic</w:t>
      </w:r>
      <w:r>
        <w:rPr>
          <w:spacing w:val="-5"/>
          <w:sz w:val="26"/>
        </w:rPr>
        <w:t> </w:t>
      </w:r>
      <w:r>
        <w:rPr>
          <w:sz w:val="26"/>
        </w:rPr>
        <w:t>testing.</w:t>
      </w:r>
    </w:p>
    <w:p>
      <w:pPr>
        <w:spacing w:after="0" w:line="240" w:lineRule="auto"/>
        <w:jc w:val="left"/>
        <w:rPr>
          <w:sz w:val="26"/>
        </w:rPr>
        <w:sectPr>
          <w:pgSz w:w="12240" w:h="15840"/>
          <w:pgMar w:header="718" w:footer="1038" w:top="1340" w:bottom="1220" w:left="880" w:right="720"/>
        </w:sectPr>
      </w:pPr>
    </w:p>
    <w:p>
      <w:pPr>
        <w:pStyle w:val="BodyText"/>
        <w:spacing w:before="86"/>
        <w:ind w:left="560" w:right="709"/>
      </w:pPr>
      <w:r>
        <w:rPr/>
        <w:t>The above strategies were paid for by the grant and implemented at a total of 29 hospitals during the grant period. Beginning August 1, 2009, DCS began to incorporate Bright Start services into ongoing child support efforts and uses Incentive Funds to pay for these strategies. As of September 30, 2009, 40 of the State’s 70 birthing hospitals were participating.</w:t>
      </w:r>
    </w:p>
    <w:p>
      <w:pPr>
        <w:pStyle w:val="BodyText"/>
        <w:spacing w:before="2"/>
        <w:rPr>
          <w:sz w:val="25"/>
        </w:rPr>
      </w:pPr>
    </w:p>
    <w:p>
      <w:pPr>
        <w:pStyle w:val="BodyText"/>
        <w:spacing w:before="1"/>
        <w:ind w:left="560"/>
        <w:rPr>
          <w:rFonts w:ascii="Times New Roman"/>
        </w:rPr>
      </w:pPr>
      <w:r>
        <w:rPr/>
        <w:t>For further information, contact Louise Munson at </w:t>
      </w:r>
      <w:hyperlink r:id="rId27">
        <w:r>
          <w:rPr>
            <w:rFonts w:ascii="Times New Roman"/>
            <w:color w:val="0000FF"/>
            <w:u w:val="single" w:color="0000FF"/>
          </w:rPr>
          <w:t>lmunson@dshs.wa.gov</w:t>
        </w:r>
      </w:hyperlink>
    </w:p>
    <w:p>
      <w:pPr>
        <w:pStyle w:val="BodyText"/>
        <w:rPr>
          <w:rFonts w:ascii="Times New Roman"/>
          <w:sz w:val="20"/>
        </w:rPr>
      </w:pPr>
    </w:p>
    <w:p>
      <w:pPr>
        <w:pStyle w:val="BodyText"/>
        <w:spacing w:before="8"/>
        <w:rPr>
          <w:rFonts w:ascii="Times New Roman"/>
          <w:sz w:val="24"/>
        </w:rPr>
      </w:pPr>
    </w:p>
    <w:p>
      <w:pPr>
        <w:pStyle w:val="BodyText"/>
        <w:spacing w:before="91"/>
        <w:ind w:left="560" w:right="812"/>
      </w:pPr>
      <w:r>
        <w:rPr>
          <w:u w:val="single"/>
        </w:rPr>
        <w:t>Federal OCSE Section 1115 Demonstration Grant: Strengthening Washington’s</w:t>
      </w:r>
      <w:r>
        <w:rPr/>
        <w:t> </w:t>
      </w:r>
      <w:r>
        <w:rPr>
          <w:u w:val="single"/>
        </w:rPr>
        <w:t>eReferral Process</w:t>
      </w:r>
    </w:p>
    <w:p>
      <w:pPr>
        <w:pStyle w:val="BodyText"/>
        <w:spacing w:before="1"/>
        <w:rPr>
          <w:sz w:val="18"/>
        </w:rPr>
      </w:pPr>
    </w:p>
    <w:p>
      <w:pPr>
        <w:pStyle w:val="BodyText"/>
        <w:spacing w:before="91"/>
        <w:ind w:left="559" w:right="812"/>
      </w:pPr>
      <w:r>
        <w:rPr/>
        <w:t>In September 2007, DCS was awarded a three year federal grant. With this grant, DCS proposed to improve cooperation between DCS and its sister agencies with the goal of improving the eReferral process. This is the electronic process in which clients associated with TANF/Medicaid are referred by the Community Services Division to DCS for support enforcement services. The grant effort is guided by two objectives; the expansion and automation of data sharing with the Department of Health, and the statewide training of TANF/Medicaid staff on the process for referring new cases. Year two of this grant included the development and partial rollout of the online training to IV-A staff, and continued work toward the automation of the data exchange. Work on both objectives will continue through year three.</w:t>
      </w:r>
    </w:p>
    <w:p>
      <w:pPr>
        <w:pStyle w:val="BodyText"/>
        <w:spacing w:before="4"/>
        <w:rPr>
          <w:sz w:val="25"/>
        </w:rPr>
      </w:pPr>
    </w:p>
    <w:p>
      <w:pPr>
        <w:pStyle w:val="BodyText"/>
        <w:ind w:left="559"/>
        <w:rPr>
          <w:rFonts w:ascii="Times New Roman"/>
        </w:rPr>
      </w:pPr>
      <w:r>
        <w:rPr/>
        <w:t>For further information, contact Sarah Kollin at </w:t>
      </w:r>
      <w:hyperlink r:id="rId28">
        <w:r>
          <w:rPr>
            <w:rFonts w:ascii="Times New Roman"/>
            <w:color w:val="0000FF"/>
            <w:u w:val="single" w:color="0000FF"/>
          </w:rPr>
          <w:t>sarah.kollin@dshs.wa.gov</w:t>
        </w:r>
      </w:hyperlink>
    </w:p>
    <w:p>
      <w:pPr>
        <w:pStyle w:val="BodyText"/>
        <w:rPr>
          <w:rFonts w:ascii="Times New Roman"/>
          <w:sz w:val="20"/>
        </w:rPr>
      </w:pPr>
    </w:p>
    <w:p>
      <w:pPr>
        <w:pStyle w:val="BodyText"/>
        <w:spacing w:before="9"/>
        <w:rPr>
          <w:rFonts w:ascii="Times New Roman"/>
          <w:sz w:val="24"/>
        </w:rPr>
      </w:pPr>
    </w:p>
    <w:p>
      <w:pPr>
        <w:pStyle w:val="BodyText"/>
        <w:spacing w:before="91"/>
        <w:ind w:left="560"/>
      </w:pPr>
      <w:r>
        <w:rPr>
          <w:u w:val="single"/>
        </w:rPr>
        <w:t>Federal OCSE Section 1115 Access &amp; Visitation Grant</w:t>
      </w:r>
    </w:p>
    <w:p>
      <w:pPr>
        <w:pStyle w:val="BodyText"/>
        <w:rPr>
          <w:sz w:val="18"/>
        </w:rPr>
      </w:pPr>
    </w:p>
    <w:p>
      <w:pPr>
        <w:pStyle w:val="BodyText"/>
        <w:spacing w:before="91"/>
        <w:ind w:left="560" w:right="881"/>
      </w:pPr>
      <w:r>
        <w:rPr/>
        <w:t>The grant began September 1, 2009 and will continue through August 31, 2012. Through this grant, the division plans to assist unwed parents in filing parenting plans through partnerships with the courts and dispute resolution centers.</w:t>
      </w:r>
    </w:p>
    <w:p>
      <w:pPr>
        <w:pStyle w:val="BodyText"/>
        <w:spacing w:before="1"/>
        <w:ind w:left="559" w:right="724"/>
      </w:pPr>
      <w:r>
        <w:rPr/>
        <w:t>Expected outcomes include improved parent-child relationships and child support results.</w:t>
      </w:r>
    </w:p>
    <w:p>
      <w:pPr>
        <w:pStyle w:val="BodyText"/>
        <w:spacing w:before="5"/>
        <w:rPr>
          <w:sz w:val="25"/>
        </w:rPr>
      </w:pPr>
    </w:p>
    <w:p>
      <w:pPr>
        <w:pStyle w:val="BodyText"/>
        <w:ind w:left="559"/>
      </w:pPr>
      <w:r>
        <w:rPr/>
        <w:t>For further information contact Sarah Kollin at </w:t>
      </w:r>
      <w:hyperlink r:id="rId28">
        <w:r>
          <w:rPr>
            <w:rFonts w:ascii="Times New Roman"/>
            <w:color w:val="0000FF"/>
            <w:u w:val="single" w:color="0000FF"/>
          </w:rPr>
          <w:t>sarah.kollin@dshs.wa.gov</w:t>
        </w:r>
      </w:hyperlink>
      <w:r>
        <w:rPr/>
        <w:t>.</w:t>
      </w:r>
    </w:p>
    <w:p>
      <w:pPr>
        <w:spacing w:after="0"/>
        <w:sectPr>
          <w:pgSz w:w="12240" w:h="15840"/>
          <w:pgMar w:header="718" w:footer="1038" w:top="1340" w:bottom="1220" w:left="880" w:right="720"/>
        </w:sectPr>
      </w:pPr>
    </w:p>
    <w:p>
      <w:pPr>
        <w:pStyle w:val="Heading3"/>
        <w:numPr>
          <w:ilvl w:val="0"/>
          <w:numId w:val="4"/>
        </w:numPr>
        <w:tabs>
          <w:tab w:pos="997" w:val="left" w:leader="none"/>
        </w:tabs>
        <w:spacing w:line="240" w:lineRule="auto" w:before="81" w:after="0"/>
        <w:ind w:left="996" w:right="0" w:hanging="437"/>
        <w:jc w:val="left"/>
      </w:pPr>
      <w:r>
        <w:rPr/>
        <w:t>Summary of Program Service</w:t>
      </w:r>
      <w:r>
        <w:rPr>
          <w:spacing w:val="-8"/>
        </w:rPr>
        <w:t> </w:t>
      </w:r>
      <w:r>
        <w:rPr/>
        <w:t>Enhancements</w:t>
      </w:r>
    </w:p>
    <w:p>
      <w:pPr>
        <w:pStyle w:val="BodyText"/>
        <w:spacing w:before="3"/>
        <w:rPr>
          <w:b/>
        </w:rPr>
      </w:pPr>
    </w:p>
    <w:p>
      <w:pPr>
        <w:pStyle w:val="BodyText"/>
        <w:ind w:left="560" w:right="723"/>
      </w:pPr>
      <w:r>
        <w:rPr/>
        <w:t>DCS continues to be a leader in using technological advances as well as creative and innovative ways to better serve children and families in Washington State.</w:t>
      </w:r>
    </w:p>
    <w:p>
      <w:pPr>
        <w:pStyle w:val="BodyText"/>
        <w:ind w:left="560" w:right="1057"/>
      </w:pPr>
      <w:r>
        <w:rPr/>
        <w:t>Working with partners ranging from employers to tribes to hospitals, to name a few, DCS’ pioneering strategies have improved performance and customer service as well as relationships with partners.</w:t>
      </w:r>
    </w:p>
    <w:p>
      <w:pPr>
        <w:spacing w:after="0"/>
        <w:sectPr>
          <w:pgSz w:w="12240" w:h="15840"/>
          <w:pgMar w:header="718" w:footer="1038" w:top="1340" w:bottom="1220" w:left="880" w:right="720"/>
        </w:sectPr>
      </w:pPr>
    </w:p>
    <w:p>
      <w:pPr>
        <w:pStyle w:val="Heading2"/>
        <w:numPr>
          <w:ilvl w:val="0"/>
          <w:numId w:val="1"/>
        </w:numPr>
        <w:tabs>
          <w:tab w:pos="1279" w:val="left" w:leader="none"/>
          <w:tab w:pos="1280" w:val="left" w:leader="none"/>
        </w:tabs>
        <w:spacing w:line="240" w:lineRule="auto" w:before="82" w:after="0"/>
        <w:ind w:left="1279" w:right="0" w:hanging="720"/>
        <w:jc w:val="left"/>
      </w:pPr>
      <w:r>
        <w:rPr/>
        <w:t>Conclusion</w:t>
      </w:r>
    </w:p>
    <w:p>
      <w:pPr>
        <w:pStyle w:val="BodyText"/>
        <w:spacing w:before="2"/>
        <w:rPr>
          <w:b/>
          <w:sz w:val="32"/>
        </w:rPr>
      </w:pPr>
    </w:p>
    <w:p>
      <w:pPr>
        <w:pStyle w:val="BodyText"/>
        <w:ind w:left="559" w:right="739"/>
      </w:pPr>
      <w:r>
        <w:rPr/>
        <w:t>In last year’s review, DCS met or exceeded the required compliance standards in all program areas. This year, DCS again met or exceeded the compliance benchmark in all eight program areas. The program compliance measures from FFY 2003 through 2009 present a historical view of Washington DCS over the last seven years and highlights the agency’s continued success.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5"/>
        </w:rPr>
      </w:pPr>
    </w:p>
    <w:p>
      <w:pPr>
        <w:pStyle w:val="Heading1"/>
      </w:pPr>
      <w:r>
        <w:rPr/>
        <w:pict>
          <v:group style="position:absolute;margin-left:82.625pt;margin-top:28.137487pt;width:446.75pt;height:220.65pt;mso-position-horizontal-relative:page;mso-position-vertical-relative:paragraph;z-index:-251622400;mso-wrap-distance-left:0;mso-wrap-distance-right:0" coordorigin="1653,563" coordsize="8935,4413">
            <v:rect style="position:absolute;left:7816;top:1041;width:281;height:3871" filled="true" fillcolor="#4571a7" stroked="false">
              <v:fill type="solid"/>
            </v:rect>
            <v:rect style="position:absolute;left:4843;top:1207;width:281;height:3705" filled="true" fillcolor="#4571a7" stroked="false">
              <v:fill type="solid"/>
            </v:rect>
            <v:rect style="position:absolute;left:1869;top:1536;width:281;height:3376" filled="true" fillcolor="#4571a7" stroked="false">
              <v:fill type="solid"/>
            </v:rect>
            <v:rect style="position:absolute;left:5222;top:1041;width:281;height:3871" filled="true" fillcolor="#aa4643" stroked="false">
              <v:fill type="solid"/>
            </v:rect>
            <v:rect style="position:absolute;left:2248;top:1041;width:281;height:3871" filled="true" fillcolor="#aa4643" stroked="false">
              <v:fill type="solid"/>
            </v:rect>
            <v:rect style="position:absolute;left:8196;top:1125;width:281;height:3787" filled="true" fillcolor="#aa4643" stroked="false">
              <v:fill type="solid"/>
            </v:rect>
            <v:rect style="position:absolute;left:5601;top:1041;width:281;height:3871" filled="true" fillcolor="#88a44e" stroked="false">
              <v:fill type="solid"/>
            </v:rect>
            <v:rect style="position:absolute;left:2628;top:1085;width:281;height:3827" filled="true" fillcolor="#88a44e" stroked="false">
              <v:fill type="solid"/>
            </v:rect>
            <v:rect style="position:absolute;left:8575;top:1207;width:281;height:3705" filled="true" fillcolor="#88a44e" stroked="false">
              <v:fill type="solid"/>
            </v:rect>
            <v:rect style="position:absolute;left:5980;top:919;width:279;height:3993" filled="true" fillcolor="#70578f" stroked="false">
              <v:fill type="solid"/>
            </v:rect>
            <v:rect style="position:absolute;left:8952;top:1085;width:281;height:3827" filled="true" fillcolor="#70578f" stroked="false">
              <v:fill type="solid"/>
            </v:rect>
            <v:rect style="position:absolute;left:3007;top:1125;width:281;height:3787" filled="true" fillcolor="#70578f" stroked="false">
              <v:fill type="solid"/>
            </v:rect>
            <v:rect style="position:absolute;left:9331;top:1041;width:281;height:3871" filled="true" fillcolor="#4197ae" stroked="false">
              <v:fill type="solid"/>
            </v:rect>
            <v:rect style="position:absolute;left:3384;top:1041;width:281;height:3871" filled="true" fillcolor="#4197ae" stroked="false">
              <v:fill type="solid"/>
            </v:rect>
            <v:rect style="position:absolute;left:6357;top:1125;width:281;height:3787" filled="true" fillcolor="#4197ae" stroked="false">
              <v:fill type="solid"/>
            </v:rect>
            <v:rect style="position:absolute;left:6736;top:837;width:281;height:4075" filled="true" fillcolor="#db843c" stroked="false">
              <v:fill type="solid"/>
            </v:rect>
            <v:rect style="position:absolute;left:3763;top:960;width:281;height:3952" filled="true" fillcolor="#db843c" stroked="false">
              <v:fill type="solid"/>
            </v:rect>
            <v:rect style="position:absolute;left:9710;top:1001;width:281;height:3911" filled="true" fillcolor="#db843c" stroked="false">
              <v:fill type="solid"/>
            </v:rect>
            <v:rect style="position:absolute;left:7116;top:837;width:281;height:4075" filled="true" fillcolor="#92a9cf" stroked="false">
              <v:fill type="solid"/>
            </v:rect>
            <v:rect style="position:absolute;left:10089;top:1125;width:281;height:3787" filled="true" fillcolor="#92a9cf" stroked="false">
              <v:fill type="solid"/>
            </v:rect>
            <v:rect style="position:absolute;left:4142;top:1125;width:281;height:3787" filled="true" fillcolor="#92a9cf" stroked="false">
              <v:fill type="solid"/>
            </v:rect>
            <v:line style="position:absolute" from="1660,4912" to="10580,4912" stroked="true" strokeweight=".75pt" strokecolor="#858585">
              <v:stroke dashstyle="solid"/>
            </v:line>
            <v:line style="position:absolute" from="1660,4912" to="1660,4975" stroked="true" strokeweight=".75pt" strokecolor="#858585">
              <v:stroke dashstyle="solid"/>
            </v:line>
            <v:line style="position:absolute" from="4634,4912" to="4634,4975" stroked="true" strokeweight=".75pt" strokecolor="#858585">
              <v:stroke dashstyle="solid"/>
            </v:line>
            <v:line style="position:absolute" from="7606,4912" to="7606,4975" stroked="true" strokeweight=".75pt" strokecolor="#858585">
              <v:stroke dashstyle="solid"/>
            </v:line>
            <v:line style="position:absolute" from="10580,4912" to="10580,4975" stroked="true" strokeweight=".75pt" strokecolor="#858585">
              <v:stroke dashstyle="solid"/>
            </v:line>
            <v:shape style="position:absolute;left:2233;top:686;width:2226;height:345" type="#_x0000_t202" filled="false" stroked="false">
              <v:textbox inset="0,0,0,0">
                <w:txbxContent>
                  <w:p>
                    <w:pPr>
                      <w:spacing w:line="237" w:lineRule="auto" w:before="0"/>
                      <w:ind w:left="0" w:right="0" w:firstLine="0"/>
                      <w:jc w:val="left"/>
                      <w:rPr>
                        <w:rFonts w:ascii="Calibri"/>
                        <w:sz w:val="18"/>
                      </w:rPr>
                    </w:pPr>
                    <w:r>
                      <w:rPr>
                        <w:rFonts w:ascii="Calibri"/>
                        <w:sz w:val="18"/>
                      </w:rPr>
                      <w:t>94% </w:t>
                    </w:r>
                    <w:r>
                      <w:rPr>
                        <w:rFonts w:ascii="Calibri"/>
                        <w:position w:val="-3"/>
                        <w:sz w:val="18"/>
                      </w:rPr>
                      <w:t>93% </w:t>
                    </w:r>
                    <w:r>
                      <w:rPr>
                        <w:rFonts w:ascii="Calibri"/>
                        <w:position w:val="-7"/>
                        <w:sz w:val="18"/>
                      </w:rPr>
                      <w:t>92% </w:t>
                    </w:r>
                    <w:r>
                      <w:rPr>
                        <w:rFonts w:ascii="Calibri"/>
                        <w:sz w:val="18"/>
                      </w:rPr>
                      <w:t>94% </w:t>
                    </w:r>
                    <w:r>
                      <w:rPr>
                        <w:rFonts w:ascii="Calibri"/>
                        <w:position w:val="8"/>
                        <w:sz w:val="18"/>
                      </w:rPr>
                      <w:t>96% </w:t>
                    </w:r>
                    <w:r>
                      <w:rPr>
                        <w:rFonts w:ascii="Calibri"/>
                        <w:position w:val="-7"/>
                        <w:sz w:val="18"/>
                      </w:rPr>
                      <w:t>92%</w:t>
                    </w:r>
                  </w:p>
                </w:txbxContent>
              </v:textbox>
              <w10:wrap type="none"/>
            </v:shape>
            <v:shape style="position:absolute;left:5207;top:768;width:711;height:181" type="#_x0000_t202" filled="false" stroked="false">
              <v:textbox inset="0,0,0,0">
                <w:txbxContent>
                  <w:p>
                    <w:pPr>
                      <w:spacing w:line="180" w:lineRule="exact" w:before="0"/>
                      <w:ind w:left="0" w:right="0" w:firstLine="0"/>
                      <w:jc w:val="left"/>
                      <w:rPr>
                        <w:rFonts w:ascii="Calibri"/>
                        <w:sz w:val="18"/>
                      </w:rPr>
                    </w:pPr>
                    <w:r>
                      <w:rPr>
                        <w:rFonts w:ascii="Calibri"/>
                        <w:sz w:val="18"/>
                      </w:rPr>
                      <w:t>94% 94%</w:t>
                    </w:r>
                  </w:p>
                </w:txbxContent>
              </v:textbox>
              <w10:wrap type="none"/>
            </v:shape>
            <v:shape style="position:absolute;left:5964;top:645;width:332;height:180" type="#_x0000_t202" filled="false" stroked="false">
              <v:textbox inset="0,0,0,0">
                <w:txbxContent>
                  <w:p>
                    <w:pPr>
                      <w:spacing w:line="180" w:lineRule="exact" w:before="0"/>
                      <w:ind w:left="0" w:right="0" w:firstLine="0"/>
                      <w:jc w:val="left"/>
                      <w:rPr>
                        <w:rFonts w:ascii="Calibri"/>
                        <w:sz w:val="18"/>
                      </w:rPr>
                    </w:pPr>
                    <w:r>
                      <w:rPr>
                        <w:rFonts w:ascii="Calibri"/>
                        <w:sz w:val="18"/>
                      </w:rPr>
                      <w:t>97%</w:t>
                    </w:r>
                  </w:p>
                </w:txbxContent>
              </v:textbox>
              <w10:wrap type="none"/>
            </v:shape>
            <v:shape style="position:absolute;left:6722;top:562;width:711;height:180" type="#_x0000_t202" filled="false" stroked="false">
              <v:textbox inset="0,0,0,0">
                <w:txbxContent>
                  <w:p>
                    <w:pPr>
                      <w:spacing w:line="180" w:lineRule="exact" w:before="0"/>
                      <w:ind w:left="0" w:right="0" w:firstLine="0"/>
                      <w:jc w:val="left"/>
                      <w:rPr>
                        <w:rFonts w:ascii="Calibri"/>
                        <w:sz w:val="18"/>
                      </w:rPr>
                    </w:pPr>
                    <w:r>
                      <w:rPr>
                        <w:rFonts w:ascii="Calibri"/>
                        <w:sz w:val="18"/>
                      </w:rPr>
                      <w:t>99% 99%</w:t>
                    </w:r>
                  </w:p>
                </w:txbxContent>
              </v:textbox>
              <w10:wrap type="none"/>
            </v:shape>
            <v:shape style="position:absolute;left:4828;top:933;width:332;height:180" type="#_x0000_t202" filled="false" stroked="false">
              <v:textbox inset="0,0,0,0">
                <w:txbxContent>
                  <w:p>
                    <w:pPr>
                      <w:spacing w:line="180" w:lineRule="exact" w:before="0"/>
                      <w:ind w:left="0" w:right="0" w:firstLine="0"/>
                      <w:jc w:val="left"/>
                      <w:rPr>
                        <w:rFonts w:ascii="Calibri"/>
                        <w:sz w:val="18"/>
                      </w:rPr>
                    </w:pPr>
                    <w:r>
                      <w:rPr>
                        <w:rFonts w:ascii="Calibri"/>
                        <w:sz w:val="18"/>
                      </w:rPr>
                      <w:t>90%</w:t>
                    </w:r>
                  </w:p>
                </w:txbxContent>
              </v:textbox>
              <w10:wrap type="none"/>
            </v:shape>
            <v:shape style="position:absolute;left:6343;top:850;width:332;height:180" type="#_x0000_t202" filled="false" stroked="false">
              <v:textbox inset="0,0,0,0">
                <w:txbxContent>
                  <w:p>
                    <w:pPr>
                      <w:spacing w:line="180" w:lineRule="exact" w:before="0"/>
                      <w:ind w:left="0" w:right="0" w:firstLine="0"/>
                      <w:jc w:val="left"/>
                      <w:rPr>
                        <w:rFonts w:ascii="Calibri"/>
                        <w:sz w:val="18"/>
                      </w:rPr>
                    </w:pPr>
                    <w:r>
                      <w:rPr>
                        <w:rFonts w:ascii="Calibri"/>
                        <w:sz w:val="18"/>
                      </w:rPr>
                      <w:t>92%</w:t>
                    </w:r>
                  </w:p>
                </w:txbxContent>
              </v:textbox>
              <w10:wrap type="none"/>
            </v:shape>
            <v:shape style="position:absolute;left:7801;top:768;width:711;height:263" type="#_x0000_t202" filled="false" stroked="false">
              <v:textbox inset="0,0,0,0">
                <w:txbxContent>
                  <w:p>
                    <w:pPr>
                      <w:spacing w:line="187" w:lineRule="auto" w:before="0"/>
                      <w:ind w:left="0" w:right="0" w:firstLine="0"/>
                      <w:jc w:val="left"/>
                      <w:rPr>
                        <w:rFonts w:ascii="Calibri"/>
                        <w:sz w:val="18"/>
                      </w:rPr>
                    </w:pPr>
                    <w:r>
                      <w:rPr>
                        <w:rFonts w:ascii="Calibri"/>
                        <w:sz w:val="18"/>
                      </w:rPr>
                      <w:t>94% </w:t>
                    </w:r>
                    <w:r>
                      <w:rPr>
                        <w:rFonts w:ascii="Calibri"/>
                        <w:position w:val="-7"/>
                        <w:sz w:val="18"/>
                      </w:rPr>
                      <w:t>92%</w:t>
                    </w:r>
                  </w:p>
                </w:txbxContent>
              </v:textbox>
              <w10:wrap type="none"/>
            </v:shape>
            <v:shape style="position:absolute;left:8559;top:933;width:332;height:180" type="#_x0000_t202" filled="false" stroked="false">
              <v:textbox inset="0,0,0,0">
                <w:txbxContent>
                  <w:p>
                    <w:pPr>
                      <w:spacing w:line="180" w:lineRule="exact" w:before="0"/>
                      <w:ind w:left="0" w:right="0" w:firstLine="0"/>
                      <w:jc w:val="left"/>
                      <w:rPr>
                        <w:rFonts w:ascii="Calibri"/>
                        <w:sz w:val="18"/>
                      </w:rPr>
                    </w:pPr>
                    <w:r>
                      <w:rPr>
                        <w:rFonts w:ascii="Calibri"/>
                        <w:sz w:val="18"/>
                      </w:rPr>
                      <w:t>90%</w:t>
                    </w:r>
                  </w:p>
                </w:txbxContent>
              </v:textbox>
              <w10:wrap type="none"/>
            </v:shape>
            <v:shape style="position:absolute;left:8938;top:727;width:1468;height:304" type="#_x0000_t202" filled="false" stroked="false">
              <v:textbox inset="0,0,0,0">
                <w:txbxContent>
                  <w:p>
                    <w:pPr>
                      <w:spacing w:line="187" w:lineRule="auto" w:before="0"/>
                      <w:ind w:left="0" w:right="0" w:firstLine="0"/>
                      <w:jc w:val="left"/>
                      <w:rPr>
                        <w:rFonts w:ascii="Calibri"/>
                        <w:sz w:val="18"/>
                      </w:rPr>
                    </w:pPr>
                    <w:r>
                      <w:rPr>
                        <w:rFonts w:ascii="Calibri"/>
                        <w:position w:val="-7"/>
                        <w:sz w:val="18"/>
                      </w:rPr>
                      <w:t>93% </w:t>
                    </w:r>
                    <w:r>
                      <w:rPr>
                        <w:rFonts w:ascii="Calibri"/>
                        <w:position w:val="-3"/>
                        <w:sz w:val="18"/>
                      </w:rPr>
                      <w:t>94% </w:t>
                    </w:r>
                    <w:r>
                      <w:rPr>
                        <w:rFonts w:ascii="Calibri"/>
                        <w:sz w:val="18"/>
                      </w:rPr>
                      <w:t>95% </w:t>
                    </w:r>
                    <w:r>
                      <w:rPr>
                        <w:rFonts w:ascii="Calibri"/>
                        <w:position w:val="-11"/>
                        <w:sz w:val="18"/>
                      </w:rPr>
                      <w:t>92%</w:t>
                    </w:r>
                  </w:p>
                </w:txbxContent>
              </v:textbox>
              <w10:wrap type="none"/>
            </v:shape>
            <v:shape style="position:absolute;left:1854;top:1262;width:332;height:180" type="#_x0000_t202" filled="false" stroked="false">
              <v:textbox inset="0,0,0,0">
                <w:txbxContent>
                  <w:p>
                    <w:pPr>
                      <w:spacing w:line="180" w:lineRule="exact" w:before="0"/>
                      <w:ind w:left="0" w:right="0" w:firstLine="0"/>
                      <w:jc w:val="left"/>
                      <w:rPr>
                        <w:rFonts w:ascii="Calibri"/>
                        <w:sz w:val="18"/>
                      </w:rPr>
                    </w:pPr>
                    <w:r>
                      <w:rPr>
                        <w:rFonts w:ascii="Calibri"/>
                        <w:sz w:val="18"/>
                      </w:rPr>
                      <w:t>82%</w:t>
                    </w:r>
                  </w:p>
                </w:txbxContent>
              </v:textbox>
              <w10:wrap type="none"/>
            </v:shape>
            <w10:wrap type="topAndBottom"/>
          </v:group>
        </w:pict>
      </w:r>
      <w:r>
        <w:rPr/>
        <w:t>Program Compliance by Year</w:t>
      </w:r>
    </w:p>
    <w:p>
      <w:pPr>
        <w:tabs>
          <w:tab w:pos="2915" w:val="left" w:leader="none"/>
          <w:tab w:pos="5937" w:val="left" w:leader="none"/>
        </w:tabs>
        <w:spacing w:before="25"/>
        <w:ind w:left="0" w:right="150" w:firstLine="0"/>
        <w:jc w:val="center"/>
        <w:rPr>
          <w:rFonts w:ascii="Calibri"/>
          <w:sz w:val="20"/>
        </w:rPr>
      </w:pPr>
      <w:r>
        <w:rPr>
          <w:rFonts w:ascii="Calibri"/>
          <w:sz w:val="20"/>
        </w:rPr>
        <w:t>Case</w:t>
      </w:r>
      <w:r>
        <w:rPr>
          <w:rFonts w:ascii="Calibri"/>
          <w:spacing w:val="-3"/>
          <w:sz w:val="20"/>
        </w:rPr>
        <w:t> </w:t>
      </w:r>
      <w:r>
        <w:rPr>
          <w:rFonts w:ascii="Calibri"/>
          <w:sz w:val="20"/>
        </w:rPr>
        <w:t>Closure</w:t>
        <w:tab/>
        <w:t>Establishment</w:t>
        <w:tab/>
        <w:t>Enforcement</w:t>
      </w:r>
    </w:p>
    <w:p>
      <w:pPr>
        <w:pStyle w:val="BodyText"/>
        <w:spacing w:before="9"/>
        <w:rPr>
          <w:rFonts w:ascii="Calibri"/>
          <w:sz w:val="9"/>
        </w:rPr>
      </w:pPr>
    </w:p>
    <w:p>
      <w:pPr>
        <w:tabs>
          <w:tab w:pos="809" w:val="left" w:leader="none"/>
          <w:tab w:pos="1544" w:val="left" w:leader="none"/>
          <w:tab w:pos="2278" w:val="left" w:leader="none"/>
          <w:tab w:pos="3013" w:val="left" w:leader="none"/>
          <w:tab w:pos="3748" w:val="left" w:leader="none"/>
          <w:tab w:pos="4482" w:val="left" w:leader="none"/>
        </w:tabs>
        <w:spacing w:before="59"/>
        <w:ind w:left="74" w:right="0" w:firstLine="0"/>
        <w:jc w:val="center"/>
        <w:rPr>
          <w:rFonts w:ascii="Calibri"/>
          <w:sz w:val="20"/>
        </w:rPr>
      </w:pPr>
      <w:r>
        <w:rPr/>
        <w:pict>
          <v:rect style="position:absolute;margin-left:183.656006pt;margin-top:6.899285pt;width:5.492pt;height:5.492pt;mso-position-horizontal-relative:page;mso-position-vertical-relative:paragraph;z-index:251695104" filled="true" fillcolor="#4571a7" stroked="false">
            <v:fill type="solid"/>
            <w10:wrap type="none"/>
          </v:rect>
        </w:pict>
      </w:r>
      <w:r>
        <w:rPr/>
        <w:pict>
          <v:rect style="position:absolute;margin-left:220.391998pt;margin-top:6.899285pt;width:5.492pt;height:5.492pt;mso-position-horizontal-relative:page;mso-position-vertical-relative:paragraph;z-index:-253380608" filled="true" fillcolor="#aa4643" stroked="false">
            <v:fill type="solid"/>
            <w10:wrap type="none"/>
          </v:rect>
        </w:pict>
      </w:r>
      <w:r>
        <w:rPr/>
        <w:pict>
          <v:rect style="position:absolute;margin-left:257.127991pt;margin-top:6.899285pt;width:5.492pt;height:5.492pt;mso-position-horizontal-relative:page;mso-position-vertical-relative:paragraph;z-index:-253379584" filled="true" fillcolor="#88a44e" stroked="false">
            <v:fill type="solid"/>
            <w10:wrap type="none"/>
          </v:rect>
        </w:pict>
      </w:r>
      <w:r>
        <w:rPr/>
        <w:pict>
          <v:rect style="position:absolute;margin-left:293.863007pt;margin-top:6.899285pt;width:5.492pt;height:5.492pt;mso-position-horizontal-relative:page;mso-position-vertical-relative:paragraph;z-index:-253378560" filled="true" fillcolor="#70578f" stroked="false">
            <v:fill type="solid"/>
            <w10:wrap type="none"/>
          </v:rect>
        </w:pict>
      </w:r>
      <w:r>
        <w:rPr/>
        <w:pict>
          <v:rect style="position:absolute;margin-left:330.598999pt;margin-top:6.899285pt;width:5.492pt;height:5.492pt;mso-position-horizontal-relative:page;mso-position-vertical-relative:paragraph;z-index:-253377536" filled="true" fillcolor="#4197ae" stroked="false">
            <v:fill type="solid"/>
            <w10:wrap type="none"/>
          </v:rect>
        </w:pict>
      </w:r>
      <w:r>
        <w:rPr/>
        <w:pict>
          <v:rect style="position:absolute;margin-left:367.334991pt;margin-top:6.899285pt;width:5.492pt;height:5.492pt;mso-position-horizontal-relative:page;mso-position-vertical-relative:paragraph;z-index:-253376512" filled="true" fillcolor="#db843c" stroked="false">
            <v:fill type="solid"/>
            <w10:wrap type="none"/>
          </v:rect>
        </w:pict>
      </w:r>
      <w:r>
        <w:rPr/>
        <w:pict>
          <v:rect style="position:absolute;margin-left:404.070007pt;margin-top:6.899285pt;width:5.492pt;height:5.492pt;mso-position-horizontal-relative:page;mso-position-vertical-relative:paragraph;z-index:-253375488" filled="true" fillcolor="#92a9cf" stroked="false">
            <v:fill type="solid"/>
            <w10:wrap type="none"/>
          </v:rect>
        </w:pict>
      </w:r>
      <w:r>
        <w:rPr>
          <w:rFonts w:ascii="Calibri"/>
          <w:sz w:val="20"/>
        </w:rPr>
        <w:t>2003</w:t>
        <w:tab/>
        <w:t>2004</w:t>
        <w:tab/>
        <w:t>2005</w:t>
        <w:tab/>
        <w:t>2006</w:t>
        <w:tab/>
        <w:t>2007</w:t>
        <w:tab/>
        <w:t>2008</w:t>
        <w:tab/>
        <w:t>2009</w:t>
      </w:r>
    </w:p>
    <w:p>
      <w:pPr>
        <w:spacing w:after="0"/>
        <w:jc w:val="center"/>
        <w:rPr>
          <w:rFonts w:ascii="Calibri"/>
          <w:sz w:val="20"/>
        </w:rPr>
        <w:sectPr>
          <w:pgSz w:w="12240" w:h="15840"/>
          <w:pgMar w:header="718" w:footer="1038" w:top="1340" w:bottom="1220" w:left="880" w:right="720"/>
        </w:sectPr>
      </w:pPr>
    </w:p>
    <w:p>
      <w:pPr>
        <w:pStyle w:val="BodyText"/>
        <w:spacing w:before="9"/>
        <w:rPr>
          <w:rFonts w:ascii="Calibri"/>
        </w:rPr>
      </w:pPr>
    </w:p>
    <w:p>
      <w:pPr>
        <w:pStyle w:val="Heading1"/>
        <w:ind w:left="2303" w:right="1608"/>
      </w:pPr>
      <w:r>
        <w:rPr/>
        <w:t>Program Compliance by Year</w:t>
      </w:r>
    </w:p>
    <w:p>
      <w:pPr>
        <w:pStyle w:val="BodyText"/>
        <w:rPr>
          <w:rFonts w:ascii="Calibri"/>
          <w:b/>
          <w:sz w:val="20"/>
        </w:rPr>
      </w:pPr>
    </w:p>
    <w:p>
      <w:pPr>
        <w:pStyle w:val="BodyText"/>
        <w:rPr>
          <w:rFonts w:ascii="Calibri"/>
          <w:b/>
          <w:sz w:val="20"/>
        </w:rPr>
      </w:pPr>
    </w:p>
    <w:p>
      <w:pPr>
        <w:pStyle w:val="BodyText"/>
        <w:spacing w:before="11"/>
        <w:rPr>
          <w:rFonts w:ascii="Calibri"/>
          <w:b/>
          <w:sz w:val="16"/>
        </w:rPr>
      </w:pPr>
    </w:p>
    <w:p>
      <w:pPr>
        <w:spacing w:before="59"/>
        <w:ind w:left="3196" w:right="0" w:firstLine="0"/>
        <w:jc w:val="left"/>
        <w:rPr>
          <w:rFonts w:ascii="Calibri"/>
          <w:sz w:val="20"/>
        </w:rPr>
      </w:pPr>
      <w:r>
        <w:rPr/>
        <w:pict>
          <v:group style="position:absolute;margin-left:82.554901pt;margin-top:12.431643pt;width:446.9pt;height:188.85pt;mso-position-horizontal-relative:page;mso-position-vertical-relative:paragraph;z-index:-253345792" coordorigin="1651,249" coordsize="8938,3777">
            <v:rect style="position:absolute;left:1888;top:691;width:308;height:3271" filled="true" fillcolor="#4571a7" stroked="false">
              <v:fill type="solid"/>
            </v:rect>
            <v:rect style="position:absolute;left:2256;top:2623;width:308;height:1339" filled="true" fillcolor="#aa4643" stroked="false">
              <v:fill type="solid"/>
            </v:rect>
            <v:rect style="position:absolute;left:2625;top:691;width:305;height:3271" filled="true" fillcolor="#88a44e" stroked="false">
              <v:fill type="solid"/>
            </v:rect>
            <v:rect style="position:absolute;left:2992;top:542;width:308;height:3420" filled="true" fillcolor="#70578f" stroked="false">
              <v:fill type="solid"/>
            </v:rect>
            <v:rect style="position:absolute;left:3360;top:542;width:308;height:3420" filled="true" fillcolor="#4197ae" stroked="false">
              <v:fill type="solid"/>
            </v:rect>
            <v:rect style="position:absolute;left:3727;top:542;width:308;height:3420" filled="true" fillcolor="#db843c" stroked="false">
              <v:fill type="solid"/>
            </v:rect>
            <v:rect style="position:absolute;left:4096;top:393;width:308;height:3569" filled="true" fillcolor="#92a9cf" stroked="false">
              <v:fill type="solid"/>
            </v:rect>
            <v:rect style="position:absolute;left:4862;top:1435;width:308;height:2527" filled="true" fillcolor="#4571a7" stroked="false">
              <v:fill type="solid"/>
            </v:rect>
            <v:rect style="position:absolute;left:5229;top:1137;width:308;height:2825" filled="true" fillcolor="#aa4643" stroked="false">
              <v:fill type="solid"/>
            </v:rect>
            <v:rect style="position:absolute;left:5599;top:2474;width:308;height:1488" filled="true" fillcolor="#88a44e" stroked="false">
              <v:fill type="solid"/>
            </v:rect>
            <v:rect style="position:absolute;left:5966;top:1286;width:308;height:2676" filled="true" fillcolor="#70578f" stroked="false">
              <v:fill type="solid"/>
            </v:rect>
            <v:rect style="position:absolute;left:6333;top:1733;width:308;height:2230" filled="true" fillcolor="#4197ae" stroked="false">
              <v:fill type="solid"/>
            </v:rect>
            <v:rect style="position:absolute;left:6703;top:989;width:308;height:2974" filled="true" fillcolor="#db843c" stroked="false">
              <v:fill type="solid"/>
            </v:rect>
            <v:rect style="position:absolute;left:7070;top:989;width:308;height:2974" filled="true" fillcolor="#92a9cf" stroked="false">
              <v:fill type="solid"/>
            </v:rect>
            <v:rect style="position:absolute;left:7836;top:840;width:308;height:3122" filled="true" fillcolor="#4571a7" stroked="false">
              <v:fill type="solid"/>
            </v:rect>
            <v:rect style="position:absolute;left:8205;top:840;width:308;height:3122" filled="true" fillcolor="#aa4643" stroked="false">
              <v:fill type="solid"/>
            </v:rect>
            <v:rect style="position:absolute;left:8572;top:542;width:308;height:3420" filled="true" fillcolor="#88a44e" stroked="false">
              <v:fill type="solid"/>
            </v:rect>
            <v:rect style="position:absolute;left:8940;top:691;width:308;height:3271" filled="true" fillcolor="#70578f" stroked="false">
              <v:fill type="solid"/>
            </v:rect>
            <v:rect style="position:absolute;left:9309;top:840;width:305;height:3122" filled="true" fillcolor="#4197ae" stroked="false">
              <v:fill type="solid"/>
            </v:rect>
            <v:rect style="position:absolute;left:9676;top:840;width:308;height:3122" filled="true" fillcolor="#db843c" stroked="false">
              <v:fill type="solid"/>
            </v:rect>
            <v:rect style="position:absolute;left:10044;top:542;width:308;height:3420" filled="true" fillcolor="#92a9cf" stroked="false">
              <v:fill type="solid"/>
            </v:rect>
            <v:shape style="position:absolute;left:0;top:12996;width:8923;height:64" coordorigin="0,12996" coordsize="8923,64" path="m1659,3962l10581,3962m1659,3962l1659,4026m4632,3962l4632,4026m7608,3962l7608,4026m10581,3962l10581,4026e" filled="false" stroked="true" strokeweight=".75pt" strokecolor="#858585">
              <v:path arrowok="t"/>
              <v:stroke dashstyle="solid"/>
            </v:shape>
            <v:shape style="position:absolute;left:2990;top:268;width:1068;height:180" type="#_x0000_t202" filled="false" stroked="false">
              <v:textbox inset="0,0,0,0">
                <w:txbxContent>
                  <w:p>
                    <w:pPr>
                      <w:spacing w:line="180" w:lineRule="exact" w:before="0"/>
                      <w:ind w:left="0" w:right="0" w:firstLine="0"/>
                      <w:jc w:val="left"/>
                      <w:rPr>
                        <w:rFonts w:ascii="Calibri"/>
                        <w:sz w:val="18"/>
                      </w:rPr>
                    </w:pPr>
                    <w:r>
                      <w:rPr>
                        <w:rFonts w:ascii="Calibri"/>
                        <w:sz w:val="18"/>
                      </w:rPr>
                      <w:t>98% 98% 98%</w:t>
                    </w:r>
                  </w:p>
                </w:txbxContent>
              </v:textbox>
              <w10:wrap type="none"/>
            </v:shape>
            <v:shape style="position:absolute;left:8570;top:268;width:332;height:180" type="#_x0000_t202" filled="false" stroked="false">
              <v:textbox inset="0,0,0,0">
                <w:txbxContent>
                  <w:p>
                    <w:pPr>
                      <w:spacing w:line="180" w:lineRule="exact" w:before="0"/>
                      <w:ind w:left="0" w:right="0" w:firstLine="0"/>
                      <w:jc w:val="left"/>
                      <w:rPr>
                        <w:rFonts w:ascii="Calibri"/>
                        <w:sz w:val="18"/>
                      </w:rPr>
                    </w:pPr>
                    <w:r>
                      <w:rPr>
                        <w:rFonts w:ascii="Calibri"/>
                        <w:sz w:val="18"/>
                      </w:rPr>
                      <w:t>98%</w:t>
                    </w:r>
                  </w:p>
                </w:txbxContent>
              </v:textbox>
              <w10:wrap type="none"/>
            </v:shape>
            <v:shape style="position:absolute;left:10025;top:248;width:364;height:200" type="#_x0000_t202" filled="false" stroked="false">
              <v:textbox inset="0,0,0,0">
                <w:txbxContent>
                  <w:p>
                    <w:pPr>
                      <w:spacing w:line="199" w:lineRule="exact" w:before="0"/>
                      <w:ind w:left="0" w:right="0" w:firstLine="0"/>
                      <w:jc w:val="left"/>
                      <w:rPr>
                        <w:rFonts w:ascii="Calibri"/>
                        <w:sz w:val="20"/>
                      </w:rPr>
                    </w:pPr>
                    <w:r>
                      <w:rPr>
                        <w:rFonts w:ascii="Calibri"/>
                        <w:sz w:val="20"/>
                      </w:rPr>
                      <w:t>98%</w:t>
                    </w:r>
                  </w:p>
                </w:txbxContent>
              </v:textbox>
              <w10:wrap type="none"/>
            </v:shape>
            <v:shape style="position:absolute;left:1885;top:416;width:332;height:180" type="#_x0000_t202" filled="false" stroked="false">
              <v:textbox inset="0,0,0,0">
                <w:txbxContent>
                  <w:p>
                    <w:pPr>
                      <w:spacing w:line="180" w:lineRule="exact" w:before="0"/>
                      <w:ind w:left="0" w:right="0" w:firstLine="0"/>
                      <w:jc w:val="left"/>
                      <w:rPr>
                        <w:rFonts w:ascii="Calibri"/>
                        <w:sz w:val="18"/>
                      </w:rPr>
                    </w:pPr>
                    <w:r>
                      <w:rPr>
                        <w:rFonts w:ascii="Calibri"/>
                        <w:sz w:val="18"/>
                      </w:rPr>
                      <w:t>97%</w:t>
                    </w:r>
                  </w:p>
                </w:txbxContent>
              </v:textbox>
              <w10:wrap type="none"/>
            </v:shape>
            <v:shape style="position:absolute;left:2622;top:416;width:332;height:180" type="#_x0000_t202" filled="false" stroked="false">
              <v:textbox inset="0,0,0,0">
                <w:txbxContent>
                  <w:p>
                    <w:pPr>
                      <w:spacing w:line="180" w:lineRule="exact" w:before="0"/>
                      <w:ind w:left="0" w:right="0" w:firstLine="0"/>
                      <w:jc w:val="left"/>
                      <w:rPr>
                        <w:rFonts w:ascii="Calibri"/>
                        <w:sz w:val="18"/>
                      </w:rPr>
                    </w:pPr>
                    <w:r>
                      <w:rPr>
                        <w:rFonts w:ascii="Calibri"/>
                        <w:sz w:val="18"/>
                      </w:rPr>
                      <w:t>97%</w:t>
                    </w:r>
                  </w:p>
                </w:txbxContent>
              </v:textbox>
              <w10:wrap type="none"/>
            </v:shape>
            <v:shape style="position:absolute;left:8938;top:416;width:332;height:180" type="#_x0000_t202" filled="false" stroked="false">
              <v:textbox inset="0,0,0,0">
                <w:txbxContent>
                  <w:p>
                    <w:pPr>
                      <w:spacing w:line="180" w:lineRule="exact" w:before="0"/>
                      <w:ind w:left="0" w:right="0" w:firstLine="0"/>
                      <w:jc w:val="left"/>
                      <w:rPr>
                        <w:rFonts w:ascii="Calibri"/>
                        <w:sz w:val="18"/>
                      </w:rPr>
                    </w:pPr>
                    <w:r>
                      <w:rPr>
                        <w:rFonts w:ascii="Calibri"/>
                        <w:sz w:val="18"/>
                      </w:rPr>
                      <w:t>97%</w:t>
                    </w:r>
                  </w:p>
                </w:txbxContent>
              </v:textbox>
              <w10:wrap type="none"/>
            </v:shape>
            <v:shape style="position:absolute;left:6700;top:694;width:715;height:200" type="#_x0000_t202" filled="false" stroked="false">
              <v:textbox inset="0,0,0,0">
                <w:txbxContent>
                  <w:p>
                    <w:pPr>
                      <w:spacing w:line="200" w:lineRule="exact" w:before="0"/>
                      <w:ind w:left="0" w:right="0" w:firstLine="0"/>
                      <w:jc w:val="left"/>
                      <w:rPr>
                        <w:rFonts w:ascii="Calibri"/>
                        <w:sz w:val="20"/>
                      </w:rPr>
                    </w:pPr>
                    <w:r>
                      <w:rPr>
                        <w:rFonts w:ascii="Calibri"/>
                        <w:sz w:val="18"/>
                      </w:rPr>
                      <w:t>95% </w:t>
                    </w:r>
                    <w:r>
                      <w:rPr>
                        <w:rFonts w:ascii="Calibri"/>
                        <w:position w:val="1"/>
                        <w:sz w:val="20"/>
                      </w:rPr>
                      <w:t>95%</w:t>
                    </w:r>
                  </w:p>
                </w:txbxContent>
              </v:textbox>
              <w10:wrap type="none"/>
            </v:shape>
            <v:shape style="position:absolute;left:7834;top:565;width:700;height:180" type="#_x0000_t202" filled="false" stroked="false">
              <v:textbox inset="0,0,0,0">
                <w:txbxContent>
                  <w:p>
                    <w:pPr>
                      <w:spacing w:line="180" w:lineRule="exact" w:before="0"/>
                      <w:ind w:left="0" w:right="0" w:firstLine="0"/>
                      <w:jc w:val="left"/>
                      <w:rPr>
                        <w:rFonts w:ascii="Calibri"/>
                        <w:sz w:val="18"/>
                      </w:rPr>
                    </w:pPr>
                    <w:r>
                      <w:rPr>
                        <w:rFonts w:ascii="Calibri"/>
                        <w:sz w:val="18"/>
                      </w:rPr>
                      <w:t>96% 96%</w:t>
                    </w:r>
                  </w:p>
                </w:txbxContent>
              </v:textbox>
              <w10:wrap type="none"/>
            </v:shape>
            <v:shape style="position:absolute;left:9306;top:565;width:700;height:180" type="#_x0000_t202" filled="false" stroked="false">
              <v:textbox inset="0,0,0,0">
                <w:txbxContent>
                  <w:p>
                    <w:pPr>
                      <w:spacing w:line="180" w:lineRule="exact" w:before="0"/>
                      <w:ind w:left="0" w:right="0" w:firstLine="0"/>
                      <w:jc w:val="left"/>
                      <w:rPr>
                        <w:rFonts w:ascii="Calibri"/>
                        <w:sz w:val="18"/>
                      </w:rPr>
                    </w:pPr>
                    <w:r>
                      <w:rPr>
                        <w:rFonts w:ascii="Calibri"/>
                        <w:sz w:val="18"/>
                      </w:rPr>
                      <w:t>96% 96%</w:t>
                    </w:r>
                  </w:p>
                </w:txbxContent>
              </v:textbox>
              <w10:wrap type="none"/>
            </v:shape>
            <v:shape style="position:absolute;left:5228;top:863;width:332;height:180" type="#_x0000_t202" filled="false" stroked="false">
              <v:textbox inset="0,0,0,0">
                <w:txbxContent>
                  <w:p>
                    <w:pPr>
                      <w:spacing w:line="180" w:lineRule="exact" w:before="0"/>
                      <w:ind w:left="0" w:right="0" w:firstLine="0"/>
                      <w:jc w:val="left"/>
                      <w:rPr>
                        <w:rFonts w:ascii="Calibri"/>
                        <w:sz w:val="18"/>
                      </w:rPr>
                    </w:pPr>
                    <w:r>
                      <w:rPr>
                        <w:rFonts w:ascii="Calibri"/>
                        <w:sz w:val="18"/>
                      </w:rPr>
                      <w:t>94%</w:t>
                    </w:r>
                  </w:p>
                </w:txbxContent>
              </v:textbox>
              <w10:wrap type="none"/>
            </v:shape>
            <v:shape style="position:absolute;left:5964;top:1011;width:332;height:180" type="#_x0000_t202" filled="false" stroked="false">
              <v:textbox inset="0,0,0,0">
                <w:txbxContent>
                  <w:p>
                    <w:pPr>
                      <w:spacing w:line="180" w:lineRule="exact" w:before="0"/>
                      <w:ind w:left="0" w:right="0" w:firstLine="0"/>
                      <w:jc w:val="left"/>
                      <w:rPr>
                        <w:rFonts w:ascii="Calibri"/>
                        <w:sz w:val="18"/>
                      </w:rPr>
                    </w:pPr>
                    <w:r>
                      <w:rPr>
                        <w:rFonts w:ascii="Calibri"/>
                        <w:sz w:val="18"/>
                      </w:rPr>
                      <w:t>93%</w:t>
                    </w:r>
                  </w:p>
                </w:txbxContent>
              </v:textbox>
              <w10:wrap type="none"/>
            </v:shape>
            <v:shape style="position:absolute;left:4860;top:1160;width:332;height:180" type="#_x0000_t202" filled="false" stroked="false">
              <v:textbox inset="0,0,0,0">
                <w:txbxContent>
                  <w:p>
                    <w:pPr>
                      <w:spacing w:line="180" w:lineRule="exact" w:before="0"/>
                      <w:ind w:left="0" w:right="0" w:firstLine="0"/>
                      <w:jc w:val="left"/>
                      <w:rPr>
                        <w:rFonts w:ascii="Calibri"/>
                        <w:sz w:val="18"/>
                      </w:rPr>
                    </w:pPr>
                    <w:r>
                      <w:rPr>
                        <w:rFonts w:ascii="Calibri"/>
                        <w:sz w:val="18"/>
                      </w:rPr>
                      <w:t>92%</w:t>
                    </w:r>
                  </w:p>
                </w:txbxContent>
              </v:textbox>
              <w10:wrap type="none"/>
            </v:shape>
            <v:shape style="position:absolute;left:6332;top:1457;width:332;height:180" type="#_x0000_t202" filled="false" stroked="false">
              <v:textbox inset="0,0,0,0">
                <w:txbxContent>
                  <w:p>
                    <w:pPr>
                      <w:spacing w:line="180" w:lineRule="exact" w:before="0"/>
                      <w:ind w:left="0" w:right="0" w:firstLine="0"/>
                      <w:jc w:val="left"/>
                      <w:rPr>
                        <w:rFonts w:ascii="Calibri"/>
                        <w:sz w:val="18"/>
                      </w:rPr>
                    </w:pPr>
                    <w:r>
                      <w:rPr>
                        <w:rFonts w:ascii="Calibri"/>
                        <w:sz w:val="18"/>
                      </w:rPr>
                      <w:t>90%</w:t>
                    </w:r>
                  </w:p>
                </w:txbxContent>
              </v:textbox>
              <w10:wrap type="none"/>
            </v:shape>
            <v:shape style="position:absolute;left:5596;top:2201;width:332;height:180" type="#_x0000_t202" filled="false" stroked="false">
              <v:textbox inset="0,0,0,0">
                <w:txbxContent>
                  <w:p>
                    <w:pPr>
                      <w:spacing w:line="180" w:lineRule="exact" w:before="0"/>
                      <w:ind w:left="0" w:right="0" w:firstLine="0"/>
                      <w:jc w:val="left"/>
                      <w:rPr>
                        <w:rFonts w:ascii="Calibri"/>
                        <w:sz w:val="18"/>
                      </w:rPr>
                    </w:pPr>
                    <w:r>
                      <w:rPr>
                        <w:rFonts w:ascii="Calibri"/>
                        <w:sz w:val="18"/>
                      </w:rPr>
                      <w:t>85%</w:t>
                    </w:r>
                  </w:p>
                </w:txbxContent>
              </v:textbox>
              <w10:wrap type="none"/>
            </v:shape>
            <v:shape style="position:absolute;left:2254;top:2349;width:332;height:180" type="#_x0000_t202" filled="false" stroked="false">
              <v:textbox inset="0,0,0,0">
                <w:txbxContent>
                  <w:p>
                    <w:pPr>
                      <w:spacing w:line="180" w:lineRule="exact" w:before="0"/>
                      <w:ind w:left="0" w:right="0" w:firstLine="0"/>
                      <w:jc w:val="left"/>
                      <w:rPr>
                        <w:rFonts w:ascii="Calibri"/>
                        <w:sz w:val="18"/>
                      </w:rPr>
                    </w:pPr>
                    <w:r>
                      <w:rPr>
                        <w:rFonts w:ascii="Calibri"/>
                        <w:sz w:val="18"/>
                      </w:rPr>
                      <w:t>84%</w:t>
                    </w:r>
                  </w:p>
                </w:txbxContent>
              </v:textbox>
              <w10:wrap type="none"/>
            </v:shape>
            <w10:wrap type="none"/>
          </v:group>
        </w:pict>
      </w:r>
      <w:r>
        <w:rPr>
          <w:rFonts w:ascii="Calibri"/>
          <w:sz w:val="20"/>
        </w:rPr>
        <w:t>99%</w:t>
      </w: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3"/>
        <w:rPr>
          <w:rFonts w:ascii="Calibri"/>
          <w:sz w:val="25"/>
        </w:rPr>
      </w:pPr>
    </w:p>
    <w:p>
      <w:pPr>
        <w:tabs>
          <w:tab w:pos="3458" w:val="left" w:leader="none"/>
          <w:tab w:pos="5789" w:val="left" w:leader="none"/>
        </w:tabs>
        <w:spacing w:before="59"/>
        <w:ind w:left="239" w:right="0" w:firstLine="0"/>
        <w:jc w:val="center"/>
        <w:rPr>
          <w:rFonts w:ascii="Calibri"/>
          <w:sz w:val="20"/>
        </w:rPr>
      </w:pPr>
      <w:r>
        <w:rPr>
          <w:rFonts w:ascii="Calibri"/>
          <w:sz w:val="20"/>
        </w:rPr>
        <w:t>Disbursement</w:t>
        <w:tab/>
        <w:t>Medical</w:t>
        <w:tab/>
        <w:t>Review and</w:t>
      </w:r>
      <w:r>
        <w:rPr>
          <w:rFonts w:ascii="Calibri"/>
          <w:spacing w:val="-1"/>
          <w:sz w:val="20"/>
        </w:rPr>
        <w:t> </w:t>
      </w:r>
      <w:r>
        <w:rPr>
          <w:rFonts w:ascii="Calibri"/>
          <w:sz w:val="20"/>
        </w:rPr>
        <w:t>Adjustment</w:t>
      </w:r>
    </w:p>
    <w:p>
      <w:pPr>
        <w:pStyle w:val="BodyText"/>
        <w:spacing w:before="4"/>
        <w:rPr>
          <w:rFonts w:ascii="Calibri"/>
          <w:sz w:val="21"/>
        </w:rPr>
      </w:pPr>
    </w:p>
    <w:p>
      <w:pPr>
        <w:tabs>
          <w:tab w:pos="809" w:val="left" w:leader="none"/>
          <w:tab w:pos="1544" w:val="left" w:leader="none"/>
          <w:tab w:pos="2278" w:val="left" w:leader="none"/>
          <w:tab w:pos="3013" w:val="left" w:leader="none"/>
          <w:tab w:pos="3748" w:val="left" w:leader="none"/>
          <w:tab w:pos="4482" w:val="left" w:leader="none"/>
        </w:tabs>
        <w:spacing w:before="59"/>
        <w:ind w:left="74" w:right="0" w:firstLine="0"/>
        <w:jc w:val="center"/>
        <w:rPr>
          <w:rFonts w:ascii="Calibri"/>
          <w:sz w:val="20"/>
        </w:rPr>
      </w:pPr>
      <w:r>
        <w:rPr/>
        <w:pict>
          <v:rect style="position:absolute;margin-left:183.656006pt;margin-top:6.898671pt;width:5.492pt;height:5.492pt;mso-position-horizontal-relative:page;mso-position-vertical-relative:paragraph;z-index:251731968" filled="true" fillcolor="#4571a7" stroked="false">
            <v:fill type="solid"/>
            <w10:wrap type="none"/>
          </v:rect>
        </w:pict>
      </w:r>
      <w:r>
        <w:rPr/>
        <w:pict>
          <v:rect style="position:absolute;margin-left:220.391998pt;margin-top:6.898671pt;width:5.492pt;height:5.492pt;mso-position-horizontal-relative:page;mso-position-vertical-relative:paragraph;z-index:-253343744" filled="true" fillcolor="#aa4643" stroked="false">
            <v:fill type="solid"/>
            <w10:wrap type="none"/>
          </v:rect>
        </w:pict>
      </w:r>
      <w:r>
        <w:rPr/>
        <w:pict>
          <v:rect style="position:absolute;margin-left:257.127991pt;margin-top:6.898671pt;width:5.492pt;height:5.492pt;mso-position-horizontal-relative:page;mso-position-vertical-relative:paragraph;z-index:-253342720" filled="true" fillcolor="#88a44e" stroked="false">
            <v:fill type="solid"/>
            <w10:wrap type="none"/>
          </v:rect>
        </w:pict>
      </w:r>
      <w:r>
        <w:rPr/>
        <w:pict>
          <v:rect style="position:absolute;margin-left:293.863007pt;margin-top:6.898671pt;width:5.492pt;height:5.492pt;mso-position-horizontal-relative:page;mso-position-vertical-relative:paragraph;z-index:-253341696" filled="true" fillcolor="#70578f" stroked="false">
            <v:fill type="solid"/>
            <w10:wrap type="none"/>
          </v:rect>
        </w:pict>
      </w:r>
      <w:r>
        <w:rPr/>
        <w:pict>
          <v:rect style="position:absolute;margin-left:330.598999pt;margin-top:6.898671pt;width:5.492pt;height:5.492pt;mso-position-horizontal-relative:page;mso-position-vertical-relative:paragraph;z-index:-253340672" filled="true" fillcolor="#4197ae" stroked="false">
            <v:fill type="solid"/>
            <w10:wrap type="none"/>
          </v:rect>
        </w:pict>
      </w:r>
      <w:r>
        <w:rPr/>
        <w:pict>
          <v:rect style="position:absolute;margin-left:367.334991pt;margin-top:6.898671pt;width:5.492pt;height:5.492pt;mso-position-horizontal-relative:page;mso-position-vertical-relative:paragraph;z-index:-253339648" filled="true" fillcolor="#db843c" stroked="false">
            <v:fill type="solid"/>
            <w10:wrap type="none"/>
          </v:rect>
        </w:pict>
      </w:r>
      <w:r>
        <w:rPr/>
        <w:pict>
          <v:rect style="position:absolute;margin-left:404.070007pt;margin-top:6.898671pt;width:5.492pt;height:5.492pt;mso-position-horizontal-relative:page;mso-position-vertical-relative:paragraph;z-index:-253338624" filled="true" fillcolor="#92a9cf" stroked="false">
            <v:fill type="solid"/>
            <w10:wrap type="none"/>
          </v:rect>
        </w:pict>
      </w:r>
      <w:r>
        <w:rPr>
          <w:rFonts w:ascii="Calibri"/>
          <w:sz w:val="20"/>
        </w:rPr>
        <w:t>2003</w:t>
        <w:tab/>
        <w:t>2004</w:t>
        <w:tab/>
        <w:t>2005</w:t>
        <w:tab/>
        <w:t>2006</w:t>
        <w:tab/>
        <w:t>2007</w:t>
        <w:tab/>
        <w:t>2008</w:t>
        <w:tab/>
        <w:t>2009</w:t>
      </w:r>
    </w:p>
    <w:p>
      <w:pPr>
        <w:pStyle w:val="BodyText"/>
        <w:rPr>
          <w:rFonts w:ascii="Calibri"/>
          <w:sz w:val="20"/>
        </w:rPr>
      </w:pPr>
    </w:p>
    <w:p>
      <w:pPr>
        <w:pStyle w:val="BodyText"/>
        <w:spacing w:before="9"/>
        <w:rPr>
          <w:rFonts w:ascii="Calibri"/>
          <w:sz w:val="25"/>
        </w:rPr>
      </w:pPr>
    </w:p>
    <w:p>
      <w:pPr>
        <w:pStyle w:val="Heading1"/>
        <w:ind w:right="78"/>
      </w:pPr>
      <w:r>
        <w:rPr/>
        <w:t>Program Compliance by Year</w:t>
      </w:r>
    </w:p>
    <w:p>
      <w:pPr>
        <w:pStyle w:val="BodyText"/>
        <w:rPr>
          <w:rFonts w:ascii="Calibri"/>
          <w:b/>
          <w:sz w:val="20"/>
        </w:rPr>
      </w:pPr>
    </w:p>
    <w:p>
      <w:pPr>
        <w:pStyle w:val="BodyText"/>
        <w:spacing w:before="6"/>
        <w:rPr>
          <w:rFonts w:ascii="Calibri"/>
          <w:b/>
          <w:sz w:val="25"/>
        </w:rPr>
      </w:pPr>
      <w:r>
        <w:rPr/>
        <w:pict>
          <v:group style="position:absolute;margin-left:83.529602pt;margin-top:17.528244pt;width:446.95pt;height:189.3pt;mso-position-horizontal-relative:page;mso-position-vertical-relative:paragraph;z-index:-251601920;mso-wrap-distance-left:0;mso-wrap-distance-right:0" coordorigin="1671,351" coordsize="8939,3786">
            <v:rect style="position:absolute;left:7852;top:713;width:300;height:3360" filled="true" fillcolor="#4571a7" stroked="false">
              <v:fill type="solid"/>
            </v:rect>
            <v:rect style="position:absolute;left:8222;top:746;width:303;height:3326" filled="true" fillcolor="#aa4643" stroked="false">
              <v:fill type="solid"/>
            </v:rect>
            <v:rect style="position:absolute;left:8594;top:713;width:300;height:3360" filled="true" fillcolor="#88a44e" stroked="false">
              <v:fill type="solid"/>
            </v:rect>
            <v:rect style="position:absolute;left:8964;top:679;width:300;height:3394" filled="true" fillcolor="#70578f" stroked="false">
              <v:fill type="solid"/>
            </v:rect>
            <v:rect style="position:absolute;left:9333;top:679;width:303;height:3394" filled="true" fillcolor="#4197ae" stroked="false">
              <v:fill type="solid"/>
            </v:rect>
            <v:rect style="position:absolute;left:9705;top:679;width:300;height:3394" filled="true" fillcolor="#db843c" stroked="false">
              <v:fill type="solid"/>
            </v:rect>
            <v:rect style="position:absolute;left:10075;top:643;width:300;height:3430" filled="true" fillcolor="#92a9cf" stroked="false">
              <v:fill type="solid"/>
            </v:rect>
            <v:rect style="position:absolute;left:1903;top:816;width:303;height:3257" filled="true" fillcolor="#4571a7" stroked="false">
              <v:fill type="solid"/>
            </v:rect>
            <v:rect style="position:absolute;left:2275;top:816;width:300;height:3257" filled="true" fillcolor="#aa4643" stroked="false">
              <v:fill type="solid"/>
            </v:rect>
            <v:rect style="position:absolute;left:2644;top:849;width:300;height:3223" filled="true" fillcolor="#88a44e" stroked="false">
              <v:fill type="solid"/>
            </v:rect>
            <v:rect style="position:absolute;left:3014;top:713;width:303;height:3360" filled="true" fillcolor="#70578f" stroked="false">
              <v:fill type="solid"/>
            </v:rect>
            <v:rect style="position:absolute;left:3384;top:1022;width:303;height:3050" filled="true" fillcolor="#4197ae" stroked="false">
              <v:fill type="solid"/>
            </v:rect>
            <v:rect style="position:absolute;left:3756;top:782;width:300;height:3290" filled="true" fillcolor="#db843c" stroked="false">
              <v:fill type="solid"/>
            </v:rect>
            <v:rect style="position:absolute;left:4125;top:883;width:300;height:3190" filled="true" fillcolor="#92a9cf" stroked="false">
              <v:fill type="solid"/>
            </v:rect>
            <v:rect style="position:absolute;left:4879;top:953;width:300;height:3120" filled="true" fillcolor="#4571a7" stroked="false">
              <v:fill type="solid"/>
            </v:rect>
            <v:rect style="position:absolute;left:5248;top:1466;width:300;height:2606" filled="true" fillcolor="#aa4643" stroked="false">
              <v:fill type="solid"/>
            </v:rect>
            <v:rect style="position:absolute;left:5618;top:1399;width:303;height:2674" filled="true" fillcolor="#88a44e" stroked="false">
              <v:fill type="solid"/>
            </v:rect>
            <v:rect style="position:absolute;left:5990;top:1159;width:300;height:2914" filled="true" fillcolor="#70578f" stroked="false">
              <v:fill type="solid"/>
            </v:rect>
            <v:rect style="position:absolute;left:6360;top:1296;width:300;height:2777" filled="true" fillcolor="#4197ae" stroked="false">
              <v:fill type="solid"/>
            </v:rect>
            <v:rect style="position:absolute;left:6729;top:1022;width:303;height:3050" filled="true" fillcolor="#db843c" stroked="false">
              <v:fill type="solid"/>
            </v:rect>
            <v:rect style="position:absolute;left:7099;top:1022;width:303;height:3050" filled="true" fillcolor="#92a9cf" stroked="false">
              <v:fill type="solid"/>
            </v:rect>
            <v:line style="position:absolute" from="1678,4073" to="10602,4073" stroked="true" strokeweight=".75pt" strokecolor="#858585">
              <v:stroke dashstyle="solid"/>
            </v:line>
            <v:line style="position:absolute" from="1678,4073" to="1678,4136" stroked="true" strokeweight=".75pt" strokecolor="#858585">
              <v:stroke dashstyle="solid"/>
            </v:line>
            <v:line style="position:absolute" from="4654,4073" to="4654,4136" stroked="true" strokeweight=".75pt" strokecolor="#858585">
              <v:stroke dashstyle="solid"/>
            </v:line>
            <v:line style="position:absolute" from="7627,4073" to="7627,4136" stroked="true" strokeweight=".75pt" strokecolor="#858585">
              <v:stroke dashstyle="solid"/>
            </v:line>
            <v:line style="position:absolute" from="10602,4073" to="10602,4136" stroked="true" strokeweight=".75pt" strokecolor="#858585">
              <v:stroke dashstyle="solid"/>
            </v:line>
            <v:shape style="position:absolute;left:1898;top:541;width:702;height:180" type="#_x0000_t202" filled="false" stroked="false">
              <v:textbox inset="0,0,0,0">
                <w:txbxContent>
                  <w:p>
                    <w:pPr>
                      <w:spacing w:line="180" w:lineRule="exact" w:before="0"/>
                      <w:ind w:left="0" w:right="0" w:firstLine="0"/>
                      <w:jc w:val="left"/>
                      <w:rPr>
                        <w:rFonts w:ascii="Calibri"/>
                        <w:sz w:val="18"/>
                      </w:rPr>
                    </w:pPr>
                    <w:r>
                      <w:rPr>
                        <w:rFonts w:ascii="Calibri"/>
                        <w:sz w:val="18"/>
                      </w:rPr>
                      <w:t>95% 95%</w:t>
                    </w:r>
                  </w:p>
                </w:txbxContent>
              </v:textbox>
              <w10:wrap type="none"/>
            </v:shape>
            <v:shape style="position:absolute;left:2639;top:576;width:332;height:180" type="#_x0000_t202" filled="false" stroked="false">
              <v:textbox inset="0,0,0,0">
                <w:txbxContent>
                  <w:p>
                    <w:pPr>
                      <w:spacing w:line="180" w:lineRule="exact" w:before="0"/>
                      <w:ind w:left="0" w:right="0" w:firstLine="0"/>
                      <w:jc w:val="left"/>
                      <w:rPr>
                        <w:rFonts w:ascii="Calibri"/>
                        <w:sz w:val="18"/>
                      </w:rPr>
                    </w:pPr>
                    <w:r>
                      <w:rPr>
                        <w:rFonts w:ascii="Calibri"/>
                        <w:sz w:val="18"/>
                      </w:rPr>
                      <w:t>94%</w:t>
                    </w:r>
                  </w:p>
                </w:txbxContent>
              </v:textbox>
              <w10:wrap type="none"/>
            </v:shape>
            <v:shape style="position:absolute;left:3009;top:438;width:332;height:180" type="#_x0000_t202" filled="false" stroked="false">
              <v:textbox inset="0,0,0,0">
                <w:txbxContent>
                  <w:p>
                    <w:pPr>
                      <w:spacing w:line="180" w:lineRule="exact" w:before="0"/>
                      <w:ind w:left="0" w:right="0" w:firstLine="0"/>
                      <w:jc w:val="left"/>
                      <w:rPr>
                        <w:rFonts w:ascii="Calibri"/>
                        <w:sz w:val="18"/>
                      </w:rPr>
                    </w:pPr>
                    <w:r>
                      <w:rPr>
                        <w:rFonts w:ascii="Calibri"/>
                        <w:sz w:val="18"/>
                      </w:rPr>
                      <w:t>98%</w:t>
                    </w:r>
                  </w:p>
                </w:txbxContent>
              </v:textbox>
              <w10:wrap type="none"/>
            </v:shape>
            <v:shape style="position:absolute;left:3749;top:507;width:332;height:180" type="#_x0000_t202" filled="false" stroked="false">
              <v:textbox inset="0,0,0,0">
                <w:txbxContent>
                  <w:p>
                    <w:pPr>
                      <w:spacing w:line="180" w:lineRule="exact" w:before="0"/>
                      <w:ind w:left="0" w:right="0" w:firstLine="0"/>
                      <w:jc w:val="left"/>
                      <w:rPr>
                        <w:rFonts w:ascii="Calibri"/>
                        <w:sz w:val="18"/>
                      </w:rPr>
                    </w:pPr>
                    <w:r>
                      <w:rPr>
                        <w:rFonts w:ascii="Calibri"/>
                        <w:sz w:val="18"/>
                      </w:rPr>
                      <w:t>96%</w:t>
                    </w:r>
                  </w:p>
                </w:txbxContent>
              </v:textbox>
              <w10:wrap type="none"/>
            </v:shape>
            <v:shape style="position:absolute;left:3379;top:747;width:332;height:180" type="#_x0000_t202" filled="false" stroked="false">
              <v:textbox inset="0,0,0,0">
                <w:txbxContent>
                  <w:p>
                    <w:pPr>
                      <w:spacing w:line="180" w:lineRule="exact" w:before="0"/>
                      <w:ind w:left="0" w:right="0" w:firstLine="0"/>
                      <w:jc w:val="left"/>
                      <w:rPr>
                        <w:rFonts w:ascii="Calibri"/>
                        <w:sz w:val="18"/>
                      </w:rPr>
                    </w:pPr>
                    <w:r>
                      <w:rPr>
                        <w:rFonts w:ascii="Calibri"/>
                        <w:sz w:val="18"/>
                      </w:rPr>
                      <w:t>89%</w:t>
                    </w:r>
                  </w:p>
                </w:txbxContent>
              </v:textbox>
              <w10:wrap type="none"/>
            </v:shape>
            <v:shape style="position:absolute;left:4103;top:590;width:364;height:200" type="#_x0000_t202" filled="false" stroked="false">
              <v:textbox inset="0,0,0,0">
                <w:txbxContent>
                  <w:p>
                    <w:pPr>
                      <w:spacing w:line="199" w:lineRule="exact" w:before="0"/>
                      <w:ind w:left="0" w:right="0" w:firstLine="0"/>
                      <w:jc w:val="left"/>
                      <w:rPr>
                        <w:rFonts w:ascii="Calibri"/>
                        <w:sz w:val="20"/>
                      </w:rPr>
                    </w:pPr>
                    <w:r>
                      <w:rPr>
                        <w:rFonts w:ascii="Calibri"/>
                        <w:sz w:val="20"/>
                      </w:rPr>
                      <w:t>93%</w:t>
                    </w:r>
                  </w:p>
                </w:txbxContent>
              </v:textbox>
              <w10:wrap type="none"/>
            </v:shape>
            <v:shape style="position:absolute;left:7847;top:350;width:2620;height:303" type="#_x0000_t202" filled="false" stroked="false">
              <v:textbox inset="0,0,0,0">
                <w:txbxContent>
                  <w:p>
                    <w:pPr>
                      <w:spacing w:line="228" w:lineRule="auto" w:before="0"/>
                      <w:ind w:left="0" w:right="0" w:firstLine="0"/>
                      <w:jc w:val="left"/>
                      <w:rPr>
                        <w:rFonts w:ascii="Calibri"/>
                        <w:sz w:val="20"/>
                      </w:rPr>
                    </w:pPr>
                    <w:r>
                      <w:rPr>
                        <w:rFonts w:ascii="Calibri"/>
                        <w:position w:val="-2"/>
                        <w:sz w:val="18"/>
                      </w:rPr>
                      <w:t>98% </w:t>
                    </w:r>
                    <w:r>
                      <w:rPr>
                        <w:rFonts w:ascii="Calibri"/>
                        <w:position w:val="-6"/>
                        <w:sz w:val="18"/>
                      </w:rPr>
                      <w:t>97% </w:t>
                    </w:r>
                    <w:r>
                      <w:rPr>
                        <w:rFonts w:ascii="Calibri"/>
                        <w:position w:val="-2"/>
                        <w:sz w:val="18"/>
                      </w:rPr>
                      <w:t>98% </w:t>
                    </w:r>
                    <w:r>
                      <w:rPr>
                        <w:rFonts w:ascii="Calibri"/>
                        <w:sz w:val="18"/>
                      </w:rPr>
                      <w:t>99% 99% 99%</w:t>
                    </w:r>
                    <w:r>
                      <w:rPr>
                        <w:rFonts w:ascii="Calibri"/>
                        <w:position w:val="4"/>
                        <w:sz w:val="20"/>
                      </w:rPr>
                      <w:t>100%</w:t>
                    </w:r>
                  </w:p>
                </w:txbxContent>
              </v:textbox>
              <w10:wrap type="none"/>
            </v:shape>
            <v:shape style="position:absolute;left:4872;top:678;width:332;height:180" type="#_x0000_t202" filled="false" stroked="false">
              <v:textbox inset="0,0,0,0">
                <w:txbxContent>
                  <w:p>
                    <w:pPr>
                      <w:spacing w:line="180" w:lineRule="exact" w:before="0"/>
                      <w:ind w:left="0" w:right="0" w:firstLine="0"/>
                      <w:jc w:val="left"/>
                      <w:rPr>
                        <w:rFonts w:ascii="Calibri"/>
                        <w:sz w:val="18"/>
                      </w:rPr>
                    </w:pPr>
                    <w:r>
                      <w:rPr>
                        <w:rFonts w:ascii="Calibri"/>
                        <w:sz w:val="18"/>
                      </w:rPr>
                      <w:t>91%</w:t>
                    </w:r>
                  </w:p>
                </w:txbxContent>
              </v:textbox>
              <w10:wrap type="none"/>
            </v:shape>
            <v:shape style="position:absolute;left:5983;top:884;width:332;height:180" type="#_x0000_t202" filled="false" stroked="false">
              <v:textbox inset="0,0,0,0">
                <w:txbxContent>
                  <w:p>
                    <w:pPr>
                      <w:spacing w:line="180" w:lineRule="exact" w:before="0"/>
                      <w:ind w:left="0" w:right="0" w:firstLine="0"/>
                      <w:jc w:val="left"/>
                      <w:rPr>
                        <w:rFonts w:ascii="Calibri"/>
                        <w:sz w:val="18"/>
                      </w:rPr>
                    </w:pPr>
                    <w:r>
                      <w:rPr>
                        <w:rFonts w:ascii="Calibri"/>
                        <w:sz w:val="18"/>
                      </w:rPr>
                      <w:t>85%</w:t>
                    </w:r>
                  </w:p>
                </w:txbxContent>
              </v:textbox>
              <w10:wrap type="none"/>
            </v:shape>
            <v:shape style="position:absolute;left:6724;top:727;width:718;height:200" type="#_x0000_t202" filled="false" stroked="false">
              <v:textbox inset="0,0,0,0">
                <w:txbxContent>
                  <w:p>
                    <w:pPr>
                      <w:spacing w:line="200" w:lineRule="exact" w:before="0"/>
                      <w:ind w:left="0" w:right="0" w:firstLine="0"/>
                      <w:jc w:val="left"/>
                      <w:rPr>
                        <w:rFonts w:ascii="Calibri"/>
                        <w:sz w:val="20"/>
                      </w:rPr>
                    </w:pPr>
                    <w:r>
                      <w:rPr>
                        <w:rFonts w:ascii="Calibri"/>
                        <w:sz w:val="18"/>
                      </w:rPr>
                      <w:t>89% </w:t>
                    </w:r>
                    <w:r>
                      <w:rPr>
                        <w:rFonts w:ascii="Calibri"/>
                        <w:position w:val="1"/>
                        <w:sz w:val="20"/>
                      </w:rPr>
                      <w:t>89%</w:t>
                    </w:r>
                  </w:p>
                </w:txbxContent>
              </v:textbox>
              <w10:wrap type="none"/>
            </v:shape>
            <v:shape style="position:absolute;left:5243;top:1124;width:702;height:249" type="#_x0000_t202" filled="false" stroked="false">
              <v:textbox inset="0,0,0,0">
                <w:txbxContent>
                  <w:p>
                    <w:pPr>
                      <w:spacing w:line="187" w:lineRule="auto" w:before="0"/>
                      <w:ind w:left="0" w:right="0" w:firstLine="0"/>
                      <w:jc w:val="left"/>
                      <w:rPr>
                        <w:rFonts w:ascii="Calibri"/>
                        <w:sz w:val="18"/>
                      </w:rPr>
                    </w:pPr>
                    <w:r>
                      <w:rPr>
                        <w:rFonts w:ascii="Calibri"/>
                        <w:position w:val="-6"/>
                        <w:sz w:val="18"/>
                      </w:rPr>
                      <w:t>76% </w:t>
                    </w:r>
                    <w:r>
                      <w:rPr>
                        <w:rFonts w:ascii="Calibri"/>
                        <w:sz w:val="18"/>
                      </w:rPr>
                      <w:t>78%</w:t>
                    </w:r>
                  </w:p>
                </w:txbxContent>
              </v:textbox>
              <w10:wrap type="none"/>
            </v:shape>
            <v:shape style="position:absolute;left:6354;top:1021;width:332;height:180" type="#_x0000_t202" filled="false" stroked="false">
              <v:textbox inset="0,0,0,0">
                <w:txbxContent>
                  <w:p>
                    <w:pPr>
                      <w:spacing w:line="180" w:lineRule="exact" w:before="0"/>
                      <w:ind w:left="0" w:right="0" w:firstLine="0"/>
                      <w:jc w:val="left"/>
                      <w:rPr>
                        <w:rFonts w:ascii="Calibri"/>
                        <w:sz w:val="18"/>
                      </w:rPr>
                    </w:pPr>
                    <w:r>
                      <w:rPr>
                        <w:rFonts w:ascii="Calibri"/>
                        <w:sz w:val="18"/>
                      </w:rPr>
                      <w:t>81%</w:t>
                    </w:r>
                  </w:p>
                </w:txbxContent>
              </v:textbox>
              <w10:wrap type="none"/>
            </v:shape>
            <w10:wrap type="topAndBottom"/>
          </v:group>
        </w:pict>
      </w:r>
    </w:p>
    <w:p>
      <w:pPr>
        <w:tabs>
          <w:tab w:pos="2984" w:val="left" w:leader="none"/>
          <w:tab w:pos="5930" w:val="left" w:leader="none"/>
        </w:tabs>
        <w:spacing w:before="25"/>
        <w:ind w:left="0" w:right="100" w:firstLine="0"/>
        <w:jc w:val="center"/>
        <w:rPr>
          <w:rFonts w:ascii="Calibri"/>
          <w:sz w:val="20"/>
        </w:rPr>
      </w:pPr>
      <w:r>
        <w:rPr>
          <w:rFonts w:ascii="Calibri"/>
          <w:sz w:val="20"/>
        </w:rPr>
        <w:t>Interstate</w:t>
        <w:tab/>
        <w:t>EP</w:t>
      </w:r>
      <w:r>
        <w:rPr>
          <w:rFonts w:ascii="Calibri"/>
          <w:spacing w:val="-1"/>
          <w:sz w:val="20"/>
        </w:rPr>
        <w:t> </w:t>
      </w:r>
      <w:r>
        <w:rPr>
          <w:rFonts w:ascii="Calibri"/>
          <w:sz w:val="20"/>
        </w:rPr>
        <w:t>(6</w:t>
      </w:r>
      <w:r>
        <w:rPr>
          <w:rFonts w:ascii="Calibri"/>
          <w:spacing w:val="-1"/>
          <w:sz w:val="20"/>
        </w:rPr>
        <w:t> </w:t>
      </w:r>
      <w:r>
        <w:rPr>
          <w:rFonts w:ascii="Calibri"/>
          <w:sz w:val="20"/>
        </w:rPr>
        <w:t>mo)</w:t>
        <w:tab/>
        <w:t>EP (12mo)</w:t>
      </w:r>
    </w:p>
    <w:p>
      <w:pPr>
        <w:pStyle w:val="BodyText"/>
        <w:spacing w:before="9"/>
        <w:rPr>
          <w:rFonts w:ascii="Calibri"/>
          <w:sz w:val="18"/>
        </w:rPr>
      </w:pPr>
    </w:p>
    <w:p>
      <w:pPr>
        <w:tabs>
          <w:tab w:pos="809" w:val="left" w:leader="none"/>
          <w:tab w:pos="1544" w:val="left" w:leader="none"/>
          <w:tab w:pos="2278" w:val="left" w:leader="none"/>
          <w:tab w:pos="3013" w:val="left" w:leader="none"/>
          <w:tab w:pos="3748" w:val="left" w:leader="none"/>
          <w:tab w:pos="4482" w:val="left" w:leader="none"/>
        </w:tabs>
        <w:spacing w:before="59"/>
        <w:ind w:left="74" w:right="0" w:firstLine="0"/>
        <w:jc w:val="center"/>
        <w:rPr>
          <w:rFonts w:ascii="Calibri"/>
          <w:sz w:val="20"/>
        </w:rPr>
      </w:pPr>
      <w:r>
        <w:rPr/>
        <w:pict>
          <v:rect style="position:absolute;margin-left:183.656006pt;margin-top:6.899086pt;width:5.492pt;height:5.492pt;mso-position-horizontal-relative:page;mso-position-vertical-relative:paragraph;z-index:251739136" filled="true" fillcolor="#4571a7" stroked="false">
            <v:fill type="solid"/>
            <w10:wrap type="none"/>
          </v:rect>
        </w:pict>
      </w:r>
      <w:r>
        <w:rPr/>
        <w:pict>
          <v:rect style="position:absolute;margin-left:220.391998pt;margin-top:6.899086pt;width:5.492pt;height:5.492pt;mso-position-horizontal-relative:page;mso-position-vertical-relative:paragraph;z-index:-253336576" filled="true" fillcolor="#aa4643" stroked="false">
            <v:fill type="solid"/>
            <w10:wrap type="none"/>
          </v:rect>
        </w:pict>
      </w:r>
      <w:r>
        <w:rPr/>
        <w:pict>
          <v:rect style="position:absolute;margin-left:257.127991pt;margin-top:6.899086pt;width:5.492pt;height:5.492pt;mso-position-horizontal-relative:page;mso-position-vertical-relative:paragraph;z-index:-253335552" filled="true" fillcolor="#88a44e" stroked="false">
            <v:fill type="solid"/>
            <w10:wrap type="none"/>
          </v:rect>
        </w:pict>
      </w:r>
      <w:r>
        <w:rPr/>
        <w:pict>
          <v:rect style="position:absolute;margin-left:293.863007pt;margin-top:6.899086pt;width:5.492pt;height:5.492pt;mso-position-horizontal-relative:page;mso-position-vertical-relative:paragraph;z-index:-253334528" filled="true" fillcolor="#70578f" stroked="false">
            <v:fill type="solid"/>
            <w10:wrap type="none"/>
          </v:rect>
        </w:pict>
      </w:r>
      <w:r>
        <w:rPr/>
        <w:pict>
          <v:rect style="position:absolute;margin-left:330.598999pt;margin-top:6.899086pt;width:5.492pt;height:5.492pt;mso-position-horizontal-relative:page;mso-position-vertical-relative:paragraph;z-index:-253333504" filled="true" fillcolor="#4197ae" stroked="false">
            <v:fill type="solid"/>
            <w10:wrap type="none"/>
          </v:rect>
        </w:pict>
      </w:r>
      <w:r>
        <w:rPr/>
        <w:pict>
          <v:rect style="position:absolute;margin-left:367.334991pt;margin-top:6.899086pt;width:5.492pt;height:5.492pt;mso-position-horizontal-relative:page;mso-position-vertical-relative:paragraph;z-index:-253332480" filled="true" fillcolor="#db843c" stroked="false">
            <v:fill type="solid"/>
            <w10:wrap type="none"/>
          </v:rect>
        </w:pict>
      </w:r>
      <w:r>
        <w:rPr/>
        <w:pict>
          <v:rect style="position:absolute;margin-left:404.070007pt;margin-top:6.899086pt;width:5.492pt;height:5.492pt;mso-position-horizontal-relative:page;mso-position-vertical-relative:paragraph;z-index:-253331456" filled="true" fillcolor="#92a9cf" stroked="false">
            <v:fill type="solid"/>
            <w10:wrap type="none"/>
          </v:rect>
        </w:pict>
      </w:r>
      <w:r>
        <w:rPr>
          <w:rFonts w:ascii="Calibri"/>
          <w:sz w:val="20"/>
        </w:rPr>
        <w:t>2003</w:t>
        <w:tab/>
        <w:t>2004</w:t>
        <w:tab/>
        <w:t>2005</w:t>
        <w:tab/>
        <w:t>2006</w:t>
        <w:tab/>
        <w:t>2007</w:t>
        <w:tab/>
        <w:t>2008</w:t>
        <w:tab/>
        <w:t>2009</w:t>
      </w:r>
    </w:p>
    <w:p>
      <w:pPr>
        <w:spacing w:after="0"/>
        <w:jc w:val="center"/>
        <w:rPr>
          <w:rFonts w:ascii="Calibri"/>
          <w:sz w:val="20"/>
        </w:rPr>
        <w:sectPr>
          <w:pgSz w:w="12240" w:h="15840"/>
          <w:pgMar w:header="718" w:footer="1038" w:top="1340" w:bottom="1220" w:left="880" w:right="720"/>
        </w:sectPr>
      </w:pPr>
    </w:p>
    <w:p>
      <w:pPr>
        <w:pStyle w:val="BodyText"/>
        <w:spacing w:before="11"/>
        <w:rPr>
          <w:rFonts w:ascii="Calibri"/>
          <w:sz w:val="23"/>
        </w:rPr>
      </w:pPr>
    </w:p>
    <w:p>
      <w:pPr>
        <w:pStyle w:val="BodyText"/>
        <w:spacing w:before="91"/>
        <w:ind w:left="560"/>
      </w:pPr>
      <w:r>
        <w:rPr/>
        <w:t>ESA/OS Audit Team:</w:t>
      </w:r>
    </w:p>
    <w:p>
      <w:pPr>
        <w:pStyle w:val="BodyText"/>
      </w:pPr>
    </w:p>
    <w:p>
      <w:pPr>
        <w:pStyle w:val="BodyText"/>
        <w:ind w:left="559" w:right="8168"/>
      </w:pPr>
      <w:r>
        <w:rPr/>
        <w:t>Bryan Enlow Dean Learn Louise Munson Theresa Murphy Greg Sauser Christine Servin</w:t>
      </w:r>
    </w:p>
    <w:p>
      <w:pPr>
        <w:pStyle w:val="BodyText"/>
        <w:spacing w:before="4"/>
      </w:pPr>
    </w:p>
    <w:p>
      <w:pPr>
        <w:pStyle w:val="BodyText"/>
        <w:spacing w:line="235" w:lineRule="auto" w:before="1"/>
        <w:ind w:left="559" w:right="926"/>
      </w:pPr>
      <w:r>
        <w:rPr/>
        <w:t>If you have any questions regarding this report, please contact Theresa Murphy at (360) 664-5352, or by e-mail at </w:t>
      </w:r>
      <w:hyperlink r:id="rId29">
        <w:r>
          <w:rPr>
            <w:rFonts w:ascii="Times New Roman"/>
            <w:color w:val="0000FF"/>
            <w:u w:val="single" w:color="0000FF"/>
          </w:rPr>
          <w:t>tmurphy@dshs.wa.gov</w:t>
        </w:r>
      </w:hyperlink>
      <w:r>
        <w:rPr/>
        <w:t>.</w:t>
      </w:r>
    </w:p>
    <w:sectPr>
      <w:pgSz w:w="12240" w:h="15840"/>
      <w:pgMar w:header="718" w:footer="1038" w:top="1340" w:bottom="1220" w:left="8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Arial">
    <w:altName w:val="Arial"/>
    <w:charset w:val="0"/>
    <w:family w:val="swiss"/>
    <w:pitch w:val="variable"/>
  </w:font>
  <w:font w:name="Calibri">
    <w:altName w:val="Calibri"/>
    <w:charset w:val="0"/>
    <w:family w:val="swiss"/>
    <w:pitch w:val="variable"/>
  </w:font>
  <w:font w:name="Footlight MT Light">
    <w:altName w:val="Footlight MT Light"/>
    <w:charset w:val="0"/>
    <w:family w:val="roman"/>
    <w:pitch w:val="variable"/>
  </w:font>
  <w:font w:name="Cambria">
    <w:altName w:val="Cambria"/>
    <w:charset w:val="0"/>
    <w:family w:val="roman"/>
    <w:pitch w:val="variable"/>
  </w:font>
  <w:font w:name="Arial Narrow">
    <w:altName w:val="Arial Narrow"/>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70.559998pt;margin-top:726.119995pt;width:470.9pt;height:4.45pt;mso-position-horizontal-relative:page;mso-position-vertical-relative:page;z-index:-253416448" coordorigin="1411,14522" coordsize="9418,89">
          <v:line style="position:absolute" from="1411,14552" to="10829,14552" stroked="true" strokeweight="3.0pt" strokecolor="#612322">
            <v:stroke dashstyle="solid"/>
          </v:line>
          <v:line style="position:absolute" from="1411,14604" to="10829,14604" stroked="true" strokeweight=".72pt" strokecolor="#612322">
            <v:stroke dashstyle="solid"/>
          </v:line>
          <w10:wrap type="none"/>
        </v:group>
      </w:pict>
    </w:r>
    <w:r>
      <w:rPr/>
      <w:pict>
        <v:shape style="position:absolute;margin-left:71pt;margin-top:730.45343pt;width:112.05pt;height:15.8pt;mso-position-horizontal-relative:page;mso-position-vertical-relative:page;z-index:-253415424" type="#_x0000_t202" filled="false" stroked="false">
          <v:textbox inset="0,0,0,0">
            <w:txbxContent>
              <w:p>
                <w:pPr>
                  <w:spacing w:before="19"/>
                  <w:ind w:left="20" w:right="0" w:firstLine="0"/>
                  <w:jc w:val="left"/>
                  <w:rPr>
                    <w:rFonts w:ascii="Arial Narrow"/>
                    <w:sz w:val="24"/>
                  </w:rPr>
                </w:pPr>
                <w:r>
                  <w:rPr>
                    <w:rFonts w:ascii="Arial Narrow"/>
                    <w:sz w:val="24"/>
                  </w:rPr>
                  <w:t>Federal Self-Assessment</w:t>
                </w:r>
              </w:p>
            </w:txbxContent>
          </v:textbox>
          <w10:wrap type="none"/>
        </v:shape>
      </w:pict>
    </w:r>
    <w:r>
      <w:rPr/>
      <w:pict>
        <v:shape style="position:absolute;margin-left:502.279999pt;margin-top:730.45343pt;width:40.85pt;height:15.8pt;mso-position-horizontal-relative:page;mso-position-vertical-relative:page;z-index:-253414400" type="#_x0000_t202" filled="false" stroked="false">
          <v:textbox inset="0,0,0,0">
            <w:txbxContent>
              <w:p>
                <w:pPr>
                  <w:spacing w:before="19"/>
                  <w:ind w:left="20" w:right="0" w:firstLine="0"/>
                  <w:jc w:val="left"/>
                  <w:rPr>
                    <w:rFonts w:ascii="Arial Narrow"/>
                    <w:sz w:val="24"/>
                  </w:rPr>
                </w:pPr>
                <w:r>
                  <w:rPr>
                    <w:rFonts w:ascii="Arial Narrow"/>
                    <w:sz w:val="24"/>
                  </w:rPr>
                  <w:t>Page </w:t>
                </w:r>
                <w:r>
                  <w:rPr/>
                  <w:fldChar w:fldCharType="begin"/>
                </w:r>
                <w:r>
                  <w:rPr>
                    <w:rFonts w:ascii="Arial Narrow"/>
                    <w:sz w:val="24"/>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70.559998pt;margin-top:51.959999pt;width:470.9pt;height:4.45pt;mso-position-horizontal-relative:page;mso-position-vertical-relative:page;z-index:-253418496" coordorigin="1411,1039" coordsize="9418,89">
          <v:line style="position:absolute" from="1411,1098" to="10829,1098" stroked="true" strokeweight="3pt" strokecolor="#612322">
            <v:stroke dashstyle="solid"/>
          </v:line>
          <v:line style="position:absolute" from="1411,1046" to="10829,1046" stroked="true" strokeweight=".72pt" strokecolor="#612322">
            <v:stroke dashstyle="solid"/>
          </v:line>
          <w10:wrap type="none"/>
        </v:group>
      </w:pict>
    </w:r>
    <w:r>
      <w:rPr/>
      <w:pict>
        <v:shape style="position:absolute;margin-left:80pt;margin-top:34.875313pt;width:451.8pt;height:16.9pt;mso-position-horizontal-relative:page;mso-position-vertical-relative:page;z-index:-253417472" type="#_x0000_t202" filled="false" stroked="false">
          <v:textbox inset="0,0,0,0">
            <w:txbxContent>
              <w:p>
                <w:pPr>
                  <w:pStyle w:val="BodyText"/>
                  <w:spacing w:before="19"/>
                  <w:ind w:left="20"/>
                  <w:rPr>
                    <w:rFonts w:ascii="Arial Narrow"/>
                  </w:rPr>
                </w:pPr>
                <w:r>
                  <w:rPr>
                    <w:rFonts w:ascii="Arial Narrow"/>
                  </w:rPr>
                  <w:t>WASHINGTON STATE ~ Department of Social and Health Services ~ Division of Child Support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upperLetter"/>
      <w:lvlText w:val="%1."/>
      <w:lvlJc w:val="left"/>
      <w:pPr>
        <w:ind w:left="994" w:hanging="435"/>
        <w:jc w:val="left"/>
      </w:pPr>
      <w:rPr>
        <w:rFonts w:hint="default" w:ascii="Arial" w:hAnsi="Arial" w:eastAsia="Arial" w:cs="Arial"/>
        <w:b/>
        <w:bCs/>
        <w:spacing w:val="-6"/>
        <w:w w:val="100"/>
        <w:sz w:val="28"/>
        <w:szCs w:val="28"/>
        <w:lang w:val="en-us" w:eastAsia="en-us" w:bidi="en-us"/>
      </w:rPr>
    </w:lvl>
    <w:lvl w:ilvl="1">
      <w:start w:val="0"/>
      <w:numFmt w:val="bullet"/>
      <w:lvlText w:val=""/>
      <w:lvlJc w:val="left"/>
      <w:pPr>
        <w:ind w:left="1280" w:hanging="361"/>
      </w:pPr>
      <w:rPr>
        <w:rFonts w:hint="default" w:ascii="Symbol" w:hAnsi="Symbol" w:eastAsia="Symbol" w:cs="Symbol"/>
        <w:w w:val="99"/>
        <w:sz w:val="26"/>
        <w:szCs w:val="26"/>
        <w:lang w:val="en-us" w:eastAsia="en-us" w:bidi="en-us"/>
      </w:rPr>
    </w:lvl>
    <w:lvl w:ilvl="2">
      <w:start w:val="0"/>
      <w:numFmt w:val="bullet"/>
      <w:lvlText w:val="•"/>
      <w:lvlJc w:val="left"/>
      <w:pPr>
        <w:ind w:left="2320" w:hanging="361"/>
      </w:pPr>
      <w:rPr>
        <w:rFonts w:hint="default"/>
        <w:lang w:val="en-us" w:eastAsia="en-us" w:bidi="en-us"/>
      </w:rPr>
    </w:lvl>
    <w:lvl w:ilvl="3">
      <w:start w:val="0"/>
      <w:numFmt w:val="bullet"/>
      <w:lvlText w:val="•"/>
      <w:lvlJc w:val="left"/>
      <w:pPr>
        <w:ind w:left="3360" w:hanging="361"/>
      </w:pPr>
      <w:rPr>
        <w:rFonts w:hint="default"/>
        <w:lang w:val="en-us" w:eastAsia="en-us" w:bidi="en-us"/>
      </w:rPr>
    </w:lvl>
    <w:lvl w:ilvl="4">
      <w:start w:val="0"/>
      <w:numFmt w:val="bullet"/>
      <w:lvlText w:val="•"/>
      <w:lvlJc w:val="left"/>
      <w:pPr>
        <w:ind w:left="4400" w:hanging="361"/>
      </w:pPr>
      <w:rPr>
        <w:rFonts w:hint="default"/>
        <w:lang w:val="en-us" w:eastAsia="en-us" w:bidi="en-us"/>
      </w:rPr>
    </w:lvl>
    <w:lvl w:ilvl="5">
      <w:start w:val="0"/>
      <w:numFmt w:val="bullet"/>
      <w:lvlText w:val="•"/>
      <w:lvlJc w:val="left"/>
      <w:pPr>
        <w:ind w:left="5440" w:hanging="361"/>
      </w:pPr>
      <w:rPr>
        <w:rFonts w:hint="default"/>
        <w:lang w:val="en-us" w:eastAsia="en-us" w:bidi="en-us"/>
      </w:rPr>
    </w:lvl>
    <w:lvl w:ilvl="6">
      <w:start w:val="0"/>
      <w:numFmt w:val="bullet"/>
      <w:lvlText w:val="•"/>
      <w:lvlJc w:val="left"/>
      <w:pPr>
        <w:ind w:left="6480" w:hanging="361"/>
      </w:pPr>
      <w:rPr>
        <w:rFonts w:hint="default"/>
        <w:lang w:val="en-us" w:eastAsia="en-us" w:bidi="en-us"/>
      </w:rPr>
    </w:lvl>
    <w:lvl w:ilvl="7">
      <w:start w:val="0"/>
      <w:numFmt w:val="bullet"/>
      <w:lvlText w:val="•"/>
      <w:lvlJc w:val="left"/>
      <w:pPr>
        <w:ind w:left="7520" w:hanging="361"/>
      </w:pPr>
      <w:rPr>
        <w:rFonts w:hint="default"/>
        <w:lang w:val="en-us" w:eastAsia="en-us" w:bidi="en-us"/>
      </w:rPr>
    </w:lvl>
    <w:lvl w:ilvl="8">
      <w:start w:val="0"/>
      <w:numFmt w:val="bullet"/>
      <w:lvlText w:val="•"/>
      <w:lvlJc w:val="left"/>
      <w:pPr>
        <w:ind w:left="8560" w:hanging="361"/>
      </w:pPr>
      <w:rPr>
        <w:rFonts w:hint="default"/>
        <w:lang w:val="en-us" w:eastAsia="en-us" w:bidi="en-us"/>
      </w:rPr>
    </w:lvl>
  </w:abstractNum>
  <w:abstractNum w:abstractNumId="2">
    <w:multiLevelType w:val="hybridMultilevel"/>
    <w:lvl w:ilvl="0">
      <w:start w:val="1"/>
      <w:numFmt w:val="upperLetter"/>
      <w:lvlText w:val="%1."/>
      <w:lvlJc w:val="left"/>
      <w:pPr>
        <w:ind w:left="994" w:hanging="435"/>
        <w:jc w:val="left"/>
      </w:pPr>
      <w:rPr>
        <w:rFonts w:hint="default" w:ascii="Arial" w:hAnsi="Arial" w:eastAsia="Arial" w:cs="Arial"/>
        <w:b/>
        <w:bCs/>
        <w:spacing w:val="-6"/>
        <w:w w:val="100"/>
        <w:sz w:val="28"/>
        <w:szCs w:val="28"/>
        <w:lang w:val="en-us" w:eastAsia="en-us" w:bidi="en-us"/>
      </w:rPr>
    </w:lvl>
    <w:lvl w:ilvl="1">
      <w:start w:val="0"/>
      <w:numFmt w:val="bullet"/>
      <w:lvlText w:val=""/>
      <w:lvlJc w:val="left"/>
      <w:pPr>
        <w:ind w:left="1279" w:hanging="361"/>
      </w:pPr>
      <w:rPr>
        <w:rFonts w:hint="default" w:ascii="Symbol" w:hAnsi="Symbol" w:eastAsia="Symbol" w:cs="Symbol"/>
        <w:w w:val="99"/>
        <w:sz w:val="26"/>
        <w:szCs w:val="26"/>
        <w:lang w:val="en-us" w:eastAsia="en-us" w:bidi="en-us"/>
      </w:rPr>
    </w:lvl>
    <w:lvl w:ilvl="2">
      <w:start w:val="0"/>
      <w:numFmt w:val="bullet"/>
      <w:lvlText w:val=""/>
      <w:lvlJc w:val="left"/>
      <w:pPr>
        <w:ind w:left="1784" w:hanging="505"/>
      </w:pPr>
      <w:rPr>
        <w:rFonts w:hint="default" w:ascii="Symbol" w:hAnsi="Symbol" w:eastAsia="Symbol" w:cs="Symbol"/>
        <w:w w:val="99"/>
        <w:sz w:val="26"/>
        <w:szCs w:val="26"/>
        <w:lang w:val="en-us" w:eastAsia="en-us" w:bidi="en-us"/>
      </w:rPr>
    </w:lvl>
    <w:lvl w:ilvl="3">
      <w:start w:val="0"/>
      <w:numFmt w:val="bullet"/>
      <w:lvlText w:val="•"/>
      <w:lvlJc w:val="left"/>
      <w:pPr>
        <w:ind w:left="2887" w:hanging="505"/>
      </w:pPr>
      <w:rPr>
        <w:rFonts w:hint="default"/>
        <w:lang w:val="en-us" w:eastAsia="en-us" w:bidi="en-us"/>
      </w:rPr>
    </w:lvl>
    <w:lvl w:ilvl="4">
      <w:start w:val="0"/>
      <w:numFmt w:val="bullet"/>
      <w:lvlText w:val="•"/>
      <w:lvlJc w:val="left"/>
      <w:pPr>
        <w:ind w:left="3995" w:hanging="505"/>
      </w:pPr>
      <w:rPr>
        <w:rFonts w:hint="default"/>
        <w:lang w:val="en-us" w:eastAsia="en-us" w:bidi="en-us"/>
      </w:rPr>
    </w:lvl>
    <w:lvl w:ilvl="5">
      <w:start w:val="0"/>
      <w:numFmt w:val="bullet"/>
      <w:lvlText w:val="•"/>
      <w:lvlJc w:val="left"/>
      <w:pPr>
        <w:ind w:left="5102" w:hanging="505"/>
      </w:pPr>
      <w:rPr>
        <w:rFonts w:hint="default"/>
        <w:lang w:val="en-us" w:eastAsia="en-us" w:bidi="en-us"/>
      </w:rPr>
    </w:lvl>
    <w:lvl w:ilvl="6">
      <w:start w:val="0"/>
      <w:numFmt w:val="bullet"/>
      <w:lvlText w:val="•"/>
      <w:lvlJc w:val="left"/>
      <w:pPr>
        <w:ind w:left="6210" w:hanging="505"/>
      </w:pPr>
      <w:rPr>
        <w:rFonts w:hint="default"/>
        <w:lang w:val="en-us" w:eastAsia="en-us" w:bidi="en-us"/>
      </w:rPr>
    </w:lvl>
    <w:lvl w:ilvl="7">
      <w:start w:val="0"/>
      <w:numFmt w:val="bullet"/>
      <w:lvlText w:val="•"/>
      <w:lvlJc w:val="left"/>
      <w:pPr>
        <w:ind w:left="7317" w:hanging="505"/>
      </w:pPr>
      <w:rPr>
        <w:rFonts w:hint="default"/>
        <w:lang w:val="en-us" w:eastAsia="en-us" w:bidi="en-us"/>
      </w:rPr>
    </w:lvl>
    <w:lvl w:ilvl="8">
      <w:start w:val="0"/>
      <w:numFmt w:val="bullet"/>
      <w:lvlText w:val="•"/>
      <w:lvlJc w:val="left"/>
      <w:pPr>
        <w:ind w:left="8425" w:hanging="505"/>
      </w:pPr>
      <w:rPr>
        <w:rFonts w:hint="default"/>
        <w:lang w:val="en-us" w:eastAsia="en-us" w:bidi="en-us"/>
      </w:rPr>
    </w:lvl>
  </w:abstractNum>
  <w:abstractNum w:abstractNumId="1">
    <w:multiLevelType w:val="hybridMultilevel"/>
    <w:lvl w:ilvl="0">
      <w:start w:val="1"/>
      <w:numFmt w:val="upperLetter"/>
      <w:lvlText w:val="%1."/>
      <w:lvlJc w:val="left"/>
      <w:pPr>
        <w:ind w:left="915" w:hanging="356"/>
        <w:jc w:val="left"/>
      </w:pPr>
      <w:rPr>
        <w:rFonts w:hint="default" w:ascii="Arial" w:hAnsi="Arial" w:eastAsia="Arial" w:cs="Arial"/>
        <w:b/>
        <w:bCs/>
        <w:spacing w:val="-6"/>
        <w:w w:val="100"/>
        <w:sz w:val="28"/>
        <w:szCs w:val="28"/>
        <w:lang w:val="en-us" w:eastAsia="en-us" w:bidi="en-us"/>
      </w:rPr>
    </w:lvl>
    <w:lvl w:ilvl="1">
      <w:start w:val="0"/>
      <w:numFmt w:val="bullet"/>
      <w:lvlText w:val="-"/>
      <w:lvlJc w:val="left"/>
      <w:pPr>
        <w:ind w:left="1560" w:hanging="214"/>
      </w:pPr>
      <w:rPr>
        <w:rFonts w:hint="default" w:ascii="Arial" w:hAnsi="Arial" w:eastAsia="Arial" w:cs="Arial"/>
        <w:spacing w:val="-1"/>
        <w:w w:val="100"/>
        <w:sz w:val="24"/>
        <w:szCs w:val="24"/>
        <w:lang w:val="en-us" w:eastAsia="en-us" w:bidi="en-us"/>
      </w:rPr>
    </w:lvl>
    <w:lvl w:ilvl="2">
      <w:start w:val="0"/>
      <w:numFmt w:val="bullet"/>
      <w:lvlText w:val="•"/>
      <w:lvlJc w:val="left"/>
      <w:pPr>
        <w:ind w:left="2568" w:hanging="214"/>
      </w:pPr>
      <w:rPr>
        <w:rFonts w:hint="default"/>
        <w:lang w:val="en-us" w:eastAsia="en-us" w:bidi="en-us"/>
      </w:rPr>
    </w:lvl>
    <w:lvl w:ilvl="3">
      <w:start w:val="0"/>
      <w:numFmt w:val="bullet"/>
      <w:lvlText w:val="•"/>
      <w:lvlJc w:val="left"/>
      <w:pPr>
        <w:ind w:left="3577" w:hanging="214"/>
      </w:pPr>
      <w:rPr>
        <w:rFonts w:hint="default"/>
        <w:lang w:val="en-us" w:eastAsia="en-us" w:bidi="en-us"/>
      </w:rPr>
    </w:lvl>
    <w:lvl w:ilvl="4">
      <w:start w:val="0"/>
      <w:numFmt w:val="bullet"/>
      <w:lvlText w:val="•"/>
      <w:lvlJc w:val="left"/>
      <w:pPr>
        <w:ind w:left="4586" w:hanging="214"/>
      </w:pPr>
      <w:rPr>
        <w:rFonts w:hint="default"/>
        <w:lang w:val="en-us" w:eastAsia="en-us" w:bidi="en-us"/>
      </w:rPr>
    </w:lvl>
    <w:lvl w:ilvl="5">
      <w:start w:val="0"/>
      <w:numFmt w:val="bullet"/>
      <w:lvlText w:val="•"/>
      <w:lvlJc w:val="left"/>
      <w:pPr>
        <w:ind w:left="5595" w:hanging="214"/>
      </w:pPr>
      <w:rPr>
        <w:rFonts w:hint="default"/>
        <w:lang w:val="en-us" w:eastAsia="en-us" w:bidi="en-us"/>
      </w:rPr>
    </w:lvl>
    <w:lvl w:ilvl="6">
      <w:start w:val="0"/>
      <w:numFmt w:val="bullet"/>
      <w:lvlText w:val="•"/>
      <w:lvlJc w:val="left"/>
      <w:pPr>
        <w:ind w:left="6604" w:hanging="214"/>
      </w:pPr>
      <w:rPr>
        <w:rFonts w:hint="default"/>
        <w:lang w:val="en-us" w:eastAsia="en-us" w:bidi="en-us"/>
      </w:rPr>
    </w:lvl>
    <w:lvl w:ilvl="7">
      <w:start w:val="0"/>
      <w:numFmt w:val="bullet"/>
      <w:lvlText w:val="•"/>
      <w:lvlJc w:val="left"/>
      <w:pPr>
        <w:ind w:left="7613" w:hanging="214"/>
      </w:pPr>
      <w:rPr>
        <w:rFonts w:hint="default"/>
        <w:lang w:val="en-us" w:eastAsia="en-us" w:bidi="en-us"/>
      </w:rPr>
    </w:lvl>
    <w:lvl w:ilvl="8">
      <w:start w:val="0"/>
      <w:numFmt w:val="bullet"/>
      <w:lvlText w:val="•"/>
      <w:lvlJc w:val="left"/>
      <w:pPr>
        <w:ind w:left="8622" w:hanging="214"/>
      </w:pPr>
      <w:rPr>
        <w:rFonts w:hint="default"/>
        <w:lang w:val="en-us" w:eastAsia="en-us" w:bidi="en-us"/>
      </w:rPr>
    </w:lvl>
  </w:abstractNum>
  <w:abstractNum w:abstractNumId="0">
    <w:multiLevelType w:val="hybridMultilevel"/>
    <w:lvl w:ilvl="0">
      <w:start w:val="1"/>
      <w:numFmt w:val="upperRoman"/>
      <w:lvlText w:val="%1."/>
      <w:lvlJc w:val="left"/>
      <w:pPr>
        <w:ind w:left="1169" w:hanging="610"/>
        <w:jc w:val="left"/>
      </w:pPr>
      <w:rPr>
        <w:rFonts w:hint="default" w:ascii="Arial" w:hAnsi="Arial" w:eastAsia="Arial" w:cs="Arial"/>
        <w:b/>
        <w:bCs/>
        <w:w w:val="99"/>
        <w:sz w:val="32"/>
        <w:szCs w:val="32"/>
        <w:lang w:val="en-us" w:eastAsia="en-us" w:bidi="en-us"/>
      </w:rPr>
    </w:lvl>
    <w:lvl w:ilvl="1">
      <w:start w:val="1"/>
      <w:numFmt w:val="upperLetter"/>
      <w:lvlText w:val="%2."/>
      <w:lvlJc w:val="left"/>
      <w:pPr>
        <w:ind w:left="1279" w:hanging="360"/>
        <w:jc w:val="left"/>
      </w:pPr>
      <w:rPr>
        <w:rFonts w:hint="default" w:ascii="Arial" w:hAnsi="Arial" w:eastAsia="Arial" w:cs="Arial"/>
        <w:b/>
        <w:bCs/>
        <w:spacing w:val="-6"/>
        <w:w w:val="100"/>
        <w:sz w:val="28"/>
        <w:szCs w:val="28"/>
        <w:lang w:val="en-us" w:eastAsia="en-us" w:bidi="en-us"/>
      </w:rPr>
    </w:lvl>
    <w:lvl w:ilvl="2">
      <w:start w:val="0"/>
      <w:numFmt w:val="bullet"/>
      <w:lvlText w:val="•"/>
      <w:lvlJc w:val="left"/>
      <w:pPr>
        <w:ind w:left="2320" w:hanging="360"/>
      </w:pPr>
      <w:rPr>
        <w:rFonts w:hint="default"/>
        <w:lang w:val="en-us" w:eastAsia="en-us" w:bidi="en-us"/>
      </w:rPr>
    </w:lvl>
    <w:lvl w:ilvl="3">
      <w:start w:val="0"/>
      <w:numFmt w:val="bullet"/>
      <w:lvlText w:val="•"/>
      <w:lvlJc w:val="left"/>
      <w:pPr>
        <w:ind w:left="3360" w:hanging="360"/>
      </w:pPr>
      <w:rPr>
        <w:rFonts w:hint="default"/>
        <w:lang w:val="en-us" w:eastAsia="en-us" w:bidi="en-us"/>
      </w:rPr>
    </w:lvl>
    <w:lvl w:ilvl="4">
      <w:start w:val="0"/>
      <w:numFmt w:val="bullet"/>
      <w:lvlText w:val="•"/>
      <w:lvlJc w:val="left"/>
      <w:pPr>
        <w:ind w:left="4400" w:hanging="360"/>
      </w:pPr>
      <w:rPr>
        <w:rFonts w:hint="default"/>
        <w:lang w:val="en-us" w:eastAsia="en-us" w:bidi="en-us"/>
      </w:rPr>
    </w:lvl>
    <w:lvl w:ilvl="5">
      <w:start w:val="0"/>
      <w:numFmt w:val="bullet"/>
      <w:lvlText w:val="•"/>
      <w:lvlJc w:val="left"/>
      <w:pPr>
        <w:ind w:left="5440" w:hanging="360"/>
      </w:pPr>
      <w:rPr>
        <w:rFonts w:hint="default"/>
        <w:lang w:val="en-us" w:eastAsia="en-us" w:bidi="en-us"/>
      </w:rPr>
    </w:lvl>
    <w:lvl w:ilvl="6">
      <w:start w:val="0"/>
      <w:numFmt w:val="bullet"/>
      <w:lvlText w:val="•"/>
      <w:lvlJc w:val="left"/>
      <w:pPr>
        <w:ind w:left="6480" w:hanging="360"/>
      </w:pPr>
      <w:rPr>
        <w:rFonts w:hint="default"/>
        <w:lang w:val="en-us" w:eastAsia="en-us" w:bidi="en-us"/>
      </w:rPr>
    </w:lvl>
    <w:lvl w:ilvl="7">
      <w:start w:val="0"/>
      <w:numFmt w:val="bullet"/>
      <w:lvlText w:val="•"/>
      <w:lvlJc w:val="left"/>
      <w:pPr>
        <w:ind w:left="7520" w:hanging="360"/>
      </w:pPr>
      <w:rPr>
        <w:rFonts w:hint="default"/>
        <w:lang w:val="en-us" w:eastAsia="en-us" w:bidi="en-us"/>
      </w:rPr>
    </w:lvl>
    <w:lvl w:ilvl="8">
      <w:start w:val="0"/>
      <w:numFmt w:val="bullet"/>
      <w:lvlText w:val="•"/>
      <w:lvlJc w:val="left"/>
      <w:pPr>
        <w:ind w:left="8560" w:hanging="360"/>
      </w:pPr>
      <w:rPr>
        <w:rFonts w:hint="default"/>
        <w:lang w:val="en-us" w:eastAsia="en-us" w:bidi="en-us"/>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6"/>
      <w:szCs w:val="26"/>
      <w:lang w:val="en-us" w:eastAsia="en-us" w:bidi="en-us"/>
    </w:rPr>
  </w:style>
  <w:style w:styleId="Heading1" w:type="paragraph">
    <w:name w:val="Heading 1"/>
    <w:basedOn w:val="Normal"/>
    <w:uiPriority w:val="1"/>
    <w:qFormat/>
    <w:pPr>
      <w:spacing w:before="28"/>
      <w:ind w:left="74" w:right="71"/>
      <w:jc w:val="center"/>
      <w:outlineLvl w:val="1"/>
    </w:pPr>
    <w:rPr>
      <w:rFonts w:ascii="Calibri" w:hAnsi="Calibri" w:eastAsia="Calibri" w:cs="Calibri"/>
      <w:b/>
      <w:bCs/>
      <w:sz w:val="36"/>
      <w:szCs w:val="36"/>
      <w:lang w:val="en-us" w:eastAsia="en-us" w:bidi="en-us"/>
    </w:rPr>
  </w:style>
  <w:style w:styleId="Heading2" w:type="paragraph">
    <w:name w:val="Heading 2"/>
    <w:basedOn w:val="Normal"/>
    <w:uiPriority w:val="1"/>
    <w:qFormat/>
    <w:pPr>
      <w:spacing w:before="82"/>
      <w:ind w:left="1280" w:hanging="720"/>
      <w:outlineLvl w:val="2"/>
    </w:pPr>
    <w:rPr>
      <w:rFonts w:ascii="Arial" w:hAnsi="Arial" w:eastAsia="Arial" w:cs="Arial"/>
      <w:b/>
      <w:bCs/>
      <w:sz w:val="32"/>
      <w:szCs w:val="32"/>
      <w:lang w:val="en-us" w:eastAsia="en-us" w:bidi="en-us"/>
    </w:rPr>
  </w:style>
  <w:style w:styleId="Heading3" w:type="paragraph">
    <w:name w:val="Heading 3"/>
    <w:basedOn w:val="Normal"/>
    <w:uiPriority w:val="1"/>
    <w:qFormat/>
    <w:pPr>
      <w:ind w:left="1279" w:hanging="360"/>
      <w:outlineLvl w:val="3"/>
    </w:pPr>
    <w:rPr>
      <w:rFonts w:ascii="Arial" w:hAnsi="Arial" w:eastAsia="Arial" w:cs="Arial"/>
      <w:b/>
      <w:bCs/>
      <w:sz w:val="28"/>
      <w:szCs w:val="28"/>
      <w:lang w:val="en-us" w:eastAsia="en-us" w:bidi="en-us"/>
    </w:rPr>
  </w:style>
  <w:style w:styleId="Heading4" w:type="paragraph">
    <w:name w:val="Heading 4"/>
    <w:basedOn w:val="Normal"/>
    <w:uiPriority w:val="1"/>
    <w:qFormat/>
    <w:pPr>
      <w:ind w:left="560"/>
      <w:outlineLvl w:val="4"/>
    </w:pPr>
    <w:rPr>
      <w:rFonts w:ascii="Arial" w:hAnsi="Arial" w:eastAsia="Arial" w:cs="Arial"/>
      <w:b/>
      <w:bCs/>
      <w:sz w:val="26"/>
      <w:szCs w:val="26"/>
      <w:lang w:val="en-us" w:eastAsia="en-us" w:bidi="en-us"/>
    </w:rPr>
  </w:style>
  <w:style w:styleId="ListParagraph" w:type="paragraph">
    <w:name w:val="List Paragraph"/>
    <w:basedOn w:val="Normal"/>
    <w:uiPriority w:val="1"/>
    <w:qFormat/>
    <w:pPr>
      <w:ind w:left="1280" w:hanging="361"/>
    </w:pPr>
    <w:rPr>
      <w:rFonts w:ascii="Arial" w:hAnsi="Arial" w:eastAsia="Arial" w:cs="Arial"/>
      <w:lang w:val="en-us" w:eastAsia="en-us" w:bidi="en-us"/>
    </w:rPr>
  </w:style>
  <w:style w:styleId="TableParagraph" w:type="paragraph">
    <w:name w:val="Table Paragraph"/>
    <w:basedOn w:val="Normal"/>
    <w:uiPriority w:val="1"/>
    <w:qFormat/>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hyperlink" Target="http://www.dshs.wa.gov/dcs" TargetMode="External"/><Relationship Id="rId22" Type="http://schemas.openxmlformats.org/officeDocument/2006/relationships/hyperlink" Target="http://www.dshs.wa.gov/dcs/resources/reports.asp" TargetMode="External"/><Relationship Id="rId23" Type="http://schemas.openxmlformats.org/officeDocument/2006/relationships/hyperlink" Target="mailto:dcheney@dshs.wa.gov" TargetMode="External"/><Relationship Id="rId24" Type="http://schemas.openxmlformats.org/officeDocument/2006/relationships/hyperlink" Target="mailto:larsenlm@dshs.wa.gov" TargetMode="External"/><Relationship Id="rId25" Type="http://schemas.openxmlformats.org/officeDocument/2006/relationships/hyperlink" Target="http://www.dshs.wa.gov/pdf/Publications/22-1320.pdf" TargetMode="External"/><Relationship Id="rId26" Type="http://schemas.openxmlformats.org/officeDocument/2006/relationships/hyperlink" Target="mailto:brady.rossnagle@dshs.wa.gov" TargetMode="External"/><Relationship Id="rId27" Type="http://schemas.openxmlformats.org/officeDocument/2006/relationships/hyperlink" Target="mailto:lmunson@dshs.wa.gov" TargetMode="External"/><Relationship Id="rId28" Type="http://schemas.openxmlformats.org/officeDocument/2006/relationships/hyperlink" Target="mailto:sarah.kollin@dshs.wa.gov" TargetMode="External"/><Relationship Id="rId29" Type="http://schemas.openxmlformats.org/officeDocument/2006/relationships/hyperlink" Target="mailto:tmurphy@dshs.wa.gov" TargetMode="External"/><Relationship Id="rId3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DCS staff</dc:creator>
  <cp:keywords>DSHS DCS SELF-ASSESSMENT REVIEW STATEWIDE ANALYSIS FEDERAL REPORT WASHINGTON DIVISION OF CHILD SUPPORT</cp:keywords>
  <dc:subject>SELF-ASSESSMENT REVIEW STATEWIDE ANALYSIS FEDERAL REPORT WASHINGTON DIVISION OF CHILD SUPPORT</dc:subject>
  <dc:title>ffySAFnlRpt2009 SELF-ASSESSMENT REVIEW STATEWIDE ANALYSIS FEDERAL REPORT WASHINGTON DIVISION OF CHILD SUPPORT</dc:title>
  <dcterms:created xsi:type="dcterms:W3CDTF">2021-11-17T22:54:48Z</dcterms:created>
  <dcterms:modified xsi:type="dcterms:W3CDTF">2021-11-17T22:54:48Z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2021-11-17T00:00:00Z</vt:filetime>
  </property>
  <property fmtid="{D5CDD505-2E9C-101B-9397-08002B2CF9AE}" pid="3" name="Creator">
    <vt:lpwstr>Acrobat PDFMaker 17 for Word</vt:lpwstr>
  </property>
  <property fmtid="{D5CDD505-2E9C-101B-9397-08002B2CF9AE}" pid="4" name="LastSaved">
    <vt:filetime>2021-11-17T00:00:00Z</vt:filetime>
  </property>
</Properties>
</file>