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6D" w:rsidRPr="00292F6D" w:rsidRDefault="00292F6D" w:rsidP="00292F6D">
      <w:pPr>
        <w:pStyle w:val="Default"/>
        <w:rPr>
          <w:rFonts w:ascii="Arial" w:hAnsi="Arial" w:cs="Arial"/>
          <w:sz w:val="23"/>
          <w:szCs w:val="23"/>
        </w:rPr>
      </w:pPr>
      <w:bookmarkStart w:id="0" w:name="_GoBack"/>
      <w:r w:rsidRPr="00292F6D">
        <w:rPr>
          <w:rFonts w:ascii="Arial" w:hAnsi="Arial" w:cs="Arial"/>
          <w:sz w:val="23"/>
          <w:szCs w:val="23"/>
        </w:rPr>
        <w:t xml:space="preserve">CMP funds may not be used for uses prohibited by law, regulation, or CMS policy. These include but are not limited to: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Projects disapproved by CMS;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Survey and certification operations or State expenses not previously mentioned above;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Capital expenses of a facility;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ind w:left="270" w:hanging="270"/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Nursing home services or supplies that are the responsibility of nursing homes, such as laundry, linen, food, heat, staffing costs, etc.;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ind w:left="270" w:hanging="270"/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>Funding projects, items or services that are not directly related to improving the quality of</w:t>
      </w:r>
      <w:r w:rsidRPr="00292F6D">
        <w:rPr>
          <w:rFonts w:ascii="Arial" w:hAnsi="Arial" w:cs="Arial"/>
          <w:sz w:val="23"/>
          <w:szCs w:val="23"/>
        </w:rPr>
        <w:t xml:space="preserve"> </w:t>
      </w:r>
      <w:r w:rsidRPr="00292F6D">
        <w:rPr>
          <w:rFonts w:ascii="Arial" w:hAnsi="Arial" w:cs="Arial"/>
          <w:sz w:val="23"/>
          <w:szCs w:val="23"/>
        </w:rPr>
        <w:t xml:space="preserve">life and care of nursing home residents;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Projects for which a conflict of interest or the appearance of a conflict of interest exists;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Long term projects (greater than 3 years); </w:t>
      </w:r>
    </w:p>
    <w:p w:rsid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Temporary manager salaries (see exceptions above); and </w:t>
      </w:r>
    </w:p>
    <w:p w:rsidR="00292F6D" w:rsidRPr="00292F6D" w:rsidRDefault="00292F6D" w:rsidP="00292F6D">
      <w:pPr>
        <w:pStyle w:val="Default"/>
        <w:numPr>
          <w:ilvl w:val="0"/>
          <w:numId w:val="2"/>
        </w:numPr>
        <w:tabs>
          <w:tab w:val="left" w:pos="270"/>
        </w:tabs>
        <w:ind w:left="270" w:hanging="270"/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Supplementary funding of federally required services (e.g., Quality Improvement Organization-Quality Improvement Network Initiatives). </w:t>
      </w:r>
    </w:p>
    <w:p w:rsidR="00292F6D" w:rsidRPr="00292F6D" w:rsidRDefault="00292F6D" w:rsidP="00292F6D">
      <w:pPr>
        <w:pStyle w:val="Default"/>
        <w:rPr>
          <w:rFonts w:ascii="Arial" w:hAnsi="Arial" w:cs="Arial"/>
          <w:sz w:val="23"/>
          <w:szCs w:val="23"/>
        </w:rPr>
      </w:pPr>
    </w:p>
    <w:p w:rsidR="00292F6D" w:rsidRPr="00292F6D" w:rsidRDefault="00292F6D" w:rsidP="00292F6D">
      <w:pPr>
        <w:pStyle w:val="Default"/>
        <w:rPr>
          <w:rFonts w:ascii="Arial" w:hAnsi="Arial" w:cs="Arial"/>
          <w:sz w:val="23"/>
          <w:szCs w:val="23"/>
        </w:rPr>
      </w:pPr>
      <w:r w:rsidRPr="00292F6D">
        <w:rPr>
          <w:rFonts w:ascii="Arial" w:hAnsi="Arial" w:cs="Arial"/>
          <w:sz w:val="23"/>
          <w:szCs w:val="23"/>
        </w:rPr>
        <w:t xml:space="preserve">For information on allowable and unallowable uses, please see 42 CFR 488.433 and chapter seven (§ 7535) of the State Operations Manual. </w:t>
      </w:r>
      <w:bookmarkEnd w:id="0"/>
    </w:p>
    <w:sectPr w:rsidR="00292F6D" w:rsidRPr="00292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CAE"/>
    <w:multiLevelType w:val="hybridMultilevel"/>
    <w:tmpl w:val="DFE27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D3EF0"/>
    <w:multiLevelType w:val="hybridMultilevel"/>
    <w:tmpl w:val="9D9E2FCC"/>
    <w:lvl w:ilvl="0" w:tplc="D1F0A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6D"/>
    <w:rsid w:val="00292F6D"/>
    <w:rsid w:val="006A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D74DE-1A6B-4088-93A7-632FDC8B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F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>DSHS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Bantog, Clare (DSHS/ALTSA/RCS)</dc:creator>
  <cp:keywords/>
  <dc:description/>
  <cp:lastModifiedBy>Bantog, Clare (DSHS/ALTSA/RCS)</cp:lastModifiedBy>
  <cp:revision>1</cp:revision>
  <dcterms:created xsi:type="dcterms:W3CDTF">2016-11-22T21:29:00Z</dcterms:created>
  <dcterms:modified xsi:type="dcterms:W3CDTF">2016-11-22T21:32:00Z</dcterms:modified>
</cp:coreProperties>
</file>