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DC45" w14:textId="4AF3C7F0" w:rsidR="001844C4" w:rsidRPr="001844C4" w:rsidRDefault="000F5011" w:rsidP="001844C4">
      <w:pPr>
        <w:jc w:val="center"/>
      </w:pPr>
      <w:r>
        <w:rPr>
          <w:b/>
        </w:rPr>
        <w:t>Attachment 13</w:t>
      </w:r>
      <w:r w:rsidR="001844C4" w:rsidRPr="001844C4">
        <w:rPr>
          <w:b/>
        </w:rPr>
        <w:t xml:space="preserve"> –</w:t>
      </w:r>
      <w:r w:rsidR="00EF53DF">
        <w:rPr>
          <w:b/>
        </w:rPr>
        <w:t xml:space="preserve"> </w:t>
      </w:r>
      <w:r w:rsidR="001844C4" w:rsidRPr="001844C4">
        <w:rPr>
          <w:b/>
        </w:rPr>
        <w:t>Contract Issues List</w:t>
      </w:r>
    </w:p>
    <w:p w14:paraId="62742598" w14:textId="77777777" w:rsidR="001844C4" w:rsidRPr="001844C4" w:rsidRDefault="001844C4" w:rsidP="001844C4">
      <w:pPr>
        <w:jc w:val="center"/>
      </w:pPr>
    </w:p>
    <w:p w14:paraId="1CD33307" w14:textId="77777777" w:rsidR="001844C4" w:rsidRPr="001844C4" w:rsidRDefault="001844C4" w:rsidP="001844C4"/>
    <w:p w14:paraId="6D596237" w14:textId="06009773" w:rsidR="001844C4" w:rsidRDefault="001844C4" w:rsidP="001844C4">
      <w:r w:rsidRPr="001844C4">
        <w:rPr>
          <w:b/>
        </w:rPr>
        <w:t>Instructions</w:t>
      </w:r>
      <w:r w:rsidRPr="001844C4">
        <w:t xml:space="preserve">.  Issues, concerns, exceptions, or objections to any of the terms or conditions contained in </w:t>
      </w:r>
      <w:r w:rsidR="000F5011" w:rsidRPr="000F5011">
        <w:t>the RFP</w:t>
      </w:r>
      <w:r w:rsidR="00250EE1">
        <w:rPr>
          <w:i/>
        </w:rPr>
        <w:t xml:space="preserve"> </w:t>
      </w:r>
      <w:r w:rsidRPr="001844C4">
        <w:t xml:space="preserve">must </w:t>
      </w:r>
      <w:r w:rsidR="00EF53DF">
        <w:t xml:space="preserve">be documented by bidders in the </w:t>
      </w:r>
      <w:r w:rsidRPr="001844C4">
        <w:t xml:space="preserve">Contract Issues List provided below.  The </w:t>
      </w:r>
      <w:r w:rsidRPr="001844C4">
        <w:rPr>
          <w:i/>
        </w:rPr>
        <w:t>Contract Issues List</w:t>
      </w:r>
      <w:r w:rsidRPr="001844C4">
        <w:t xml:space="preserve"> frames discussions between</w:t>
      </w:r>
      <w:r w:rsidR="00EF53DF">
        <w:t xml:space="preserve"> The Department of Social and Health Services</w:t>
      </w:r>
      <w:r w:rsidRPr="001844C4">
        <w:t xml:space="preserve"> </w:t>
      </w:r>
      <w:r w:rsidR="00EF53DF">
        <w:t>(DSHS)</w:t>
      </w:r>
      <w:r w:rsidRPr="001844C4">
        <w:t xml:space="preserve"> and bidders regarding the terms and conditions contained in the Contract.  In completing the </w:t>
      </w:r>
      <w:r w:rsidRPr="001844C4">
        <w:rPr>
          <w:i/>
        </w:rPr>
        <w:t>Contract Issues List</w:t>
      </w:r>
      <w:r w:rsidRPr="001844C4">
        <w:t xml:space="preserve">, bidders must describe, in business terms, a concern, exception, or objection and then propose a compromise that is reasonable in light of </w:t>
      </w:r>
      <w:bookmarkStart w:id="0" w:name="_GoBack"/>
      <w:bookmarkEnd w:id="0"/>
      <w:r w:rsidRPr="001844C4">
        <w:t xml:space="preserve">the commitment being sought by </w:t>
      </w:r>
      <w:r w:rsidR="00EF53DF">
        <w:t>DSHS</w:t>
      </w:r>
      <w:r w:rsidRPr="001844C4">
        <w:t>.  The</w:t>
      </w:r>
      <w:r w:rsidRPr="001844C4">
        <w:rPr>
          <w:i/>
        </w:rPr>
        <w:t xml:space="preserve"> Contract Issues List</w:t>
      </w:r>
      <w:r w:rsidRPr="001844C4">
        <w:t xml:space="preserve"> must provide the reason or rationale supporting the issue.</w:t>
      </w:r>
    </w:p>
    <w:p w14:paraId="1919CD8C" w14:textId="77777777" w:rsidR="001844C4" w:rsidRPr="001844C4" w:rsidRDefault="001844C4" w:rsidP="001844C4"/>
    <w:p w14:paraId="0DEF2730" w14:textId="77777777" w:rsidR="001844C4" w:rsidRPr="001844C4" w:rsidRDefault="001844C4" w:rsidP="001844C4">
      <w:pPr>
        <w:numPr>
          <w:ilvl w:val="0"/>
          <w:numId w:val="24"/>
        </w:numPr>
      </w:pPr>
      <w:r w:rsidRPr="001844C4">
        <w:t xml:space="preserve">Redlined Documents Will Not Be Reviewed.  Do not provide a redlined Contract, paragraph or clauses.  Redlined text may result in </w:t>
      </w:r>
      <w:r w:rsidR="00EF53DF">
        <w:t>DSHS</w:t>
      </w:r>
      <w:r w:rsidRPr="001844C4">
        <w:t xml:space="preserve"> making potentially inaccurate assumptions about what bidders’ specific issues or concerns might be.</w:t>
      </w:r>
    </w:p>
    <w:p w14:paraId="2ABF202D" w14:textId="77777777" w:rsidR="001844C4" w:rsidRPr="001844C4" w:rsidRDefault="001844C4" w:rsidP="001844C4">
      <w:pPr>
        <w:numPr>
          <w:ilvl w:val="0"/>
          <w:numId w:val="24"/>
        </w:numPr>
      </w:pPr>
      <w:r w:rsidRPr="001844C4">
        <w:t>Standard Bidder Contract Will Not Be Reviewed.  Do not provide a copy of a bidder's or a third party’s standard contract or proposed language in the bid.</w:t>
      </w:r>
    </w:p>
    <w:p w14:paraId="0142199F" w14:textId="77777777" w:rsidR="001844C4" w:rsidRPr="001844C4" w:rsidRDefault="001844C4" w:rsidP="001844C4">
      <w:pPr>
        <w:numPr>
          <w:ilvl w:val="0"/>
          <w:numId w:val="24"/>
        </w:numPr>
      </w:pPr>
      <w:r w:rsidRPr="001844C4">
        <w:t xml:space="preserve">No Substantial Changes.  Bidders are reminded that this is a competitive solicitation for a public contract and that </w:t>
      </w:r>
      <w:r w:rsidR="00EF53DF">
        <w:t>DSHS</w:t>
      </w:r>
      <w:r w:rsidRPr="001844C4">
        <w:t xml:space="preserve"> cannot accept a proposal or enter into a Contract that substantially changes the material terms and specifications published in this Competitive Solicitation.  Bids that are contingent upon </w:t>
      </w:r>
      <w:r w:rsidR="00EF53DF">
        <w:t>DSHS</w:t>
      </w:r>
      <w:r w:rsidRPr="001844C4">
        <w:t xml:space="preserve"> making substantial changes to material terms and specifications published in the Competitive Solicitation may be determined to be non-responsible.  </w:t>
      </w:r>
      <w:r w:rsidR="00EF53DF">
        <w:t>DSHS</w:t>
      </w:r>
      <w:r w:rsidRPr="001844C4">
        <w:t xml:space="preserve"> will consider the number and nature of the items on the bidders’ </w:t>
      </w:r>
      <w:r w:rsidRPr="001844C4">
        <w:rPr>
          <w:i/>
        </w:rPr>
        <w:t>Contract Issues List</w:t>
      </w:r>
      <w:r w:rsidRPr="001844C4">
        <w:t xml:space="preserve"> in determining the likelihood of completing a Contract with a bidder.</w:t>
      </w:r>
    </w:p>
    <w:p w14:paraId="5FDD8FDF" w14:textId="77777777" w:rsidR="001844C4" w:rsidRPr="001844C4" w:rsidRDefault="001844C4" w:rsidP="001844C4"/>
    <w:tbl>
      <w:tblPr>
        <w:tblW w:w="9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69"/>
        <w:gridCol w:w="2031"/>
        <w:gridCol w:w="3510"/>
        <w:gridCol w:w="3502"/>
      </w:tblGrid>
      <w:tr w:rsidR="001844C4" w:rsidRPr="001844C4" w14:paraId="664E0D45" w14:textId="77777777" w:rsidTr="001844C4">
        <w:trPr>
          <w:trHeight w:val="475"/>
          <w:tblHeader/>
        </w:trPr>
        <w:tc>
          <w:tcPr>
            <w:tcW w:w="9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1E5572C" w14:textId="77777777" w:rsidR="001844C4" w:rsidRPr="001844C4" w:rsidRDefault="001844C4" w:rsidP="001844C4">
            <w:pPr>
              <w:rPr>
                <w:b/>
              </w:rPr>
            </w:pPr>
            <w:r w:rsidRPr="001844C4">
              <w:rPr>
                <w:b/>
              </w:rPr>
              <w:t>Contract Issues List</w:t>
            </w:r>
          </w:p>
        </w:tc>
      </w:tr>
      <w:tr w:rsidR="001844C4" w:rsidRPr="001844C4" w14:paraId="61D859C8" w14:textId="77777777" w:rsidTr="001844C4">
        <w:trPr>
          <w:trHeight w:val="475"/>
          <w:tblHeader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B600B8C" w14:textId="77777777" w:rsidR="001844C4" w:rsidRPr="001844C4" w:rsidRDefault="001844C4" w:rsidP="001844C4">
            <w:pPr>
              <w:rPr>
                <w:b/>
              </w:rPr>
            </w:pPr>
            <w:r w:rsidRPr="001844C4">
              <w:rPr>
                <w:b/>
              </w:rPr>
              <w:t>Item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A7E0E4" w14:textId="77777777" w:rsidR="001844C4" w:rsidRPr="001844C4" w:rsidRDefault="001844C4" w:rsidP="00EF53DF">
            <w:pPr>
              <w:rPr>
                <w:b/>
              </w:rPr>
            </w:pPr>
            <w:r w:rsidRPr="001844C4">
              <w:rPr>
                <w:b/>
              </w:rPr>
              <w:t>Specify the Contract Section #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6B34F0" w14:textId="77777777" w:rsidR="001844C4" w:rsidRPr="001844C4" w:rsidRDefault="001844C4" w:rsidP="001844C4">
            <w:pPr>
              <w:rPr>
                <w:b/>
              </w:rPr>
            </w:pPr>
            <w:r w:rsidRPr="001844C4">
              <w:rPr>
                <w:b/>
              </w:rPr>
              <w:t>Issue</w:t>
            </w:r>
          </w:p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DAB82D" w14:textId="77777777" w:rsidR="001844C4" w:rsidRPr="001844C4" w:rsidRDefault="001844C4" w:rsidP="001844C4">
            <w:pPr>
              <w:rPr>
                <w:b/>
              </w:rPr>
            </w:pPr>
            <w:r w:rsidRPr="001844C4">
              <w:rPr>
                <w:b/>
              </w:rPr>
              <w:t>Bidder’s Proposed Solution/Rationale</w:t>
            </w:r>
          </w:p>
        </w:tc>
      </w:tr>
      <w:tr w:rsidR="001844C4" w:rsidRPr="001844C4" w14:paraId="3EEADB71" w14:textId="77777777" w:rsidTr="001844C4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F939C7" w14:textId="77777777" w:rsidR="001844C4" w:rsidRPr="001844C4" w:rsidRDefault="001844C4" w:rsidP="001844C4">
            <w:r w:rsidRPr="001844C4">
              <w:t>1.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A70B7" w14:textId="77777777" w:rsidR="001844C4" w:rsidRPr="001844C4" w:rsidRDefault="001844C4" w:rsidP="001844C4"/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30C20" w14:textId="77777777" w:rsidR="001844C4" w:rsidRPr="001844C4" w:rsidRDefault="001844C4" w:rsidP="001844C4"/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3D3" w14:textId="77777777" w:rsidR="001844C4" w:rsidRPr="001844C4" w:rsidRDefault="001844C4" w:rsidP="001844C4"/>
        </w:tc>
      </w:tr>
      <w:tr w:rsidR="001844C4" w:rsidRPr="001844C4" w14:paraId="23F340C2" w14:textId="77777777" w:rsidTr="001844C4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F14635" w14:textId="77777777" w:rsidR="001844C4" w:rsidRPr="001844C4" w:rsidRDefault="001844C4" w:rsidP="001844C4">
            <w:pPr>
              <w:rPr>
                <w:bCs/>
              </w:rPr>
            </w:pPr>
            <w:r w:rsidRPr="001844C4">
              <w:rPr>
                <w:bCs/>
              </w:rPr>
              <w:t>2.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F3606" w14:textId="77777777" w:rsidR="001844C4" w:rsidRPr="001844C4" w:rsidRDefault="001844C4" w:rsidP="001844C4"/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844B2" w14:textId="77777777" w:rsidR="001844C4" w:rsidRPr="001844C4" w:rsidRDefault="001844C4" w:rsidP="001844C4"/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02334" w14:textId="77777777" w:rsidR="001844C4" w:rsidRPr="001844C4" w:rsidRDefault="001844C4" w:rsidP="001844C4"/>
        </w:tc>
      </w:tr>
      <w:tr w:rsidR="001844C4" w:rsidRPr="001844C4" w14:paraId="11E576E5" w14:textId="77777777" w:rsidTr="001844C4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0820AA" w14:textId="77777777" w:rsidR="001844C4" w:rsidRPr="001844C4" w:rsidRDefault="001844C4" w:rsidP="001844C4">
            <w:pPr>
              <w:rPr>
                <w:bCs/>
              </w:rPr>
            </w:pPr>
            <w:r w:rsidRPr="001844C4">
              <w:rPr>
                <w:bCs/>
              </w:rPr>
              <w:t>3.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F535" w14:textId="77777777" w:rsidR="001844C4" w:rsidRPr="001844C4" w:rsidRDefault="001844C4" w:rsidP="001844C4"/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0D384" w14:textId="77777777" w:rsidR="001844C4" w:rsidRPr="001844C4" w:rsidRDefault="001844C4" w:rsidP="001844C4"/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F1997" w14:textId="77777777" w:rsidR="001844C4" w:rsidRPr="001844C4" w:rsidRDefault="001844C4" w:rsidP="001844C4"/>
        </w:tc>
      </w:tr>
      <w:tr w:rsidR="001844C4" w:rsidRPr="001844C4" w14:paraId="452F12A2" w14:textId="77777777" w:rsidTr="001844C4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EFC25" w14:textId="77777777" w:rsidR="001844C4" w:rsidRPr="001844C4" w:rsidRDefault="001844C4" w:rsidP="001844C4">
            <w:pPr>
              <w:rPr>
                <w:bCs/>
              </w:rPr>
            </w:pPr>
            <w:r w:rsidRPr="001844C4">
              <w:rPr>
                <w:bCs/>
              </w:rPr>
              <w:t>4.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BDFD2" w14:textId="77777777" w:rsidR="001844C4" w:rsidRPr="001844C4" w:rsidRDefault="001844C4" w:rsidP="001844C4"/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66F7" w14:textId="77777777" w:rsidR="001844C4" w:rsidRPr="001844C4" w:rsidRDefault="001844C4" w:rsidP="001844C4"/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C5F6" w14:textId="77777777" w:rsidR="001844C4" w:rsidRPr="001844C4" w:rsidRDefault="001844C4" w:rsidP="001844C4"/>
        </w:tc>
      </w:tr>
      <w:tr w:rsidR="001844C4" w:rsidRPr="001844C4" w14:paraId="7694BBD5" w14:textId="77777777" w:rsidTr="001844C4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EAA765" w14:textId="77777777" w:rsidR="001844C4" w:rsidRPr="001844C4" w:rsidRDefault="001844C4" w:rsidP="001844C4">
            <w:pPr>
              <w:rPr>
                <w:bCs/>
              </w:rPr>
            </w:pPr>
            <w:r w:rsidRPr="001844C4">
              <w:rPr>
                <w:bCs/>
              </w:rPr>
              <w:t>5.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49FA9" w14:textId="77777777" w:rsidR="001844C4" w:rsidRPr="001844C4" w:rsidRDefault="001844C4" w:rsidP="001844C4"/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E0BA8" w14:textId="77777777" w:rsidR="001844C4" w:rsidRPr="001844C4" w:rsidRDefault="001844C4" w:rsidP="001844C4"/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21036" w14:textId="77777777" w:rsidR="001844C4" w:rsidRPr="001844C4" w:rsidRDefault="001844C4" w:rsidP="001844C4"/>
        </w:tc>
      </w:tr>
    </w:tbl>
    <w:p w14:paraId="42F6E0E0" w14:textId="77777777" w:rsidR="001844C4" w:rsidRPr="001844C4" w:rsidRDefault="001844C4" w:rsidP="001844C4"/>
    <w:p w14:paraId="141DCD04" w14:textId="77777777" w:rsidR="001844C4" w:rsidRPr="001844C4" w:rsidRDefault="001844C4" w:rsidP="001844C4"/>
    <w:p w14:paraId="564ECB8C" w14:textId="77777777" w:rsidR="00A9204E" w:rsidRPr="001844C4" w:rsidRDefault="00A9204E">
      <w:pPr>
        <w:rPr>
          <w:b/>
        </w:rPr>
      </w:pPr>
    </w:p>
    <w:sectPr w:rsidR="00A9204E" w:rsidRPr="0018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C4"/>
    <w:rsid w:val="000F5011"/>
    <w:rsid w:val="001844C4"/>
    <w:rsid w:val="00250EE1"/>
    <w:rsid w:val="00645252"/>
    <w:rsid w:val="006D3D74"/>
    <w:rsid w:val="0083569A"/>
    <w:rsid w:val="00A9204E"/>
    <w:rsid w:val="00B757F5"/>
    <w:rsid w:val="00E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8875"/>
  <w15:chartTrackingRefBased/>
  <w15:docId w15:val="{86B98244-BD21-4AB9-B298-3F06524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M179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581047F35E54586080E9758D9F7C7" ma:contentTypeVersion="0" ma:contentTypeDescription="Create a new document." ma:contentTypeScope="" ma:versionID="fcdb352a7119690da050cfd9ef2a0a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BCDCE-8D50-4DBB-ACCC-2F859EAC5A0E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5f90d365-e07e-4cfa-a0e8-0ef0729960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597D09-603E-42CB-A012-EFD5BF85F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Cipolla, Brandon F</cp:lastModifiedBy>
  <cp:revision>5</cp:revision>
  <dcterms:created xsi:type="dcterms:W3CDTF">2019-04-29T22:54:00Z</dcterms:created>
  <dcterms:modified xsi:type="dcterms:W3CDTF">2020-01-22T19:02:00Z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0x010100331581047F35E54586080E9758D9F7C7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