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17"/>
        <w:gridCol w:w="2706"/>
        <w:gridCol w:w="900"/>
        <w:gridCol w:w="1704"/>
        <w:gridCol w:w="3863"/>
      </w:tblGrid>
      <w:tr w:rsidR="00135EAE" w14:paraId="382A50B0" w14:textId="77777777" w:rsidTr="00135EAE">
        <w:trPr>
          <w:tblHeader/>
        </w:trPr>
        <w:tc>
          <w:tcPr>
            <w:tcW w:w="1617" w:type="dxa"/>
            <w:vMerge w:val="restart"/>
            <w:tcBorders>
              <w:top w:val="nil"/>
              <w:left w:val="nil"/>
              <w:right w:val="nil"/>
            </w:tcBorders>
          </w:tcPr>
          <w:p w14:paraId="3450201E" w14:textId="33679BE2" w:rsidR="00135EAE" w:rsidRDefault="00135EAE" w:rsidP="00734C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8D4061E" wp14:editId="68FB7EA5">
                  <wp:extent cx="833407" cy="479581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363" cy="515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E5A3566" w14:textId="072DB4C0" w:rsidR="00135EAE" w:rsidRPr="009374A2" w:rsidRDefault="00135EAE" w:rsidP="00171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74A2">
              <w:rPr>
                <w:rFonts w:ascii="Arial" w:hAnsi="Arial" w:cs="Arial"/>
                <w:sz w:val="16"/>
                <w:szCs w:val="16"/>
              </w:rPr>
              <w:t>AGING AND LONG-TERM SUPPORT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374A2">
              <w:rPr>
                <w:rFonts w:ascii="Arial" w:hAnsi="Arial" w:cs="Arial"/>
                <w:sz w:val="16"/>
                <w:szCs w:val="16"/>
              </w:rPr>
              <w:t>ADMINISTRATION (ALTSA)</w:t>
            </w:r>
          </w:p>
          <w:p w14:paraId="15BF87DD" w14:textId="77777777" w:rsidR="00135EAE" w:rsidRPr="009374A2" w:rsidRDefault="00135EAE" w:rsidP="001713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Trust Fund Review</w:t>
            </w:r>
          </w:p>
          <w:p w14:paraId="00ECEC01" w14:textId="6FCBDBDC" w:rsidR="00135EAE" w:rsidRDefault="00135EAE" w:rsidP="001713E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use during Recertification Surveys of Nursing Homes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14:paraId="16BBA80A" w14:textId="02E9A36C" w:rsidR="00135EAE" w:rsidRDefault="00135EAE" w:rsidP="00933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Attachment G</w:t>
            </w:r>
          </w:p>
        </w:tc>
      </w:tr>
      <w:tr w:rsidR="00135EAE" w14:paraId="794CF44B" w14:textId="77777777" w:rsidTr="007B794B">
        <w:trPr>
          <w:trHeight w:val="836"/>
          <w:tblHeader/>
        </w:trPr>
        <w:tc>
          <w:tcPr>
            <w:tcW w:w="1617" w:type="dxa"/>
            <w:vMerge/>
            <w:tcBorders>
              <w:left w:val="nil"/>
              <w:right w:val="nil"/>
            </w:tcBorders>
          </w:tcPr>
          <w:p w14:paraId="4A664D99" w14:textId="3B186F03" w:rsidR="00135EAE" w:rsidRDefault="00135E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0" w:type="dxa"/>
            <w:gridSpan w:val="3"/>
            <w:vMerge/>
            <w:tcBorders>
              <w:left w:val="nil"/>
              <w:right w:val="single" w:sz="2" w:space="0" w:color="auto"/>
            </w:tcBorders>
            <w:vAlign w:val="center"/>
          </w:tcPr>
          <w:p w14:paraId="7F091ED3" w14:textId="3E4168B1" w:rsidR="00135EAE" w:rsidRDefault="00135EAE" w:rsidP="001713E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082FC" w14:textId="77777777" w:rsidR="00135EAE" w:rsidRPr="009374A2" w:rsidRDefault="00135EAE" w:rsidP="001713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FACILITY NAME</w:t>
            </w:r>
          </w:p>
          <w:p w14:paraId="74DDBA9C" w14:textId="7DDA775C" w:rsidR="00135EAE" w:rsidRDefault="00135EAE" w:rsidP="001713EB">
            <w:pPr>
              <w:rPr>
                <w:rFonts w:ascii="Arial" w:hAnsi="Arial" w:cs="Arial"/>
                <w:sz w:val="20"/>
                <w:szCs w:val="20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35EAE" w14:paraId="105A448C" w14:textId="77777777" w:rsidTr="00135EAE">
        <w:trPr>
          <w:trHeight w:hRule="exact" w:val="518"/>
          <w:tblHeader/>
        </w:trPr>
        <w:tc>
          <w:tcPr>
            <w:tcW w:w="1617" w:type="dxa"/>
            <w:vMerge/>
            <w:tcBorders>
              <w:left w:val="nil"/>
              <w:right w:val="nil"/>
            </w:tcBorders>
          </w:tcPr>
          <w:p w14:paraId="1844EABE" w14:textId="77777777" w:rsidR="00135EAE" w:rsidRDefault="00135EAE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310" w:type="dxa"/>
            <w:gridSpan w:val="3"/>
            <w:vMerge/>
            <w:tcBorders>
              <w:left w:val="nil"/>
              <w:right w:val="single" w:sz="2" w:space="0" w:color="auto"/>
            </w:tcBorders>
          </w:tcPr>
          <w:p w14:paraId="26EE3A7D" w14:textId="77777777" w:rsidR="00135EAE" w:rsidRPr="009374A2" w:rsidRDefault="00135EAE" w:rsidP="00171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6A17B" w14:textId="77777777" w:rsidR="00135EAE" w:rsidRPr="009374A2" w:rsidRDefault="00135EAE" w:rsidP="001713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SURVEYOR’S NAME</w:t>
            </w:r>
          </w:p>
          <w:p w14:paraId="5CADBDE1" w14:textId="4DB9E6AB" w:rsidR="00135EAE" w:rsidRDefault="00135EAE" w:rsidP="001713EB">
            <w:pPr>
              <w:rPr>
                <w:rFonts w:ascii="Arial" w:hAnsi="Arial" w:cs="Arial"/>
                <w:sz w:val="20"/>
                <w:szCs w:val="20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35EAE" w14:paraId="222E765C" w14:textId="77777777" w:rsidTr="00135EAE">
        <w:trPr>
          <w:trHeight w:hRule="exact" w:val="518"/>
          <w:tblHeader/>
        </w:trPr>
        <w:tc>
          <w:tcPr>
            <w:tcW w:w="161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204603C" w14:textId="77777777" w:rsidR="00135EAE" w:rsidRDefault="00135EAE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310" w:type="dxa"/>
            <w:gridSpan w:val="3"/>
            <w:vMerge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14:paraId="2CECD289" w14:textId="77777777" w:rsidR="00135EAE" w:rsidRPr="009374A2" w:rsidRDefault="00135EAE" w:rsidP="001713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5AB9D" w14:textId="77777777" w:rsidR="00135EAE" w:rsidRPr="009374A2" w:rsidRDefault="00135EAE" w:rsidP="001713E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35A55158" w14:textId="102CBFCA" w:rsidR="00135EAE" w:rsidRDefault="00135EAE" w:rsidP="001713EB">
            <w:pPr>
              <w:rPr>
                <w:rFonts w:ascii="Arial" w:hAnsi="Arial" w:cs="Arial"/>
                <w:sz w:val="20"/>
                <w:szCs w:val="20"/>
              </w:rPr>
            </w:pP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74A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76F10" w:rsidRPr="001E3363" w14:paraId="13D12D0F" w14:textId="77777777" w:rsidTr="00135EAE">
        <w:tblPrEx>
          <w:tblCellMar>
            <w:left w:w="57" w:type="dxa"/>
            <w:right w:w="57" w:type="dxa"/>
          </w:tblCellMar>
        </w:tblPrEx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F75A5" w14:textId="0A8D0A0D" w:rsidR="00676F10" w:rsidRPr="001E3363" w:rsidRDefault="00135EAE" w:rsidP="00135EA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F00900">
              <w:rPr>
                <w:rFonts w:ascii="Arial" w:hAnsi="Arial" w:cs="Arial"/>
                <w:b/>
                <w:sz w:val="20"/>
                <w:szCs w:val="20"/>
              </w:rPr>
            </w:r>
            <w:r w:rsidR="00F0090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 xml:space="preserve">  Check here if the facility does not manage any trust funds and skip the rest of the form.</w:t>
            </w:r>
          </w:p>
        </w:tc>
      </w:tr>
      <w:tr w:rsidR="00135EAE" w:rsidRPr="001E3363" w14:paraId="3A7B9A32" w14:textId="77777777" w:rsidTr="00135EAE">
        <w:tblPrEx>
          <w:tblCellMar>
            <w:left w:w="57" w:type="dxa"/>
            <w:right w:w="57" w:type="dxa"/>
          </w:tblCellMar>
        </w:tblPrEx>
        <w:trPr>
          <w:trHeight w:val="317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CBE0CB" w14:textId="3F64C45E" w:rsidR="00135EAE" w:rsidRPr="00135EAE" w:rsidRDefault="00135EAE" w:rsidP="00135EAE">
            <w:pPr>
              <w:pStyle w:val="ListParagraph"/>
              <w:numPr>
                <w:ilvl w:val="0"/>
                <w:numId w:val="3"/>
              </w:numPr>
              <w:ind w:left="305" w:hanging="30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Trust Fund Sample</w:t>
            </w:r>
          </w:p>
        </w:tc>
      </w:tr>
      <w:tr w:rsidR="001713EB" w14:paraId="666C350D" w14:textId="77777777" w:rsidTr="00135EAE">
        <w:tc>
          <w:tcPr>
            <w:tcW w:w="10790" w:type="dxa"/>
            <w:gridSpan w:val="5"/>
            <w:tcBorders>
              <w:top w:val="single" w:sz="4" w:space="0" w:color="auto"/>
            </w:tcBorders>
          </w:tcPr>
          <w:p w14:paraId="3BAE6A5A" w14:textId="34080132" w:rsidR="00D76F2B" w:rsidRDefault="00135EAE" w:rsidP="00135EA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sample of three current residents with funds in the trust account and one discharged resident who used the trust account.</w:t>
            </w:r>
          </w:p>
          <w:p w14:paraId="2D32CF18" w14:textId="18CD0C71" w:rsidR="00D76F2B" w:rsidRPr="00D76F2B" w:rsidRDefault="00D76F2B" w:rsidP="00135EAE">
            <w:pPr>
              <w:tabs>
                <w:tab w:val="right" w:pos="5743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Name:  </w:t>
            </w:r>
            <w:r w:rsidR="00387FA4" w:rsidRPr="00387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7FA4" w:rsidRPr="00387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387FA4" w:rsidRPr="00387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="00387FA4" w:rsidRPr="00387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87FA4" w:rsidRPr="00387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135EAE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113FA1BD" w14:textId="292A59F5" w:rsidR="00D76F2B" w:rsidRDefault="00D76F2B" w:rsidP="00135EAE">
            <w:pPr>
              <w:tabs>
                <w:tab w:val="right" w:pos="5743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Name:  </w:t>
            </w:r>
            <w:r w:rsidR="00387FA4" w:rsidRPr="00387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7FA4" w:rsidRPr="00387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387FA4" w:rsidRPr="00387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="00387FA4" w:rsidRPr="00387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87FA4" w:rsidRPr="00387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135EAE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512C9737" w14:textId="548920E2" w:rsidR="00D76F2B" w:rsidRDefault="00D76F2B" w:rsidP="00135EAE">
            <w:pPr>
              <w:tabs>
                <w:tab w:val="right" w:pos="5743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Name:  </w:t>
            </w:r>
            <w:r w:rsidR="00387FA4" w:rsidRPr="00387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7FA4" w:rsidRPr="00387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387FA4" w:rsidRPr="00387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="00387FA4" w:rsidRPr="00387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87FA4" w:rsidRPr="00387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135EAE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14:paraId="36B204BA" w14:textId="65501939" w:rsidR="00D76F2B" w:rsidRDefault="00D76F2B" w:rsidP="00135EAE">
            <w:pPr>
              <w:tabs>
                <w:tab w:val="right" w:pos="8623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Discharged Resident:  </w:t>
            </w:r>
            <w:r w:rsidR="00387FA4" w:rsidRPr="00387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87FA4" w:rsidRPr="00387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387FA4" w:rsidRPr="00387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="00387FA4" w:rsidRPr="00387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387FA4" w:rsidRPr="00387F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135EAE"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</w:tc>
      </w:tr>
      <w:tr w:rsidR="00D76F2B" w:rsidRPr="001E3363" w14:paraId="7FFD8368" w14:textId="77777777" w:rsidTr="00135EAE">
        <w:tblPrEx>
          <w:tblCellMar>
            <w:left w:w="57" w:type="dxa"/>
            <w:right w:w="57" w:type="dxa"/>
          </w:tblCellMar>
        </w:tblPrEx>
        <w:trPr>
          <w:trHeight w:val="317"/>
        </w:trPr>
        <w:tc>
          <w:tcPr>
            <w:tcW w:w="5223" w:type="dxa"/>
            <w:gridSpan w:val="3"/>
            <w:shd w:val="clear" w:color="auto" w:fill="DEEAF6" w:themeFill="accent1" w:themeFillTint="33"/>
            <w:vAlign w:val="center"/>
          </w:tcPr>
          <w:p w14:paraId="03B71B56" w14:textId="1A27C6C2" w:rsidR="00D76F2B" w:rsidRPr="00135EAE" w:rsidRDefault="0092698C" w:rsidP="00135EAE">
            <w:pPr>
              <w:pStyle w:val="ListParagraph"/>
              <w:numPr>
                <w:ilvl w:val="0"/>
                <w:numId w:val="3"/>
              </w:numPr>
              <w:ind w:left="305" w:hanging="305"/>
              <w:rPr>
                <w:rFonts w:ascii="Arial" w:hAnsi="Arial" w:cs="Arial"/>
                <w:b/>
                <w:sz w:val="20"/>
                <w:szCs w:val="20"/>
              </w:rPr>
            </w:pPr>
            <w:r w:rsidRPr="00135EAE">
              <w:rPr>
                <w:rFonts w:ascii="Arial" w:hAnsi="Arial" w:cs="Arial"/>
                <w:b/>
                <w:sz w:val="20"/>
                <w:szCs w:val="20"/>
              </w:rPr>
              <w:t>Trust Fund / Surety Bond Item</w:t>
            </w:r>
          </w:p>
        </w:tc>
        <w:tc>
          <w:tcPr>
            <w:tcW w:w="5567" w:type="dxa"/>
            <w:gridSpan w:val="2"/>
            <w:shd w:val="clear" w:color="auto" w:fill="DEEAF6" w:themeFill="accent1" w:themeFillTint="33"/>
            <w:vAlign w:val="center"/>
          </w:tcPr>
          <w:p w14:paraId="22A07036" w14:textId="77777777" w:rsidR="00D76F2B" w:rsidRPr="001E3363" w:rsidRDefault="00D76F2B" w:rsidP="009269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363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5C6768" w14:paraId="2107D156" w14:textId="77777777" w:rsidTr="005C6768">
        <w:tblPrEx>
          <w:tblCellMar>
            <w:left w:w="57" w:type="dxa"/>
            <w:right w:w="57" w:type="dxa"/>
          </w:tblCellMar>
        </w:tblPrEx>
        <w:trPr>
          <w:trHeight w:val="196"/>
        </w:trPr>
        <w:tc>
          <w:tcPr>
            <w:tcW w:w="4323" w:type="dxa"/>
            <w:gridSpan w:val="2"/>
            <w:vAlign w:val="center"/>
          </w:tcPr>
          <w:p w14:paraId="2320EF8B" w14:textId="281729B0" w:rsidR="005C6768" w:rsidRPr="005C6768" w:rsidRDefault="005C6768" w:rsidP="005C676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05" w:hanging="305"/>
              <w:rPr>
                <w:rFonts w:ascii="Arial" w:hAnsi="Arial" w:cs="Arial"/>
                <w:sz w:val="20"/>
                <w:szCs w:val="20"/>
              </w:rPr>
            </w:pPr>
            <w:r w:rsidRPr="005C6768">
              <w:rPr>
                <w:rFonts w:ascii="Arial" w:hAnsi="Arial" w:cs="Arial"/>
                <w:sz w:val="20"/>
                <w:szCs w:val="20"/>
              </w:rPr>
              <w:t>Are the resident funds above $50 ($100 for Medicare residents) in an interest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C6768">
              <w:rPr>
                <w:rFonts w:ascii="Arial" w:hAnsi="Arial" w:cs="Arial"/>
                <w:sz w:val="20"/>
                <w:szCs w:val="20"/>
              </w:rPr>
              <w:t>bearing account? Is the interest credited appropriately to each resident?</w:t>
            </w:r>
          </w:p>
        </w:tc>
        <w:tc>
          <w:tcPr>
            <w:tcW w:w="900" w:type="dxa"/>
            <w:vAlign w:val="center"/>
          </w:tcPr>
          <w:p w14:paraId="7B6BC423" w14:textId="7971D1FC" w:rsidR="005C6768" w:rsidRDefault="005C6768" w:rsidP="005C67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0900">
              <w:rPr>
                <w:rFonts w:ascii="Arial" w:hAnsi="Arial" w:cs="Arial"/>
                <w:sz w:val="20"/>
                <w:szCs w:val="20"/>
              </w:rPr>
            </w:r>
            <w:r w:rsidR="00F009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27B76CCE" w14:textId="52E68D92" w:rsidR="005C6768" w:rsidRDefault="005C6768" w:rsidP="005C676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0900">
              <w:rPr>
                <w:rFonts w:ascii="Arial" w:hAnsi="Arial" w:cs="Arial"/>
                <w:sz w:val="20"/>
                <w:szCs w:val="20"/>
              </w:rPr>
            </w:r>
            <w:r w:rsidR="00F009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5567" w:type="dxa"/>
            <w:gridSpan w:val="2"/>
            <w:vMerge w:val="restart"/>
          </w:tcPr>
          <w:p w14:paraId="42D5D98D" w14:textId="76ACE3C9" w:rsidR="005C6768" w:rsidRDefault="005C6768" w:rsidP="005C676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009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C6768" w14:paraId="332CF3D5" w14:textId="77777777" w:rsidTr="005C6768">
        <w:tblPrEx>
          <w:tblCellMar>
            <w:left w:w="57" w:type="dxa"/>
            <w:right w:w="57" w:type="dxa"/>
          </w:tblCellMar>
        </w:tblPrEx>
        <w:trPr>
          <w:trHeight w:val="195"/>
        </w:trPr>
        <w:tc>
          <w:tcPr>
            <w:tcW w:w="4323" w:type="dxa"/>
            <w:gridSpan w:val="2"/>
            <w:vAlign w:val="center"/>
          </w:tcPr>
          <w:p w14:paraId="4BB64393" w14:textId="5BA6A148" w:rsidR="005C6768" w:rsidRPr="005C6768" w:rsidRDefault="005C6768" w:rsidP="005C676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60"/>
              <w:ind w:left="305" w:hanging="3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nursing home convey trust funds and a final accounting of the funds within 30 days of discharge, transfer, or death?</w:t>
            </w:r>
          </w:p>
        </w:tc>
        <w:tc>
          <w:tcPr>
            <w:tcW w:w="900" w:type="dxa"/>
            <w:vAlign w:val="center"/>
          </w:tcPr>
          <w:p w14:paraId="4D62DD5B" w14:textId="226B4389" w:rsidR="005C6768" w:rsidRDefault="005C6768" w:rsidP="005C67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0900">
              <w:rPr>
                <w:rFonts w:ascii="Arial" w:hAnsi="Arial" w:cs="Arial"/>
                <w:sz w:val="20"/>
                <w:szCs w:val="20"/>
              </w:rPr>
            </w:r>
            <w:r w:rsidR="00F009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  <w:p w14:paraId="053F5068" w14:textId="1CB55D3A" w:rsidR="005C6768" w:rsidRDefault="005C6768" w:rsidP="005C676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0900">
              <w:rPr>
                <w:rFonts w:ascii="Arial" w:hAnsi="Arial" w:cs="Arial"/>
                <w:sz w:val="20"/>
                <w:szCs w:val="20"/>
              </w:rPr>
            </w:r>
            <w:r w:rsidR="00F009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5567" w:type="dxa"/>
            <w:gridSpan w:val="2"/>
            <w:vMerge/>
          </w:tcPr>
          <w:p w14:paraId="68FC53EF" w14:textId="77777777" w:rsidR="005C6768" w:rsidRDefault="005C6768" w:rsidP="005C6768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6768" w:rsidRPr="001E3363" w14:paraId="74B08539" w14:textId="77777777" w:rsidTr="00260EC7">
        <w:tblPrEx>
          <w:tblCellMar>
            <w:left w:w="57" w:type="dxa"/>
            <w:right w:w="57" w:type="dxa"/>
          </w:tblCellMar>
        </w:tblPrEx>
        <w:trPr>
          <w:trHeight w:val="317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44DB89F" w14:textId="75D182A9" w:rsidR="005C6768" w:rsidRPr="00135EAE" w:rsidRDefault="005C6768" w:rsidP="00260EC7">
            <w:pPr>
              <w:pStyle w:val="ListParagraph"/>
              <w:numPr>
                <w:ilvl w:val="0"/>
                <w:numId w:val="3"/>
              </w:numPr>
              <w:ind w:left="305" w:hanging="30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</w:tr>
      <w:tr w:rsidR="005C6768" w14:paraId="2B5FDD0B" w14:textId="77777777" w:rsidTr="005C6768">
        <w:tblPrEx>
          <w:tblCellMar>
            <w:left w:w="57" w:type="dxa"/>
            <w:right w:w="57" w:type="dxa"/>
          </w:tblCellMar>
        </w:tblPrEx>
        <w:tc>
          <w:tcPr>
            <w:tcW w:w="10790" w:type="dxa"/>
            <w:gridSpan w:val="5"/>
          </w:tcPr>
          <w:p w14:paraId="1D06F134" w14:textId="77777777" w:rsidR="005C6768" w:rsidRPr="00C013B3" w:rsidRDefault="005C6768" w:rsidP="005C6768">
            <w:pPr>
              <w:tabs>
                <w:tab w:val="right" w:pos="5743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013B3">
              <w:rPr>
                <w:rFonts w:ascii="Arial" w:hAnsi="Arial" w:cs="Arial"/>
                <w:sz w:val="20"/>
                <w:szCs w:val="20"/>
              </w:rPr>
              <w:t>Complete this task to ensure the facility credits interest to resident accounts appropriately and conveys funds within 30 days of the resident’s discharge, transfer, or death.</w:t>
            </w:r>
          </w:p>
          <w:p w14:paraId="17D04125" w14:textId="7E9BF108" w:rsidR="005C6768" w:rsidRDefault="005C6768" w:rsidP="005C676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60EC7">
              <w:rPr>
                <w:rFonts w:ascii="Arial" w:hAnsi="Arial" w:cs="Arial"/>
                <w:sz w:val="20"/>
                <w:szCs w:val="20"/>
              </w:rPr>
              <w:t xml:space="preserve">Select a sample of </w:t>
            </w:r>
            <w:r>
              <w:rPr>
                <w:rFonts w:ascii="Arial" w:hAnsi="Arial" w:cs="Arial"/>
                <w:sz w:val="20"/>
                <w:szCs w:val="20"/>
              </w:rPr>
              <w:t>three</w:t>
            </w:r>
            <w:r w:rsidRPr="00260EC7">
              <w:rPr>
                <w:rFonts w:ascii="Arial" w:hAnsi="Arial" w:cs="Arial"/>
                <w:sz w:val="20"/>
                <w:szCs w:val="20"/>
              </w:rPr>
              <w:t xml:space="preserve"> current residents who have funds in trust</w:t>
            </w:r>
            <w:r w:rsidRPr="006D7F21">
              <w:rPr>
                <w:rFonts w:ascii="Arial" w:hAnsi="Arial" w:cs="Arial"/>
                <w:sz w:val="20"/>
                <w:szCs w:val="20"/>
              </w:rPr>
              <w:t>, if less than three document reason</w:t>
            </w:r>
            <w:r w:rsidRPr="00260EC7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0056">
              <w:rPr>
                <w:rFonts w:ascii="Arial" w:hAnsi="Arial" w:cs="Arial"/>
                <w:sz w:val="20"/>
                <w:szCs w:val="20"/>
              </w:rPr>
              <w:t>Through interview with the facility trust fund manager and record review, verify interest is credited appropriately for three sampled residents.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60EC7">
              <w:rPr>
                <w:rFonts w:ascii="Arial" w:hAnsi="Arial" w:cs="Arial"/>
                <w:sz w:val="20"/>
                <w:szCs w:val="20"/>
              </w:rPr>
              <w:t>Additionally</w:t>
            </w:r>
            <w:r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Pr="00925E69">
              <w:rPr>
                <w:rFonts w:ascii="Arial" w:hAnsi="Arial" w:cs="Arial"/>
                <w:sz w:val="20"/>
                <w:szCs w:val="20"/>
              </w:rPr>
              <w:t xml:space="preserve">equest names of residents with trust funds who have </w:t>
            </w:r>
            <w:proofErr w:type="gramStart"/>
            <w:r w:rsidRPr="00925E69">
              <w:rPr>
                <w:rFonts w:ascii="Arial" w:hAnsi="Arial" w:cs="Arial"/>
                <w:sz w:val="20"/>
                <w:szCs w:val="20"/>
              </w:rPr>
              <w:t>discharged</w:t>
            </w:r>
            <w:proofErr w:type="gramEnd"/>
            <w:r w:rsidRPr="00925E69">
              <w:rPr>
                <w:rFonts w:ascii="Arial" w:hAnsi="Arial" w:cs="Arial"/>
                <w:sz w:val="20"/>
                <w:szCs w:val="20"/>
              </w:rPr>
              <w:t xml:space="preserve"> from the facility.  Select one resident who has been discharged for over 30 days to review for timely and appropriate disbursement of funds after discharge.</w:t>
            </w:r>
          </w:p>
        </w:tc>
      </w:tr>
      <w:tr w:rsidR="005C6768" w:rsidRPr="001E3363" w14:paraId="2091C596" w14:textId="77777777" w:rsidTr="00260EC7">
        <w:tblPrEx>
          <w:tblCellMar>
            <w:left w:w="57" w:type="dxa"/>
            <w:right w:w="57" w:type="dxa"/>
          </w:tblCellMar>
        </w:tblPrEx>
        <w:trPr>
          <w:trHeight w:val="317"/>
        </w:trPr>
        <w:tc>
          <w:tcPr>
            <w:tcW w:w="10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DEFCB6" w14:textId="3593EBAF" w:rsidR="005C6768" w:rsidRPr="00135EAE" w:rsidRDefault="005C6768" w:rsidP="00260EC7">
            <w:pPr>
              <w:pStyle w:val="ListParagraph"/>
              <w:numPr>
                <w:ilvl w:val="0"/>
                <w:numId w:val="3"/>
              </w:numPr>
              <w:ind w:left="305" w:hanging="30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Regulations</w:t>
            </w:r>
          </w:p>
        </w:tc>
      </w:tr>
      <w:tr w:rsidR="005C6768" w14:paraId="4D530D29" w14:textId="77777777" w:rsidTr="00062B00">
        <w:tblPrEx>
          <w:tblCellMar>
            <w:left w:w="57" w:type="dxa"/>
            <w:right w:w="57" w:type="dxa"/>
          </w:tblCellMar>
        </w:tblPrEx>
        <w:tc>
          <w:tcPr>
            <w:tcW w:w="10790" w:type="dxa"/>
            <w:gridSpan w:val="5"/>
            <w:vAlign w:val="center"/>
          </w:tcPr>
          <w:p w14:paraId="57D5E7E0" w14:textId="77777777" w:rsidR="005C6768" w:rsidRPr="00C013B3" w:rsidRDefault="005C6768" w:rsidP="005C6768">
            <w:pPr>
              <w:pStyle w:val="ListParagraph"/>
              <w:numPr>
                <w:ilvl w:val="0"/>
                <w:numId w:val="5"/>
              </w:numPr>
              <w:spacing w:before="6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013B3">
              <w:rPr>
                <w:rFonts w:ascii="Arial" w:hAnsi="Arial" w:cs="Arial"/>
                <w:sz w:val="20"/>
                <w:szCs w:val="20"/>
              </w:rPr>
              <w:t>Federal regulations (F567, F568, F569 and F570) and state regulations (WAC 388-97-0340) have the same requirements for trust funds, except for the requirements about when the residents’ personal funds are required to be in an interest-bearing account:</w:t>
            </w:r>
          </w:p>
          <w:p w14:paraId="442D6FB1" w14:textId="77777777" w:rsidR="005C6768" w:rsidRPr="00C013B3" w:rsidRDefault="005C6768" w:rsidP="005C6768">
            <w:pPr>
              <w:pStyle w:val="ListParagraph"/>
              <w:numPr>
                <w:ilvl w:val="1"/>
                <w:numId w:val="5"/>
              </w:numPr>
              <w:spacing w:before="60" w:after="60"/>
              <w:ind w:left="7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013B3">
              <w:rPr>
                <w:rFonts w:ascii="Arial" w:hAnsi="Arial" w:cs="Arial"/>
                <w:sz w:val="20"/>
                <w:szCs w:val="20"/>
              </w:rPr>
              <w:t>Federal (F567).  For all residents except Medicaid residents, the facility must deposit any residents' personal funds in excess of one hundred dollars in an interest-bearing account.  For residents whose care is funded by Medicaid, the facility must deposit the residents' personal funds in excess of fifty dollars in an interest-bearing account (or accounts).</w:t>
            </w:r>
          </w:p>
          <w:p w14:paraId="1E22A1AF" w14:textId="77777777" w:rsidR="005C6768" w:rsidRPr="00C013B3" w:rsidRDefault="005C6768" w:rsidP="005C6768">
            <w:pPr>
              <w:pStyle w:val="ListParagraph"/>
              <w:numPr>
                <w:ilvl w:val="1"/>
                <w:numId w:val="5"/>
              </w:numPr>
              <w:spacing w:before="60" w:after="60"/>
              <w:ind w:left="7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013B3">
              <w:rPr>
                <w:rFonts w:ascii="Arial" w:hAnsi="Arial" w:cs="Arial"/>
                <w:sz w:val="20"/>
                <w:szCs w:val="20"/>
              </w:rPr>
              <w:t>State (WAC 388-97-0340).  The facility must deposit any resident's personal funds in excess of fifty dollars in an interest-bearing account or accounts.  For residents whose care is funded by Medicare, funds in excess of one hundred dollars must be deposited into an interest-bearing account.</w:t>
            </w:r>
          </w:p>
          <w:p w14:paraId="795F0516" w14:textId="4DFC56E4" w:rsidR="005C6768" w:rsidRPr="005C6768" w:rsidRDefault="005C6768" w:rsidP="005C6768">
            <w:pPr>
              <w:pStyle w:val="ListParagraph"/>
              <w:numPr>
                <w:ilvl w:val="0"/>
                <w:numId w:val="5"/>
              </w:numPr>
              <w:spacing w:before="6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5C6768">
              <w:rPr>
                <w:rFonts w:ascii="Arial" w:hAnsi="Arial" w:cs="Arial"/>
                <w:sz w:val="20"/>
                <w:szCs w:val="20"/>
              </w:rPr>
              <w:t xml:space="preserve">Both federal (F569) and state (WAC 388-97-0340) regulations require the facility to convey the funds and a final accounting of the funds to the resident or the appropriate jurisdiction within 30 days of the discharge, transfer, or death of the resident.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6768">
              <w:rPr>
                <w:rFonts w:ascii="Arial" w:hAnsi="Arial" w:cs="Arial"/>
                <w:sz w:val="20"/>
                <w:szCs w:val="20"/>
              </w:rPr>
              <w:t>The LTCSP pathway (CMS-20063 Personal Funds Review) does not review this aspect of the regulation.</w:t>
            </w:r>
          </w:p>
        </w:tc>
      </w:tr>
    </w:tbl>
    <w:p w14:paraId="78B5810E" w14:textId="77777777" w:rsidR="002B0E16" w:rsidRPr="00781845" w:rsidRDefault="002B0E16" w:rsidP="005C6768">
      <w:pPr>
        <w:spacing w:before="60" w:after="60"/>
        <w:rPr>
          <w:rFonts w:ascii="Arial" w:hAnsi="Arial" w:cs="Arial"/>
          <w:sz w:val="2"/>
          <w:szCs w:val="2"/>
        </w:rPr>
      </w:pPr>
    </w:p>
    <w:sectPr w:rsidR="002B0E16" w:rsidRPr="00781845" w:rsidSect="001713E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208CD" w14:textId="77777777" w:rsidR="001713EB" w:rsidRDefault="001713EB" w:rsidP="001713EB">
      <w:pPr>
        <w:spacing w:after="0" w:line="240" w:lineRule="auto"/>
      </w:pPr>
      <w:r>
        <w:separator/>
      </w:r>
    </w:p>
  </w:endnote>
  <w:endnote w:type="continuationSeparator" w:id="0">
    <w:p w14:paraId="61251858" w14:textId="77777777" w:rsidR="001713EB" w:rsidRDefault="001713EB" w:rsidP="0017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082693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2D767F9" w14:textId="77777777" w:rsidR="001713EB" w:rsidRDefault="00EF2B8B" w:rsidP="001713EB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TRUST FUND AND SURETY BOND REVIEW</w:t>
            </w:r>
            <w:r w:rsidR="001713EB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1713EB" w:rsidRPr="001713EB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1713EB" w:rsidRPr="001713E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1713EB" w:rsidRPr="001713EB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1713EB" w:rsidRPr="001713E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76F10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1713EB" w:rsidRPr="001713E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1713EB" w:rsidRPr="001713E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1713EB" w:rsidRPr="001713E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1713EB" w:rsidRPr="001713EB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1713EB" w:rsidRPr="001713E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76F10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1713EB" w:rsidRPr="001713E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BC9957" w14:textId="44923682" w:rsidR="001713EB" w:rsidRDefault="001713EB" w:rsidP="001713EB">
    <w:pPr>
      <w:pStyle w:val="Footer"/>
      <w:tabs>
        <w:tab w:val="clear" w:pos="4680"/>
        <w:tab w:val="clear" w:pos="9360"/>
      </w:tabs>
    </w:pPr>
    <w:r>
      <w:rPr>
        <w:rFonts w:ascii="Arial" w:hAnsi="Arial" w:cs="Arial"/>
        <w:b/>
        <w:sz w:val="16"/>
        <w:szCs w:val="16"/>
      </w:rPr>
      <w:t>DSHS 10-</w:t>
    </w:r>
    <w:r w:rsidR="00676F10">
      <w:rPr>
        <w:rFonts w:ascii="Arial" w:hAnsi="Arial" w:cs="Arial"/>
        <w:b/>
        <w:sz w:val="16"/>
        <w:szCs w:val="16"/>
      </w:rPr>
      <w:t>628</w:t>
    </w:r>
    <w:r>
      <w:rPr>
        <w:rFonts w:ascii="Arial" w:hAnsi="Arial" w:cs="Arial"/>
        <w:b/>
        <w:sz w:val="16"/>
        <w:szCs w:val="16"/>
      </w:rPr>
      <w:t xml:space="preserve"> (</w:t>
    </w:r>
    <w:r w:rsidR="0084640C">
      <w:rPr>
        <w:rFonts w:ascii="Arial" w:hAnsi="Arial" w:cs="Arial"/>
        <w:b/>
        <w:sz w:val="16"/>
        <w:szCs w:val="16"/>
      </w:rPr>
      <w:t>REV. 06/2024</w:t>
    </w:r>
    <w:r>
      <w:rPr>
        <w:rFonts w:ascii="Arial" w:hAnsi="Arial" w:cs="Arial"/>
        <w:b/>
        <w:sz w:val="16"/>
        <w:szCs w:val="16"/>
      </w:rPr>
      <w:t>)</w:t>
    </w:r>
    <w:r w:rsidR="005C6768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DA7B4" w14:textId="77777777" w:rsidR="001713EB" w:rsidRDefault="001713EB" w:rsidP="001713EB">
      <w:pPr>
        <w:spacing w:after="0" w:line="240" w:lineRule="auto"/>
      </w:pPr>
      <w:r>
        <w:separator/>
      </w:r>
    </w:p>
  </w:footnote>
  <w:footnote w:type="continuationSeparator" w:id="0">
    <w:p w14:paraId="60BF1901" w14:textId="77777777" w:rsidR="001713EB" w:rsidRDefault="001713EB" w:rsidP="00171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16D6"/>
    <w:multiLevelType w:val="hybridMultilevel"/>
    <w:tmpl w:val="6396C6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F4D84"/>
    <w:multiLevelType w:val="hybridMultilevel"/>
    <w:tmpl w:val="409E61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1550E"/>
    <w:multiLevelType w:val="hybridMultilevel"/>
    <w:tmpl w:val="39DADE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3F59B5"/>
    <w:multiLevelType w:val="hybridMultilevel"/>
    <w:tmpl w:val="C740A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94327"/>
    <w:multiLevelType w:val="hybridMultilevel"/>
    <w:tmpl w:val="8A627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215363">
    <w:abstractNumId w:val="0"/>
  </w:num>
  <w:num w:numId="2" w16cid:durableId="799540311">
    <w:abstractNumId w:val="1"/>
  </w:num>
  <w:num w:numId="3" w16cid:durableId="655650448">
    <w:abstractNumId w:val="3"/>
  </w:num>
  <w:num w:numId="4" w16cid:durableId="11927803">
    <w:abstractNumId w:val="4"/>
  </w:num>
  <w:num w:numId="5" w16cid:durableId="995915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r/6aFhGR8ORHFobkUyy8MuSfmRLWflSXKAC21losO7qYxU3wcfBbP+r8v1GVtvnZ10sVOS8188VdbGBkxq8kAg==" w:salt="atWEKIO0IAQhIoz/7D50L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90B"/>
    <w:rsid w:val="00135EAE"/>
    <w:rsid w:val="001713EB"/>
    <w:rsid w:val="002561D9"/>
    <w:rsid w:val="002B0E16"/>
    <w:rsid w:val="00387FA4"/>
    <w:rsid w:val="00471B69"/>
    <w:rsid w:val="005377F5"/>
    <w:rsid w:val="00580C6D"/>
    <w:rsid w:val="005960BB"/>
    <w:rsid w:val="005C6768"/>
    <w:rsid w:val="00676F10"/>
    <w:rsid w:val="007502CD"/>
    <w:rsid w:val="00781845"/>
    <w:rsid w:val="0084640C"/>
    <w:rsid w:val="00867202"/>
    <w:rsid w:val="0092698C"/>
    <w:rsid w:val="0093319D"/>
    <w:rsid w:val="009C58FD"/>
    <w:rsid w:val="00A168A1"/>
    <w:rsid w:val="00D76F2B"/>
    <w:rsid w:val="00D9790B"/>
    <w:rsid w:val="00E63A57"/>
    <w:rsid w:val="00EF2B8B"/>
    <w:rsid w:val="00F00900"/>
    <w:rsid w:val="00F9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933AC"/>
  <w15:chartTrackingRefBased/>
  <w15:docId w15:val="{64795C92-5DCC-4F72-9EB7-1FC85A9B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3EB"/>
  </w:style>
  <w:style w:type="paragraph" w:styleId="Footer">
    <w:name w:val="footer"/>
    <w:basedOn w:val="Normal"/>
    <w:link w:val="FooterChar"/>
    <w:uiPriority w:val="99"/>
    <w:unhideWhenUsed/>
    <w:rsid w:val="00171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3EB"/>
  </w:style>
  <w:style w:type="paragraph" w:styleId="ListParagraph">
    <w:name w:val="List Paragraph"/>
    <w:basedOn w:val="Normal"/>
    <w:uiPriority w:val="34"/>
    <w:qFormat/>
    <w:rsid w:val="00D76F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8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C6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2541</Characters>
  <Application>Microsoft Office Word</Application>
  <DocSecurity>0</DocSecurity>
  <Lines>68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Trust Fund Review</vt:lpstr>
    </vt:vector>
  </TitlesOfParts>
  <Company>DSHS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Trust Fund Review</dc:title>
  <dc:subject/>
  <dc:creator>Brombacher, Millie A. (DSHS/IGU)</dc:creator>
  <cp:keywords/>
  <dc:description/>
  <cp:lastModifiedBy>Brombacher, Millie (DSHS/OOS/OIG)</cp:lastModifiedBy>
  <cp:revision>2</cp:revision>
  <dcterms:created xsi:type="dcterms:W3CDTF">2024-06-18T18:03:00Z</dcterms:created>
  <dcterms:modified xsi:type="dcterms:W3CDTF">2024-06-18T18:03:00Z</dcterms:modified>
</cp:coreProperties>
</file>