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180"/>
        <w:gridCol w:w="3240"/>
        <w:gridCol w:w="180"/>
        <w:gridCol w:w="1710"/>
        <w:gridCol w:w="2160"/>
        <w:gridCol w:w="1980"/>
      </w:tblGrid>
      <w:tr w:rsidR="003076C6" w:rsidTr="009D061B">
        <w:tc>
          <w:tcPr>
            <w:tcW w:w="1710" w:type="dxa"/>
            <w:gridSpan w:val="2"/>
            <w:tcBorders>
              <w:top w:val="nil"/>
              <w:left w:val="nil"/>
              <w:bottom w:val="single" w:sz="2" w:space="0" w:color="auto"/>
              <w:right w:val="nil"/>
            </w:tcBorders>
          </w:tcPr>
          <w:p w:rsidR="003076C6" w:rsidRDefault="00CC05B7">
            <w:pPr>
              <w:pStyle w:val="Header"/>
              <w:tabs>
                <w:tab w:val="clear" w:pos="4320"/>
                <w:tab w:val="clear" w:pos="8640"/>
              </w:tabs>
              <w:spacing w:after="40"/>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34.7pt">
                  <v:imagedata r:id="rId7" o:title="Transforming Lives"/>
                </v:shape>
              </w:pict>
            </w:r>
          </w:p>
        </w:tc>
        <w:tc>
          <w:tcPr>
            <w:tcW w:w="9270" w:type="dxa"/>
            <w:gridSpan w:val="5"/>
            <w:tcBorders>
              <w:top w:val="nil"/>
              <w:left w:val="nil"/>
              <w:bottom w:val="single" w:sz="2" w:space="0" w:color="auto"/>
              <w:right w:val="nil"/>
            </w:tcBorders>
            <w:vAlign w:val="center"/>
          </w:tcPr>
          <w:p w:rsidR="003076C6" w:rsidRPr="00C0654F" w:rsidRDefault="00C0654F" w:rsidP="009D061B">
            <w:pPr>
              <w:tabs>
                <w:tab w:val="center" w:pos="3852"/>
              </w:tabs>
              <w:rPr>
                <w:rFonts w:ascii="Arial" w:hAnsi="Arial"/>
                <w:b/>
              </w:rPr>
            </w:pPr>
            <w:r>
              <w:rPr>
                <w:rFonts w:ascii="Arial" w:hAnsi="Arial"/>
                <w:b/>
                <w:sz w:val="28"/>
                <w:szCs w:val="28"/>
              </w:rPr>
              <w:tab/>
            </w:r>
            <w:r w:rsidR="009D061B">
              <w:rPr>
                <w:rFonts w:ascii="Arial" w:hAnsi="Arial"/>
                <w:b/>
                <w:sz w:val="28"/>
                <w:szCs w:val="28"/>
              </w:rPr>
              <w:t xml:space="preserve">Waiver of Administrative </w:t>
            </w:r>
            <w:r>
              <w:rPr>
                <w:rFonts w:ascii="Arial" w:hAnsi="Arial"/>
                <w:b/>
                <w:sz w:val="28"/>
                <w:szCs w:val="28"/>
              </w:rPr>
              <w:t>D</w:t>
            </w:r>
            <w:r w:rsidR="00D719F2" w:rsidRPr="00D719F2">
              <w:rPr>
                <w:rFonts w:ascii="Arial" w:hAnsi="Arial"/>
                <w:b/>
                <w:sz w:val="28"/>
                <w:szCs w:val="28"/>
              </w:rPr>
              <w:t xml:space="preserve">isqualification </w:t>
            </w:r>
            <w:r w:rsidR="009D061B">
              <w:rPr>
                <w:rFonts w:ascii="Arial" w:hAnsi="Arial"/>
                <w:b/>
                <w:sz w:val="28"/>
                <w:szCs w:val="28"/>
              </w:rPr>
              <w:t>Hearing</w:t>
            </w:r>
            <w:r>
              <w:rPr>
                <w:rFonts w:ascii="Arial" w:hAnsi="Arial"/>
                <w:b/>
                <w:sz w:val="28"/>
                <w:szCs w:val="28"/>
              </w:rPr>
              <w:br/>
            </w:r>
            <w:r>
              <w:rPr>
                <w:rFonts w:ascii="Arial" w:hAnsi="Arial"/>
              </w:rPr>
              <w:tab/>
            </w:r>
            <w:r w:rsidRPr="00C0654F">
              <w:rPr>
                <w:rFonts w:ascii="Arial" w:hAnsi="Arial"/>
              </w:rPr>
              <w:t>For</w:t>
            </w:r>
            <w:r>
              <w:rPr>
                <w:rFonts w:ascii="Arial" w:hAnsi="Arial"/>
              </w:rPr>
              <w:t xml:space="preserve"> Washington Food Assistance Programs</w:t>
            </w:r>
          </w:p>
        </w:tc>
      </w:tr>
      <w:tr w:rsidR="003076C6" w:rsidTr="008A66B0">
        <w:trPr>
          <w:trHeight w:hRule="exact" w:val="576"/>
        </w:trPr>
        <w:tc>
          <w:tcPr>
            <w:tcW w:w="1530" w:type="dxa"/>
            <w:tcBorders>
              <w:top w:val="single" w:sz="2" w:space="0" w:color="auto"/>
              <w:left w:val="single" w:sz="2" w:space="0" w:color="auto"/>
              <w:bottom w:val="single" w:sz="2" w:space="0" w:color="auto"/>
              <w:right w:val="single" w:sz="2" w:space="0" w:color="auto"/>
            </w:tcBorders>
          </w:tcPr>
          <w:p w:rsidR="003076C6" w:rsidRPr="00D719F2" w:rsidRDefault="00C252C9">
            <w:pPr>
              <w:rPr>
                <w:rFonts w:ascii="Arial" w:hAnsi="Arial"/>
                <w:sz w:val="16"/>
                <w:szCs w:val="16"/>
              </w:rPr>
            </w:pPr>
            <w:r>
              <w:rPr>
                <w:rFonts w:ascii="Arial" w:hAnsi="Arial"/>
                <w:sz w:val="16"/>
                <w:szCs w:val="16"/>
              </w:rPr>
              <w:t>DATE</w:t>
            </w:r>
          </w:p>
          <w:p w:rsidR="003076C6" w:rsidRDefault="00C252C9">
            <w:pPr>
              <w:rPr>
                <w:rFonts w:ascii="Arial" w:hAnsi="Arial"/>
                <w:sz w:val="12"/>
              </w:rPr>
            </w:pPr>
            <w:r>
              <w:rPr>
                <w:b/>
                <w:sz w:val="24"/>
              </w:rPr>
              <w:fldChar w:fldCharType="begin">
                <w:ffData>
                  <w:name w:val="Text1"/>
                  <w:enabled/>
                  <w:calcOnExit w:val="0"/>
                  <w:textInput>
                    <w:type w:val="date"/>
                    <w:format w:val="MM/DD/YYYY"/>
                  </w:textInput>
                </w:ffData>
              </w:fldChar>
            </w:r>
            <w:bookmarkStart w:id="0" w:name="Text1"/>
            <w:r>
              <w:rPr>
                <w:b/>
                <w:sz w:val="24"/>
              </w:rPr>
              <w:instrText xml:space="preserve"> FORMTEXT </w:instrText>
            </w:r>
            <w:r>
              <w:rPr>
                <w:b/>
                <w:sz w:val="24"/>
              </w:rPr>
            </w:r>
            <w:r>
              <w:rPr>
                <w:b/>
                <w:sz w:val="24"/>
              </w:rPr>
              <w:fldChar w:fldCharType="separate"/>
            </w:r>
            <w:bookmarkStart w:id="1" w:name="_GoBack"/>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bookmarkEnd w:id="1"/>
            <w:r>
              <w:rPr>
                <w:b/>
                <w:sz w:val="24"/>
              </w:rPr>
              <w:fldChar w:fldCharType="end"/>
            </w:r>
            <w:bookmarkEnd w:id="0"/>
          </w:p>
        </w:tc>
        <w:tc>
          <w:tcPr>
            <w:tcW w:w="3420" w:type="dxa"/>
            <w:gridSpan w:val="2"/>
            <w:tcBorders>
              <w:top w:val="single" w:sz="2" w:space="0" w:color="auto"/>
              <w:left w:val="single" w:sz="2" w:space="0" w:color="auto"/>
              <w:bottom w:val="single" w:sz="2" w:space="0" w:color="auto"/>
              <w:right w:val="single" w:sz="2" w:space="0" w:color="auto"/>
            </w:tcBorders>
          </w:tcPr>
          <w:p w:rsidR="003076C6" w:rsidRPr="00D719F2" w:rsidRDefault="003076C6">
            <w:pPr>
              <w:rPr>
                <w:rFonts w:ascii="Arial" w:hAnsi="Arial"/>
                <w:sz w:val="16"/>
                <w:szCs w:val="16"/>
              </w:rPr>
            </w:pPr>
            <w:r w:rsidRPr="00D719F2">
              <w:rPr>
                <w:rFonts w:ascii="Arial" w:hAnsi="Arial"/>
                <w:sz w:val="16"/>
                <w:szCs w:val="16"/>
              </w:rPr>
              <w:t>CLIENT’S NAME</w:t>
            </w:r>
          </w:p>
          <w:p w:rsidR="003076C6" w:rsidRDefault="003076C6">
            <w:pPr>
              <w:rPr>
                <w:rFonts w:ascii="Arial" w:hAnsi="Arial"/>
                <w:sz w:val="12"/>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r>
              <w:rPr>
                <w:b/>
                <w:sz w:val="24"/>
              </w:rPr>
              <w:fldChar w:fldCharType="end"/>
            </w:r>
          </w:p>
        </w:tc>
        <w:tc>
          <w:tcPr>
            <w:tcW w:w="1890" w:type="dxa"/>
            <w:gridSpan w:val="2"/>
            <w:tcBorders>
              <w:top w:val="single" w:sz="2" w:space="0" w:color="auto"/>
              <w:left w:val="single" w:sz="2" w:space="0" w:color="auto"/>
              <w:bottom w:val="single" w:sz="2" w:space="0" w:color="auto"/>
              <w:right w:val="single" w:sz="2" w:space="0" w:color="auto"/>
            </w:tcBorders>
          </w:tcPr>
          <w:p w:rsidR="003076C6" w:rsidRPr="00D719F2" w:rsidRDefault="003076C6">
            <w:pPr>
              <w:rPr>
                <w:rFonts w:ascii="Arial" w:hAnsi="Arial"/>
                <w:sz w:val="16"/>
                <w:szCs w:val="16"/>
              </w:rPr>
            </w:pPr>
            <w:r w:rsidRPr="00D719F2">
              <w:rPr>
                <w:rFonts w:ascii="Arial" w:hAnsi="Arial"/>
                <w:sz w:val="16"/>
                <w:szCs w:val="16"/>
              </w:rPr>
              <w:t xml:space="preserve">CLIENT’S </w:t>
            </w:r>
            <w:r w:rsidR="00055954">
              <w:rPr>
                <w:rFonts w:ascii="Arial" w:hAnsi="Arial"/>
                <w:sz w:val="16"/>
                <w:szCs w:val="16"/>
              </w:rPr>
              <w:t>SSN</w:t>
            </w:r>
          </w:p>
          <w:p w:rsidR="003076C6" w:rsidRDefault="003076C6" w:rsidP="00055954">
            <w:pPr>
              <w:rPr>
                <w:rFonts w:ascii="Arial" w:hAnsi="Arial"/>
                <w:sz w:val="12"/>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r>
              <w:rPr>
                <w:b/>
                <w:sz w:val="24"/>
              </w:rPr>
              <w:fldChar w:fldCharType="end"/>
            </w:r>
          </w:p>
        </w:tc>
        <w:tc>
          <w:tcPr>
            <w:tcW w:w="2160" w:type="dxa"/>
            <w:tcBorders>
              <w:top w:val="single" w:sz="2" w:space="0" w:color="auto"/>
              <w:left w:val="single" w:sz="2" w:space="0" w:color="auto"/>
              <w:bottom w:val="single" w:sz="2" w:space="0" w:color="auto"/>
              <w:right w:val="single" w:sz="2" w:space="0" w:color="auto"/>
            </w:tcBorders>
          </w:tcPr>
          <w:p w:rsidR="003076C6" w:rsidRPr="00D719F2" w:rsidRDefault="003076C6">
            <w:pPr>
              <w:rPr>
                <w:rFonts w:ascii="Arial" w:hAnsi="Arial"/>
                <w:sz w:val="16"/>
                <w:szCs w:val="16"/>
              </w:rPr>
            </w:pPr>
            <w:r w:rsidRPr="00D719F2">
              <w:rPr>
                <w:rFonts w:ascii="Arial" w:hAnsi="Arial"/>
                <w:sz w:val="16"/>
                <w:szCs w:val="16"/>
              </w:rPr>
              <w:t>CLIENT’S BIRTH DATE</w:t>
            </w:r>
          </w:p>
          <w:p w:rsidR="003076C6" w:rsidRDefault="003076C6" w:rsidP="00055954">
            <w:pPr>
              <w:rPr>
                <w:rFonts w:ascii="Arial" w:hAnsi="Arial"/>
                <w:sz w:val="12"/>
              </w:rPr>
            </w:pP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r>
              <w:rPr>
                <w:b/>
                <w:sz w:val="24"/>
              </w:rPr>
              <w:fldChar w:fldCharType="end"/>
            </w:r>
          </w:p>
        </w:tc>
        <w:tc>
          <w:tcPr>
            <w:tcW w:w="1980" w:type="dxa"/>
            <w:tcBorders>
              <w:top w:val="single" w:sz="2" w:space="0" w:color="auto"/>
              <w:left w:val="single" w:sz="2" w:space="0" w:color="auto"/>
              <w:bottom w:val="single" w:sz="2" w:space="0" w:color="auto"/>
              <w:right w:val="single" w:sz="2" w:space="0" w:color="auto"/>
            </w:tcBorders>
          </w:tcPr>
          <w:p w:rsidR="003076C6" w:rsidRPr="00D719F2" w:rsidRDefault="003076C6">
            <w:pPr>
              <w:rPr>
                <w:rFonts w:ascii="Arial" w:hAnsi="Arial"/>
                <w:sz w:val="16"/>
                <w:szCs w:val="16"/>
              </w:rPr>
            </w:pPr>
            <w:r w:rsidRPr="00D719F2">
              <w:rPr>
                <w:rFonts w:ascii="Arial" w:hAnsi="Arial"/>
                <w:sz w:val="16"/>
                <w:szCs w:val="16"/>
              </w:rPr>
              <w:t>CLIENT ID NUMBER</w:t>
            </w:r>
          </w:p>
          <w:p w:rsidR="003076C6" w:rsidRDefault="003076C6">
            <w:pPr>
              <w:rPr>
                <w:rFonts w:ascii="Arial" w:hAnsi="Arial"/>
                <w:sz w:val="12"/>
              </w:rPr>
            </w:pP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r>
              <w:rPr>
                <w:b/>
                <w:sz w:val="24"/>
              </w:rPr>
              <w:fldChar w:fldCharType="end"/>
            </w:r>
          </w:p>
        </w:tc>
      </w:tr>
      <w:tr w:rsidR="009D061B" w:rsidTr="00033F2A">
        <w:trPr>
          <w:trHeight w:val="5674"/>
        </w:trPr>
        <w:tc>
          <w:tcPr>
            <w:tcW w:w="10980" w:type="dxa"/>
            <w:gridSpan w:val="7"/>
            <w:tcBorders>
              <w:top w:val="single" w:sz="2" w:space="0" w:color="auto"/>
              <w:left w:val="single" w:sz="2" w:space="0" w:color="auto"/>
              <w:bottom w:val="single" w:sz="2" w:space="0" w:color="auto"/>
              <w:right w:val="single" w:sz="2" w:space="0" w:color="auto"/>
            </w:tcBorders>
          </w:tcPr>
          <w:p w:rsidR="00C252C9" w:rsidRDefault="00C252C9" w:rsidP="008A66B0">
            <w:pPr>
              <w:pStyle w:val="ListParagraph"/>
              <w:widowControl w:val="0"/>
              <w:tabs>
                <w:tab w:val="left" w:pos="347"/>
                <w:tab w:val="right" w:pos="10350"/>
              </w:tabs>
              <w:overflowPunct/>
              <w:adjustRightInd/>
              <w:spacing w:before="40"/>
              <w:ind w:left="0" w:right="432"/>
              <w:contextualSpacing w:val="0"/>
              <w:textAlignment w:val="auto"/>
              <w:rPr>
                <w:rFonts w:ascii="Arial" w:hAnsi="Arial" w:cs="Arial"/>
              </w:rPr>
            </w:pPr>
            <w:r>
              <w:rPr>
                <w:rFonts w:ascii="Arial" w:hAnsi="Arial" w:cs="Arial"/>
              </w:rPr>
              <w:t xml:space="preserve">You </w:t>
            </w:r>
            <w:proofErr w:type="gramStart"/>
            <w:r>
              <w:rPr>
                <w:rFonts w:ascii="Arial" w:hAnsi="Arial" w:cs="Arial"/>
              </w:rPr>
              <w:t>are being referred</w:t>
            </w:r>
            <w:proofErr w:type="gramEnd"/>
            <w:r>
              <w:rPr>
                <w:rFonts w:ascii="Arial" w:hAnsi="Arial" w:cs="Arial"/>
              </w:rPr>
              <w:t xml:space="preserve"> for an Administrative Hearing based on our belief that you have committed an Intentional Program Violation (IPV).  You have the right to appear at the hearing and contest the charges against you.  You also have the right to waive (give up) your right to a hearing.  </w:t>
            </w:r>
            <w:r w:rsidRPr="00C252C9">
              <w:rPr>
                <w:rFonts w:ascii="Arial" w:hAnsi="Arial" w:cs="Arial"/>
                <w:b/>
                <w:u w:val="single"/>
              </w:rPr>
              <w:t>If you decide to waive your hearing, you need to know the following information</w:t>
            </w:r>
            <w:r>
              <w:rPr>
                <w:rFonts w:ascii="Arial" w:hAnsi="Arial" w:cs="Arial"/>
              </w:rPr>
              <w:t>:</w:t>
            </w:r>
          </w:p>
          <w:p w:rsidR="009D061B" w:rsidRPr="009D061B" w:rsidRDefault="009D061B" w:rsidP="008A66B0">
            <w:pPr>
              <w:pStyle w:val="ListParagraph"/>
              <w:widowControl w:val="0"/>
              <w:numPr>
                <w:ilvl w:val="0"/>
                <w:numId w:val="3"/>
              </w:numPr>
              <w:tabs>
                <w:tab w:val="left" w:pos="347"/>
                <w:tab w:val="right" w:pos="10350"/>
              </w:tabs>
              <w:overflowPunct/>
              <w:adjustRightInd/>
              <w:spacing w:before="40"/>
              <w:ind w:left="347" w:right="432" w:hanging="347"/>
              <w:contextualSpacing w:val="0"/>
              <w:textAlignment w:val="auto"/>
              <w:rPr>
                <w:rFonts w:ascii="Arial" w:hAnsi="Arial" w:cs="Arial"/>
              </w:rPr>
            </w:pPr>
            <w:r w:rsidRPr="009D061B">
              <w:rPr>
                <w:rFonts w:ascii="Arial" w:hAnsi="Arial" w:cs="Arial"/>
              </w:rPr>
              <w:t>I</w:t>
            </w:r>
            <w:r w:rsidR="00C252C9">
              <w:rPr>
                <w:rFonts w:ascii="Arial" w:hAnsi="Arial" w:cs="Arial"/>
              </w:rPr>
              <w:t xml:space="preserve">f you sign this agreement, you </w:t>
            </w:r>
            <w:proofErr w:type="gramStart"/>
            <w:r w:rsidR="00C252C9">
              <w:rPr>
                <w:rFonts w:ascii="Arial" w:hAnsi="Arial" w:cs="Arial"/>
              </w:rPr>
              <w:t>will be disqualified</w:t>
            </w:r>
            <w:proofErr w:type="gramEnd"/>
            <w:r w:rsidR="00C252C9">
              <w:rPr>
                <w:rFonts w:ascii="Arial" w:hAnsi="Arial" w:cs="Arial"/>
              </w:rPr>
              <w:t xml:space="preserve"> for benefits and there will be a reduction in benefits for the entire period of the disqualification even if you do not admit to the facts alleged by the State Agency</w:t>
            </w:r>
            <w:r w:rsidRPr="009D061B">
              <w:rPr>
                <w:rFonts w:ascii="Arial" w:hAnsi="Arial" w:cs="Arial"/>
              </w:rPr>
              <w:t>.</w:t>
            </w:r>
          </w:p>
          <w:p w:rsidR="009D061B" w:rsidRPr="009D061B" w:rsidRDefault="00C252C9" w:rsidP="008A66B0">
            <w:pPr>
              <w:pStyle w:val="ListParagraph"/>
              <w:widowControl w:val="0"/>
              <w:numPr>
                <w:ilvl w:val="0"/>
                <w:numId w:val="3"/>
              </w:numPr>
              <w:tabs>
                <w:tab w:val="left" w:pos="347"/>
              </w:tabs>
              <w:overflowPunct/>
              <w:adjustRightInd/>
              <w:spacing w:before="40"/>
              <w:ind w:left="347" w:hanging="347"/>
              <w:contextualSpacing w:val="0"/>
              <w:textAlignment w:val="auto"/>
              <w:rPr>
                <w:rFonts w:ascii="Arial" w:hAnsi="Arial" w:cs="Arial"/>
              </w:rPr>
            </w:pPr>
            <w:r>
              <w:rPr>
                <w:rFonts w:ascii="Arial" w:hAnsi="Arial" w:cs="Arial"/>
              </w:rPr>
              <w:t xml:space="preserve">You do not have to admit to any of the charges.  You have the right to remain silent concerning the charges, as anything said or signed by you </w:t>
            </w:r>
            <w:proofErr w:type="gramStart"/>
            <w:r>
              <w:rPr>
                <w:rFonts w:ascii="Arial" w:hAnsi="Arial" w:cs="Arial"/>
              </w:rPr>
              <w:t>could be used</w:t>
            </w:r>
            <w:proofErr w:type="gramEnd"/>
            <w:r>
              <w:rPr>
                <w:rFonts w:ascii="Arial" w:hAnsi="Arial" w:cs="Arial"/>
              </w:rPr>
              <w:t xml:space="preserve"> in a court of law.</w:t>
            </w:r>
          </w:p>
          <w:p w:rsidR="009D061B" w:rsidRPr="009D061B" w:rsidRDefault="009D061B" w:rsidP="008A66B0">
            <w:pPr>
              <w:pStyle w:val="ListParagraph"/>
              <w:widowControl w:val="0"/>
              <w:numPr>
                <w:ilvl w:val="0"/>
                <w:numId w:val="3"/>
              </w:numPr>
              <w:tabs>
                <w:tab w:val="left" w:pos="347"/>
              </w:tabs>
              <w:overflowPunct/>
              <w:adjustRightInd/>
              <w:spacing w:before="40"/>
              <w:ind w:left="347" w:hanging="347"/>
              <w:contextualSpacing w:val="0"/>
              <w:textAlignment w:val="auto"/>
              <w:rPr>
                <w:rFonts w:ascii="Arial" w:hAnsi="Arial" w:cs="Arial"/>
              </w:rPr>
            </w:pPr>
            <w:r w:rsidRPr="009D061B">
              <w:rPr>
                <w:rFonts w:ascii="Arial" w:hAnsi="Arial" w:cs="Arial"/>
              </w:rPr>
              <w:t xml:space="preserve">If you sign this waiver, you must also choose one of the following statements to indicate whether or not you admit to the facts as </w:t>
            </w:r>
            <w:r w:rsidR="00C252C9">
              <w:rPr>
                <w:rFonts w:ascii="Arial" w:hAnsi="Arial" w:cs="Arial"/>
              </w:rPr>
              <w:t xml:space="preserve">alleged:  </w:t>
            </w:r>
          </w:p>
          <w:p w:rsidR="009D061B" w:rsidRDefault="00C252C9" w:rsidP="008A66B0">
            <w:pPr>
              <w:pStyle w:val="BodyText"/>
              <w:tabs>
                <w:tab w:val="left" w:pos="347"/>
                <w:tab w:val="left" w:pos="707"/>
              </w:tabs>
              <w:spacing w:before="40"/>
              <w:ind w:left="707" w:hanging="707"/>
            </w:pPr>
            <w:r>
              <w:tab/>
            </w:r>
            <w:r w:rsidR="009D061B">
              <w:fldChar w:fldCharType="begin">
                <w:ffData>
                  <w:name w:val="Check1"/>
                  <w:enabled/>
                  <w:calcOnExit w:val="0"/>
                  <w:checkBox>
                    <w:sizeAuto/>
                    <w:default w:val="0"/>
                  </w:checkBox>
                </w:ffData>
              </w:fldChar>
            </w:r>
            <w:bookmarkStart w:id="2" w:name="Check1"/>
            <w:r w:rsidR="009D061B">
              <w:instrText xml:space="preserve"> FORMCHECKBOX </w:instrText>
            </w:r>
            <w:r w:rsidR="00CC05B7">
              <w:fldChar w:fldCharType="separate"/>
            </w:r>
            <w:r w:rsidR="009D061B">
              <w:fldChar w:fldCharType="end"/>
            </w:r>
            <w:bookmarkEnd w:id="2"/>
            <w:r w:rsidR="009D061B">
              <w:tab/>
              <w:t xml:space="preserve">I admit the facts as presented and understand that a disqualification penalty </w:t>
            </w:r>
            <w:proofErr w:type="gramStart"/>
            <w:r w:rsidR="009D061B">
              <w:t>will be imposed</w:t>
            </w:r>
            <w:proofErr w:type="gramEnd"/>
            <w:r w:rsidR="009D061B">
              <w:t xml:space="preserve"> if I sign this waiver.</w:t>
            </w:r>
          </w:p>
          <w:p w:rsidR="009D061B" w:rsidRDefault="00C252C9" w:rsidP="008A66B0">
            <w:pPr>
              <w:pStyle w:val="BodyText"/>
              <w:tabs>
                <w:tab w:val="left" w:pos="347"/>
                <w:tab w:val="left" w:pos="707"/>
              </w:tabs>
              <w:spacing w:before="40"/>
              <w:ind w:left="707" w:hanging="707"/>
            </w:pPr>
            <w:r>
              <w:tab/>
            </w:r>
            <w:r w:rsidR="009D061B">
              <w:fldChar w:fldCharType="begin">
                <w:ffData>
                  <w:name w:val="Check2"/>
                  <w:enabled/>
                  <w:calcOnExit w:val="0"/>
                  <w:checkBox>
                    <w:sizeAuto/>
                    <w:default w:val="0"/>
                  </w:checkBox>
                </w:ffData>
              </w:fldChar>
            </w:r>
            <w:bookmarkStart w:id="3" w:name="Check2"/>
            <w:r w:rsidR="009D061B">
              <w:instrText xml:space="preserve"> FORMCHECKBOX </w:instrText>
            </w:r>
            <w:r w:rsidR="00CC05B7">
              <w:fldChar w:fldCharType="separate"/>
            </w:r>
            <w:r w:rsidR="009D061B">
              <w:fldChar w:fldCharType="end"/>
            </w:r>
            <w:bookmarkEnd w:id="3"/>
            <w:r w:rsidR="009D061B">
              <w:tab/>
              <w:t>I do not admit that the facts as presented are correct.  However, I have chosen to sign this waiver and understand that a disqualification penalty will results.</w:t>
            </w:r>
          </w:p>
          <w:p w:rsidR="00C252C9" w:rsidRDefault="00C252C9" w:rsidP="008A66B0">
            <w:pPr>
              <w:pStyle w:val="BodyText"/>
              <w:numPr>
                <w:ilvl w:val="0"/>
                <w:numId w:val="3"/>
              </w:numPr>
              <w:tabs>
                <w:tab w:val="left" w:pos="347"/>
                <w:tab w:val="left" w:pos="707"/>
              </w:tabs>
              <w:spacing w:before="40"/>
              <w:ind w:left="347"/>
            </w:pPr>
            <w:r>
              <w:t xml:space="preserve">The remaining adult household members, if any, </w:t>
            </w:r>
            <w:proofErr w:type="gramStart"/>
            <w:r>
              <w:t>will be held</w:t>
            </w:r>
            <w:proofErr w:type="gramEnd"/>
            <w:r>
              <w:t xml:space="preserve"> responsible for payment of the resulting claim.</w:t>
            </w:r>
          </w:p>
          <w:p w:rsidR="00C252C9" w:rsidRDefault="00C252C9" w:rsidP="008A66B0">
            <w:pPr>
              <w:pStyle w:val="BodyText"/>
              <w:numPr>
                <w:ilvl w:val="0"/>
                <w:numId w:val="3"/>
              </w:numPr>
              <w:tabs>
                <w:tab w:val="left" w:pos="347"/>
                <w:tab w:val="left" w:pos="707"/>
              </w:tabs>
              <w:spacing w:before="40"/>
              <w:ind w:left="347"/>
            </w:pPr>
            <w:r>
              <w:t>The penalty remains the same whether you choose to have a hearing and are determined guilty, or whether you waive the hearing.</w:t>
            </w:r>
          </w:p>
          <w:p w:rsidR="00C252C9" w:rsidRDefault="00C252C9" w:rsidP="008A66B0">
            <w:pPr>
              <w:pStyle w:val="BodyText"/>
              <w:tabs>
                <w:tab w:val="left" w:pos="347"/>
                <w:tab w:val="left" w:pos="707"/>
              </w:tabs>
              <w:spacing w:before="40"/>
              <w:ind w:left="-13"/>
              <w:rPr>
                <w:b/>
              </w:rPr>
            </w:pPr>
            <w:r>
              <w:rPr>
                <w:b/>
              </w:rPr>
              <w:t xml:space="preserve">This waiver </w:t>
            </w:r>
            <w:proofErr w:type="gramStart"/>
            <w:r>
              <w:rPr>
                <w:b/>
              </w:rPr>
              <w:t>must be returned</w:t>
            </w:r>
            <w:proofErr w:type="gramEnd"/>
            <w:r>
              <w:rPr>
                <w:b/>
              </w:rPr>
              <w:t xml:space="preserve"> with</w:t>
            </w:r>
            <w:r w:rsidR="00E11E06">
              <w:rPr>
                <w:b/>
              </w:rPr>
              <w:t>in</w:t>
            </w:r>
            <w:r>
              <w:rPr>
                <w:b/>
              </w:rPr>
              <w:t xml:space="preserve"> </w:t>
            </w:r>
            <w:r w:rsidR="005D562C">
              <w:rPr>
                <w:b/>
                <w:sz w:val="24"/>
              </w:rPr>
              <w:fldChar w:fldCharType="begin">
                <w:ffData>
                  <w:name w:val=""/>
                  <w:enabled/>
                  <w:calcOnExit w:val="0"/>
                  <w:textInput>
                    <w:maxLength w:val="2"/>
                  </w:textInput>
                </w:ffData>
              </w:fldChar>
            </w:r>
            <w:r w:rsidR="005D562C">
              <w:rPr>
                <w:b/>
                <w:sz w:val="24"/>
              </w:rPr>
              <w:instrText xml:space="preserve"> FORMTEXT </w:instrText>
            </w:r>
            <w:r w:rsidR="005D562C">
              <w:rPr>
                <w:b/>
                <w:sz w:val="24"/>
              </w:rPr>
            </w:r>
            <w:r w:rsidR="005D562C">
              <w:rPr>
                <w:b/>
                <w:sz w:val="24"/>
              </w:rPr>
              <w:fldChar w:fldCharType="separate"/>
            </w:r>
            <w:r w:rsidR="00CC05B7">
              <w:rPr>
                <w:b/>
                <w:noProof/>
                <w:sz w:val="24"/>
              </w:rPr>
              <w:t> </w:t>
            </w:r>
            <w:r w:rsidR="00CC05B7">
              <w:rPr>
                <w:b/>
                <w:noProof/>
                <w:sz w:val="24"/>
              </w:rPr>
              <w:t> </w:t>
            </w:r>
            <w:r w:rsidR="005D562C">
              <w:rPr>
                <w:b/>
                <w:sz w:val="24"/>
              </w:rPr>
              <w:fldChar w:fldCharType="end"/>
            </w:r>
            <w:r>
              <w:rPr>
                <w:b/>
              </w:rPr>
              <w:t xml:space="preserve"> days of the above date.  If no waiver is returned to the department, an Administrative Hearing will be scheduled.</w:t>
            </w:r>
          </w:p>
          <w:p w:rsidR="00C252C9" w:rsidRDefault="00C252C9" w:rsidP="008A66B0">
            <w:pPr>
              <w:pStyle w:val="BodyText"/>
              <w:tabs>
                <w:tab w:val="left" w:pos="347"/>
                <w:tab w:val="left" w:pos="707"/>
              </w:tabs>
              <w:spacing w:before="40"/>
              <w:ind w:left="-13"/>
              <w:rPr>
                <w:b/>
              </w:rPr>
            </w:pPr>
            <w:r>
              <w:rPr>
                <w:b/>
              </w:rPr>
              <w:t>If the accused individual is not the head of the household, the head of the household must also sign this waiver as stated in 7 CFR 273.1</w:t>
            </w:r>
            <w:r w:rsidR="004D465B">
              <w:rPr>
                <w:b/>
              </w:rPr>
              <w:t>6</w:t>
            </w:r>
            <w:r>
              <w:rPr>
                <w:b/>
              </w:rPr>
              <w:t>(</w:t>
            </w:r>
            <w:r w:rsidR="004D465B">
              <w:rPr>
                <w:b/>
              </w:rPr>
              <w:t>3</w:t>
            </w:r>
            <w:r>
              <w:rPr>
                <w:b/>
              </w:rPr>
              <w:t>).</w:t>
            </w:r>
          </w:p>
          <w:p w:rsidR="00C252C9" w:rsidRPr="00C252C9" w:rsidRDefault="00C252C9" w:rsidP="008A66B0">
            <w:pPr>
              <w:pStyle w:val="BodyText"/>
              <w:tabs>
                <w:tab w:val="left" w:pos="347"/>
                <w:tab w:val="left" w:pos="707"/>
              </w:tabs>
              <w:spacing w:before="40"/>
              <w:ind w:left="-13"/>
              <w:rPr>
                <w:b/>
              </w:rPr>
            </w:pPr>
            <w:r>
              <w:rPr>
                <w:b/>
              </w:rPr>
              <w:t xml:space="preserve">For additional information, you may contact </w:t>
            </w:r>
            <w:r w:rsidR="00BF2D14">
              <w:rPr>
                <w:rFonts w:ascii="Times New Roman" w:hAnsi="Times New Roman" w:cs="Times New Roman"/>
                <w:b/>
                <w:sz w:val="24"/>
              </w:rPr>
              <w:fldChar w:fldCharType="begin">
                <w:ffData>
                  <w:name w:val=""/>
                  <w:enabled/>
                  <w:calcOnExit w:val="0"/>
                  <w:textInput>
                    <w:default w:val="Department Representative"/>
                  </w:textInput>
                </w:ffData>
              </w:fldChar>
            </w:r>
            <w:r w:rsidR="00BF2D14">
              <w:rPr>
                <w:rFonts w:ascii="Times New Roman" w:hAnsi="Times New Roman" w:cs="Times New Roman"/>
                <w:b/>
                <w:sz w:val="24"/>
              </w:rPr>
              <w:instrText xml:space="preserve"> FORMTEXT </w:instrText>
            </w:r>
            <w:r w:rsidR="00BF2D14">
              <w:rPr>
                <w:rFonts w:ascii="Times New Roman" w:hAnsi="Times New Roman" w:cs="Times New Roman"/>
                <w:b/>
                <w:sz w:val="24"/>
              </w:rPr>
            </w:r>
            <w:r w:rsidR="00BF2D14">
              <w:rPr>
                <w:rFonts w:ascii="Times New Roman" w:hAnsi="Times New Roman" w:cs="Times New Roman"/>
                <w:b/>
                <w:sz w:val="24"/>
              </w:rPr>
              <w:fldChar w:fldCharType="separate"/>
            </w:r>
            <w:r w:rsidR="00CC05B7">
              <w:rPr>
                <w:rFonts w:ascii="Times New Roman" w:hAnsi="Times New Roman" w:cs="Times New Roman"/>
                <w:b/>
                <w:noProof/>
                <w:sz w:val="24"/>
              </w:rPr>
              <w:t>Department Representative</w:t>
            </w:r>
            <w:r w:rsidR="00BF2D14">
              <w:rPr>
                <w:rFonts w:ascii="Times New Roman" w:hAnsi="Times New Roman" w:cs="Times New Roman"/>
                <w:b/>
                <w:sz w:val="24"/>
              </w:rPr>
              <w:fldChar w:fldCharType="end"/>
            </w:r>
            <w:r w:rsidR="00BF2D14">
              <w:rPr>
                <w:b/>
              </w:rPr>
              <w:t xml:space="preserve"> at </w:t>
            </w:r>
            <w:r w:rsidR="00BF2D14">
              <w:rPr>
                <w:rFonts w:ascii="Times New Roman" w:hAnsi="Times New Roman" w:cs="Times New Roman"/>
                <w:b/>
                <w:sz w:val="24"/>
              </w:rPr>
              <w:fldChar w:fldCharType="begin">
                <w:ffData>
                  <w:name w:val=""/>
                  <w:enabled/>
                  <w:calcOnExit w:val="0"/>
                  <w:textInput>
                    <w:default w:val="Phone Number (with area code)"/>
                  </w:textInput>
                </w:ffData>
              </w:fldChar>
            </w:r>
            <w:r w:rsidR="00BF2D14">
              <w:rPr>
                <w:rFonts w:ascii="Times New Roman" w:hAnsi="Times New Roman" w:cs="Times New Roman"/>
                <w:b/>
                <w:sz w:val="24"/>
              </w:rPr>
              <w:instrText xml:space="preserve"> FORMTEXT </w:instrText>
            </w:r>
            <w:r w:rsidR="00BF2D14">
              <w:rPr>
                <w:rFonts w:ascii="Times New Roman" w:hAnsi="Times New Roman" w:cs="Times New Roman"/>
                <w:b/>
                <w:sz w:val="24"/>
              </w:rPr>
            </w:r>
            <w:r w:rsidR="00BF2D14">
              <w:rPr>
                <w:rFonts w:ascii="Times New Roman" w:hAnsi="Times New Roman" w:cs="Times New Roman"/>
                <w:b/>
                <w:sz w:val="24"/>
              </w:rPr>
              <w:fldChar w:fldCharType="separate"/>
            </w:r>
            <w:r w:rsidR="00CC05B7">
              <w:rPr>
                <w:rFonts w:ascii="Times New Roman" w:hAnsi="Times New Roman" w:cs="Times New Roman"/>
                <w:b/>
                <w:noProof/>
                <w:sz w:val="24"/>
              </w:rPr>
              <w:t>Phone Number (with area code)</w:t>
            </w:r>
            <w:r w:rsidR="00BF2D14">
              <w:rPr>
                <w:rFonts w:ascii="Times New Roman" w:hAnsi="Times New Roman" w:cs="Times New Roman"/>
                <w:b/>
                <w:sz w:val="24"/>
              </w:rPr>
              <w:fldChar w:fldCharType="end"/>
            </w:r>
            <w:r w:rsidR="00BF2D14">
              <w:rPr>
                <w:b/>
              </w:rPr>
              <w:t>.</w:t>
            </w:r>
          </w:p>
        </w:tc>
      </w:tr>
      <w:tr w:rsidR="003B744F" w:rsidTr="00270189">
        <w:trPr>
          <w:trHeight w:hRule="exact" w:val="317"/>
        </w:trPr>
        <w:tc>
          <w:tcPr>
            <w:tcW w:w="1098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B744F" w:rsidRPr="00DA542B" w:rsidRDefault="009D061B" w:rsidP="00BF2D14">
            <w:pPr>
              <w:jc w:val="center"/>
              <w:rPr>
                <w:rFonts w:ascii="Arial" w:hAnsi="Arial"/>
                <w:b/>
              </w:rPr>
            </w:pPr>
            <w:r w:rsidRPr="00DA542B">
              <w:rPr>
                <w:rFonts w:ascii="Arial" w:hAnsi="Arial"/>
                <w:b/>
              </w:rPr>
              <w:t xml:space="preserve">Explanation of Your </w:t>
            </w:r>
            <w:r w:rsidR="00BF2D14">
              <w:rPr>
                <w:rFonts w:ascii="Arial" w:hAnsi="Arial"/>
                <w:b/>
              </w:rPr>
              <w:t>Hearing</w:t>
            </w:r>
            <w:r w:rsidRPr="00DA542B">
              <w:rPr>
                <w:rFonts w:ascii="Arial" w:hAnsi="Arial"/>
                <w:b/>
              </w:rPr>
              <w:t xml:space="preserve"> Rights</w:t>
            </w:r>
          </w:p>
        </w:tc>
      </w:tr>
      <w:tr w:rsidR="003B744F" w:rsidTr="009D061B">
        <w:tc>
          <w:tcPr>
            <w:tcW w:w="10980" w:type="dxa"/>
            <w:gridSpan w:val="7"/>
            <w:tcBorders>
              <w:top w:val="single" w:sz="2" w:space="0" w:color="auto"/>
              <w:left w:val="single" w:sz="2" w:space="0" w:color="auto"/>
              <w:bottom w:val="single" w:sz="2" w:space="0" w:color="auto"/>
              <w:right w:val="single" w:sz="2" w:space="0" w:color="auto"/>
            </w:tcBorders>
          </w:tcPr>
          <w:p w:rsidR="003B744F" w:rsidRDefault="00BF2D14" w:rsidP="008A66B0">
            <w:pPr>
              <w:pStyle w:val="ListParagraph"/>
              <w:tabs>
                <w:tab w:val="left" w:pos="342"/>
              </w:tabs>
              <w:spacing w:before="40"/>
              <w:ind w:left="0"/>
              <w:rPr>
                <w:rFonts w:ascii="Arial" w:hAnsi="Arial" w:cs="Arial"/>
              </w:rPr>
            </w:pPr>
            <w:r>
              <w:rPr>
                <w:rFonts w:ascii="Arial" w:hAnsi="Arial" w:cs="Arial"/>
              </w:rPr>
              <w:t>If you do not admit that the facts as present are correct and would like to exercise your right to an Administrative Hearing, you do not need to do anything further.</w:t>
            </w:r>
          </w:p>
          <w:p w:rsidR="00BF2D14" w:rsidRPr="003B744F" w:rsidRDefault="008123C9" w:rsidP="008A66B0">
            <w:pPr>
              <w:pStyle w:val="ListParagraph"/>
              <w:tabs>
                <w:tab w:val="left" w:pos="342"/>
              </w:tabs>
              <w:spacing w:before="40" w:after="40"/>
              <w:ind w:left="0"/>
              <w:rPr>
                <w:rFonts w:ascii="Arial" w:hAnsi="Arial" w:cs="Arial"/>
              </w:rPr>
            </w:pPr>
            <w:proofErr w:type="gramStart"/>
            <w:r>
              <w:rPr>
                <w:rFonts w:ascii="Arial" w:hAnsi="Arial" w:cs="Arial"/>
              </w:rPr>
              <w:t>You will be notified of the hearing date and time by the Office of Administrative Hearings</w:t>
            </w:r>
            <w:proofErr w:type="gramEnd"/>
            <w:r>
              <w:rPr>
                <w:rFonts w:ascii="Arial" w:hAnsi="Arial" w:cs="Arial"/>
              </w:rPr>
              <w:t>.  The notice will include those hearing rights listed in 7 CFR 273.16(e</w:t>
            </w:r>
            <w:proofErr w:type="gramStart"/>
            <w:r>
              <w:rPr>
                <w:rFonts w:ascii="Arial" w:hAnsi="Arial" w:cs="Arial"/>
              </w:rPr>
              <w:t>)(</w:t>
            </w:r>
            <w:proofErr w:type="gramEnd"/>
            <w:r>
              <w:rPr>
                <w:rFonts w:ascii="Arial" w:hAnsi="Arial" w:cs="Arial"/>
              </w:rPr>
              <w:t>3).</w:t>
            </w:r>
          </w:p>
        </w:tc>
      </w:tr>
      <w:tr w:rsidR="00DA542B" w:rsidTr="00DA542B">
        <w:trPr>
          <w:trHeight w:hRule="exact" w:val="317"/>
        </w:trPr>
        <w:tc>
          <w:tcPr>
            <w:tcW w:w="10980"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DA542B" w:rsidRPr="00DA542B" w:rsidRDefault="00DA542B" w:rsidP="00270189">
            <w:pPr>
              <w:jc w:val="center"/>
              <w:rPr>
                <w:rFonts w:ascii="Arial" w:hAnsi="Arial"/>
                <w:b/>
              </w:rPr>
            </w:pPr>
            <w:r>
              <w:rPr>
                <w:rFonts w:ascii="Arial" w:hAnsi="Arial"/>
                <w:b/>
              </w:rPr>
              <w:t>Food Assistance Program Penalty Warning</w:t>
            </w:r>
          </w:p>
        </w:tc>
      </w:tr>
      <w:tr w:rsidR="00C0654F" w:rsidTr="009D061B">
        <w:tc>
          <w:tcPr>
            <w:tcW w:w="10980" w:type="dxa"/>
            <w:gridSpan w:val="7"/>
            <w:tcBorders>
              <w:top w:val="single" w:sz="2" w:space="0" w:color="auto"/>
              <w:left w:val="single" w:sz="2" w:space="0" w:color="auto"/>
              <w:bottom w:val="single" w:sz="2" w:space="0" w:color="auto"/>
              <w:right w:val="single" w:sz="2" w:space="0" w:color="auto"/>
            </w:tcBorders>
          </w:tcPr>
          <w:p w:rsidR="008123C9" w:rsidRPr="008123C9" w:rsidRDefault="008123C9" w:rsidP="008A66B0">
            <w:pPr>
              <w:spacing w:before="40"/>
              <w:ind w:right="-18"/>
              <w:rPr>
                <w:rFonts w:ascii="Arial" w:hAnsi="Arial" w:cs="Arial"/>
              </w:rPr>
            </w:pPr>
            <w:r w:rsidRPr="008123C9">
              <w:rPr>
                <w:rFonts w:ascii="Arial" w:hAnsi="Arial" w:cs="Arial"/>
                <w:b/>
              </w:rPr>
              <w:t>Under WAC 388-446-0020, a person will not receive food assistance benefits for:</w:t>
            </w:r>
          </w:p>
          <w:p w:rsidR="008123C9" w:rsidRPr="008123C9" w:rsidRDefault="008123C9" w:rsidP="008A66B0">
            <w:pPr>
              <w:ind w:right="-18"/>
              <w:rPr>
                <w:rFonts w:ascii="Arial" w:hAnsi="Arial" w:cs="Arial"/>
              </w:rPr>
            </w:pPr>
            <w:r w:rsidRPr="008123C9">
              <w:rPr>
                <w:rFonts w:ascii="Arial" w:hAnsi="Arial" w:cs="Arial"/>
                <w:b/>
                <w:u w:val="single"/>
              </w:rPr>
              <w:t>One year</w:t>
            </w:r>
            <w:r w:rsidRPr="008123C9">
              <w:rPr>
                <w:rFonts w:ascii="Arial" w:hAnsi="Arial" w:cs="Arial"/>
              </w:rPr>
              <w:t xml:space="preserve"> for knowingly violating a food assistance or Supplemental Nutrition Assistance Program(SNAP) rule;</w:t>
            </w:r>
          </w:p>
          <w:p w:rsidR="008123C9" w:rsidRPr="008123C9" w:rsidRDefault="008123C9" w:rsidP="008A66B0">
            <w:pPr>
              <w:ind w:right="-18"/>
              <w:rPr>
                <w:rFonts w:ascii="Arial" w:hAnsi="Arial" w:cs="Arial"/>
              </w:rPr>
            </w:pPr>
            <w:r w:rsidRPr="008123C9">
              <w:rPr>
                <w:rFonts w:ascii="Arial" w:hAnsi="Arial" w:cs="Arial"/>
                <w:b/>
                <w:u w:val="single"/>
              </w:rPr>
              <w:t>Two years</w:t>
            </w:r>
            <w:r w:rsidRPr="008123C9">
              <w:rPr>
                <w:rFonts w:ascii="Arial" w:hAnsi="Arial" w:cs="Arial"/>
              </w:rPr>
              <w:t xml:space="preserve"> for a second such violation; or a first conviction for buying, selling, or trading food assistance or SNAP  benefits for a controlled substance;</w:t>
            </w:r>
          </w:p>
          <w:p w:rsidR="008123C9" w:rsidRPr="008123C9" w:rsidRDefault="008123C9" w:rsidP="008A66B0">
            <w:pPr>
              <w:ind w:right="-18"/>
              <w:rPr>
                <w:rFonts w:ascii="Arial" w:hAnsi="Arial" w:cs="Arial"/>
              </w:rPr>
            </w:pPr>
            <w:r w:rsidRPr="008123C9">
              <w:rPr>
                <w:rFonts w:ascii="Arial" w:hAnsi="Arial" w:cs="Arial"/>
                <w:b/>
                <w:u w:val="single"/>
              </w:rPr>
              <w:t>Ten years</w:t>
            </w:r>
            <w:r w:rsidRPr="008123C9">
              <w:rPr>
                <w:rFonts w:ascii="Arial" w:hAnsi="Arial" w:cs="Arial"/>
              </w:rPr>
              <w:t xml:space="preserve"> for knowingly giving false identity or residence information to get duplicate benefits;</w:t>
            </w:r>
          </w:p>
          <w:p w:rsidR="008123C9" w:rsidRPr="008123C9" w:rsidRDefault="008123C9" w:rsidP="008A66B0">
            <w:pPr>
              <w:ind w:right="-18"/>
              <w:rPr>
                <w:rFonts w:ascii="Arial" w:hAnsi="Arial" w:cs="Arial"/>
              </w:rPr>
            </w:pPr>
            <w:r w:rsidRPr="008123C9">
              <w:rPr>
                <w:rFonts w:ascii="Arial" w:hAnsi="Arial" w:cs="Arial"/>
                <w:b/>
                <w:u w:val="single"/>
              </w:rPr>
              <w:t>Lifetime</w:t>
            </w:r>
            <w:r w:rsidRPr="008123C9">
              <w:rPr>
                <w:rFonts w:ascii="Arial" w:hAnsi="Arial" w:cs="Arial"/>
              </w:rPr>
              <w:t xml:space="preserve"> for: </w:t>
            </w:r>
          </w:p>
          <w:p w:rsidR="008123C9" w:rsidRPr="008123C9" w:rsidRDefault="008123C9" w:rsidP="008A66B0">
            <w:pPr>
              <w:numPr>
                <w:ilvl w:val="0"/>
                <w:numId w:val="1"/>
              </w:numPr>
              <w:ind w:left="0" w:right="-18"/>
              <w:rPr>
                <w:rFonts w:ascii="Arial" w:hAnsi="Arial" w:cs="Arial"/>
              </w:rPr>
            </w:pPr>
            <w:r w:rsidRPr="008123C9">
              <w:rPr>
                <w:rFonts w:ascii="Arial" w:hAnsi="Arial" w:cs="Arial"/>
              </w:rPr>
              <w:t xml:space="preserve">Knowingly breaking a food assistance or  SNAP rule a third time; </w:t>
            </w:r>
          </w:p>
          <w:p w:rsidR="008123C9" w:rsidRPr="008123C9" w:rsidRDefault="008123C9" w:rsidP="008A66B0">
            <w:pPr>
              <w:numPr>
                <w:ilvl w:val="0"/>
                <w:numId w:val="1"/>
              </w:numPr>
              <w:ind w:left="0" w:right="-18"/>
              <w:rPr>
                <w:rFonts w:ascii="Arial" w:hAnsi="Arial" w:cs="Arial"/>
              </w:rPr>
            </w:pPr>
            <w:r w:rsidRPr="008123C9">
              <w:rPr>
                <w:rFonts w:ascii="Arial" w:hAnsi="Arial" w:cs="Arial"/>
              </w:rPr>
              <w:t xml:space="preserve">A second conviction for buying, selling, or trading food benefits for a controlled substance;  </w:t>
            </w:r>
          </w:p>
          <w:p w:rsidR="008123C9" w:rsidRPr="008123C9" w:rsidRDefault="008123C9" w:rsidP="008A66B0">
            <w:pPr>
              <w:numPr>
                <w:ilvl w:val="0"/>
                <w:numId w:val="1"/>
              </w:numPr>
              <w:ind w:left="0" w:right="-18"/>
              <w:rPr>
                <w:rFonts w:ascii="Arial" w:hAnsi="Arial" w:cs="Arial"/>
              </w:rPr>
            </w:pPr>
            <w:r w:rsidRPr="008123C9">
              <w:rPr>
                <w:rFonts w:ascii="Arial" w:hAnsi="Arial" w:cs="Arial"/>
              </w:rPr>
              <w:t xml:space="preserve">Conviction for buying, selling, or trading food benefits for firearms, ammunition, or explosives; or </w:t>
            </w:r>
          </w:p>
          <w:p w:rsidR="008123C9" w:rsidRPr="008123C9" w:rsidRDefault="008123C9" w:rsidP="008A66B0">
            <w:pPr>
              <w:numPr>
                <w:ilvl w:val="0"/>
                <w:numId w:val="1"/>
              </w:numPr>
              <w:ind w:left="0" w:right="-18"/>
              <w:rPr>
                <w:rFonts w:ascii="Arial" w:hAnsi="Arial" w:cs="Arial"/>
              </w:rPr>
            </w:pPr>
            <w:r w:rsidRPr="008123C9">
              <w:rPr>
                <w:rFonts w:ascii="Arial" w:hAnsi="Arial" w:cs="Arial"/>
              </w:rPr>
              <w:t>Conviction for buying, selling, or trading food benefits worth $500 or more.</w:t>
            </w:r>
          </w:p>
          <w:p w:rsidR="00C0654F" w:rsidRPr="008123C9" w:rsidRDefault="008123C9" w:rsidP="008A66B0">
            <w:pPr>
              <w:spacing w:after="40"/>
              <w:ind w:right="-18"/>
              <w:rPr>
                <w:rFonts w:ascii="Arial" w:hAnsi="Arial" w:cs="Arial"/>
                <w:b/>
              </w:rPr>
            </w:pPr>
            <w:r w:rsidRPr="008123C9">
              <w:rPr>
                <w:rFonts w:ascii="Arial" w:hAnsi="Arial" w:cs="Arial"/>
                <w:b/>
              </w:rPr>
              <w:t xml:space="preserve">Persons who knowingly and intentionally violate a food assistance rule </w:t>
            </w:r>
            <w:proofErr w:type="gramStart"/>
            <w:r w:rsidRPr="008123C9">
              <w:rPr>
                <w:rFonts w:ascii="Arial" w:hAnsi="Arial" w:cs="Arial"/>
                <w:b/>
              </w:rPr>
              <w:t>can be prosecuted and fined up to $250,000 or imprisoned up to twenty years or both</w:t>
            </w:r>
            <w:proofErr w:type="gramEnd"/>
            <w:r w:rsidRPr="008123C9">
              <w:rPr>
                <w:rFonts w:ascii="Arial" w:hAnsi="Arial" w:cs="Arial"/>
                <w:b/>
              </w:rPr>
              <w:t>.  They are also subject to prosecution under other applicable federal laws.</w:t>
            </w:r>
          </w:p>
        </w:tc>
      </w:tr>
      <w:tr w:rsidR="003B744F" w:rsidTr="009D061B">
        <w:trPr>
          <w:trHeight w:hRule="exact" w:val="735"/>
        </w:trPr>
        <w:tc>
          <w:tcPr>
            <w:tcW w:w="5130" w:type="dxa"/>
            <w:gridSpan w:val="4"/>
            <w:tcBorders>
              <w:top w:val="single" w:sz="2" w:space="0" w:color="auto"/>
              <w:left w:val="single" w:sz="2" w:space="0" w:color="auto"/>
              <w:bottom w:val="single" w:sz="2" w:space="0" w:color="auto"/>
              <w:right w:val="single" w:sz="2" w:space="0" w:color="auto"/>
            </w:tcBorders>
          </w:tcPr>
          <w:p w:rsidR="003B744F" w:rsidRPr="00D719F2" w:rsidRDefault="003B744F" w:rsidP="00D1442E">
            <w:pPr>
              <w:tabs>
                <w:tab w:val="left" w:pos="3582"/>
              </w:tabs>
              <w:rPr>
                <w:rFonts w:ascii="Arial" w:hAnsi="Arial"/>
                <w:sz w:val="16"/>
                <w:szCs w:val="16"/>
              </w:rPr>
            </w:pPr>
            <w:r w:rsidRPr="00D719F2">
              <w:rPr>
                <w:rFonts w:ascii="Arial" w:hAnsi="Arial"/>
                <w:sz w:val="16"/>
                <w:szCs w:val="16"/>
              </w:rPr>
              <w:t>DISQUALIFIED PERSON’S SIGNATURE</w:t>
            </w:r>
            <w:r>
              <w:rPr>
                <w:rFonts w:ascii="Arial" w:hAnsi="Arial"/>
                <w:sz w:val="16"/>
                <w:szCs w:val="16"/>
              </w:rPr>
              <w:tab/>
            </w:r>
            <w:r w:rsidRPr="00D719F2">
              <w:rPr>
                <w:rFonts w:ascii="Arial" w:hAnsi="Arial"/>
                <w:sz w:val="16"/>
                <w:szCs w:val="16"/>
              </w:rPr>
              <w:t>DATE</w:t>
            </w:r>
          </w:p>
          <w:p w:rsidR="003B744F" w:rsidRDefault="003B744F" w:rsidP="00D1442E">
            <w:pPr>
              <w:tabs>
                <w:tab w:val="left" w:pos="3582"/>
              </w:tabs>
              <w:rPr>
                <w:rFonts w:ascii="Arial" w:hAnsi="Arial"/>
                <w:sz w:val="12"/>
              </w:rPr>
            </w:pPr>
            <w:r>
              <w:rPr>
                <w:b/>
                <w:sz w:val="24"/>
              </w:rPr>
              <w:tab/>
            </w: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r>
              <w:rPr>
                <w:b/>
                <w:sz w:val="24"/>
              </w:rPr>
              <w:fldChar w:fldCharType="end"/>
            </w:r>
          </w:p>
        </w:tc>
        <w:tc>
          <w:tcPr>
            <w:tcW w:w="5850" w:type="dxa"/>
            <w:gridSpan w:val="3"/>
            <w:tcBorders>
              <w:top w:val="single" w:sz="2" w:space="0" w:color="auto"/>
              <w:left w:val="single" w:sz="2" w:space="0" w:color="auto"/>
              <w:bottom w:val="single" w:sz="2" w:space="0" w:color="auto"/>
              <w:right w:val="single" w:sz="2" w:space="0" w:color="auto"/>
            </w:tcBorders>
          </w:tcPr>
          <w:p w:rsidR="003B744F" w:rsidRPr="00D719F2" w:rsidRDefault="00D1442E" w:rsidP="00D1442E">
            <w:pPr>
              <w:tabs>
                <w:tab w:val="left" w:pos="4302"/>
              </w:tabs>
              <w:rPr>
                <w:rFonts w:ascii="Arial" w:hAnsi="Arial"/>
                <w:sz w:val="16"/>
                <w:szCs w:val="16"/>
              </w:rPr>
            </w:pPr>
            <w:r>
              <w:rPr>
                <w:rFonts w:ascii="Arial" w:hAnsi="Arial"/>
                <w:sz w:val="16"/>
                <w:szCs w:val="16"/>
              </w:rPr>
              <w:t>HEAD OF HOUSEHOLD’S</w:t>
            </w:r>
            <w:r w:rsidR="003B744F" w:rsidRPr="00D719F2">
              <w:rPr>
                <w:rFonts w:ascii="Arial" w:hAnsi="Arial"/>
                <w:sz w:val="16"/>
                <w:szCs w:val="16"/>
              </w:rPr>
              <w:t xml:space="preserve"> </w:t>
            </w:r>
            <w:r>
              <w:rPr>
                <w:rFonts w:ascii="Arial" w:hAnsi="Arial"/>
                <w:sz w:val="16"/>
                <w:szCs w:val="16"/>
              </w:rPr>
              <w:t xml:space="preserve">(HH) </w:t>
            </w:r>
            <w:r w:rsidR="003B744F" w:rsidRPr="00D719F2">
              <w:rPr>
                <w:rFonts w:ascii="Arial" w:hAnsi="Arial"/>
                <w:sz w:val="16"/>
                <w:szCs w:val="16"/>
              </w:rPr>
              <w:t>SIGNATURE</w:t>
            </w:r>
            <w:r w:rsidR="003B744F">
              <w:rPr>
                <w:rFonts w:ascii="Arial" w:hAnsi="Arial"/>
                <w:sz w:val="16"/>
                <w:szCs w:val="16"/>
              </w:rPr>
              <w:tab/>
            </w:r>
            <w:r w:rsidR="003B744F" w:rsidRPr="00D719F2">
              <w:rPr>
                <w:rFonts w:ascii="Arial" w:hAnsi="Arial"/>
                <w:sz w:val="16"/>
                <w:szCs w:val="16"/>
              </w:rPr>
              <w:t>DATE</w:t>
            </w:r>
            <w:r>
              <w:rPr>
                <w:rFonts w:ascii="Arial" w:hAnsi="Arial"/>
                <w:sz w:val="16"/>
                <w:szCs w:val="16"/>
              </w:rPr>
              <w:br/>
              <w:t>(IF THE ACCUSED IS NOT THE HEAD OF HOUSEHOLD)</w:t>
            </w:r>
          </w:p>
          <w:p w:rsidR="003B744F" w:rsidRDefault="003B744F" w:rsidP="00D1442E">
            <w:pPr>
              <w:tabs>
                <w:tab w:val="left" w:pos="4302"/>
              </w:tabs>
              <w:rPr>
                <w:rFonts w:ascii="Arial" w:hAnsi="Arial"/>
                <w:sz w:val="12"/>
              </w:rPr>
            </w:pPr>
            <w:r>
              <w:rPr>
                <w:b/>
                <w:sz w:val="24"/>
              </w:rPr>
              <w:tab/>
            </w:r>
            <w:r>
              <w:rPr>
                <w:b/>
                <w:sz w:val="24"/>
              </w:rPr>
              <w:fldChar w:fldCharType="begin">
                <w:ffData>
                  <w:name w:val=""/>
                  <w:enabled/>
                  <w:calcOnExit w:val="0"/>
                  <w:textInput>
                    <w:type w:val="date"/>
                    <w:format w:val="MM/DD/YYYY"/>
                  </w:textInput>
                </w:ffData>
              </w:fldChar>
            </w:r>
            <w:r>
              <w:rPr>
                <w:b/>
                <w:sz w:val="24"/>
              </w:rPr>
              <w:instrText xml:space="preserve"> FORMTEXT </w:instrText>
            </w:r>
            <w:r>
              <w:rPr>
                <w:b/>
                <w:sz w:val="24"/>
              </w:rPr>
            </w:r>
            <w:r>
              <w:rPr>
                <w:b/>
                <w:sz w:val="24"/>
              </w:rPr>
              <w:fldChar w:fldCharType="separate"/>
            </w:r>
            <w:r w:rsidR="00CC05B7">
              <w:rPr>
                <w:b/>
                <w:noProof/>
                <w:sz w:val="24"/>
              </w:rPr>
              <w:t> </w:t>
            </w:r>
            <w:r w:rsidR="00CC05B7">
              <w:rPr>
                <w:b/>
                <w:noProof/>
                <w:sz w:val="24"/>
              </w:rPr>
              <w:t> </w:t>
            </w:r>
            <w:r w:rsidR="00CC05B7">
              <w:rPr>
                <w:b/>
                <w:noProof/>
                <w:sz w:val="24"/>
              </w:rPr>
              <w:t> </w:t>
            </w:r>
            <w:r w:rsidR="00CC05B7">
              <w:rPr>
                <w:b/>
                <w:noProof/>
                <w:sz w:val="24"/>
              </w:rPr>
              <w:t> </w:t>
            </w:r>
            <w:r w:rsidR="00CC05B7">
              <w:rPr>
                <w:b/>
                <w:noProof/>
                <w:sz w:val="24"/>
              </w:rPr>
              <w:t> </w:t>
            </w:r>
            <w:r>
              <w:rPr>
                <w:b/>
                <w:sz w:val="24"/>
              </w:rPr>
              <w:fldChar w:fldCharType="end"/>
            </w:r>
          </w:p>
        </w:tc>
      </w:tr>
    </w:tbl>
    <w:p w:rsidR="003076C6" w:rsidRPr="00DE32C8" w:rsidRDefault="003076C6">
      <w:pPr>
        <w:rPr>
          <w:sz w:val="2"/>
          <w:szCs w:val="2"/>
        </w:rPr>
      </w:pPr>
    </w:p>
    <w:sectPr w:rsidR="003076C6" w:rsidRPr="00DE32C8" w:rsidSect="003B744F">
      <w:footerReference w:type="default" r:id="rId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89" w:rsidRDefault="00270189">
      <w:r>
        <w:separator/>
      </w:r>
    </w:p>
  </w:endnote>
  <w:endnote w:type="continuationSeparator" w:id="0">
    <w:p w:rsidR="00270189" w:rsidRDefault="0027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42B" w:rsidRDefault="00DA542B">
    <w:pPr>
      <w:pStyle w:val="Footer"/>
      <w:rPr>
        <w:rFonts w:ascii="Arial" w:hAnsi="Arial"/>
        <w:b/>
        <w:sz w:val="16"/>
        <w:szCs w:val="16"/>
      </w:rPr>
    </w:pPr>
    <w:r>
      <w:rPr>
        <w:rFonts w:ascii="Arial" w:hAnsi="Arial"/>
        <w:b/>
        <w:sz w:val="16"/>
        <w:szCs w:val="16"/>
      </w:rPr>
      <w:t>WAIVER OF ADMINISTRATIVE DISQUALIFICATION HEARING</w:t>
    </w:r>
  </w:p>
  <w:p w:rsidR="003076C6" w:rsidRPr="00D719F2" w:rsidRDefault="003076C6">
    <w:pPr>
      <w:pStyle w:val="Footer"/>
      <w:rPr>
        <w:sz w:val="16"/>
        <w:szCs w:val="16"/>
      </w:rPr>
    </w:pPr>
    <w:r w:rsidRPr="00D719F2">
      <w:rPr>
        <w:rFonts w:ascii="Arial" w:hAnsi="Arial"/>
        <w:b/>
        <w:sz w:val="16"/>
        <w:szCs w:val="16"/>
      </w:rPr>
      <w:t>DSHS 12-</w:t>
    </w:r>
    <w:r w:rsidR="00D51059">
      <w:rPr>
        <w:rFonts w:ascii="Arial" w:hAnsi="Arial"/>
        <w:b/>
        <w:sz w:val="16"/>
        <w:szCs w:val="16"/>
      </w:rPr>
      <w:t>212</w:t>
    </w:r>
    <w:r w:rsidRPr="00D719F2">
      <w:rPr>
        <w:rFonts w:ascii="Arial" w:hAnsi="Arial"/>
        <w:b/>
        <w:sz w:val="16"/>
        <w:szCs w:val="16"/>
      </w:rPr>
      <w:t xml:space="preserve"> (</w:t>
    </w:r>
    <w:r w:rsidR="00D8657D">
      <w:rPr>
        <w:rFonts w:ascii="Arial" w:hAnsi="Arial"/>
        <w:b/>
        <w:sz w:val="16"/>
        <w:szCs w:val="16"/>
      </w:rPr>
      <w:t>REV. 08</w:t>
    </w:r>
    <w:r w:rsidR="00D51059">
      <w:rPr>
        <w:rFonts w:ascii="Arial" w:hAnsi="Arial"/>
        <w:b/>
        <w:sz w:val="16"/>
        <w:szCs w:val="16"/>
      </w:rPr>
      <w:t>/2019</w:t>
    </w:r>
    <w:r w:rsidR="00CC1976">
      <w:rPr>
        <w:rFonts w:ascii="Arial" w:hAnsi="Arial"/>
        <w:b/>
        <w:sz w:val="16"/>
        <w:szCs w:val="16"/>
      </w:rPr>
      <w:t>)</w:t>
    </w:r>
    <w:r w:rsidR="00D1442E">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89" w:rsidRDefault="00270189">
      <w:r>
        <w:separator/>
      </w:r>
    </w:p>
  </w:footnote>
  <w:footnote w:type="continuationSeparator" w:id="0">
    <w:p w:rsidR="00270189" w:rsidRDefault="0027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B19"/>
    <w:multiLevelType w:val="hybridMultilevel"/>
    <w:tmpl w:val="DCE6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40EBF"/>
    <w:multiLevelType w:val="hybridMultilevel"/>
    <w:tmpl w:val="AC4AF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2C46DF"/>
    <w:multiLevelType w:val="hybridMultilevel"/>
    <w:tmpl w:val="B1080266"/>
    <w:lvl w:ilvl="0" w:tplc="9BCAFE42">
      <w:start w:val="1"/>
      <w:numFmt w:val="decimal"/>
      <w:lvlText w:val="%1."/>
      <w:lvlJc w:val="left"/>
      <w:pPr>
        <w:ind w:left="450"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c9ffnZa/d2ixJnzc5SJ6Du0ZMJDCSdmBUiQUO88jbc3pGgFrKnspjhcUkztfpAXazRRYX3tvyIz9fnreV/UwBg==" w:salt="9mbhvd+nSg1lou+ebiRdxg=="/>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9F2"/>
    <w:rsid w:val="00003A16"/>
    <w:rsid w:val="00033F2A"/>
    <w:rsid w:val="00055954"/>
    <w:rsid w:val="001C18D0"/>
    <w:rsid w:val="00270189"/>
    <w:rsid w:val="002917E9"/>
    <w:rsid w:val="002B4E8C"/>
    <w:rsid w:val="003076C6"/>
    <w:rsid w:val="0031774E"/>
    <w:rsid w:val="003B744F"/>
    <w:rsid w:val="004D465B"/>
    <w:rsid w:val="00514AC6"/>
    <w:rsid w:val="005A4943"/>
    <w:rsid w:val="005D562C"/>
    <w:rsid w:val="005F5878"/>
    <w:rsid w:val="00632FDF"/>
    <w:rsid w:val="00676234"/>
    <w:rsid w:val="006873FC"/>
    <w:rsid w:val="006D791F"/>
    <w:rsid w:val="00775D4D"/>
    <w:rsid w:val="007B03AE"/>
    <w:rsid w:val="007C4F3D"/>
    <w:rsid w:val="007E0E72"/>
    <w:rsid w:val="008123C9"/>
    <w:rsid w:val="00813DF1"/>
    <w:rsid w:val="008A2508"/>
    <w:rsid w:val="008A66B0"/>
    <w:rsid w:val="0090493A"/>
    <w:rsid w:val="00917C66"/>
    <w:rsid w:val="009C532A"/>
    <w:rsid w:val="009D061B"/>
    <w:rsid w:val="00AC5535"/>
    <w:rsid w:val="00AF655E"/>
    <w:rsid w:val="00B30460"/>
    <w:rsid w:val="00B64430"/>
    <w:rsid w:val="00B822B8"/>
    <w:rsid w:val="00BF1114"/>
    <w:rsid w:val="00BF2D14"/>
    <w:rsid w:val="00C0654F"/>
    <w:rsid w:val="00C252C9"/>
    <w:rsid w:val="00C75354"/>
    <w:rsid w:val="00C943D9"/>
    <w:rsid w:val="00CC05B7"/>
    <w:rsid w:val="00CC1976"/>
    <w:rsid w:val="00CC27E8"/>
    <w:rsid w:val="00D1442E"/>
    <w:rsid w:val="00D51059"/>
    <w:rsid w:val="00D719F2"/>
    <w:rsid w:val="00D8657D"/>
    <w:rsid w:val="00DA542B"/>
    <w:rsid w:val="00DE32C8"/>
    <w:rsid w:val="00DE76A4"/>
    <w:rsid w:val="00E11E06"/>
    <w:rsid w:val="00F87235"/>
    <w:rsid w:val="00FD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FF3CDC7A-DA44-49BC-9B83-AB40EBEE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30460"/>
    <w:rPr>
      <w:rFonts w:ascii="Tahoma" w:hAnsi="Tahoma"/>
      <w:sz w:val="16"/>
      <w:szCs w:val="16"/>
      <w:lang w:val="x-none" w:eastAsia="x-none"/>
    </w:rPr>
  </w:style>
  <w:style w:type="character" w:customStyle="1" w:styleId="BalloonTextChar">
    <w:name w:val="Balloon Text Char"/>
    <w:link w:val="BalloonText"/>
    <w:rsid w:val="00B30460"/>
    <w:rPr>
      <w:rFonts w:ascii="Tahoma" w:hAnsi="Tahoma" w:cs="Tahoma"/>
      <w:sz w:val="16"/>
      <w:szCs w:val="16"/>
    </w:rPr>
  </w:style>
  <w:style w:type="paragraph" w:styleId="ListParagraph">
    <w:name w:val="List Paragraph"/>
    <w:basedOn w:val="Normal"/>
    <w:uiPriority w:val="34"/>
    <w:qFormat/>
    <w:rsid w:val="003B744F"/>
    <w:pPr>
      <w:ind w:left="720"/>
      <w:contextualSpacing/>
    </w:pPr>
  </w:style>
  <w:style w:type="paragraph" w:styleId="BodyText">
    <w:name w:val="Body Text"/>
    <w:basedOn w:val="Normal"/>
    <w:link w:val="BodyTextChar"/>
    <w:uiPriority w:val="1"/>
    <w:qFormat/>
    <w:rsid w:val="009D061B"/>
    <w:pPr>
      <w:widowControl w:val="0"/>
      <w:overflowPunct/>
      <w:adjustRightInd/>
      <w:textAlignment w:val="auto"/>
    </w:pPr>
    <w:rPr>
      <w:rFonts w:ascii="Arial" w:eastAsia="Arial" w:hAnsi="Arial" w:cs="Arial"/>
      <w:lang w:bidi="en-US"/>
    </w:rPr>
  </w:style>
  <w:style w:type="character" w:customStyle="1" w:styleId="BodyTextChar">
    <w:name w:val="Body Text Char"/>
    <w:link w:val="BodyText"/>
    <w:uiPriority w:val="1"/>
    <w:rsid w:val="009D061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Waiver of Administrative Disqualification Hearing</vt:lpstr>
    </vt:vector>
  </TitlesOfParts>
  <Company>State of WA</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Administrative Disqualification Hearing</dc:title>
  <dc:subject/>
  <dc:creator>DSHS - ASD - FRMS</dc:creator>
  <cp:keywords/>
  <dc:description/>
  <cp:lastModifiedBy>Brombacher, Millie A. (DSHS/IGU)</cp:lastModifiedBy>
  <cp:revision>13</cp:revision>
  <cp:lastPrinted>2010-06-30T14:11:00Z</cp:lastPrinted>
  <dcterms:created xsi:type="dcterms:W3CDTF">2018-12-05T15:37:00Z</dcterms:created>
  <dcterms:modified xsi:type="dcterms:W3CDTF">2019-12-19T20:59:00Z</dcterms:modified>
</cp:coreProperties>
</file>