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905"/>
        <w:gridCol w:w="3595"/>
        <w:gridCol w:w="180"/>
        <w:gridCol w:w="1985"/>
        <w:gridCol w:w="450"/>
        <w:gridCol w:w="82"/>
        <w:gridCol w:w="2703"/>
      </w:tblGrid>
      <w:tr w:rsidR="00C30DDA" w14:paraId="2732113A" w14:textId="77777777" w:rsidTr="00E67DD5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1927F" w14:textId="294B41C9" w:rsidR="00C30DDA" w:rsidRPr="00C30DDA" w:rsidRDefault="00E67DD5" w:rsidP="00C30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7277869" wp14:editId="07743B50">
                  <wp:extent cx="1005840" cy="349885"/>
                  <wp:effectExtent l="0" t="0" r="3810" b="0"/>
                  <wp:docPr id="711907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07065" name="Picture 7119070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50D7EA" w14:textId="7E47F31D" w:rsidR="00C30DDA" w:rsidRPr="00FB4F3E" w:rsidRDefault="00FB4F3E" w:rsidP="00C64A6A">
            <w:pPr>
              <w:tabs>
                <w:tab w:val="center" w:pos="385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B4F3E">
              <w:rPr>
                <w:rFonts w:ascii="Arial" w:hAnsi="Arial" w:cs="Arial"/>
                <w:sz w:val="16"/>
                <w:szCs w:val="16"/>
              </w:rPr>
              <w:t>AGING AND LONG-TERM SERVICES ADMINISTRATION (ALTSA)</w:t>
            </w:r>
          </w:p>
          <w:p w14:paraId="5265E98E" w14:textId="2946988C" w:rsidR="00FB4F3E" w:rsidRPr="00FB4F3E" w:rsidRDefault="00FB4F3E" w:rsidP="00C64A6A">
            <w:pPr>
              <w:tabs>
                <w:tab w:val="center" w:pos="385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FB4F3E">
              <w:rPr>
                <w:rFonts w:ascii="Arial" w:hAnsi="Arial" w:cs="Arial"/>
                <w:b/>
                <w:bCs/>
                <w:sz w:val="28"/>
                <w:szCs w:val="28"/>
              </w:rPr>
              <w:t>Change of Circumstance:</w:t>
            </w:r>
          </w:p>
          <w:p w14:paraId="36E56698" w14:textId="1F8831B6" w:rsidR="00FB4F3E" w:rsidRDefault="00FB4F3E" w:rsidP="00C64A6A">
            <w:pPr>
              <w:tabs>
                <w:tab w:val="center" w:pos="385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FB4F3E">
              <w:rPr>
                <w:rFonts w:ascii="Arial" w:hAnsi="Arial" w:cs="Arial"/>
                <w:b/>
                <w:bCs/>
                <w:sz w:val="28"/>
                <w:szCs w:val="28"/>
              </w:rPr>
              <w:t>Community Behavioral Health Supports (CBHS) / 1915i</w:t>
            </w:r>
          </w:p>
          <w:p w14:paraId="4CB06C28" w14:textId="4B541D8F" w:rsidR="00FB4F3E" w:rsidRPr="00FB4F3E" w:rsidRDefault="00FB4F3E" w:rsidP="00C64A6A">
            <w:pPr>
              <w:tabs>
                <w:tab w:val="center" w:pos="3854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B4F3E">
              <w:rPr>
                <w:rFonts w:ascii="Arial" w:hAnsi="Arial" w:cs="Arial"/>
                <w:sz w:val="20"/>
                <w:szCs w:val="20"/>
              </w:rPr>
              <w:t xml:space="preserve">Please review instructions on Page 2 for </w:t>
            </w:r>
            <w:r>
              <w:rPr>
                <w:rFonts w:ascii="Arial" w:hAnsi="Arial" w:cs="Arial"/>
                <w:sz w:val="20"/>
                <w:szCs w:val="20"/>
              </w:rPr>
              <w:t>more</w:t>
            </w:r>
            <w:r w:rsidRPr="00FB4F3E">
              <w:rPr>
                <w:rFonts w:ascii="Arial" w:hAnsi="Arial" w:cs="Arial"/>
                <w:sz w:val="20"/>
                <w:szCs w:val="20"/>
              </w:rPr>
              <w:t xml:space="preserve"> guidance on the completion of this form.</w:t>
            </w:r>
          </w:p>
        </w:tc>
      </w:tr>
      <w:tr w:rsidR="00C30DDA" w14:paraId="5365D3C2" w14:textId="77777777" w:rsidTr="00380FCE">
        <w:trPr>
          <w:trHeight w:val="41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2132015F" w14:textId="6274E0C6" w:rsidR="00C30DDA" w:rsidRPr="00C30DDA" w:rsidRDefault="00C30DDA" w:rsidP="00C30DDA">
            <w:pPr>
              <w:rPr>
                <w:rFonts w:ascii="Arial" w:hAnsi="Arial" w:cs="Arial"/>
                <w:sz w:val="20"/>
                <w:szCs w:val="20"/>
              </w:rPr>
            </w:pPr>
            <w:r w:rsidRPr="00C30DDA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0E3E6A" w14:textId="487ACDAA" w:rsidR="00C30DDA" w:rsidRPr="00C30DDA" w:rsidRDefault="00CC4768" w:rsidP="00C64A6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Managed Care Organization (MCO) or Health Care Authority (HCA)</w:t>
            </w:r>
          </w:p>
          <w:p w14:paraId="4772887E" w14:textId="3A6A0A75" w:rsidR="00C30DDA" w:rsidRDefault="00C30DDA" w:rsidP="00C64A6A">
            <w:pPr>
              <w:rPr>
                <w:rFonts w:ascii="Times New Roman" w:hAnsi="Times New Roman" w:cs="Times New Roman"/>
                <w:b/>
                <w:bCs/>
              </w:rPr>
            </w:pPr>
            <w:r w:rsidRPr="00C30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30D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 w:rsidRPr="00C30DDA">
              <w:rPr>
                <w:rFonts w:ascii="Arial" w:hAnsi="Arial" w:cs="Arial"/>
                <w:sz w:val="20"/>
                <w:szCs w:val="20"/>
              </w:rPr>
            </w:r>
            <w:r w:rsidRPr="00C30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D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C30DDA">
              <w:rPr>
                <w:rFonts w:ascii="Arial" w:hAnsi="Arial" w:cs="Arial"/>
                <w:sz w:val="20"/>
                <w:szCs w:val="20"/>
              </w:rPr>
              <w:t xml:space="preserve">  MCO / HCA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30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DD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and email of person notified"/>
                  </w:textInput>
                </w:ffData>
              </w:fldChar>
            </w:r>
            <w:bookmarkStart w:id="1" w:name="Text1"/>
            <w:r w:rsidRPr="00C30DD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30DDA">
              <w:rPr>
                <w:rFonts w:ascii="Times New Roman" w:hAnsi="Times New Roman" w:cs="Times New Roman"/>
                <w:b/>
                <w:bCs/>
              </w:rPr>
            </w:r>
            <w:r w:rsidRPr="00C30D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Name and email of person notified</w:t>
            </w:r>
            <w:r w:rsidRPr="00C30DD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"/>
          </w:p>
          <w:p w14:paraId="6DD9B0F0" w14:textId="12B86823" w:rsidR="00C30DDA" w:rsidRPr="00C30DDA" w:rsidRDefault="00C30DDA" w:rsidP="00C64A6A">
            <w:pPr>
              <w:rPr>
                <w:rFonts w:ascii="Arial" w:hAnsi="Arial" w:cs="Arial"/>
                <w:sz w:val="20"/>
                <w:szCs w:val="20"/>
              </w:rPr>
            </w:pPr>
            <w:r w:rsidRPr="00C30D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D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 w:rsidRPr="00C30DDA">
              <w:rPr>
                <w:rFonts w:ascii="Arial" w:hAnsi="Arial" w:cs="Arial"/>
                <w:sz w:val="20"/>
                <w:szCs w:val="20"/>
              </w:rPr>
            </w:r>
            <w:r w:rsidRPr="00C30D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D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0DD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Other:</w:t>
            </w:r>
            <w:r w:rsidRPr="00C30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0DD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and email of person notified"/>
                  </w:textInput>
                </w:ffData>
              </w:fldChar>
            </w:r>
            <w:r w:rsidRPr="00C30DD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C30DDA">
              <w:rPr>
                <w:rFonts w:ascii="Times New Roman" w:hAnsi="Times New Roman" w:cs="Times New Roman"/>
                <w:b/>
                <w:bCs/>
              </w:rPr>
            </w:r>
            <w:r w:rsidRPr="00C30DD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Name and email of person notified</w:t>
            </w:r>
            <w:r w:rsidRPr="00C30DD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30DDA" w14:paraId="778EFFBC" w14:textId="77777777" w:rsidTr="00380FCE">
        <w:trPr>
          <w:trHeight w:val="41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084D9B10" w14:textId="41D85A1D" w:rsidR="00C30DDA" w:rsidRPr="00C30DDA" w:rsidRDefault="00C30DDA" w:rsidP="00C30DDA">
            <w:pPr>
              <w:rPr>
                <w:rFonts w:ascii="Arial" w:hAnsi="Arial" w:cs="Arial"/>
                <w:sz w:val="20"/>
                <w:szCs w:val="20"/>
              </w:rPr>
            </w:pPr>
            <w:r w:rsidRPr="00C30DDA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99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F918C8" w14:textId="15E13ADB" w:rsidR="00C30DDA" w:rsidRDefault="00C30DDA" w:rsidP="00FB4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0067">
              <w:rPr>
                <w:rFonts w:ascii="Arial" w:hAnsi="Arial" w:cs="Arial"/>
                <w:sz w:val="20"/>
                <w:szCs w:val="20"/>
              </w:rPr>
              <w:t>Home and Community Services (HCS)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C0067">
              <w:rPr>
                <w:rFonts w:ascii="Arial" w:hAnsi="Arial" w:cs="Arial"/>
                <w:sz w:val="20"/>
                <w:szCs w:val="20"/>
              </w:rPr>
              <w:t>Area Agency on Aging (AAA)</w:t>
            </w:r>
          </w:p>
          <w:p w14:paraId="02A6F53A" w14:textId="219003C1" w:rsidR="00C30DDA" w:rsidRPr="00C30DDA" w:rsidRDefault="00C30DDA" w:rsidP="00C64A6A">
            <w:pPr>
              <w:tabs>
                <w:tab w:val="right" w:pos="2689"/>
                <w:tab w:val="left" w:pos="2863"/>
                <w:tab w:val="right" w:pos="6283"/>
                <w:tab w:val="left" w:pos="6460"/>
                <w:tab w:val="right" w:pos="9684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C30DD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30DDA">
              <w:rPr>
                <w:rFonts w:ascii="Arial" w:hAnsi="Arial" w:cs="Arial"/>
                <w:sz w:val="20"/>
                <w:szCs w:val="20"/>
              </w:rPr>
              <w:tab/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C30DDA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C30DD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C30DDA">
              <w:rPr>
                <w:rFonts w:ascii="Arial" w:hAnsi="Arial" w:cs="Arial"/>
                <w:sz w:val="20"/>
                <w:szCs w:val="20"/>
              </w:rPr>
              <w:tab/>
            </w:r>
            <w:r w:rsidRPr="00C30DD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BD50E36" w14:textId="65BAAE7D" w:rsidR="00C30DDA" w:rsidRPr="00C30DDA" w:rsidRDefault="00C30DDA" w:rsidP="00C64A6A">
            <w:pPr>
              <w:tabs>
                <w:tab w:val="left" w:pos="2863"/>
                <w:tab w:val="left" w:pos="6463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C30DDA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ab/>
              <w:t>Email</w:t>
            </w:r>
            <w:r>
              <w:rPr>
                <w:rFonts w:ascii="Arial" w:hAnsi="Arial" w:cs="Arial"/>
                <w:sz w:val="20"/>
                <w:szCs w:val="20"/>
              </w:rPr>
              <w:tab/>
              <w:t>Telephone Number (with area code)</w:t>
            </w:r>
          </w:p>
        </w:tc>
      </w:tr>
      <w:tr w:rsidR="00FB4F3E" w14:paraId="48992E13" w14:textId="77777777" w:rsidTr="00C64A6A">
        <w:trPr>
          <w:trHeight w:val="576"/>
        </w:trPr>
        <w:tc>
          <w:tcPr>
            <w:tcW w:w="89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FC9D8C3" w14:textId="5E0A88EE" w:rsidR="007877B1" w:rsidRPr="00C30DDA" w:rsidRDefault="007877B1" w:rsidP="00C30DDA">
            <w:pPr>
              <w:rPr>
                <w:rFonts w:ascii="Arial" w:hAnsi="Arial" w:cs="Arial"/>
                <w:sz w:val="20"/>
                <w:szCs w:val="20"/>
              </w:rPr>
            </w:pPr>
            <w:r w:rsidRPr="00C30DDA">
              <w:rPr>
                <w:rFonts w:ascii="Arial" w:hAnsi="Arial" w:cs="Arial"/>
                <w:sz w:val="20"/>
                <w:szCs w:val="20"/>
              </w:rPr>
              <w:t>Re:</w:t>
            </w: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51CE" w14:textId="77777777" w:rsidR="00FB4F3E" w:rsidRDefault="007877B1" w:rsidP="00C30DDA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Name (as written in the CARE assessment)</w:t>
            </w:r>
          </w:p>
          <w:p w14:paraId="1E610A5C" w14:textId="13F9C46E" w:rsidR="007877B1" w:rsidRPr="00FB4F3E" w:rsidRDefault="00FB4F3E" w:rsidP="00C30DDA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24A7" w14:textId="77777777" w:rsidR="00FB4F3E" w:rsidRDefault="007877B1" w:rsidP="00C3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Client’s ProviderOne ID</w:t>
            </w:r>
          </w:p>
          <w:p w14:paraId="0BD71BAE" w14:textId="1C8E99B2" w:rsidR="007877B1" w:rsidRPr="00C30DDA" w:rsidRDefault="00FB4F3E" w:rsidP="00C64A6A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E67DD5">
              <w:rPr>
                <w:rFonts w:ascii="Times New Roman" w:hAnsi="Times New Roman" w:cs="Times New Roman"/>
                <w:b/>
                <w:bCs/>
              </w:rPr>
              <w:t>WA</w:t>
            </w:r>
          </w:p>
        </w:tc>
        <w:tc>
          <w:tcPr>
            <w:tcW w:w="2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60DD" w14:textId="77777777" w:rsidR="007877B1" w:rsidRDefault="00FB4F3E" w:rsidP="00C3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 (MM/DD/YYYY)</w:t>
            </w:r>
          </w:p>
          <w:p w14:paraId="43F5D27F" w14:textId="2C73E1C4" w:rsidR="00FB4F3E" w:rsidRPr="00C30DDA" w:rsidRDefault="00FB4F3E" w:rsidP="00C3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30DDA" w14:paraId="483A8EE8" w14:textId="77777777" w:rsidTr="00380FCE">
        <w:trPr>
          <w:trHeight w:val="317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4799AF6" w14:textId="21DAC691" w:rsidR="00C30DDA" w:rsidRPr="00FB4F3E" w:rsidRDefault="00FB4F3E" w:rsidP="00FB4F3E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Change in Residence (complete this section if the client is moving</w:t>
            </w:r>
            <w:r w:rsidR="00E67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has moved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30DDA" w14:paraId="6FCF58DD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928E" w14:textId="28E89137" w:rsidR="00C30DDA" w:rsidRDefault="00145A18" w:rsidP="00C30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E67DD5">
              <w:rPr>
                <w:rFonts w:ascii="Arial" w:hAnsi="Arial" w:cs="Arial"/>
                <w:sz w:val="20"/>
                <w:szCs w:val="20"/>
              </w:rPr>
              <w:t xml:space="preserve">Residential </w:t>
            </w:r>
            <w:r w:rsidR="00FB4F3E" w:rsidRPr="00FB4F3E">
              <w:rPr>
                <w:rFonts w:ascii="Arial" w:hAnsi="Arial" w:cs="Arial"/>
                <w:sz w:val="20"/>
                <w:szCs w:val="20"/>
              </w:rPr>
              <w:t>F</w:t>
            </w:r>
            <w:r w:rsidR="00FB4F3E">
              <w:rPr>
                <w:rFonts w:ascii="Arial" w:hAnsi="Arial" w:cs="Arial"/>
                <w:sz w:val="20"/>
                <w:szCs w:val="20"/>
              </w:rPr>
              <w:t>acility Name</w:t>
            </w:r>
          </w:p>
          <w:p w14:paraId="09893553" w14:textId="0F6167C7" w:rsidR="00FB4F3E" w:rsidRPr="00FB4F3E" w:rsidRDefault="00FB4F3E" w:rsidP="00C30DDA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4F3E" w14:paraId="54E57B86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1F8E" w14:textId="0B6ED6E0" w:rsid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acility Address</w:t>
            </w:r>
          </w:p>
          <w:p w14:paraId="0090FA78" w14:textId="1F0D852C" w:rsidR="00FB4F3E" w:rsidRP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4F3E" w14:paraId="34649D90" w14:textId="77777777" w:rsidTr="00C64A6A">
        <w:trPr>
          <w:trHeight w:val="576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3F52" w14:textId="0A2AEEB5" w:rsid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</w:t>
            </w:r>
          </w:p>
          <w:p w14:paraId="0D5EEDC3" w14:textId="679DDAB1" w:rsidR="00FB4F3E" w:rsidRP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BBF6" w14:textId="6F6B1B2C" w:rsid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 </w:t>
            </w:r>
            <w:r w:rsidR="00145A18">
              <w:rPr>
                <w:rFonts w:ascii="Arial" w:hAnsi="Arial" w:cs="Arial"/>
                <w:sz w:val="20"/>
                <w:szCs w:val="20"/>
              </w:rPr>
              <w:t xml:space="preserve">Email or </w:t>
            </w:r>
            <w:r>
              <w:rPr>
                <w:rFonts w:ascii="Arial" w:hAnsi="Arial" w:cs="Arial"/>
                <w:sz w:val="20"/>
                <w:szCs w:val="20"/>
              </w:rPr>
              <w:t>Fax</w:t>
            </w:r>
          </w:p>
          <w:p w14:paraId="02C0AAC9" w14:textId="5C73B5E3" w:rsidR="00FB4F3E" w:rsidRP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4F3E" w14:paraId="1F780B5D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215E99" w:themeColor="text2" w:themeTint="BF"/>
              <w:right w:val="single" w:sz="2" w:space="0" w:color="auto"/>
            </w:tcBorders>
          </w:tcPr>
          <w:p w14:paraId="310A45D5" w14:textId="44A46084" w:rsid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12FD6E2A" w14:textId="7E598755" w:rsidR="00FB4F3E" w:rsidRPr="00FB4F3E" w:rsidRDefault="00FB4F3E" w:rsidP="00FB4F3E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4F3E" w14:paraId="2F5A1882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12" w:space="0" w:color="215E99" w:themeColor="text2" w:themeTint="BF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3726" w14:textId="29D01747" w:rsidR="00FB4F3E" w:rsidRDefault="00927282" w:rsidP="003E2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E67DD5">
              <w:rPr>
                <w:rFonts w:ascii="Arial" w:hAnsi="Arial" w:cs="Arial"/>
                <w:sz w:val="20"/>
                <w:szCs w:val="20"/>
              </w:rPr>
              <w:t xml:space="preserve">Residential </w:t>
            </w:r>
            <w:r w:rsidR="00FB4F3E" w:rsidRPr="00FB4F3E">
              <w:rPr>
                <w:rFonts w:ascii="Arial" w:hAnsi="Arial" w:cs="Arial"/>
                <w:sz w:val="20"/>
                <w:szCs w:val="20"/>
              </w:rPr>
              <w:t>F</w:t>
            </w:r>
            <w:r w:rsidR="00FB4F3E">
              <w:rPr>
                <w:rFonts w:ascii="Arial" w:hAnsi="Arial" w:cs="Arial"/>
                <w:sz w:val="20"/>
                <w:szCs w:val="20"/>
              </w:rPr>
              <w:t>acility Name</w:t>
            </w:r>
          </w:p>
          <w:p w14:paraId="1E4099D4" w14:textId="4AFAA48C" w:rsidR="00FB4F3E" w:rsidRPr="00FB4F3E" w:rsidRDefault="00FB4F3E" w:rsidP="003E2D27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4F3E" w14:paraId="0925FCDF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F970" w14:textId="2FF6FC39" w:rsidR="00FB4F3E" w:rsidRDefault="00927282" w:rsidP="003E2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FB4F3E" w:rsidRPr="00FB4F3E">
              <w:rPr>
                <w:rFonts w:ascii="Arial" w:hAnsi="Arial" w:cs="Arial"/>
                <w:sz w:val="20"/>
                <w:szCs w:val="20"/>
              </w:rPr>
              <w:t>F</w:t>
            </w:r>
            <w:r w:rsidR="00FB4F3E">
              <w:rPr>
                <w:rFonts w:ascii="Arial" w:hAnsi="Arial" w:cs="Arial"/>
                <w:sz w:val="20"/>
                <w:szCs w:val="20"/>
              </w:rPr>
              <w:t>acility Address</w:t>
            </w:r>
          </w:p>
          <w:p w14:paraId="58EFF8BB" w14:textId="44776DCA" w:rsidR="00FB4F3E" w:rsidRPr="00FB4F3E" w:rsidRDefault="00FB4F3E" w:rsidP="003E2D27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45A18" w14:paraId="213584F3" w14:textId="77777777" w:rsidTr="00C64A6A">
        <w:trPr>
          <w:trHeight w:val="576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AFCF" w14:textId="77777777" w:rsidR="00145A18" w:rsidRDefault="00145A18" w:rsidP="0014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Name</w:t>
            </w:r>
          </w:p>
          <w:p w14:paraId="11FF65E7" w14:textId="2265FF8F" w:rsidR="00145A18" w:rsidRPr="00FB4F3E" w:rsidRDefault="00145A18" w:rsidP="00145A18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0320" w14:textId="77777777" w:rsidR="00145A18" w:rsidRDefault="00145A18" w:rsidP="0014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Email or Fax</w:t>
            </w:r>
          </w:p>
          <w:p w14:paraId="0815BAF4" w14:textId="1BBDCD5D" w:rsidR="00145A18" w:rsidRPr="00FB4F3E" w:rsidRDefault="00145A18" w:rsidP="00145A18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0374" w14:textId="509F4A01" w:rsidR="00145A18" w:rsidRDefault="00145A18" w:rsidP="0014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Move Date</w:t>
            </w:r>
          </w:p>
          <w:p w14:paraId="0D7D7671" w14:textId="427D71B6" w:rsidR="00145A18" w:rsidRPr="00FB4F3E" w:rsidRDefault="00145A18" w:rsidP="00145A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7282" w14:paraId="4E7DB233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2516" w14:textId="77777777" w:rsidR="00927282" w:rsidRDefault="00927282" w:rsidP="00927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5AAD896B" w14:textId="0D8BA1B4" w:rsidR="00927282" w:rsidRPr="00FB4F3E" w:rsidRDefault="00927282" w:rsidP="00927282">
            <w:pPr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67DD5" w14:paraId="40507056" w14:textId="77777777" w:rsidTr="00E67DD5">
        <w:trPr>
          <w:trHeight w:val="317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5D5"/>
            <w:vAlign w:val="center"/>
          </w:tcPr>
          <w:p w14:paraId="70B3E476" w14:textId="02EA5DD5" w:rsidR="00E67DD5" w:rsidRPr="00E67DD5" w:rsidRDefault="00E67DD5" w:rsidP="00E67D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Hospital Admits:</w:t>
            </w:r>
          </w:p>
        </w:tc>
      </w:tr>
      <w:tr w:rsidR="00E67DD5" w14:paraId="0512CA72" w14:textId="77777777" w:rsidTr="0059238F">
        <w:trPr>
          <w:trHeight w:val="907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F2F2" w14:textId="7676CAEE" w:rsidR="00E67DD5" w:rsidRDefault="00E67DD5" w:rsidP="00C64A6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has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admitted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an inpatient facility from a residential facility (only complete section if client is </w:t>
            </w:r>
            <w:r w:rsidRPr="00E67DD5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returning to the residential setting):</w:t>
            </w:r>
          </w:p>
          <w:p w14:paraId="7C704AF7" w14:textId="3697B90D" w:rsidR="00E67DD5" w:rsidRDefault="00E67DD5" w:rsidP="00C64A6A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admit to inpatient facility:  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6375BB0" w14:textId="06BF82AC" w:rsidR="00E67DD5" w:rsidRDefault="00E67DD5" w:rsidP="00C64A6A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Inpatient setting name:  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3587F27" w14:textId="5D3EE19B" w:rsidR="00E67DD5" w:rsidRPr="00FB4F3E" w:rsidRDefault="00E67DD5" w:rsidP="00C64A6A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Inpatient setting city: 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7282" w14:paraId="3453B17D" w14:textId="77777777" w:rsidTr="00C64A6A">
        <w:trPr>
          <w:trHeight w:val="317"/>
        </w:trPr>
        <w:tc>
          <w:tcPr>
            <w:tcW w:w="10795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0B180A66" w14:textId="108EC517" w:rsidR="00927282" w:rsidRPr="00FB4F3E" w:rsidRDefault="00927282" w:rsidP="003E2D27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1915i Services Closure Request to </w:t>
            </w:r>
            <w:r w:rsidR="00CC4768">
              <w:rPr>
                <w:rFonts w:ascii="Arial" w:hAnsi="Arial" w:cs="Arial"/>
                <w:b/>
                <w:bCs/>
                <w:sz w:val="20"/>
                <w:szCs w:val="20"/>
              </w:rPr>
              <w:t>MCO / HCA</w:t>
            </w:r>
          </w:p>
        </w:tc>
      </w:tr>
      <w:tr w:rsidR="00145A18" w14:paraId="78BE3DB8" w14:textId="77777777" w:rsidTr="00C64A6A">
        <w:trPr>
          <w:trHeight w:val="576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1F5" w14:textId="7926189E" w:rsidR="00145A18" w:rsidRPr="00FB4F3E" w:rsidRDefault="00145A18" w:rsidP="00FD0976">
            <w:p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45A18">
              <w:rPr>
                <w:rFonts w:ascii="Arial" w:hAnsi="Arial" w:cs="Arial"/>
                <w:b/>
                <w:bCs/>
                <w:sz w:val="20"/>
                <w:szCs w:val="20"/>
              </w:rPr>
              <w:t>1915i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 closure request was made by Client / AREP / Guardian.</w:t>
            </w:r>
            <w:r>
              <w:rPr>
                <w:rFonts w:ascii="Arial" w:hAnsi="Arial" w:cs="Arial"/>
                <w:sz w:val="20"/>
                <w:szCs w:val="20"/>
              </w:rPr>
              <w:br/>
              <w:t>(MCO / HCA to confirm with decision maker.)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DBA" w14:textId="53B86F71" w:rsidR="00145A18" w:rsidRPr="00FB4F3E" w:rsidRDefault="00145A18" w:rsidP="00FD0976">
            <w:pPr>
              <w:tabs>
                <w:tab w:val="left" w:pos="160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Request: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145A18" w14:paraId="006B61D5" w14:textId="77777777" w:rsidTr="00C64A6A">
        <w:trPr>
          <w:trHeight w:val="576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E54" w14:textId="0F585B9C" w:rsidR="00145A18" w:rsidRDefault="00145A18" w:rsidP="00FD0976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C4768">
              <w:rPr>
                <w:rFonts w:ascii="Arial" w:hAnsi="Arial" w:cs="Arial"/>
                <w:b/>
                <w:bCs/>
                <w:sz w:val="20"/>
                <w:szCs w:val="20"/>
              </w:rPr>
              <w:t>LTC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services are closing:</w:t>
            </w:r>
          </w:p>
          <w:p w14:paraId="69388173" w14:textId="0E250581" w:rsidR="00145A18" w:rsidRPr="00FB4F3E" w:rsidRDefault="00145A18" w:rsidP="00FD0976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No longer eligibility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Client withdrew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6D0" w14:textId="183082F8" w:rsidR="00145A18" w:rsidRPr="00FB4F3E" w:rsidRDefault="00145A18" w:rsidP="00FD0976">
            <w:pPr>
              <w:tabs>
                <w:tab w:val="left" w:pos="160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0FCE" w14:paraId="251249E6" w14:textId="77777777" w:rsidTr="00C64A6A">
        <w:trPr>
          <w:trHeight w:val="576"/>
        </w:trPr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DEA" w14:textId="62A5E527" w:rsidR="00380FCE" w:rsidRPr="00FB4F3E" w:rsidRDefault="00380FCE" w:rsidP="00380FCE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 xml:space="preserve">Client </w:t>
            </w:r>
            <w:r w:rsidR="00145A18">
              <w:rPr>
                <w:rFonts w:ascii="Arial" w:hAnsi="Arial" w:cs="Arial"/>
                <w:sz w:val="20"/>
                <w:szCs w:val="20"/>
              </w:rPr>
              <w:t>passed away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706" w14:textId="2E889470" w:rsidR="00380FCE" w:rsidRPr="00FB4F3E" w:rsidRDefault="00CC4768" w:rsidP="00380FCE">
            <w:pPr>
              <w:tabs>
                <w:tab w:val="left" w:pos="160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Death</w:t>
            </w:r>
            <w:r w:rsidR="00380FCE">
              <w:rPr>
                <w:rFonts w:ascii="Arial" w:hAnsi="Arial" w:cs="Arial"/>
                <w:sz w:val="20"/>
                <w:szCs w:val="20"/>
              </w:rPr>
              <w:t>:</w:t>
            </w:r>
            <w:r w:rsidR="00380FCE">
              <w:rPr>
                <w:rFonts w:ascii="Arial" w:hAnsi="Arial" w:cs="Arial"/>
                <w:sz w:val="20"/>
                <w:szCs w:val="20"/>
              </w:rPr>
              <w:tab/>
            </w:r>
            <w:r w:rsidR="00380FC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80FC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380FCE">
              <w:rPr>
                <w:rFonts w:ascii="Times New Roman" w:hAnsi="Times New Roman" w:cs="Times New Roman"/>
                <w:b/>
                <w:bCs/>
              </w:rPr>
            </w:r>
            <w:r w:rsidR="00380FC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380FC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0FCE" w14:paraId="335FA8BD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BAB" w14:textId="04E563BE" w:rsidR="00380FCE" w:rsidRDefault="00380FCE" w:rsidP="00380FCE">
            <w:p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566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80FCE" w14:paraId="56B60FEA" w14:textId="77777777" w:rsidTr="00C64A6A">
        <w:trPr>
          <w:trHeight w:val="576"/>
        </w:trPr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F29" w14:textId="77777777" w:rsidR="00380FCE" w:rsidRDefault="00380FCE" w:rsidP="00380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7DDB075A" w14:textId="70106808" w:rsidR="00380FCE" w:rsidRPr="00FB4F3E" w:rsidRDefault="00380FCE" w:rsidP="00380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4F3E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4F3E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B4F3E">
              <w:rPr>
                <w:rFonts w:ascii="Times New Roman" w:hAnsi="Times New Roman" w:cs="Times New Roman"/>
                <w:b/>
                <w:bCs/>
              </w:rPr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67566A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B4F3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E486F7A" w14:textId="77777777" w:rsidR="008358F6" w:rsidRDefault="008358F6" w:rsidP="008358F6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  <w:sectPr w:rsidR="008358F6" w:rsidSect="00C30DDA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E67DD5" w14:paraId="4199F08D" w14:textId="77777777" w:rsidTr="00E67DD5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</w:tcPr>
          <w:p w14:paraId="12A19E91" w14:textId="77777777" w:rsidR="00E67DD5" w:rsidRPr="00DD2F9F" w:rsidRDefault="00E67DD5" w:rsidP="00C64A6A">
            <w:pPr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lastRenderedPageBreak/>
              <w:t xml:space="preserve">Instructions for Completing </w:t>
            </w:r>
            <w:r w:rsidRPr="008358F6">
              <w:rPr>
                <w:rFonts w:ascii="Arial" w:hAnsi="Arial" w:cs="Arial"/>
                <w:bCs/>
                <w:sz w:val="20"/>
                <w:szCs w:val="20"/>
                <w:u w:val="single"/>
              </w:rPr>
              <w:t>Change of Circumstance</w:t>
            </w:r>
            <w:r w:rsidRPr="008358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bCs/>
                <w:sz w:val="20"/>
                <w:szCs w:val="20"/>
              </w:rPr>
              <w:t>Community Behavioral Health Supports (CBHS) Services / 1915i</w:t>
            </w:r>
          </w:p>
          <w:p w14:paraId="5D4CDA12" w14:textId="77777777" w:rsidR="00E67DD5" w:rsidRPr="008358F6" w:rsidRDefault="00E67DD5" w:rsidP="00C64A6A">
            <w:pPr>
              <w:tabs>
                <w:tab w:val="left" w:pos="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  <w:r w:rsidRPr="008358F6">
              <w:rPr>
                <w:rFonts w:ascii="Arial" w:hAnsi="Arial" w:cs="Arial"/>
                <w:sz w:val="20"/>
                <w:szCs w:val="20"/>
              </w:rPr>
              <w:t>:  This form is used by Home and Community Services (HCS) and Area Agency on Aging (AAA) staff to report the following changes to the 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assigned </w:t>
            </w:r>
            <w:r w:rsidRPr="008358F6">
              <w:rPr>
                <w:rFonts w:ascii="Arial" w:hAnsi="Arial" w:cs="Arial"/>
                <w:sz w:val="20"/>
                <w:szCs w:val="20"/>
              </w:rPr>
              <w:t>Managed Care Organization (MCO) or the Health Care Authority (HCA) when the client has been authorized for a 1915i service:</w:t>
            </w:r>
          </w:p>
          <w:p w14:paraId="6856C39F" w14:textId="14C4785D" w:rsidR="00E67DD5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before="120" w:after="12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Changes or potential changes in a 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8358F6">
              <w:rPr>
                <w:rFonts w:ascii="Arial" w:hAnsi="Arial" w:cs="Arial"/>
                <w:sz w:val="20"/>
                <w:szCs w:val="20"/>
              </w:rPr>
              <w:t>s residential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setting.</w:t>
            </w:r>
          </w:p>
          <w:p w14:paraId="639B97DB" w14:textId="77777777" w:rsidR="00E67DD5" w:rsidRPr="00A61C56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before="120" w:after="12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admits to inpatient facility from residential facility and is not returning to residential setting.</w:t>
            </w:r>
          </w:p>
          <w:p w14:paraId="631D9861" w14:textId="77777777" w:rsidR="00E67DD5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before="120" w:after="12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A request to close a 1915i service has been made by the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AREP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Guardian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6BA9B1" w14:textId="77777777" w:rsidR="00E67DD5" w:rsidRPr="008358F6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before="120" w:after="12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>
              <w:rPr>
                <w:rFonts w:ascii="Arial" w:hAnsi="Arial" w:cs="Arial"/>
                <w:sz w:val="20"/>
                <w:szCs w:val="20"/>
              </w:rPr>
              <w:t>is no longer eligible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 for HCS Long-Term Care (LTC) services or withdrew from LTC services.</w:t>
            </w:r>
          </w:p>
          <w:p w14:paraId="1A59A6B9" w14:textId="77777777" w:rsidR="00E67DD5" w:rsidRPr="00FD0976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before="120" w:after="12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>
              <w:rPr>
                <w:rFonts w:ascii="Arial" w:hAnsi="Arial" w:cs="Arial"/>
                <w:sz w:val="20"/>
                <w:szCs w:val="20"/>
              </w:rPr>
              <w:t>passed.</w:t>
            </w:r>
          </w:p>
          <w:p w14:paraId="7C5DBC41" w14:textId="77777777" w:rsidR="00E67DD5" w:rsidRPr="008358F6" w:rsidRDefault="00E67DD5" w:rsidP="00C64A6A">
            <w:pPr>
              <w:tabs>
                <w:tab w:val="left" w:pos="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358F6">
              <w:rPr>
                <w:rFonts w:ascii="Arial" w:hAnsi="Arial" w:cs="Arial"/>
                <w:sz w:val="20"/>
                <w:szCs w:val="20"/>
                <w:u w:val="single"/>
              </w:rPr>
              <w:t>Demographic Information:</w:t>
            </w:r>
          </w:p>
          <w:p w14:paraId="330C0608" w14:textId="3FD3E8C2" w:rsidR="00E67DD5" w:rsidRPr="008358F6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  <w:tab w:val="left" w:pos="700"/>
              </w:tabs>
              <w:spacing w:before="120" w:after="120" w:line="276" w:lineRule="auto"/>
              <w:ind w:left="705" w:hanging="70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To: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Document </w:t>
            </w:r>
            <w:proofErr w:type="gramStart"/>
            <w:r w:rsidRPr="008358F6">
              <w:rPr>
                <w:rFonts w:ascii="Arial" w:hAnsi="Arial" w:cs="Arial"/>
                <w:sz w:val="20"/>
                <w:szCs w:val="20"/>
              </w:rPr>
              <w:t>who</w:t>
            </w:r>
            <w:proofErr w:type="gramEnd"/>
            <w:r w:rsidRPr="008358F6">
              <w:rPr>
                <w:rFonts w:ascii="Arial" w:hAnsi="Arial" w:cs="Arial"/>
                <w:sz w:val="20"/>
                <w:szCs w:val="20"/>
              </w:rPr>
              <w:t xml:space="preserve"> the form is sent to. Include both the MCO </w:t>
            </w:r>
            <w:r>
              <w:rPr>
                <w:rFonts w:ascii="Arial" w:hAnsi="Arial" w:cs="Arial"/>
                <w:sz w:val="20"/>
                <w:szCs w:val="20"/>
              </w:rPr>
              <w:t xml:space="preserve">or HCA contact 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8358F6">
              <w:rPr>
                <w:rFonts w:ascii="Arial" w:hAnsi="Arial" w:cs="Arial"/>
                <w:sz w:val="20"/>
                <w:szCs w:val="20"/>
              </w:rPr>
              <w:t>email.  Add the date the form was sent.</w:t>
            </w:r>
          </w:p>
          <w:p w14:paraId="6F503F3D" w14:textId="77777777" w:rsidR="00E67DD5" w:rsidRPr="00EA56A5" w:rsidRDefault="00E67DD5" w:rsidP="00C64A6A">
            <w:pPr>
              <w:pStyle w:val="ListParagraph"/>
              <w:numPr>
                <w:ilvl w:val="1"/>
                <w:numId w:val="3"/>
              </w:numPr>
              <w:spacing w:before="120" w:after="120" w:line="276" w:lineRule="auto"/>
              <w:ind w:left="1065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Wellpoint: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A61C56">
                <w:rPr>
                  <w:rStyle w:val="Hyperlink"/>
                  <w:rFonts w:ascii="Arial" w:hAnsi="Arial" w:cs="Arial"/>
                  <w:sz w:val="20"/>
                  <w:szCs w:val="20"/>
                </w:rPr>
                <w:t>CBHSReferralsandAuthorizations@wellpoint.com</w:t>
              </w:r>
            </w:hyperlink>
          </w:p>
          <w:p w14:paraId="7496FB4C" w14:textId="77777777" w:rsidR="00E67DD5" w:rsidRPr="008358F6" w:rsidRDefault="00E67DD5" w:rsidP="00C64A6A">
            <w:pPr>
              <w:pStyle w:val="ListParagraph"/>
              <w:numPr>
                <w:ilvl w:val="1"/>
                <w:numId w:val="3"/>
              </w:numPr>
              <w:spacing w:before="120" w:after="120" w:line="276" w:lineRule="auto"/>
              <w:ind w:left="1065"/>
              <w:rPr>
                <w:rFonts w:ascii="Arial" w:eastAsia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Community Health Plan of Washington: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2F5F16">
                <w:rPr>
                  <w:rStyle w:val="Hyperlink"/>
                  <w:rFonts w:ascii="Arial" w:hAnsi="Arial" w:cs="Arial"/>
                  <w:sz w:val="20"/>
                  <w:szCs w:val="20"/>
                </w:rPr>
                <w:t>BHPC@chpw.org</w:t>
              </w:r>
            </w:hyperlink>
          </w:p>
          <w:p w14:paraId="5F33816D" w14:textId="77777777" w:rsidR="00E67DD5" w:rsidRPr="008358F6" w:rsidRDefault="00E67DD5" w:rsidP="00C64A6A">
            <w:pPr>
              <w:pStyle w:val="ListParagraph"/>
              <w:numPr>
                <w:ilvl w:val="1"/>
                <w:numId w:val="3"/>
              </w:numPr>
              <w:spacing w:before="120" w:after="120" w:line="276" w:lineRule="auto"/>
              <w:ind w:left="1065"/>
              <w:rPr>
                <w:rFonts w:ascii="Arial" w:eastAsia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Coordinated Care: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A61C56">
                <w:rPr>
                  <w:rStyle w:val="Hyperlink"/>
                  <w:rFonts w:ascii="Arial" w:hAnsi="Arial" w:cs="Arial"/>
                  <w:sz w:val="20"/>
                  <w:szCs w:val="20"/>
                </w:rPr>
                <w:t>SupportiveServices@centene.com</w:t>
              </w:r>
            </w:hyperlink>
          </w:p>
          <w:p w14:paraId="55F92550" w14:textId="77777777" w:rsidR="00E67DD5" w:rsidRPr="008358F6" w:rsidRDefault="00E67DD5" w:rsidP="00C64A6A">
            <w:pPr>
              <w:pStyle w:val="ListParagraph"/>
              <w:numPr>
                <w:ilvl w:val="1"/>
                <w:numId w:val="3"/>
              </w:numPr>
              <w:spacing w:before="120" w:after="120" w:line="276" w:lineRule="auto"/>
              <w:ind w:left="1065"/>
              <w:rPr>
                <w:rFonts w:ascii="Arial" w:eastAsia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Molina: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2F5F16">
                <w:rPr>
                  <w:rStyle w:val="Hyperlink"/>
                  <w:rFonts w:ascii="Arial" w:hAnsi="Arial" w:cs="Arial"/>
                  <w:sz w:val="20"/>
                  <w:szCs w:val="20"/>
                </w:rPr>
                <w:t>CBHSReferrals@molinahealthcare.com</w:t>
              </w:r>
            </w:hyperlink>
          </w:p>
          <w:p w14:paraId="52194B6C" w14:textId="77777777" w:rsidR="00E67DD5" w:rsidRPr="008358F6" w:rsidRDefault="00E67DD5" w:rsidP="00C64A6A">
            <w:pPr>
              <w:pStyle w:val="ListParagraph"/>
              <w:numPr>
                <w:ilvl w:val="1"/>
                <w:numId w:val="7"/>
              </w:numPr>
              <w:spacing w:before="120" w:after="120" w:line="276" w:lineRule="auto"/>
              <w:ind w:left="1060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*</w:t>
            </w:r>
            <w:r w:rsidRPr="008358F6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U</w:t>
            </w:r>
            <w:r w:rsidRPr="008358F6">
              <w:rPr>
                <w:rFonts w:ascii="Arial" w:hAnsi="Arial" w:cs="Arial"/>
                <w:color w:val="000000" w:themeColor="text1"/>
                <w:sz w:val="20"/>
                <w:szCs w:val="20"/>
              </w:rPr>
              <w:t>nited Health Care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Pr="00EA56A5">
                <w:rPr>
                  <w:rStyle w:val="Hyperlink"/>
                  <w:rFonts w:ascii="Arial" w:hAnsi="Arial" w:cs="Arial"/>
                  <w:sz w:val="20"/>
                  <w:szCs w:val="20"/>
                </w:rPr>
                <w:t>mpc_etr@uhc.com</w:t>
              </w:r>
            </w:hyperlink>
            <w:r>
              <w:t xml:space="preserve"> </w:t>
            </w:r>
          </w:p>
          <w:p w14:paraId="2F6F5483" w14:textId="77777777" w:rsidR="00E67DD5" w:rsidRDefault="00E67DD5" w:rsidP="00C64A6A">
            <w:pPr>
              <w:pStyle w:val="ListParagraph"/>
              <w:numPr>
                <w:ilvl w:val="1"/>
                <w:numId w:val="7"/>
              </w:numPr>
              <w:spacing w:before="120" w:after="120" w:line="276" w:lineRule="auto"/>
              <w:ind w:left="1060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HCA</w:t>
            </w:r>
            <w:r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358F6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358F6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Fee-F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or-Service (FFS) </w:t>
            </w:r>
            <w:hyperlink r:id="rId14" w:history="1">
              <w:r w:rsidRPr="008358F6">
                <w:rPr>
                  <w:rStyle w:val="Hyperlink"/>
                  <w:rFonts w:ascii="Arial" w:hAnsi="Arial" w:cs="Arial"/>
                  <w:sz w:val="20"/>
                  <w:szCs w:val="20"/>
                </w:rPr>
                <w:t>hca1915iservices@hca.wa.gov</w:t>
              </w:r>
            </w:hyperlink>
          </w:p>
          <w:p w14:paraId="5D09FD1B" w14:textId="77777777" w:rsidR="00E67DD5" w:rsidRDefault="00E67DD5" w:rsidP="00C64A6A">
            <w:pPr>
              <w:pStyle w:val="ListParagraph"/>
              <w:spacing w:before="120" w:after="120" w:line="276" w:lineRule="auto"/>
              <w:ind w:left="706"/>
              <w:contextualSpacing w:val="0"/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*Please note: United Health Care has an underscore in their email address</w:t>
            </w:r>
          </w:p>
          <w:p w14:paraId="633FD4A4" w14:textId="77777777" w:rsidR="00E67DD5" w:rsidRPr="008358F6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spacing w:before="120" w:after="120" w:line="276" w:lineRule="auto"/>
              <w:ind w:left="705" w:hanging="34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From:  Case manager to enter their contact information.  Include name, email, and telephone number.  </w:t>
            </w:r>
          </w:p>
          <w:p w14:paraId="22CD7DA2" w14:textId="77777777" w:rsidR="00E67DD5" w:rsidRPr="008358F6" w:rsidRDefault="00E67DD5" w:rsidP="00C64A6A">
            <w:pPr>
              <w:pStyle w:val="ListParagraph"/>
              <w:numPr>
                <w:ilvl w:val="0"/>
                <w:numId w:val="2"/>
              </w:numPr>
              <w:tabs>
                <w:tab w:val="left" w:pos="705"/>
              </w:tabs>
              <w:spacing w:before="120" w:after="120" w:line="276" w:lineRule="auto"/>
              <w:ind w:left="705" w:hanging="34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RE:  Case manager to document the client’s information.  Include the 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8358F6">
              <w:rPr>
                <w:rFonts w:ascii="Arial" w:hAnsi="Arial" w:cs="Arial"/>
                <w:sz w:val="20"/>
                <w:szCs w:val="20"/>
              </w:rPr>
              <w:t>s name as seen in CARE, 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8358F6">
              <w:rPr>
                <w:rFonts w:ascii="Arial" w:hAnsi="Arial" w:cs="Arial"/>
                <w:sz w:val="20"/>
                <w:szCs w:val="20"/>
              </w:rPr>
              <w:t>s ProviderOne ID (ending in WA), and the 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s Date of Birth (DOB).  </w:t>
            </w:r>
          </w:p>
          <w:p w14:paraId="40597277" w14:textId="77777777" w:rsidR="00E67DD5" w:rsidRPr="008358F6" w:rsidRDefault="00E67DD5" w:rsidP="00C64A6A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before="120" w:after="120" w:line="276" w:lineRule="auto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  <w:u w:val="single"/>
              </w:rPr>
              <w:t>Change in Residence:</w:t>
            </w:r>
          </w:p>
          <w:p w14:paraId="42890510" w14:textId="77777777" w:rsidR="00E67DD5" w:rsidRPr="008358F6" w:rsidRDefault="00E67DD5" w:rsidP="00C64A6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700" w:hanging="34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Case manager completes this section as soon as they become aware the client is planning to move out of their current 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or when you have confirmed a client has moved.</w:t>
            </w:r>
          </w:p>
          <w:p w14:paraId="1D941BBE" w14:textId="77777777" w:rsidR="00E67DD5" w:rsidRPr="0059238F" w:rsidRDefault="00E67DD5" w:rsidP="00C64A6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70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238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Current Facility information</w:t>
            </w:r>
            <w:r w:rsidRPr="005923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5F91533" w14:textId="77777777" w:rsidR="00E67DD5" w:rsidRPr="008358F6" w:rsidRDefault="00E67DD5" w:rsidP="00C64A6A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ind w:left="106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Case manager to include client’s current facility name, address, provider name, provider phone number and provider </w:t>
            </w:r>
            <w:r>
              <w:rPr>
                <w:rFonts w:ascii="Arial" w:hAnsi="Arial" w:cs="Arial"/>
                <w:sz w:val="20"/>
                <w:szCs w:val="20"/>
              </w:rPr>
              <w:t>email or fax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Case manager can add additional known information </w:t>
            </w:r>
            <w:proofErr w:type="gramStart"/>
            <w:r w:rsidRPr="008358F6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8358F6">
              <w:rPr>
                <w:rFonts w:ascii="Arial" w:hAnsi="Arial" w:cs="Arial"/>
                <w:sz w:val="20"/>
                <w:szCs w:val="20"/>
              </w:rPr>
              <w:t xml:space="preserve"> the comments box.</w:t>
            </w:r>
          </w:p>
          <w:p w14:paraId="4FAF22D0" w14:textId="77777777" w:rsidR="00E67DD5" w:rsidRPr="008358F6" w:rsidRDefault="00E67DD5" w:rsidP="00C64A6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700" w:hanging="340"/>
              <w:rPr>
                <w:rFonts w:ascii="Arial" w:hAnsi="Arial" w:cs="Arial"/>
                <w:sz w:val="20"/>
                <w:szCs w:val="20"/>
              </w:rPr>
            </w:pPr>
            <w:r w:rsidRPr="0059238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New Facility Information</w:t>
            </w:r>
            <w:r w:rsidRPr="008358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D764E0" w14:textId="77777777" w:rsidR="00E67DD5" w:rsidRPr="008358F6" w:rsidRDefault="00E67DD5" w:rsidP="00C64A6A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ind w:left="106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Case manager to include the new facility name, address, provider name, provider phone number and provider </w:t>
            </w:r>
            <w:r>
              <w:rPr>
                <w:rFonts w:ascii="Arial" w:hAnsi="Arial" w:cs="Arial"/>
                <w:sz w:val="20"/>
                <w:szCs w:val="20"/>
              </w:rPr>
              <w:t xml:space="preserve">email or fax. 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Case manager can add additional known information </w:t>
            </w:r>
            <w:proofErr w:type="gramStart"/>
            <w:r w:rsidRPr="008358F6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8358F6">
              <w:rPr>
                <w:rFonts w:ascii="Arial" w:hAnsi="Arial" w:cs="Arial"/>
                <w:sz w:val="20"/>
                <w:szCs w:val="20"/>
              </w:rPr>
              <w:t xml:space="preserve"> the comments box.</w:t>
            </w:r>
          </w:p>
          <w:p w14:paraId="3E459AA6" w14:textId="77777777" w:rsidR="00E67DD5" w:rsidRPr="008358F6" w:rsidRDefault="00E67DD5" w:rsidP="00C64A6A">
            <w:pPr>
              <w:pStyle w:val="ListParagraph"/>
              <w:numPr>
                <w:ilvl w:val="1"/>
                <w:numId w:val="4"/>
              </w:numPr>
              <w:tabs>
                <w:tab w:val="left" w:pos="700"/>
              </w:tabs>
              <w:spacing w:before="120" w:after="120" w:line="276" w:lineRule="auto"/>
              <w:ind w:left="106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Planned Move Date:</w:t>
            </w:r>
          </w:p>
          <w:p w14:paraId="0F4AB1C4" w14:textId="77777777" w:rsidR="00E67DD5" w:rsidRPr="008358F6" w:rsidRDefault="00E67DD5" w:rsidP="00C64A6A">
            <w:pPr>
              <w:pStyle w:val="ListParagraph"/>
              <w:numPr>
                <w:ilvl w:val="2"/>
                <w:numId w:val="4"/>
              </w:numPr>
              <w:spacing w:before="120" w:after="120" w:line="276" w:lineRule="auto"/>
              <w:ind w:left="142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If there is a set move date,</w:t>
            </w:r>
            <w:r>
              <w:rPr>
                <w:rFonts w:ascii="Arial" w:hAnsi="Arial" w:cs="Arial"/>
                <w:sz w:val="20"/>
                <w:szCs w:val="20"/>
              </w:rPr>
              <w:t xml:space="preserve"> case manager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 to include this.</w:t>
            </w:r>
          </w:p>
          <w:p w14:paraId="3F926F6A" w14:textId="77777777" w:rsidR="00E67DD5" w:rsidRPr="008358F6" w:rsidRDefault="00E67DD5" w:rsidP="00C64A6A">
            <w:pPr>
              <w:pStyle w:val="ListParagraph"/>
              <w:numPr>
                <w:ilvl w:val="2"/>
                <w:numId w:val="4"/>
              </w:numPr>
              <w:spacing w:before="120" w:after="120" w:line="276" w:lineRule="auto"/>
              <w:ind w:left="142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If there is a tentative or unknown date, </w:t>
            </w:r>
            <w:r>
              <w:rPr>
                <w:rFonts w:ascii="Arial" w:hAnsi="Arial" w:cs="Arial"/>
                <w:sz w:val="20"/>
                <w:szCs w:val="20"/>
              </w:rPr>
              <w:t>case manager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 to document this in the comment box below and include as much information as possible about the move.  </w:t>
            </w:r>
          </w:p>
          <w:p w14:paraId="6FC90CB9" w14:textId="77777777" w:rsidR="00E67DD5" w:rsidRDefault="00E67DD5" w:rsidP="00C64A6A">
            <w:pPr>
              <w:pStyle w:val="ListParagraph"/>
              <w:spacing w:before="120" w:after="120" w:line="276" w:lineRule="auto"/>
              <w:ind w:left="10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*Please note: </w:t>
            </w:r>
            <w:r w:rsidRPr="008358F6">
              <w:rPr>
                <w:rFonts w:ascii="Arial" w:hAnsi="Arial" w:cs="Arial"/>
                <w:sz w:val="20"/>
                <w:szCs w:val="20"/>
              </w:rPr>
              <w:t>If the move date is tentative or unknown at the time initial form is sent, no additional form is needed once a set date is in place.  The MCO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HCA will communicate with the provider to obtain this information.  </w:t>
            </w:r>
          </w:p>
          <w:p w14:paraId="0EF9FF89" w14:textId="77777777" w:rsidR="00E67DD5" w:rsidRDefault="00E67DD5" w:rsidP="00C64A6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700" w:hanging="340"/>
              <w:rPr>
                <w:rFonts w:ascii="Arial" w:hAnsi="Arial" w:cs="Arial"/>
                <w:sz w:val="20"/>
                <w:szCs w:val="20"/>
              </w:rPr>
            </w:pPr>
            <w:r w:rsidRPr="0059238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Hospital Admits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Case manager completes this section as soon as they become aware the client </w:t>
            </w:r>
            <w:r>
              <w:rPr>
                <w:rFonts w:ascii="Arial" w:hAnsi="Arial" w:cs="Arial"/>
                <w:sz w:val="20"/>
                <w:szCs w:val="20"/>
              </w:rPr>
              <w:t>has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admitted to an inpatient setting and is not returning to the residential facility where CBHS is authorized</w:t>
            </w:r>
            <w:r w:rsidRPr="008358F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This section is not for case managers to report bed holds.  </w:t>
            </w:r>
          </w:p>
          <w:p w14:paraId="27CCD4A8" w14:textId="77777777" w:rsidR="00E67DD5" w:rsidRDefault="00E67DD5" w:rsidP="00C64A6A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59238F">
              <w:rPr>
                <w:rFonts w:ascii="Arial" w:hAnsi="Arial" w:cs="Arial"/>
                <w:sz w:val="20"/>
                <w:szCs w:val="20"/>
              </w:rPr>
              <w:t xml:space="preserve">Date of admit to inpatient facility: </w:t>
            </w:r>
            <w:r>
              <w:rPr>
                <w:rFonts w:ascii="Arial" w:hAnsi="Arial" w:cs="Arial"/>
                <w:sz w:val="20"/>
                <w:szCs w:val="20"/>
              </w:rPr>
              <w:t>Case manager</w:t>
            </w:r>
            <w:r w:rsidRPr="0059238F">
              <w:rPr>
                <w:rFonts w:ascii="Arial" w:hAnsi="Arial" w:cs="Arial"/>
                <w:sz w:val="20"/>
                <w:szCs w:val="20"/>
              </w:rPr>
              <w:t xml:space="preserve"> to add the date the client admitted to the inpatient setting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06F91C" w14:textId="77777777" w:rsidR="00E67DD5" w:rsidRPr="00B25DE8" w:rsidRDefault="00E67DD5" w:rsidP="00C64A6A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Inpatient setting name: Case manager to document the name of the inpatient setting, ensuring to include the full name.</w:t>
            </w:r>
          </w:p>
          <w:p w14:paraId="3E8F9D56" w14:textId="77777777" w:rsidR="00E67DD5" w:rsidRPr="0059238F" w:rsidRDefault="00E67DD5" w:rsidP="00C64A6A">
            <w:pPr>
              <w:pStyle w:val="ListParagraph"/>
              <w:numPr>
                <w:ilvl w:val="1"/>
                <w:numId w:val="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73E8C">
              <w:rPr>
                <w:rFonts w:ascii="Arial" w:hAnsi="Arial" w:cs="Arial"/>
                <w:sz w:val="20"/>
                <w:szCs w:val="20"/>
              </w:rPr>
              <w:t>Inpatient</w:t>
            </w:r>
            <w:r w:rsidRPr="00332C44">
              <w:rPr>
                <w:rFonts w:ascii="Arial" w:hAnsi="Arial" w:cs="Arial"/>
                <w:sz w:val="20"/>
                <w:szCs w:val="20"/>
              </w:rPr>
              <w:t xml:space="preserve"> setting city:</w:t>
            </w:r>
            <w:r>
              <w:rPr>
                <w:rFonts w:ascii="Arial" w:hAnsi="Arial" w:cs="Arial"/>
                <w:sz w:val="20"/>
                <w:szCs w:val="20"/>
              </w:rPr>
              <w:t xml:space="preserve"> Case manager to document the city where the inpatient setting is located.</w:t>
            </w:r>
          </w:p>
          <w:p w14:paraId="2693B0F4" w14:textId="77777777" w:rsidR="00E67DD5" w:rsidRPr="008358F6" w:rsidRDefault="00E67DD5" w:rsidP="00C64A6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1915i Services Closure Request to HCA / MCO</w:t>
            </w:r>
          </w:p>
          <w:p w14:paraId="0AF849C6" w14:textId="77777777" w:rsidR="00E67DD5" w:rsidRPr="008358F6" w:rsidRDefault="00E67DD5" w:rsidP="00C64A6A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705" w:hanging="36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Case manager completes this section when there is a reason or a request to close 1915i services.  Case manager to document one of the following options by selecting check box and include the effective or requested date.  </w:t>
            </w:r>
          </w:p>
          <w:p w14:paraId="7232EF31" w14:textId="77777777" w:rsidR="00E67DD5" w:rsidRPr="00FD0976" w:rsidRDefault="00E67DD5" w:rsidP="00C64A6A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ind w:left="1060"/>
              <w:rPr>
                <w:rFonts w:ascii="Arial" w:hAnsi="Arial" w:cs="Arial"/>
                <w:sz w:val="20"/>
                <w:szCs w:val="20"/>
              </w:rPr>
            </w:pPr>
            <w:r w:rsidRPr="00FC6D27">
              <w:rPr>
                <w:rFonts w:ascii="Arial" w:hAnsi="Arial" w:cs="Arial"/>
                <w:b/>
                <w:bCs/>
                <w:sz w:val="20"/>
                <w:szCs w:val="20"/>
              </w:rPr>
              <w:t>1915i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976">
              <w:rPr>
                <w:rFonts w:ascii="Arial" w:hAnsi="Arial" w:cs="Arial"/>
                <w:b/>
                <w:bCs/>
                <w:sz w:val="20"/>
                <w:szCs w:val="20"/>
              </w:rPr>
              <w:t>service closure request was made by Client / AREP / Guardian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:  Case manager will select this box if there was a choice made to close </w:t>
            </w:r>
            <w:r>
              <w:rPr>
                <w:rFonts w:ascii="Arial" w:hAnsi="Arial" w:cs="Arial"/>
                <w:sz w:val="20"/>
                <w:szCs w:val="20"/>
              </w:rPr>
              <w:t xml:space="preserve">1915i </w:t>
            </w:r>
            <w:r w:rsidRPr="008358F6">
              <w:rPr>
                <w:rFonts w:ascii="Arial" w:hAnsi="Arial" w:cs="Arial"/>
                <w:sz w:val="20"/>
                <w:szCs w:val="20"/>
              </w:rPr>
              <w:t>services.  Case manager to include the date the closure request was made.  MCO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HCA will confirm the closure request with 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AREP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guardian prior to ending the authorization.  </w:t>
            </w:r>
          </w:p>
          <w:p w14:paraId="270F28D5" w14:textId="77777777" w:rsidR="00E67DD5" w:rsidRPr="008358F6" w:rsidRDefault="00E67DD5" w:rsidP="00C64A6A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ind w:left="106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LTC services are </w:t>
            </w:r>
            <w:proofErr w:type="gramStart"/>
            <w:r w:rsidRPr="008358F6">
              <w:rPr>
                <w:rFonts w:ascii="Arial" w:hAnsi="Arial" w:cs="Arial"/>
                <w:b/>
                <w:bCs/>
                <w:sz w:val="20"/>
                <w:szCs w:val="20"/>
              </w:rPr>
              <w:t>closing</w:t>
            </w:r>
            <w:r w:rsidRPr="008358F6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8358F6">
              <w:rPr>
                <w:rFonts w:ascii="Arial" w:hAnsi="Arial" w:cs="Arial"/>
                <w:sz w:val="20"/>
                <w:szCs w:val="20"/>
              </w:rPr>
              <w:t xml:space="preserve">  Case manager will select this box if the 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s LTC services are closing.  </w:t>
            </w:r>
            <w:r>
              <w:rPr>
                <w:rFonts w:ascii="Arial" w:hAnsi="Arial" w:cs="Arial"/>
                <w:sz w:val="20"/>
                <w:szCs w:val="20"/>
              </w:rPr>
              <w:t xml:space="preserve">LTC services are required to be eligible for 1915i services. </w:t>
            </w:r>
            <w:r w:rsidRPr="008358F6">
              <w:rPr>
                <w:rFonts w:ascii="Arial" w:hAnsi="Arial" w:cs="Arial"/>
                <w:sz w:val="20"/>
                <w:szCs w:val="20"/>
              </w:rPr>
              <w:t>Case managers to select one of the following options and include the date of closure:</w:t>
            </w:r>
          </w:p>
          <w:p w14:paraId="0B9E3AF0" w14:textId="77777777" w:rsidR="00E67DD5" w:rsidRPr="008358F6" w:rsidRDefault="00E67DD5" w:rsidP="00C64A6A">
            <w:pPr>
              <w:pStyle w:val="ListParagraph"/>
              <w:numPr>
                <w:ilvl w:val="2"/>
                <w:numId w:val="5"/>
              </w:numPr>
              <w:spacing w:before="120" w:after="120" w:line="276" w:lineRule="auto"/>
              <w:ind w:left="1425" w:hanging="270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 xml:space="preserve">Client lost eligibility for LTC services.  </w:t>
            </w:r>
          </w:p>
          <w:p w14:paraId="5047CE92" w14:textId="77777777" w:rsidR="00E67DD5" w:rsidRPr="00FD0976" w:rsidRDefault="00E67DD5" w:rsidP="00C64A6A">
            <w:pPr>
              <w:pStyle w:val="ListParagraph"/>
              <w:numPr>
                <w:ilvl w:val="2"/>
                <w:numId w:val="5"/>
              </w:numPr>
              <w:spacing w:before="120" w:after="120" w:line="276" w:lineRule="auto"/>
              <w:ind w:left="142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sz w:val="20"/>
                <w:szCs w:val="20"/>
              </w:rPr>
              <w:t>Client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AREP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F6">
              <w:rPr>
                <w:rFonts w:ascii="Arial" w:hAnsi="Arial" w:cs="Arial"/>
                <w:sz w:val="20"/>
                <w:szCs w:val="20"/>
              </w:rPr>
              <w:t>Guardian withdrew from LTC services.</w:t>
            </w:r>
          </w:p>
          <w:p w14:paraId="6DCC9885" w14:textId="77777777" w:rsidR="00E67DD5" w:rsidRPr="00FD0976" w:rsidRDefault="00E67DD5" w:rsidP="00C64A6A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ind w:left="106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passed away</w:t>
            </w:r>
            <w:r w:rsidRPr="008358F6">
              <w:rPr>
                <w:rFonts w:ascii="Arial" w:hAnsi="Arial" w:cs="Arial"/>
                <w:sz w:val="20"/>
                <w:szCs w:val="20"/>
              </w:rPr>
              <w:t>: Case manager would select this box if the client died.  C</w:t>
            </w:r>
            <w:r>
              <w:rPr>
                <w:rFonts w:ascii="Arial" w:hAnsi="Arial" w:cs="Arial"/>
                <w:sz w:val="20"/>
                <w:szCs w:val="20"/>
              </w:rPr>
              <w:t>ase manager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 to add the date of death.</w:t>
            </w:r>
          </w:p>
          <w:p w14:paraId="5D040C38" w14:textId="77777777" w:rsidR="00E67DD5" w:rsidRPr="008358F6" w:rsidRDefault="00E67DD5" w:rsidP="00C64A6A">
            <w:pPr>
              <w:pStyle w:val="ListParagraph"/>
              <w:numPr>
                <w:ilvl w:val="1"/>
                <w:numId w:val="5"/>
              </w:numPr>
              <w:spacing w:before="120" w:after="120" w:line="276" w:lineRule="auto"/>
              <w:ind w:left="1060" w:hanging="355"/>
              <w:rPr>
                <w:rFonts w:ascii="Arial" w:hAnsi="Arial" w:cs="Arial"/>
                <w:sz w:val="20"/>
                <w:szCs w:val="20"/>
              </w:rPr>
            </w:pPr>
            <w:r w:rsidRPr="008358F6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Pr="008358F6">
              <w:rPr>
                <w:rFonts w:ascii="Arial" w:hAnsi="Arial" w:cs="Arial"/>
                <w:sz w:val="20"/>
                <w:szCs w:val="20"/>
              </w:rPr>
              <w:t xml:space="preserve">: Case manager will select this box if there is alternative reason to close services.  Case manager to include the date of request in this text box.  </w:t>
            </w:r>
          </w:p>
          <w:p w14:paraId="740CF22A" w14:textId="7F559B61" w:rsidR="00E67DD5" w:rsidRPr="008358F6" w:rsidRDefault="00E67DD5" w:rsidP="00C64A6A">
            <w:pPr>
              <w:tabs>
                <w:tab w:val="left" w:pos="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D2F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Comments: </w:t>
            </w:r>
            <w:r w:rsidRPr="00DD2F9F">
              <w:rPr>
                <w:rFonts w:ascii="Arial" w:hAnsi="Arial" w:cs="Arial"/>
                <w:sz w:val="20"/>
                <w:szCs w:val="20"/>
              </w:rPr>
              <w:t>Case manager to document any additional information that is pertinent to the closure request.  A comment is not required.</w:t>
            </w:r>
          </w:p>
        </w:tc>
      </w:tr>
    </w:tbl>
    <w:p w14:paraId="3389E33C" w14:textId="77777777" w:rsidR="00DE505F" w:rsidRPr="00DD2F9F" w:rsidRDefault="00DE505F" w:rsidP="00C30DDA">
      <w:pPr>
        <w:spacing w:after="0"/>
        <w:rPr>
          <w:sz w:val="2"/>
          <w:szCs w:val="2"/>
        </w:rPr>
      </w:pPr>
    </w:p>
    <w:sectPr w:rsidR="00DE505F" w:rsidRPr="00DD2F9F" w:rsidSect="00C30D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31C10" w14:textId="77777777" w:rsidR="00927282" w:rsidRDefault="00927282" w:rsidP="00927282">
      <w:pPr>
        <w:spacing w:after="0" w:line="240" w:lineRule="auto"/>
      </w:pPr>
      <w:r>
        <w:separator/>
      </w:r>
    </w:p>
  </w:endnote>
  <w:endnote w:type="continuationSeparator" w:id="0">
    <w:p w14:paraId="21241C55" w14:textId="77777777" w:rsidR="00927282" w:rsidRDefault="00927282" w:rsidP="0092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4987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0834A6" w14:textId="4304D240" w:rsidR="00380FCE" w:rsidRPr="00380FCE" w:rsidRDefault="00380FCE" w:rsidP="00C64A6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HCS / AAA:  When form is completed and sent, scan the PDF into DMS or print the form,</w:t>
            </w:r>
            <w:r>
              <w:rPr>
                <w:rFonts w:ascii="Arial" w:hAnsi="Arial" w:cs="Arial"/>
                <w:sz w:val="20"/>
                <w:szCs w:val="20"/>
              </w:rPr>
              <w:br/>
              <w:t>and put it into the “File only” process at the local office.</w:t>
            </w:r>
          </w:p>
          <w:p w14:paraId="4F60FFB6" w14:textId="0E8E0FFE" w:rsidR="00927282" w:rsidRDefault="00927282" w:rsidP="00927282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B96951">
              <w:rPr>
                <w:rFonts w:ascii="Arial" w:hAnsi="Arial" w:cs="Arial"/>
                <w:b/>
                <w:bCs/>
                <w:sz w:val="16"/>
                <w:szCs w:val="16"/>
              </w:rPr>
              <w:t>CBHA / 1915i CHANGE OF CIRCUMSTANCES</w:t>
            </w:r>
            <w:r>
              <w:tab/>
            </w:r>
            <w:r w:rsidRPr="0092728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2728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728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9272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728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272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72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2728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2728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9272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728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9272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58560556" w14:textId="0F539FD4" w:rsidR="00927282" w:rsidRPr="00927282" w:rsidRDefault="00927282">
    <w:pPr>
      <w:pStyle w:val="Footer"/>
      <w:rPr>
        <w:rFonts w:ascii="Arial" w:hAnsi="Arial" w:cs="Arial"/>
        <w:b/>
        <w:bCs/>
        <w:sz w:val="16"/>
        <w:szCs w:val="16"/>
      </w:rPr>
    </w:pPr>
    <w:r w:rsidRPr="00927282">
      <w:rPr>
        <w:rFonts w:ascii="Arial" w:hAnsi="Arial" w:cs="Arial"/>
        <w:b/>
        <w:bCs/>
        <w:sz w:val="16"/>
        <w:szCs w:val="16"/>
      </w:rPr>
      <w:t>DSHS 16-</w:t>
    </w:r>
    <w:r w:rsidR="00DF136D">
      <w:rPr>
        <w:rFonts w:ascii="Arial" w:hAnsi="Arial" w:cs="Arial"/>
        <w:b/>
        <w:bCs/>
        <w:sz w:val="16"/>
        <w:szCs w:val="16"/>
      </w:rPr>
      <w:t>27</w:t>
    </w:r>
    <w:r w:rsidR="00B96951">
      <w:rPr>
        <w:rFonts w:ascii="Arial" w:hAnsi="Arial" w:cs="Arial"/>
        <w:b/>
        <w:bCs/>
        <w:sz w:val="16"/>
        <w:szCs w:val="16"/>
      </w:rPr>
      <w:t>5</w:t>
    </w:r>
    <w:r w:rsidRPr="00927282">
      <w:rPr>
        <w:rFonts w:ascii="Arial" w:hAnsi="Arial" w:cs="Arial"/>
        <w:b/>
        <w:bCs/>
        <w:sz w:val="16"/>
        <w:szCs w:val="16"/>
      </w:rPr>
      <w:t xml:space="preserve"> (</w:t>
    </w:r>
    <w:r w:rsidR="007F7CDA">
      <w:rPr>
        <w:rFonts w:ascii="Arial" w:hAnsi="Arial" w:cs="Arial"/>
        <w:b/>
        <w:bCs/>
        <w:sz w:val="16"/>
        <w:szCs w:val="16"/>
      </w:rPr>
      <w:t xml:space="preserve">REV. </w:t>
    </w:r>
    <w:r w:rsidR="00FF71DB">
      <w:rPr>
        <w:rFonts w:ascii="Arial" w:hAnsi="Arial" w:cs="Arial"/>
        <w:b/>
        <w:bCs/>
        <w:sz w:val="16"/>
        <w:szCs w:val="16"/>
      </w:rPr>
      <w:t>04/2025</w:t>
    </w:r>
    <w:r w:rsidRPr="00927282">
      <w:rPr>
        <w:rFonts w:ascii="Arial" w:hAnsi="Arial" w:cs="Arial"/>
        <w:b/>
        <w:bCs/>
        <w:sz w:val="16"/>
        <w:szCs w:val="16"/>
      </w:rPr>
      <w:t>)</w:t>
    </w:r>
    <w:r w:rsidR="00C64A6A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39B74" w14:textId="77777777" w:rsidR="00927282" w:rsidRDefault="00927282" w:rsidP="00927282">
      <w:pPr>
        <w:spacing w:after="0" w:line="240" w:lineRule="auto"/>
      </w:pPr>
      <w:r>
        <w:separator/>
      </w:r>
    </w:p>
  </w:footnote>
  <w:footnote w:type="continuationSeparator" w:id="0">
    <w:p w14:paraId="22D0D0DD" w14:textId="77777777" w:rsidR="00927282" w:rsidRDefault="00927282" w:rsidP="0092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B6814"/>
    <w:multiLevelType w:val="hybridMultilevel"/>
    <w:tmpl w:val="4E441BBC"/>
    <w:lvl w:ilvl="0" w:tplc="FFFFFFFF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1A28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32A"/>
    <w:multiLevelType w:val="hybridMultilevel"/>
    <w:tmpl w:val="E37EF364"/>
    <w:lvl w:ilvl="0" w:tplc="DC92753C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23EE1054"/>
    <w:multiLevelType w:val="hybridMultilevel"/>
    <w:tmpl w:val="0D04B118"/>
    <w:lvl w:ilvl="0" w:tplc="DC92753C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7751"/>
    <w:multiLevelType w:val="hybridMultilevel"/>
    <w:tmpl w:val="2A30E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092"/>
    <w:multiLevelType w:val="hybridMultilevel"/>
    <w:tmpl w:val="0986DF2C"/>
    <w:lvl w:ilvl="0" w:tplc="DC92753C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18D3"/>
    <w:multiLevelType w:val="hybridMultilevel"/>
    <w:tmpl w:val="3F2E1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55E7"/>
    <w:multiLevelType w:val="hybridMultilevel"/>
    <w:tmpl w:val="9F38BA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838955507">
    <w:abstractNumId w:val="5"/>
  </w:num>
  <w:num w:numId="2" w16cid:durableId="193882834">
    <w:abstractNumId w:val="6"/>
  </w:num>
  <w:num w:numId="3" w16cid:durableId="482241784">
    <w:abstractNumId w:val="4"/>
  </w:num>
  <w:num w:numId="4" w16cid:durableId="1554266749">
    <w:abstractNumId w:val="1"/>
  </w:num>
  <w:num w:numId="5" w16cid:durableId="1989823677">
    <w:abstractNumId w:val="2"/>
  </w:num>
  <w:num w:numId="6" w16cid:durableId="1107457482">
    <w:abstractNumId w:val="3"/>
  </w:num>
  <w:num w:numId="7" w16cid:durableId="18849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AuqsmXkVQy8DIF43lTSRNCjM1i9OKFYbVU1L9GvlrCxJ+9zgVLaMgl875t61MfykPgCszxcCb2nY5dkcxRIXdw==" w:salt="7+eNiKEyCNym7LIoywFj/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5F"/>
    <w:rsid w:val="00093A3B"/>
    <w:rsid w:val="000D6FFD"/>
    <w:rsid w:val="00145A18"/>
    <w:rsid w:val="001C0067"/>
    <w:rsid w:val="002A617B"/>
    <w:rsid w:val="0031193B"/>
    <w:rsid w:val="00380FCE"/>
    <w:rsid w:val="003D35DC"/>
    <w:rsid w:val="003F5EBC"/>
    <w:rsid w:val="004C2129"/>
    <w:rsid w:val="0056454C"/>
    <w:rsid w:val="005B4458"/>
    <w:rsid w:val="0067566A"/>
    <w:rsid w:val="007877B1"/>
    <w:rsid w:val="007F7CDA"/>
    <w:rsid w:val="008358F6"/>
    <w:rsid w:val="00927282"/>
    <w:rsid w:val="00B923A7"/>
    <w:rsid w:val="00B96951"/>
    <w:rsid w:val="00C30DDA"/>
    <w:rsid w:val="00C64A6A"/>
    <w:rsid w:val="00CC4768"/>
    <w:rsid w:val="00CD27B6"/>
    <w:rsid w:val="00D729B3"/>
    <w:rsid w:val="00DD2F9F"/>
    <w:rsid w:val="00DE505F"/>
    <w:rsid w:val="00DF136D"/>
    <w:rsid w:val="00E67DD5"/>
    <w:rsid w:val="00E73496"/>
    <w:rsid w:val="00EC5075"/>
    <w:rsid w:val="00F05E39"/>
    <w:rsid w:val="00F15800"/>
    <w:rsid w:val="00FB4F3E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86AD5BC"/>
  <w15:chartTrackingRefBased/>
  <w15:docId w15:val="{4BF6D485-EA40-4AE5-8204-DE2A8C99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0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282"/>
  </w:style>
  <w:style w:type="paragraph" w:styleId="Footer">
    <w:name w:val="footer"/>
    <w:basedOn w:val="Normal"/>
    <w:link w:val="FooterChar"/>
    <w:uiPriority w:val="99"/>
    <w:unhideWhenUsed/>
    <w:rsid w:val="00927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282"/>
  </w:style>
  <w:style w:type="character" w:styleId="Hyperlink">
    <w:name w:val="Hyperlink"/>
    <w:rsid w:val="008358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F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2F9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923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pc_etr@uh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BHSReferrals@molinahealthcar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iveServices@centen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HPC@chp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HSReferralsandAuthorizations@wellpoint.com" TargetMode="External"/><Relationship Id="rId14" Type="http://schemas.openxmlformats.org/officeDocument/2006/relationships/hyperlink" Target="mailto:hca1915iservices@hca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5948</Characters>
  <Application>Microsoft Office Word</Application>
  <DocSecurity>0</DocSecurity>
  <Lines>145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Circumstance:  Community Behavioral Health Supports (CBHS) / 1915i</vt:lpstr>
    </vt:vector>
  </TitlesOfParts>
  <Company>DSHS TSD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Circumstance:  Community Behavioral Health Supports (CBHS) / 1915i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2025-04-22T20:03:00Z</dcterms:created>
  <dcterms:modified xsi:type="dcterms:W3CDTF">2025-04-22T20:03:00Z</dcterms:modified>
</cp:coreProperties>
</file>