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88"/>
        <w:gridCol w:w="2212"/>
        <w:gridCol w:w="450"/>
        <w:gridCol w:w="3690"/>
        <w:gridCol w:w="460"/>
        <w:gridCol w:w="2600"/>
      </w:tblGrid>
      <w:tr w:rsidR="005B4ABD" w:rsidTr="0021391D">
        <w:trPr>
          <w:trHeight w:val="895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5B4ABD" w:rsidRDefault="00E1734A" w:rsidP="005B4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C4BA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44512" cy="4284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498" cy="444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4ABD" w:rsidRPr="006C4BAC" w:rsidRDefault="0021391D" w:rsidP="0021391D">
            <w:pPr>
              <w:tabs>
                <w:tab w:val="center" w:pos="399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6C4BAC" w:rsidRPr="006C4BAC">
              <w:rPr>
                <w:rFonts w:ascii="Arial" w:hAnsi="Arial" w:cs="Arial"/>
                <w:sz w:val="16"/>
                <w:szCs w:val="16"/>
              </w:rPr>
              <w:t>RESIDENTIAL CARE SERVICES (RCS)</w:t>
            </w:r>
          </w:p>
          <w:p w:rsidR="006C4BAC" w:rsidRPr="006C4BAC" w:rsidRDefault="0021391D" w:rsidP="0021391D">
            <w:pPr>
              <w:tabs>
                <w:tab w:val="center" w:pos="399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6C4BAC" w:rsidRPr="006C4BAC">
              <w:rPr>
                <w:rFonts w:ascii="Arial" w:hAnsi="Arial" w:cs="Arial"/>
                <w:sz w:val="16"/>
                <w:szCs w:val="16"/>
              </w:rPr>
              <w:t>NURSING HOME (NH)</w:t>
            </w:r>
          </w:p>
          <w:p w:rsidR="006C4BAC" w:rsidRPr="006C4BAC" w:rsidRDefault="0021391D" w:rsidP="0021391D">
            <w:pPr>
              <w:tabs>
                <w:tab w:val="center" w:pos="399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6C4BAC" w:rsidRPr="006C4BAC">
              <w:rPr>
                <w:rFonts w:ascii="Arial" w:hAnsi="Arial" w:cs="Arial"/>
                <w:sz w:val="16"/>
                <w:szCs w:val="16"/>
              </w:rPr>
              <w:t>INFORMAL DISPUTE RESOLUTION (IDR)</w:t>
            </w:r>
          </w:p>
          <w:p w:rsidR="006C4BAC" w:rsidRPr="006C4BAC" w:rsidRDefault="0021391D" w:rsidP="0021391D">
            <w:pPr>
              <w:tabs>
                <w:tab w:val="center" w:pos="399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6C4BAC" w:rsidRPr="006C4BAC">
              <w:rPr>
                <w:rFonts w:ascii="Arial" w:hAnsi="Arial" w:cs="Arial"/>
                <w:b/>
                <w:sz w:val="28"/>
                <w:szCs w:val="28"/>
              </w:rPr>
              <w:t>NH IDR Request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5B4ABD" w:rsidRDefault="005B4ABD" w:rsidP="00DA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 IDR Program</w:t>
            </w:r>
          </w:p>
          <w:p w:rsidR="005B4ABD" w:rsidRDefault="00E1734A" w:rsidP="00DA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B4ABD" w:rsidRPr="00370F13">
                <w:rPr>
                  <w:rStyle w:val="Hyperlink"/>
                  <w:rFonts w:ascii="Arial" w:hAnsi="Arial" w:cs="Arial"/>
                  <w:sz w:val="20"/>
                  <w:szCs w:val="20"/>
                </w:rPr>
                <w:t>RCSIDR@dshs.wa.gov</w:t>
              </w:r>
            </w:hyperlink>
          </w:p>
          <w:p w:rsidR="005B4ABD" w:rsidRDefault="005B4ABD" w:rsidP="00DA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 (360) 725-3225</w:t>
            </w:r>
          </w:p>
        </w:tc>
      </w:tr>
      <w:tr w:rsidR="005B4ABD" w:rsidTr="0021391D">
        <w:tc>
          <w:tcPr>
            <w:tcW w:w="10800" w:type="dxa"/>
            <w:gridSpan w:val="6"/>
            <w:tcBorders>
              <w:top w:val="nil"/>
              <w:left w:val="nil"/>
              <w:right w:val="nil"/>
            </w:tcBorders>
          </w:tcPr>
          <w:p w:rsidR="006C4BAC" w:rsidRDefault="006C4BAC" w:rsidP="0021391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Authority </w:t>
            </w:r>
            <w:hyperlink r:id="rId8" w:history="1">
              <w:r w:rsidRPr="0021391D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RCW </w:t>
              </w:r>
              <w:r w:rsidRPr="0021391D">
                <w:rPr>
                  <w:rStyle w:val="Hyperlink"/>
                  <w:rFonts w:ascii="ArialMT" w:hAnsi="ArialMT" w:cs="ArialMT"/>
                  <w:sz w:val="20"/>
                  <w:szCs w:val="20"/>
                </w:rPr>
                <w:t>18.51.060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9" w:history="1">
              <w:r w:rsidRPr="0021391D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</w:t>
              </w:r>
              <w:r w:rsidRPr="0021391D">
                <w:rPr>
                  <w:rStyle w:val="Hyperlink"/>
                  <w:rFonts w:ascii="ArialMT" w:hAnsi="ArialMT" w:cs="ArialMT"/>
                  <w:sz w:val="20"/>
                  <w:szCs w:val="20"/>
                </w:rPr>
                <w:t>97-4420</w:t>
              </w:r>
            </w:hyperlink>
            <w:r>
              <w:rPr>
                <w:rFonts w:ascii="ArialMT" w:hAnsi="ArialMT" w:cs="ArialMT"/>
                <w:sz w:val="20"/>
                <w:szCs w:val="20"/>
              </w:rPr>
              <w:t xml:space="preserve">, </w:t>
            </w:r>
            <w:r w:rsidR="0021391D">
              <w:rPr>
                <w:rFonts w:ascii="ArialMT" w:hAnsi="ArialMT" w:cs="ArialMT"/>
                <w:sz w:val="20"/>
                <w:szCs w:val="20"/>
              </w:rPr>
              <w:t xml:space="preserve">and </w:t>
            </w:r>
            <w:hyperlink r:id="rId10" w:history="1">
              <w:r w:rsidRPr="0021391D">
                <w:rPr>
                  <w:rStyle w:val="Hyperlink"/>
                  <w:rFonts w:ascii="ArialMT" w:hAnsi="ArialMT" w:cs="ArialMT"/>
                  <w:sz w:val="20"/>
                  <w:szCs w:val="20"/>
                </w:rPr>
                <w:t>42 CFR 488.331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4ABD" w:rsidRPr="006C4BAC" w:rsidRDefault="006C4BAC" w:rsidP="0021391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further information about the IDR process, click </w:t>
            </w:r>
            <w:hyperlink r:id="rId11" w:history="1">
              <w:r w:rsidRPr="0021391D">
                <w:rPr>
                  <w:rStyle w:val="Hyperlink"/>
                  <w:rFonts w:ascii="Arial" w:hAnsi="Arial" w:cs="Arial"/>
                  <w:sz w:val="20"/>
                  <w:szCs w:val="20"/>
                </w:rPr>
                <w:t>here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391D" w:rsidTr="00903CD5">
        <w:trPr>
          <w:trHeight w:val="576"/>
        </w:trPr>
        <w:tc>
          <w:tcPr>
            <w:tcW w:w="7740" w:type="dxa"/>
            <w:gridSpan w:val="4"/>
          </w:tcPr>
          <w:p w:rsidR="0021391D" w:rsidRPr="0021391D" w:rsidRDefault="0021391D" w:rsidP="00213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NAME</w:t>
            </w:r>
          </w:p>
          <w:p w:rsidR="0021391D" w:rsidRPr="005B4ABD" w:rsidRDefault="0021391D" w:rsidP="00213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gridSpan w:val="2"/>
          </w:tcPr>
          <w:p w:rsidR="0021391D" w:rsidRPr="0021391D" w:rsidRDefault="0021391D" w:rsidP="00213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CCN NUMBER</w:t>
            </w:r>
          </w:p>
          <w:p w:rsidR="0021391D" w:rsidRPr="005B4ABD" w:rsidRDefault="0021391D" w:rsidP="00213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21391D" w:rsidTr="00903CD5">
        <w:trPr>
          <w:trHeight w:val="576"/>
        </w:trPr>
        <w:tc>
          <w:tcPr>
            <w:tcW w:w="7740" w:type="dxa"/>
            <w:gridSpan w:val="4"/>
          </w:tcPr>
          <w:p w:rsidR="0021391D" w:rsidRPr="0021391D" w:rsidRDefault="0021391D" w:rsidP="00213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ADMINISTRATOR’S NAME</w:t>
            </w:r>
          </w:p>
          <w:p w:rsidR="0021391D" w:rsidRPr="005B4ABD" w:rsidRDefault="0021391D" w:rsidP="00213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gridSpan w:val="2"/>
          </w:tcPr>
          <w:p w:rsidR="0021391D" w:rsidRPr="0021391D" w:rsidRDefault="0021391D" w:rsidP="00213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(AND AREA CODE)</w:t>
            </w:r>
          </w:p>
          <w:p w:rsidR="0021391D" w:rsidRPr="005B4ABD" w:rsidRDefault="0021391D" w:rsidP="00213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1391D" w:rsidTr="00903CD5">
        <w:trPr>
          <w:trHeight w:val="576"/>
        </w:trPr>
        <w:tc>
          <w:tcPr>
            <w:tcW w:w="4050" w:type="dxa"/>
            <w:gridSpan w:val="3"/>
          </w:tcPr>
          <w:p w:rsidR="0021391D" w:rsidRPr="0021391D" w:rsidRDefault="0021391D" w:rsidP="00213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ALTERNATE PHONE NUMBER (AND AREA CODE)</w:t>
            </w:r>
          </w:p>
          <w:p w:rsidR="0021391D" w:rsidRPr="005B4ABD" w:rsidRDefault="0021391D" w:rsidP="00213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750" w:type="dxa"/>
            <w:gridSpan w:val="3"/>
          </w:tcPr>
          <w:p w:rsidR="0021391D" w:rsidRPr="0021391D" w:rsidRDefault="0021391D" w:rsidP="00213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ADMNISTRATOR’S EMAIL ADDRESS</w:t>
            </w:r>
          </w:p>
          <w:p w:rsidR="0021391D" w:rsidRPr="005B4ABD" w:rsidRDefault="0021391D" w:rsidP="00213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1391D" w:rsidTr="00903CD5">
        <w:trPr>
          <w:trHeight w:val="576"/>
        </w:trPr>
        <w:tc>
          <w:tcPr>
            <w:tcW w:w="10800" w:type="dxa"/>
            <w:gridSpan w:val="6"/>
          </w:tcPr>
          <w:p w:rsidR="0021391D" w:rsidRPr="0021391D" w:rsidRDefault="0021391D" w:rsidP="00903CD5">
            <w:pPr>
              <w:tabs>
                <w:tab w:val="left" w:pos="5020"/>
                <w:tab w:val="left" w:pos="7885"/>
                <w:tab w:val="left" w:pos="864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MAILING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21391D" w:rsidRPr="005B4ABD" w:rsidRDefault="0021391D" w:rsidP="00903CD5">
            <w:pPr>
              <w:tabs>
                <w:tab w:val="left" w:pos="5020"/>
                <w:tab w:val="left" w:pos="7885"/>
                <w:tab w:val="left" w:pos="86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90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03CD5"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3CD5"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903CD5" w:rsidRPr="005B4AB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903CD5"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03CD5"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90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WA</w:t>
            </w:r>
            <w:r w:rsidR="0090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03CD5"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3CD5"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903CD5" w:rsidRPr="005B4AB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903CD5"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03CD5"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1391D" w:rsidTr="00011A08">
        <w:tc>
          <w:tcPr>
            <w:tcW w:w="10800" w:type="dxa"/>
            <w:gridSpan w:val="6"/>
            <w:shd w:val="clear" w:color="auto" w:fill="auto"/>
          </w:tcPr>
          <w:p w:rsidR="0021391D" w:rsidRPr="00903CD5" w:rsidRDefault="00903CD5" w:rsidP="000809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03CD5">
              <w:rPr>
                <w:rFonts w:ascii="Arial" w:hAnsi="Arial" w:cs="Arial"/>
                <w:b/>
                <w:sz w:val="20"/>
                <w:szCs w:val="20"/>
                <w:shd w:val="clear" w:color="auto" w:fill="FFE599" w:themeFill="accent4" w:themeFillTint="66"/>
              </w:rPr>
              <w:t>Submission</w:t>
            </w:r>
          </w:p>
          <w:p w:rsidR="00903CD5" w:rsidRDefault="00903CD5" w:rsidP="000809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Submit this form within </w:t>
            </w:r>
            <w:r w:rsidRPr="00903CD5">
              <w:rPr>
                <w:rFonts w:ascii="Arial" w:hAnsi="Arial" w:cs="Arial"/>
                <w:b/>
                <w:sz w:val="20"/>
                <w:szCs w:val="20"/>
              </w:rPr>
              <w:t xml:space="preserve">10 </w:t>
            </w:r>
            <w:r w:rsidRPr="00903CD5">
              <w:rPr>
                <w:rFonts w:ascii="Arial" w:hAnsi="Arial" w:cs="Arial"/>
                <w:b/>
                <w:sz w:val="20"/>
                <w:szCs w:val="20"/>
                <w:u w:val="single"/>
              </w:rPr>
              <w:t>calendar</w:t>
            </w:r>
            <w:r w:rsidRPr="00903CD5">
              <w:rPr>
                <w:rFonts w:ascii="Arial" w:hAnsi="Arial" w:cs="Arial"/>
                <w:b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posted date of your official Statement of Deficiencies (SOD) or Enforcement Letter from ePOC to the email address listed above.  </w:t>
            </w:r>
            <w:r w:rsidR="00011A08">
              <w:rPr>
                <w:rFonts w:ascii="Arial" w:hAnsi="Arial" w:cs="Arial"/>
                <w:b/>
                <w:sz w:val="20"/>
                <w:szCs w:val="20"/>
              </w:rPr>
              <w:t>You must submit a</w:t>
            </w:r>
            <w:r w:rsidRPr="00903C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3CD5">
              <w:rPr>
                <w:rFonts w:ascii="Arial" w:hAnsi="Arial" w:cs="Arial"/>
                <w:b/>
                <w:sz w:val="20"/>
                <w:szCs w:val="20"/>
                <w:u w:val="single"/>
              </w:rPr>
              <w:t>separate</w:t>
            </w:r>
            <w:r w:rsidRPr="00903CD5">
              <w:rPr>
                <w:rFonts w:ascii="Arial" w:hAnsi="Arial" w:cs="Arial"/>
                <w:b/>
                <w:sz w:val="20"/>
                <w:szCs w:val="20"/>
              </w:rPr>
              <w:t xml:space="preserve"> request form for each citation or enforcement action you are disputing.  Note:  Your IDR request could be denied if the request form is incomplete or inaccurate.  </w:t>
            </w:r>
            <w:r>
              <w:rPr>
                <w:rFonts w:ascii="Arial" w:hAnsi="Arial" w:cs="Arial"/>
                <w:sz w:val="20"/>
                <w:szCs w:val="20"/>
              </w:rPr>
              <w:t xml:space="preserve">Refer to your SOD cover letter for more details.  If you have any questions, contact the IDR Program by telephone at (360) 725-3233 or via email at </w:t>
            </w:r>
            <w:hyperlink r:id="rId12" w:history="1">
              <w:r w:rsidRPr="00370F13">
                <w:rPr>
                  <w:rStyle w:val="Hyperlink"/>
                  <w:rFonts w:ascii="Arial" w:hAnsi="Arial" w:cs="Arial"/>
                  <w:sz w:val="20"/>
                  <w:szCs w:val="20"/>
                </w:rPr>
                <w:t>RCSIDR@dshs.wa.gov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03CD5" w:rsidRPr="00903CD5" w:rsidRDefault="00903CD5" w:rsidP="000809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03CD5">
              <w:rPr>
                <w:rFonts w:ascii="Arial" w:hAnsi="Arial" w:cs="Arial"/>
                <w:b/>
                <w:sz w:val="20"/>
                <w:szCs w:val="20"/>
                <w:shd w:val="clear" w:color="auto" w:fill="FFE599" w:themeFill="accent4" w:themeFillTint="66"/>
              </w:rPr>
              <w:t>Traditional IDR</w:t>
            </w:r>
          </w:p>
          <w:p w:rsidR="00903CD5" w:rsidRDefault="00903CD5" w:rsidP="000809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Traditional IDR is </w:t>
            </w:r>
            <w:r w:rsidRPr="00011A08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>
              <w:rPr>
                <w:rFonts w:ascii="Arial" w:hAnsi="Arial" w:cs="Arial"/>
                <w:sz w:val="20"/>
                <w:szCs w:val="20"/>
              </w:rPr>
              <w:t xml:space="preserve"> if disputing </w:t>
            </w:r>
            <w:r w:rsidRPr="00011A08">
              <w:rPr>
                <w:rFonts w:ascii="Arial" w:hAnsi="Arial" w:cs="Arial"/>
                <w:b/>
                <w:sz w:val="20"/>
                <w:szCs w:val="20"/>
              </w:rPr>
              <w:t>four or more</w:t>
            </w:r>
            <w:r>
              <w:rPr>
                <w:rFonts w:ascii="Arial" w:hAnsi="Arial" w:cs="Arial"/>
                <w:sz w:val="20"/>
                <w:szCs w:val="20"/>
              </w:rPr>
              <w:t xml:space="preserve"> citations or enforcement actions; however, it is optional for three or fewer citations.  </w:t>
            </w:r>
            <w:r w:rsidR="00011A08"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 xml:space="preserve"> IDR Program Manager (PM) </w:t>
            </w:r>
            <w:r w:rsidR="00011A08">
              <w:rPr>
                <w:rFonts w:ascii="Arial" w:hAnsi="Arial" w:cs="Arial"/>
                <w:sz w:val="20"/>
                <w:szCs w:val="20"/>
              </w:rPr>
              <w:t xml:space="preserve">conducts the IDR </w:t>
            </w:r>
            <w:r>
              <w:rPr>
                <w:rFonts w:ascii="Arial" w:hAnsi="Arial" w:cs="Arial"/>
                <w:sz w:val="20"/>
                <w:szCs w:val="20"/>
              </w:rPr>
              <w:t xml:space="preserve">during a 1:1 meeting.  The disputing facility representative </w:t>
            </w:r>
            <w:r w:rsidR="00011A08">
              <w:rPr>
                <w:rFonts w:ascii="Arial" w:hAnsi="Arial" w:cs="Arial"/>
                <w:sz w:val="20"/>
                <w:szCs w:val="20"/>
              </w:rPr>
              <w:t>gets</w:t>
            </w:r>
            <w:r>
              <w:rPr>
                <w:rFonts w:ascii="Arial" w:hAnsi="Arial" w:cs="Arial"/>
                <w:sz w:val="20"/>
                <w:szCs w:val="20"/>
              </w:rPr>
              <w:t xml:space="preserve"> two hours to present relevant information to the IDR PM.  The IDR program requests that any supporting documentation be submitted at least one week prior to the scheduled IDR date.</w:t>
            </w:r>
          </w:p>
          <w:p w:rsidR="00011A08" w:rsidRDefault="00011A08" w:rsidP="000809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shd w:val="clear" w:color="auto" w:fill="FFE599" w:themeFill="accent4" w:themeFillTint="66"/>
              </w:rPr>
            </w:pPr>
            <w:r w:rsidRPr="00011A08">
              <w:rPr>
                <w:rFonts w:ascii="Arial" w:hAnsi="Arial" w:cs="Arial"/>
                <w:b/>
                <w:sz w:val="20"/>
                <w:szCs w:val="20"/>
                <w:shd w:val="clear" w:color="auto" w:fill="FFE599" w:themeFill="accent4" w:themeFillTint="66"/>
              </w:rPr>
              <w:t>Panel IDR</w:t>
            </w:r>
          </w:p>
          <w:p w:rsidR="00011A08" w:rsidRDefault="00011A08" w:rsidP="000809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11A08">
              <w:rPr>
                <w:rFonts w:ascii="Arial" w:hAnsi="Arial" w:cs="Arial"/>
                <w:b/>
                <w:sz w:val="20"/>
                <w:szCs w:val="20"/>
              </w:rPr>
              <w:t>A Panel IDR is only conducted if you are disputing three or few citations or enforcement actions.</w:t>
            </w:r>
            <w:r w:rsidR="003E1327">
              <w:rPr>
                <w:rFonts w:ascii="Arial" w:hAnsi="Arial" w:cs="Arial"/>
                <w:sz w:val="20"/>
                <w:szCs w:val="20"/>
              </w:rPr>
              <w:t xml:space="preserve">  A</w:t>
            </w:r>
            <w:r>
              <w:rPr>
                <w:rFonts w:ascii="Arial" w:hAnsi="Arial" w:cs="Arial"/>
                <w:sz w:val="20"/>
                <w:szCs w:val="20"/>
              </w:rPr>
              <w:t xml:space="preserve"> panel consisting of one provider, one consumer advocate, and one department staff</w:t>
            </w:r>
            <w:r w:rsidR="003E1327">
              <w:rPr>
                <w:rFonts w:ascii="Arial" w:hAnsi="Arial" w:cs="Arial"/>
                <w:sz w:val="20"/>
                <w:szCs w:val="20"/>
              </w:rPr>
              <w:t xml:space="preserve"> virtually conducts and reviews the IDR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3E1327"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 xml:space="preserve"> IDR PM</w:t>
            </w:r>
            <w:r w:rsidR="003E1327">
              <w:rPr>
                <w:rFonts w:ascii="Arial" w:hAnsi="Arial" w:cs="Arial"/>
                <w:sz w:val="20"/>
                <w:szCs w:val="20"/>
              </w:rPr>
              <w:t xml:space="preserve"> chair</w:t>
            </w:r>
            <w:r w:rsidR="00DA5BF7">
              <w:rPr>
                <w:rFonts w:ascii="Arial" w:hAnsi="Arial" w:cs="Arial"/>
                <w:sz w:val="20"/>
                <w:szCs w:val="20"/>
              </w:rPr>
              <w:t>s</w:t>
            </w:r>
            <w:r w:rsidR="003E1327">
              <w:rPr>
                <w:rFonts w:ascii="Arial" w:hAnsi="Arial" w:cs="Arial"/>
                <w:sz w:val="20"/>
                <w:szCs w:val="20"/>
              </w:rPr>
              <w:t xml:space="preserve"> the Panel IDR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08095A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 facility representative and department staff who initiated the citation or enforcement</w:t>
            </w:r>
            <w:r w:rsidR="0008095A">
              <w:rPr>
                <w:rFonts w:ascii="Arial" w:hAnsi="Arial" w:cs="Arial"/>
                <w:sz w:val="20"/>
                <w:szCs w:val="20"/>
              </w:rPr>
              <w:t xml:space="preserve"> make brief presentations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.  The panel provides a recommendation to the IDR PM who makes the final decision.  You must submit supporting documentation within </w:t>
            </w:r>
            <w:r w:rsidRPr="0008095A">
              <w:rPr>
                <w:rFonts w:ascii="Arial" w:hAnsi="Arial" w:cs="Arial"/>
                <w:b/>
                <w:sz w:val="20"/>
                <w:szCs w:val="20"/>
              </w:rPr>
              <w:t>20 calendar days</w:t>
            </w:r>
            <w:r>
              <w:rPr>
                <w:rFonts w:ascii="Arial" w:hAnsi="Arial" w:cs="Arial"/>
                <w:sz w:val="20"/>
                <w:szCs w:val="20"/>
              </w:rPr>
              <w:t xml:space="preserve"> of receiving the official SOD.  Documentation received after the deadline is considered untimely and </w:t>
            </w:r>
            <w:r w:rsidRPr="00011A08">
              <w:rPr>
                <w:rFonts w:ascii="Arial" w:hAnsi="Arial" w:cs="Arial"/>
                <w:b/>
                <w:sz w:val="20"/>
                <w:szCs w:val="20"/>
              </w:rPr>
              <w:t>will not</w:t>
            </w:r>
            <w:r>
              <w:rPr>
                <w:rFonts w:ascii="Arial" w:hAnsi="Arial" w:cs="Arial"/>
                <w:sz w:val="20"/>
                <w:szCs w:val="20"/>
              </w:rPr>
              <w:t xml:space="preserve"> be reviewed by the panel.</w:t>
            </w:r>
          </w:p>
          <w:p w:rsidR="0008095A" w:rsidRDefault="0008095A" w:rsidP="0008095A">
            <w:pPr>
              <w:tabs>
                <w:tab w:val="left" w:pos="2410"/>
                <w:tab w:val="left" w:pos="5290"/>
                <w:tab w:val="left" w:pos="792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095A">
              <w:rPr>
                <w:rFonts w:ascii="Arial" w:hAnsi="Arial" w:cs="Arial"/>
                <w:b/>
                <w:sz w:val="20"/>
                <w:szCs w:val="20"/>
                <w:shd w:val="clear" w:color="auto" w:fill="FFE599" w:themeFill="accent4" w:themeFillTint="66"/>
              </w:rPr>
              <w:t>IDR Review</w:t>
            </w:r>
            <w:r>
              <w:rPr>
                <w:rFonts w:ascii="Arial" w:hAnsi="Arial" w:cs="Arial"/>
                <w:sz w:val="20"/>
                <w:szCs w:val="20"/>
              </w:rPr>
              <w:t xml:space="preserve"> (check one):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734A">
              <w:rPr>
                <w:rFonts w:ascii="Arial" w:hAnsi="Arial" w:cs="Arial"/>
                <w:sz w:val="20"/>
                <w:szCs w:val="20"/>
              </w:rPr>
            </w:r>
            <w:r w:rsidR="00E173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Traditional IDR Review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734A">
              <w:rPr>
                <w:rFonts w:ascii="Arial" w:hAnsi="Arial" w:cs="Arial"/>
                <w:sz w:val="20"/>
                <w:szCs w:val="20"/>
              </w:rPr>
            </w:r>
            <w:r w:rsidR="00E173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Panel IDR Review</w:t>
            </w:r>
          </w:p>
          <w:p w:rsidR="0008095A" w:rsidRDefault="0008095A" w:rsidP="0008095A">
            <w:pPr>
              <w:tabs>
                <w:tab w:val="left" w:pos="2410"/>
                <w:tab w:val="left" w:pos="5290"/>
                <w:tab w:val="left" w:pos="792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095A">
              <w:rPr>
                <w:rFonts w:ascii="Arial" w:hAnsi="Arial" w:cs="Arial"/>
                <w:b/>
                <w:sz w:val="20"/>
                <w:szCs w:val="20"/>
                <w:shd w:val="clear" w:color="auto" w:fill="FFE599" w:themeFill="accent4" w:themeFillTint="66"/>
              </w:rPr>
              <w:t>IDR Type</w:t>
            </w:r>
            <w:r>
              <w:rPr>
                <w:rFonts w:ascii="Arial" w:hAnsi="Arial" w:cs="Arial"/>
                <w:sz w:val="20"/>
                <w:szCs w:val="20"/>
              </w:rPr>
              <w:t xml:space="preserve"> (check one):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734A">
              <w:rPr>
                <w:rFonts w:ascii="Arial" w:hAnsi="Arial" w:cs="Arial"/>
                <w:sz w:val="20"/>
                <w:szCs w:val="20"/>
              </w:rPr>
            </w:r>
            <w:r w:rsidR="00E173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Video Conference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734A">
              <w:rPr>
                <w:rFonts w:ascii="Arial" w:hAnsi="Arial" w:cs="Arial"/>
                <w:sz w:val="20"/>
                <w:szCs w:val="20"/>
              </w:rPr>
            </w:r>
            <w:r w:rsidR="00E173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Telephone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734A">
              <w:rPr>
                <w:rFonts w:ascii="Arial" w:hAnsi="Arial" w:cs="Arial"/>
                <w:sz w:val="20"/>
                <w:szCs w:val="20"/>
              </w:rPr>
            </w:r>
            <w:r w:rsidR="00E173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Desk Review</w:t>
            </w:r>
          </w:p>
          <w:p w:rsidR="0008095A" w:rsidRPr="00011A08" w:rsidRDefault="0008095A" w:rsidP="000809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095A">
              <w:rPr>
                <w:rFonts w:ascii="Arial" w:hAnsi="Arial" w:cs="Arial"/>
                <w:b/>
                <w:sz w:val="20"/>
                <w:szCs w:val="20"/>
                <w:shd w:val="clear" w:color="auto" w:fill="FFE599" w:themeFill="accent4" w:themeFillTint="66"/>
              </w:rPr>
              <w:t>Dispute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08095A" w:rsidTr="0008095A">
        <w:trPr>
          <w:trHeight w:val="576"/>
        </w:trPr>
        <w:tc>
          <w:tcPr>
            <w:tcW w:w="3600" w:type="dxa"/>
            <w:gridSpan w:val="2"/>
          </w:tcPr>
          <w:p w:rsidR="0008095A" w:rsidRPr="0021391D" w:rsidRDefault="0008095A" w:rsidP="000809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STATEMENT OF DEFICIENCIES (SOD) DATE</w:t>
            </w:r>
          </w:p>
          <w:p w:rsidR="0008095A" w:rsidRPr="005B4ABD" w:rsidRDefault="0008095A" w:rsidP="0008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gridSpan w:val="4"/>
          </w:tcPr>
          <w:p w:rsidR="0008095A" w:rsidRPr="0021391D" w:rsidRDefault="0008095A" w:rsidP="000809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F-TAG / WAC BEING DISPUTED</w:t>
            </w:r>
          </w:p>
          <w:p w:rsidR="0008095A" w:rsidRPr="005B4ABD" w:rsidRDefault="0008095A" w:rsidP="0008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8095A" w:rsidTr="003E1327">
        <w:trPr>
          <w:trHeight w:val="3793"/>
        </w:trPr>
        <w:tc>
          <w:tcPr>
            <w:tcW w:w="10800" w:type="dxa"/>
            <w:gridSpan w:val="6"/>
          </w:tcPr>
          <w:p w:rsidR="0008095A" w:rsidRDefault="0008095A" w:rsidP="000809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Concisely indicate why you are disputing the citation.  Provide only relevant documentation to the dispute.</w:t>
            </w:r>
          </w:p>
          <w:p w:rsidR="0008095A" w:rsidRDefault="0008095A" w:rsidP="0008095A">
            <w:pPr>
              <w:rPr>
                <w:rFonts w:ascii="Arial" w:hAnsi="Arial" w:cs="Arial"/>
                <w:sz w:val="20"/>
                <w:szCs w:val="20"/>
              </w:rPr>
            </w:pP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73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4A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8243C8" w:rsidRPr="005B4ABD" w:rsidRDefault="008243C8" w:rsidP="005B4ABD">
      <w:pPr>
        <w:spacing w:after="0"/>
        <w:rPr>
          <w:rFonts w:ascii="Arial" w:hAnsi="Arial" w:cs="Arial"/>
          <w:sz w:val="20"/>
          <w:szCs w:val="20"/>
        </w:rPr>
      </w:pPr>
    </w:p>
    <w:sectPr w:rsidR="008243C8" w:rsidRPr="005B4ABD" w:rsidSect="005B4ABD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5A" w:rsidRDefault="0008095A" w:rsidP="0008095A">
      <w:pPr>
        <w:spacing w:after="0" w:line="240" w:lineRule="auto"/>
      </w:pPr>
      <w:r>
        <w:separator/>
      </w:r>
    </w:p>
  </w:endnote>
  <w:endnote w:type="continuationSeparator" w:id="0">
    <w:p w:rsidR="0008095A" w:rsidRDefault="0008095A" w:rsidP="0008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754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095A" w:rsidRDefault="0008095A" w:rsidP="0008095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NH IDR REQUEST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08095A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08095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8095A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08095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1734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08095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8095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08095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8095A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08095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1734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08095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8095A" w:rsidRPr="0008095A" w:rsidRDefault="0008095A" w:rsidP="003E1327">
    <w:pPr>
      <w:pStyle w:val="Footer"/>
      <w:tabs>
        <w:tab w:val="clear" w:pos="4680"/>
        <w:tab w:val="clear" w:pos="936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27-</w:t>
    </w:r>
    <w:r w:rsidR="00106431">
      <w:rPr>
        <w:rFonts w:ascii="Arial" w:hAnsi="Arial" w:cs="Arial"/>
        <w:b/>
        <w:sz w:val="16"/>
        <w:szCs w:val="16"/>
      </w:rPr>
      <w:t>209</w:t>
    </w:r>
    <w:r>
      <w:rPr>
        <w:rFonts w:ascii="Arial" w:hAnsi="Arial" w:cs="Arial"/>
        <w:b/>
        <w:sz w:val="16"/>
        <w:szCs w:val="16"/>
      </w:rPr>
      <w:t xml:space="preserve"> (04/2022)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5A" w:rsidRDefault="0008095A" w:rsidP="0008095A">
      <w:pPr>
        <w:spacing w:after="0" w:line="240" w:lineRule="auto"/>
      </w:pPr>
      <w:r>
        <w:separator/>
      </w:r>
    </w:p>
  </w:footnote>
  <w:footnote w:type="continuationSeparator" w:id="0">
    <w:p w:rsidR="0008095A" w:rsidRDefault="0008095A" w:rsidP="00080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revisionView w:markup="0"/>
  <w:documentProtection w:edit="forms" w:enforcement="1" w:cryptProviderType="rsaAES" w:cryptAlgorithmClass="hash" w:cryptAlgorithmType="typeAny" w:cryptAlgorithmSid="14" w:cryptSpinCount="100000" w:hash="2n2crLd2UnwuA32mWBGzmIfthqv/Z8yjaLjY8JMDaJbHpwv3IJmHreYD/p+2xceKRvByy8ZMefgYkFr3K0cKzg==" w:salt="ZPWlKZkgC9gIE/bua7xg2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80"/>
    <w:rsid w:val="00011A08"/>
    <w:rsid w:val="0008095A"/>
    <w:rsid w:val="00106431"/>
    <w:rsid w:val="0021391D"/>
    <w:rsid w:val="003E1327"/>
    <w:rsid w:val="005B4ABD"/>
    <w:rsid w:val="006C4BAC"/>
    <w:rsid w:val="008243C8"/>
    <w:rsid w:val="00903CD5"/>
    <w:rsid w:val="00DA5BF7"/>
    <w:rsid w:val="00E1734A"/>
    <w:rsid w:val="00E64180"/>
    <w:rsid w:val="00F2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8A919C"/>
  <w15:chartTrackingRefBased/>
  <w15:docId w15:val="{01CE4FBA-A4DF-4E0E-8F53-76B28EF7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A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5A"/>
  </w:style>
  <w:style w:type="paragraph" w:styleId="Footer">
    <w:name w:val="footer"/>
    <w:basedOn w:val="Normal"/>
    <w:link w:val="FooterChar"/>
    <w:uiPriority w:val="99"/>
    <w:unhideWhenUsed/>
    <w:rsid w:val="0008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18.51.06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CSIDR@dshs.wa.gov" TargetMode="External"/><Relationship Id="rId12" Type="http://schemas.openxmlformats.org/officeDocument/2006/relationships/hyperlink" Target="mailto:RCSIDR@dshs.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dshs.wa.gov/altsa/residential-care-services/informal-dispute-resolution-id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govregs.com/regulations/42/488.3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pp.leg.wa.gov/WAC/default.aspx?cite=388-97-44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 IDR Request</vt:lpstr>
    </vt:vector>
  </TitlesOfParts>
  <Company>DSHS / Exec IT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 IDR Request</dc:title>
  <dc:subject/>
  <dc:creator>Brombacher, Millie (DSHS/OOS/OIG)</dc:creator>
  <cp:keywords/>
  <dc:description/>
  <cp:lastModifiedBy>Brombacher, Millie (DSHS/OOS/OIG)</cp:lastModifiedBy>
  <cp:revision>5</cp:revision>
  <dcterms:created xsi:type="dcterms:W3CDTF">2022-04-06T15:49:00Z</dcterms:created>
  <dcterms:modified xsi:type="dcterms:W3CDTF">2022-05-11T17:54:00Z</dcterms:modified>
</cp:coreProperties>
</file>